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820"/>
      </w:tblGrid>
      <w:tr w:rsidR="00D42FEB">
        <w:trPr>
          <w:cantSplit/>
          <w:trHeight w:hRule="exact" w:val="227"/>
        </w:trPr>
        <w:tc>
          <w:tcPr>
            <w:tcW w:w="4820" w:type="dxa"/>
          </w:tcPr>
          <w:p w:rsidR="00D42FEB" w:rsidRPr="006C0ED5" w:rsidRDefault="00D42FEB" w:rsidP="00972DF8">
            <w:pPr>
              <w:pStyle w:val="innogyFensterzeile"/>
              <w:rPr>
                <w:rFonts w:ascii="Calibri" w:hAnsi="Calibri"/>
                <w:b/>
              </w:rPr>
            </w:pPr>
          </w:p>
        </w:tc>
      </w:tr>
      <w:tr w:rsidR="00D42FEB" w:rsidRPr="006E6F8E" w:rsidTr="004C0CA0">
        <w:trPr>
          <w:cantSplit/>
          <w:trHeight w:hRule="exact" w:val="2211"/>
        </w:trPr>
        <w:tc>
          <w:tcPr>
            <w:tcW w:w="4820" w:type="dxa"/>
          </w:tcPr>
          <w:p w:rsidR="006E6F8E" w:rsidRPr="006E6F8E" w:rsidRDefault="006E6F8E" w:rsidP="00A353AC">
            <w:pPr>
              <w:pStyle w:val="innogyFlietext"/>
              <w:rPr>
                <w:b/>
                <w:lang w:val="en-GB"/>
              </w:rPr>
            </w:pPr>
            <w:bookmarkStart w:id="0" w:name="Vermerk"/>
            <w:bookmarkEnd w:id="0"/>
            <w:r w:rsidRPr="006E6F8E">
              <w:rPr>
                <w:b/>
                <w:lang w:val="en-GB"/>
              </w:rPr>
              <w:t>John Brookes</w:t>
            </w:r>
          </w:p>
          <w:p w:rsidR="006E6F8E" w:rsidRPr="006E6F8E" w:rsidRDefault="006E6F8E" w:rsidP="00A353AC">
            <w:pPr>
              <w:pStyle w:val="innogyFlietext"/>
              <w:rPr>
                <w:b/>
                <w:lang w:val="en-GB"/>
              </w:rPr>
            </w:pPr>
            <w:r w:rsidRPr="006E6F8E">
              <w:rPr>
                <w:b/>
                <w:lang w:val="en-GB"/>
              </w:rPr>
              <w:t>National Grid</w:t>
            </w:r>
          </w:p>
          <w:p w:rsidR="006E6F8E" w:rsidRDefault="006E6F8E" w:rsidP="00A353AC">
            <w:pPr>
              <w:pStyle w:val="innogyFlietext"/>
              <w:rPr>
                <w:lang w:val="en-GB"/>
              </w:rPr>
            </w:pPr>
          </w:p>
          <w:p w:rsidR="00A353AC" w:rsidRPr="006E6F8E" w:rsidRDefault="006E6F8E" w:rsidP="00A353AC">
            <w:pPr>
              <w:pStyle w:val="innogyFlietext"/>
              <w:rPr>
                <w:lang w:val="en-GB"/>
              </w:rPr>
            </w:pPr>
            <w:r>
              <w:rPr>
                <w:lang w:val="en-GB"/>
              </w:rPr>
              <w:t>By email to:</w:t>
            </w:r>
          </w:p>
          <w:p w:rsidR="006E6F8E" w:rsidRPr="006E6F8E" w:rsidRDefault="003A5269" w:rsidP="00A353AC">
            <w:pPr>
              <w:pStyle w:val="innogyFlietext"/>
              <w:rPr>
                <w:lang w:val="en-GB"/>
              </w:rPr>
            </w:pPr>
            <w:hyperlink r:id="rId8" w:history="1">
              <w:r w:rsidRPr="008473EB">
                <w:rPr>
                  <w:rStyle w:val="Hyperlink"/>
                  <w:lang w:val="en-GB"/>
                </w:rPr>
                <w:t>john.brookes1@nationalgrid.com</w:t>
              </w:r>
            </w:hyperlink>
            <w:r>
              <w:rPr>
                <w:lang w:val="en-GB"/>
              </w:rPr>
              <w:t xml:space="preserve"> </w:t>
            </w:r>
          </w:p>
          <w:p w:rsidR="00D42FEB" w:rsidRPr="00733094" w:rsidRDefault="00D42FEB" w:rsidP="00243403">
            <w:pPr>
              <w:pStyle w:val="innogyFlietext"/>
              <w:rPr>
                <w:lang w:val="en-US"/>
              </w:rPr>
            </w:pPr>
          </w:p>
        </w:tc>
      </w:tr>
    </w:tbl>
    <w:p w:rsidR="00D42FEB" w:rsidRPr="00733094" w:rsidRDefault="00D42FEB" w:rsidP="003E612D">
      <w:pPr>
        <w:pStyle w:val="innogySparteOE"/>
        <w:tabs>
          <w:tab w:val="left" w:pos="113"/>
        </w:tabs>
        <w:rPr>
          <w:sz w:val="18"/>
          <w:szCs w:val="18"/>
          <w:lang w:val="en-US"/>
        </w:rPr>
      </w:pPr>
      <w:r w:rsidRPr="00733094">
        <w:rPr>
          <w:sz w:val="2"/>
          <w:lang w:val="en-US"/>
        </w:rPr>
        <w:br w:type="column"/>
      </w:r>
    </w:p>
    <w:tbl>
      <w:tblPr>
        <w:tblW w:w="0" w:type="auto"/>
        <w:tblInd w:w="142" w:type="dxa"/>
        <w:tblLayout w:type="fixed"/>
        <w:tblCellMar>
          <w:left w:w="0" w:type="dxa"/>
          <w:right w:w="0" w:type="dxa"/>
        </w:tblCellMar>
        <w:tblLook w:val="0000" w:firstRow="0" w:lastRow="0" w:firstColumn="0" w:lastColumn="0" w:noHBand="0" w:noVBand="0"/>
      </w:tblPr>
      <w:tblGrid>
        <w:gridCol w:w="4281"/>
      </w:tblGrid>
      <w:tr w:rsidR="00405953" w:rsidRPr="006E6F8E" w:rsidTr="00A83100">
        <w:trPr>
          <w:cantSplit/>
          <w:trHeight w:val="2495"/>
        </w:trPr>
        <w:tc>
          <w:tcPr>
            <w:tcW w:w="4281" w:type="dxa"/>
          </w:tcPr>
          <w:p w:rsidR="00405953" w:rsidRPr="006E6F8E" w:rsidRDefault="006E6F8E" w:rsidP="007F0B20">
            <w:pPr>
              <w:pStyle w:val="innogyBezugtitel"/>
              <w:rPr>
                <w:sz w:val="20"/>
                <w:lang w:val="en-US"/>
              </w:rPr>
            </w:pPr>
            <w:bookmarkStart w:id="1" w:name="Sparte"/>
            <w:bookmarkStart w:id="2" w:name="Einheit"/>
            <w:bookmarkEnd w:id="1"/>
            <w:bookmarkEnd w:id="2"/>
            <w:r w:rsidRPr="006E6F8E">
              <w:rPr>
                <w:sz w:val="20"/>
                <w:lang w:val="en-US"/>
              </w:rPr>
              <w:t>Nicola Percival</w:t>
            </w:r>
          </w:p>
          <w:p w:rsidR="006E6F8E" w:rsidRPr="006E6F8E" w:rsidRDefault="006E6F8E" w:rsidP="007F0B20">
            <w:pPr>
              <w:pStyle w:val="innogyBezugtitel"/>
              <w:rPr>
                <w:sz w:val="20"/>
                <w:lang w:val="en-US"/>
              </w:rPr>
            </w:pPr>
            <w:r w:rsidRPr="006E6F8E">
              <w:rPr>
                <w:sz w:val="20"/>
                <w:lang w:val="en-US"/>
              </w:rPr>
              <w:t>Policy &amp; Regulations Manager</w:t>
            </w:r>
          </w:p>
          <w:p w:rsidR="006E6F8E" w:rsidRPr="006E6F8E" w:rsidRDefault="006E6F8E" w:rsidP="007F0B20">
            <w:pPr>
              <w:pStyle w:val="innogyBezugtitel"/>
              <w:rPr>
                <w:sz w:val="20"/>
                <w:lang w:val="en-US"/>
              </w:rPr>
            </w:pPr>
          </w:p>
          <w:p w:rsidR="006E6F8E" w:rsidRPr="006E6F8E" w:rsidRDefault="003A5269" w:rsidP="007F0B20">
            <w:pPr>
              <w:pStyle w:val="innogyBezugtitel"/>
              <w:rPr>
                <w:sz w:val="20"/>
                <w:lang w:val="en-US"/>
              </w:rPr>
            </w:pPr>
            <w:hyperlink r:id="rId9" w:history="1">
              <w:r w:rsidRPr="008473EB">
                <w:rPr>
                  <w:rStyle w:val="Hyperlink"/>
                  <w:sz w:val="20"/>
                  <w:lang w:val="en-US"/>
                </w:rPr>
                <w:t>nicola.percival@innogy.com</w:t>
              </w:r>
            </w:hyperlink>
          </w:p>
          <w:p w:rsidR="006E6F8E" w:rsidRPr="006E6F8E" w:rsidRDefault="006E6F8E" w:rsidP="007F0B20">
            <w:pPr>
              <w:pStyle w:val="innogyBezugtitel"/>
              <w:rPr>
                <w:sz w:val="20"/>
                <w:lang w:val="en-US"/>
              </w:rPr>
            </w:pPr>
          </w:p>
          <w:p w:rsidR="00405953" w:rsidRPr="00405953" w:rsidRDefault="006E6F8E" w:rsidP="007F0B20">
            <w:pPr>
              <w:pStyle w:val="innogyBezugtext"/>
              <w:rPr>
                <w:lang w:val="en-GB"/>
              </w:rPr>
            </w:pPr>
            <w:r w:rsidRPr="006E6F8E">
              <w:rPr>
                <w:sz w:val="20"/>
                <w:lang w:val="en-GB"/>
              </w:rPr>
              <w:t xml:space="preserve">07557 </w:t>
            </w:r>
            <w:r w:rsidR="003A5269">
              <w:rPr>
                <w:sz w:val="20"/>
                <w:lang w:val="en-GB"/>
              </w:rPr>
              <w:t>758 382</w:t>
            </w:r>
          </w:p>
        </w:tc>
      </w:tr>
    </w:tbl>
    <w:p w:rsidR="00D42FEB" w:rsidRPr="00F968FF" w:rsidRDefault="00D42FEB">
      <w:pPr>
        <w:rPr>
          <w:lang w:val="en-GB"/>
        </w:rPr>
        <w:sectPr w:rsidR="00D42FEB" w:rsidRPr="00F968FF" w:rsidSect="009B1DE6">
          <w:headerReference w:type="default" r:id="rId10"/>
          <w:footerReference w:type="default" r:id="rId11"/>
          <w:headerReference w:type="first" r:id="rId12"/>
          <w:footerReference w:type="first" r:id="rId13"/>
          <w:type w:val="continuous"/>
          <w:pgSz w:w="11907" w:h="16840" w:code="9"/>
          <w:pgMar w:top="2722" w:right="1134" w:bottom="2098" w:left="1418" w:header="567" w:footer="567" w:gutter="0"/>
          <w:cols w:num="2" w:space="227" w:equalWidth="0">
            <w:col w:w="4536" w:space="227"/>
            <w:col w:w="4592"/>
          </w:cols>
          <w:titlePg/>
        </w:sectPr>
      </w:pPr>
    </w:p>
    <w:p w:rsidR="00D42FEB" w:rsidRPr="00F968FF" w:rsidRDefault="003A5269" w:rsidP="00377AA2">
      <w:pPr>
        <w:pStyle w:val="innogyFlietext"/>
        <w:rPr>
          <w:lang w:val="en-GB"/>
        </w:rPr>
      </w:pPr>
      <w:bookmarkStart w:id="4" w:name="Ort"/>
      <w:bookmarkStart w:id="5" w:name="Datum"/>
      <w:bookmarkEnd w:id="4"/>
      <w:bookmarkEnd w:id="5"/>
      <w:r>
        <w:rPr>
          <w:lang w:val="en-GB"/>
        </w:rPr>
        <w:lastRenderedPageBreak/>
        <w:t>29</w:t>
      </w:r>
      <w:r w:rsidRPr="003A5269">
        <w:rPr>
          <w:vertAlign w:val="superscript"/>
          <w:lang w:val="en-GB"/>
        </w:rPr>
        <w:t>th</w:t>
      </w:r>
      <w:r>
        <w:rPr>
          <w:lang w:val="en-GB"/>
        </w:rPr>
        <w:t xml:space="preserve"> </w:t>
      </w:r>
      <w:r w:rsidR="006E6F8E">
        <w:rPr>
          <w:lang w:val="en-GB"/>
        </w:rPr>
        <w:t>June 2017</w:t>
      </w:r>
    </w:p>
    <w:p w:rsidR="00D42FEB" w:rsidRPr="00F968FF" w:rsidRDefault="00D42FEB" w:rsidP="00377AA2">
      <w:pPr>
        <w:pStyle w:val="innogyFlietext"/>
        <w:rPr>
          <w:lang w:val="en-GB"/>
        </w:rPr>
      </w:pPr>
    </w:p>
    <w:p w:rsidR="00D42FEB" w:rsidRPr="006E6F8E" w:rsidRDefault="006E6F8E" w:rsidP="006E6F8E">
      <w:pPr>
        <w:rPr>
          <w:rFonts w:ascii="Calibri Light" w:hAnsi="Calibri Light"/>
          <w:b/>
          <w:lang w:val="en-GB"/>
        </w:rPr>
      </w:pPr>
      <w:bookmarkStart w:id="6" w:name="Betreff"/>
      <w:bookmarkEnd w:id="6"/>
      <w:r w:rsidRPr="006E6F8E">
        <w:rPr>
          <w:rFonts w:ascii="Calibri Light" w:hAnsi="Calibri Light"/>
          <w:b/>
          <w:lang w:val="en-GB"/>
        </w:rPr>
        <w:t>Open letter consultation: Investment Ahead of TEC guidance document</w:t>
      </w:r>
    </w:p>
    <w:p w:rsidR="00D42FEB" w:rsidRPr="00F968FF" w:rsidRDefault="00D42FEB" w:rsidP="00377AA2">
      <w:pPr>
        <w:pStyle w:val="innogyFlietext"/>
        <w:rPr>
          <w:lang w:val="en-GB"/>
        </w:rPr>
      </w:pPr>
    </w:p>
    <w:p w:rsidR="00D42FEB" w:rsidRPr="00F968FF" w:rsidRDefault="006E6F8E" w:rsidP="00377AA2">
      <w:pPr>
        <w:pStyle w:val="innogyFlietext"/>
        <w:rPr>
          <w:lang w:val="en-GB"/>
        </w:rPr>
      </w:pPr>
      <w:bookmarkStart w:id="7" w:name="Anrede"/>
      <w:bookmarkEnd w:id="7"/>
      <w:r>
        <w:rPr>
          <w:lang w:val="en-GB"/>
        </w:rPr>
        <w:t>Dear John,</w:t>
      </w:r>
    </w:p>
    <w:p w:rsidR="00D42FEB" w:rsidRPr="00F968FF" w:rsidRDefault="00D42FEB" w:rsidP="00377AA2">
      <w:pPr>
        <w:pStyle w:val="innogyFlietext"/>
        <w:rPr>
          <w:lang w:val="en-GB"/>
        </w:rPr>
      </w:pPr>
    </w:p>
    <w:p w:rsidR="006E6F8E" w:rsidRDefault="006E6F8E" w:rsidP="006E6F8E">
      <w:pPr>
        <w:pStyle w:val="Default"/>
        <w:rPr>
          <w:rFonts w:ascii="Calibri Light" w:hAnsi="Calibri Light"/>
          <w:sz w:val="22"/>
          <w:szCs w:val="22"/>
        </w:rPr>
      </w:pPr>
      <w:bookmarkStart w:id="8" w:name="Text"/>
      <w:bookmarkEnd w:id="8"/>
      <w:r>
        <w:rPr>
          <w:rFonts w:ascii="Calibri Light" w:hAnsi="Calibri Light"/>
          <w:sz w:val="22"/>
          <w:szCs w:val="22"/>
        </w:rPr>
        <w:t xml:space="preserve">Thank you for the opportunity to provide feedback on National Grid’s proposals regarding delay charges and </w:t>
      </w:r>
      <w:proofErr w:type="spellStart"/>
      <w:r>
        <w:rPr>
          <w:rFonts w:ascii="Calibri Light" w:hAnsi="Calibri Light"/>
          <w:sz w:val="22"/>
          <w:szCs w:val="22"/>
        </w:rPr>
        <w:t>backfeed</w:t>
      </w:r>
      <w:proofErr w:type="spellEnd"/>
      <w:r>
        <w:rPr>
          <w:rFonts w:ascii="Calibri Light" w:hAnsi="Calibri Light"/>
          <w:sz w:val="22"/>
          <w:szCs w:val="22"/>
        </w:rPr>
        <w:t xml:space="preserve">. Please find our responses to the questions herein. We welcome the re-introduction of National Grid providing </w:t>
      </w:r>
      <w:r w:rsidRPr="00601A1F">
        <w:rPr>
          <w:rFonts w:ascii="Calibri Light" w:hAnsi="Calibri Light"/>
          <w:sz w:val="22"/>
          <w:szCs w:val="22"/>
        </w:rPr>
        <w:t>additional project cost information for the Enabling Works identif</w:t>
      </w:r>
      <w:r>
        <w:rPr>
          <w:rFonts w:ascii="Calibri Light" w:hAnsi="Calibri Light"/>
          <w:sz w:val="22"/>
          <w:szCs w:val="22"/>
        </w:rPr>
        <w:t>ied in Constru</w:t>
      </w:r>
      <w:r>
        <w:rPr>
          <w:rFonts w:ascii="Calibri Light" w:hAnsi="Calibri Light"/>
          <w:sz w:val="22"/>
          <w:szCs w:val="22"/>
        </w:rPr>
        <w:t>c</w:t>
      </w:r>
      <w:r>
        <w:rPr>
          <w:rFonts w:ascii="Calibri Light" w:hAnsi="Calibri Light"/>
          <w:sz w:val="22"/>
          <w:szCs w:val="22"/>
        </w:rPr>
        <w:t>tion Agreements, alongside the bi-annual securities.</w:t>
      </w:r>
    </w:p>
    <w:p w:rsidR="006E6F8E" w:rsidRDefault="006E6F8E" w:rsidP="006E6F8E">
      <w:pPr>
        <w:pStyle w:val="Default"/>
        <w:rPr>
          <w:rFonts w:ascii="Calibri Light" w:hAnsi="Calibri Light"/>
          <w:sz w:val="22"/>
          <w:szCs w:val="22"/>
        </w:rPr>
      </w:pPr>
    </w:p>
    <w:p w:rsidR="006E6F8E" w:rsidRPr="00A91DAE" w:rsidRDefault="006E6F8E" w:rsidP="006E6F8E">
      <w:pPr>
        <w:pStyle w:val="Default"/>
        <w:rPr>
          <w:rFonts w:ascii="Calibri Light" w:hAnsi="Calibri Light"/>
          <w:sz w:val="22"/>
          <w:szCs w:val="22"/>
        </w:rPr>
      </w:pPr>
    </w:p>
    <w:p w:rsidR="006E6F8E" w:rsidRPr="00A91DAE" w:rsidRDefault="006E6F8E" w:rsidP="006E6F8E">
      <w:pPr>
        <w:pStyle w:val="Default"/>
        <w:numPr>
          <w:ilvl w:val="0"/>
          <w:numId w:val="1"/>
        </w:numPr>
        <w:spacing w:after="18"/>
        <w:rPr>
          <w:rFonts w:ascii="Calibri Light" w:hAnsi="Calibri Light"/>
          <w:b/>
          <w:sz w:val="22"/>
          <w:szCs w:val="22"/>
        </w:rPr>
      </w:pPr>
      <w:r w:rsidRPr="00A91DAE">
        <w:rPr>
          <w:rFonts w:ascii="Calibri Light" w:hAnsi="Calibri Light"/>
          <w:b/>
          <w:sz w:val="22"/>
          <w:szCs w:val="22"/>
        </w:rPr>
        <w:t xml:space="preserve">Do you agree with the principle that inefficient costs related to early transmission investment, which occurs as a result of a Customer request, should be recovered from the customer who makes the request? </w:t>
      </w:r>
    </w:p>
    <w:p w:rsidR="006E6F8E" w:rsidRDefault="006E6F8E" w:rsidP="006E6F8E">
      <w:pPr>
        <w:pStyle w:val="Default"/>
        <w:spacing w:after="18"/>
        <w:ind w:left="720"/>
        <w:rPr>
          <w:rFonts w:ascii="Calibri Light" w:hAnsi="Calibri Light"/>
          <w:sz w:val="22"/>
          <w:szCs w:val="22"/>
        </w:rPr>
      </w:pPr>
    </w:p>
    <w:p w:rsidR="006E6F8E" w:rsidRDefault="006E6F8E" w:rsidP="006E6F8E">
      <w:pPr>
        <w:pStyle w:val="Default"/>
        <w:spacing w:after="18"/>
        <w:rPr>
          <w:rFonts w:ascii="Calibri Light" w:hAnsi="Calibri Light"/>
          <w:sz w:val="22"/>
        </w:rPr>
      </w:pPr>
      <w:r>
        <w:rPr>
          <w:rFonts w:ascii="Calibri Light" w:hAnsi="Calibri Light"/>
          <w:sz w:val="22"/>
          <w:szCs w:val="22"/>
        </w:rPr>
        <w:t xml:space="preserve">We agree in principle </w:t>
      </w:r>
      <w:r w:rsidRPr="008144C7">
        <w:rPr>
          <w:rFonts w:ascii="Calibri Light" w:hAnsi="Calibri Light"/>
          <w:sz w:val="22"/>
        </w:rPr>
        <w:t>with delay charges</w:t>
      </w:r>
      <w:r>
        <w:rPr>
          <w:rFonts w:ascii="Calibri Light" w:hAnsi="Calibri Light"/>
          <w:sz w:val="22"/>
        </w:rPr>
        <w:t xml:space="preserve"> being applied where one party</w:t>
      </w:r>
      <w:r w:rsidRPr="008144C7">
        <w:rPr>
          <w:rFonts w:ascii="Calibri Light" w:hAnsi="Calibri Light"/>
          <w:sz w:val="22"/>
        </w:rPr>
        <w:t xml:space="preserve"> has caused a delay </w:t>
      </w:r>
      <w:r>
        <w:rPr>
          <w:rFonts w:ascii="Calibri Light" w:hAnsi="Calibri Light"/>
          <w:sz w:val="22"/>
        </w:rPr>
        <w:t xml:space="preserve">which incurs charges upon another party. However, the guidance document does not address the issue fully and we have concerns about National Grid’s proposals. </w:t>
      </w:r>
    </w:p>
    <w:p w:rsidR="006E6F8E" w:rsidRDefault="006E6F8E" w:rsidP="006E6F8E">
      <w:pPr>
        <w:pStyle w:val="Default"/>
        <w:spacing w:after="18"/>
        <w:rPr>
          <w:rFonts w:ascii="Calibri Light" w:hAnsi="Calibri Light"/>
          <w:sz w:val="22"/>
        </w:rPr>
      </w:pPr>
    </w:p>
    <w:p w:rsidR="006E6F8E" w:rsidRDefault="006E6F8E" w:rsidP="006E6F8E">
      <w:pPr>
        <w:pStyle w:val="Default"/>
        <w:spacing w:after="18"/>
        <w:rPr>
          <w:rFonts w:ascii="Calibri Light" w:hAnsi="Calibri Light"/>
          <w:sz w:val="22"/>
          <w:szCs w:val="22"/>
        </w:rPr>
      </w:pPr>
      <w:r>
        <w:rPr>
          <w:rFonts w:ascii="Calibri Light" w:hAnsi="Calibri Light"/>
          <w:sz w:val="22"/>
        </w:rPr>
        <w:t xml:space="preserve">Currently projects have limited sight of when National Grid plan to spend money on works relating to a specific project, so they cannot reasonably be held responsible for ‘inefficient’ spend that occurs without their explicit knowledge. </w:t>
      </w:r>
      <w:r>
        <w:rPr>
          <w:rFonts w:ascii="Calibri Light" w:hAnsi="Calibri Light"/>
          <w:sz w:val="22"/>
          <w:szCs w:val="22"/>
        </w:rPr>
        <w:t>Regular discussion between the TO, SO and developer could mitigate much of this ‘inefficient spend’ by seeking to agree to proceed prior to any material costs being incurred. This should be considered as good practice for all parties. In addition, there is no reciprocity in the proposal. If the TO delays connection and the developer has incurred ‘inefficient’ costs there is no methodology or rules by which the developer can seek to recover those costs.</w:t>
      </w:r>
    </w:p>
    <w:p w:rsidR="006E6F8E" w:rsidRDefault="006E6F8E" w:rsidP="006E6F8E">
      <w:pPr>
        <w:pStyle w:val="Default"/>
        <w:spacing w:after="18"/>
        <w:rPr>
          <w:rFonts w:ascii="Calibri Light" w:hAnsi="Calibri Light"/>
          <w:sz w:val="22"/>
          <w:szCs w:val="22"/>
        </w:rPr>
      </w:pPr>
    </w:p>
    <w:p w:rsidR="006E6F8E" w:rsidRDefault="006E6F8E" w:rsidP="006E6F8E">
      <w:pPr>
        <w:pStyle w:val="Default"/>
        <w:spacing w:after="18"/>
        <w:rPr>
          <w:rFonts w:ascii="Calibri Light" w:hAnsi="Calibri Light"/>
          <w:sz w:val="22"/>
          <w:szCs w:val="22"/>
        </w:rPr>
      </w:pPr>
      <w:r>
        <w:rPr>
          <w:rFonts w:ascii="Calibri Light" w:hAnsi="Calibri Light"/>
          <w:sz w:val="22"/>
          <w:szCs w:val="22"/>
        </w:rPr>
        <w:t>Developers may be comfortable to pay delay charges if:</w:t>
      </w:r>
    </w:p>
    <w:p w:rsidR="006E6F8E" w:rsidRDefault="006E6F8E" w:rsidP="006E6F8E">
      <w:pPr>
        <w:pStyle w:val="Default"/>
        <w:spacing w:after="18"/>
        <w:rPr>
          <w:rFonts w:ascii="Calibri Light" w:hAnsi="Calibri Light"/>
          <w:sz w:val="22"/>
          <w:szCs w:val="22"/>
        </w:rPr>
      </w:pPr>
    </w:p>
    <w:p w:rsidR="006E6F8E" w:rsidRPr="008D7359" w:rsidRDefault="006E6F8E" w:rsidP="006E6F8E">
      <w:pPr>
        <w:pStyle w:val="Default"/>
        <w:numPr>
          <w:ilvl w:val="0"/>
          <w:numId w:val="2"/>
        </w:numPr>
        <w:spacing w:after="18"/>
        <w:rPr>
          <w:rFonts w:ascii="Calibri Light" w:hAnsi="Calibri Light"/>
          <w:sz w:val="22"/>
          <w:szCs w:val="22"/>
        </w:rPr>
      </w:pPr>
      <w:r w:rsidRPr="008D7359">
        <w:rPr>
          <w:rFonts w:ascii="Calibri Light" w:hAnsi="Calibri Light"/>
          <w:sz w:val="22"/>
          <w:szCs w:val="22"/>
        </w:rPr>
        <w:t>it can be e</w:t>
      </w:r>
      <w:r>
        <w:rPr>
          <w:rFonts w:ascii="Calibri Light" w:hAnsi="Calibri Light"/>
          <w:sz w:val="22"/>
          <w:szCs w:val="22"/>
        </w:rPr>
        <w:t>xplained where there is a loss;</w:t>
      </w:r>
    </w:p>
    <w:p w:rsidR="006E6F8E" w:rsidRPr="008D7359" w:rsidRDefault="006E6F8E" w:rsidP="006E6F8E">
      <w:pPr>
        <w:pStyle w:val="Default"/>
        <w:numPr>
          <w:ilvl w:val="0"/>
          <w:numId w:val="2"/>
        </w:numPr>
        <w:spacing w:after="18"/>
        <w:rPr>
          <w:rFonts w:ascii="Calibri Light" w:hAnsi="Calibri Light"/>
          <w:sz w:val="22"/>
          <w:szCs w:val="22"/>
        </w:rPr>
      </w:pPr>
      <w:r w:rsidRPr="008D7359">
        <w:rPr>
          <w:rFonts w:ascii="Calibri Light" w:hAnsi="Calibri Light"/>
          <w:sz w:val="22"/>
          <w:szCs w:val="22"/>
        </w:rPr>
        <w:t>it can be shown that it is reasonable that any shortfall should land with the generator i.e.</w:t>
      </w:r>
      <w:r>
        <w:rPr>
          <w:rFonts w:ascii="Calibri Light" w:hAnsi="Calibri Light"/>
          <w:sz w:val="22"/>
          <w:szCs w:val="22"/>
        </w:rPr>
        <w:t xml:space="preserve"> are they best placed to manage that risk</w:t>
      </w:r>
      <w:r w:rsidRPr="008D7359">
        <w:rPr>
          <w:rFonts w:ascii="Calibri Light" w:hAnsi="Calibri Light"/>
          <w:sz w:val="22"/>
          <w:szCs w:val="22"/>
        </w:rPr>
        <w:t xml:space="preserve"> (given the wider risk and uncertainty that generators are exposed to);</w:t>
      </w:r>
    </w:p>
    <w:p w:rsidR="006E6F8E" w:rsidRPr="008D7359" w:rsidRDefault="006E6F8E" w:rsidP="006E6F8E">
      <w:pPr>
        <w:pStyle w:val="Default"/>
        <w:numPr>
          <w:ilvl w:val="0"/>
          <w:numId w:val="2"/>
        </w:numPr>
        <w:spacing w:after="18"/>
        <w:rPr>
          <w:rFonts w:ascii="Calibri Light" w:hAnsi="Calibri Light"/>
          <w:sz w:val="22"/>
          <w:szCs w:val="22"/>
        </w:rPr>
      </w:pPr>
      <w:r w:rsidRPr="008D7359">
        <w:rPr>
          <w:rFonts w:ascii="Calibri Light" w:hAnsi="Calibri Light"/>
          <w:sz w:val="22"/>
          <w:szCs w:val="22"/>
        </w:rPr>
        <w:lastRenderedPageBreak/>
        <w:t>an accurate and transparent spend profile can be provided which shows the costs attributable to the generator</w:t>
      </w:r>
      <w:r>
        <w:rPr>
          <w:rFonts w:ascii="Calibri Light" w:hAnsi="Calibri Light"/>
          <w:sz w:val="22"/>
          <w:szCs w:val="22"/>
        </w:rPr>
        <w:t>. This should be shared on a regular basis</w:t>
      </w:r>
      <w:r w:rsidRPr="008D7359">
        <w:rPr>
          <w:rFonts w:ascii="Calibri Light" w:hAnsi="Calibri Light"/>
          <w:sz w:val="22"/>
          <w:szCs w:val="22"/>
        </w:rPr>
        <w:t>;</w:t>
      </w:r>
    </w:p>
    <w:p w:rsidR="006E6F8E" w:rsidRPr="008D7359" w:rsidRDefault="006E6F8E" w:rsidP="006E6F8E">
      <w:pPr>
        <w:pStyle w:val="Default"/>
        <w:numPr>
          <w:ilvl w:val="0"/>
          <w:numId w:val="2"/>
        </w:numPr>
        <w:spacing w:after="18"/>
        <w:rPr>
          <w:rFonts w:ascii="Calibri Light" w:hAnsi="Calibri Light"/>
          <w:sz w:val="22"/>
          <w:szCs w:val="22"/>
        </w:rPr>
      </w:pPr>
      <w:r w:rsidRPr="008D7359">
        <w:rPr>
          <w:rFonts w:ascii="Calibri Light" w:hAnsi="Calibri Light"/>
          <w:sz w:val="22"/>
          <w:szCs w:val="22"/>
        </w:rPr>
        <w:t>sufficient advanced warning is given of delay charges which may become payable; and</w:t>
      </w:r>
    </w:p>
    <w:p w:rsidR="006E6F8E" w:rsidRDefault="006E6F8E" w:rsidP="006E6F8E">
      <w:pPr>
        <w:pStyle w:val="Default"/>
        <w:numPr>
          <w:ilvl w:val="0"/>
          <w:numId w:val="2"/>
        </w:numPr>
        <w:spacing w:after="18"/>
        <w:rPr>
          <w:rFonts w:ascii="Calibri Light" w:hAnsi="Calibri Light"/>
          <w:sz w:val="22"/>
          <w:szCs w:val="22"/>
        </w:rPr>
      </w:pPr>
      <w:r>
        <w:rPr>
          <w:rFonts w:ascii="Calibri Light" w:hAnsi="Calibri Light"/>
          <w:sz w:val="22"/>
          <w:szCs w:val="22"/>
        </w:rPr>
        <w:t xml:space="preserve">the </w:t>
      </w:r>
      <w:r w:rsidRPr="008D7359">
        <w:rPr>
          <w:rFonts w:ascii="Calibri Light" w:hAnsi="Calibri Light"/>
          <w:sz w:val="22"/>
          <w:szCs w:val="22"/>
        </w:rPr>
        <w:t>developer is engaged in decision making and there is provision for a Go/No Go decision point which takes all of this into account.</w:t>
      </w:r>
    </w:p>
    <w:p w:rsidR="006E6F8E" w:rsidRDefault="006E6F8E" w:rsidP="006E6F8E">
      <w:pPr>
        <w:pStyle w:val="Default"/>
        <w:spacing w:after="18"/>
        <w:rPr>
          <w:rFonts w:ascii="Calibri Light" w:hAnsi="Calibri Light"/>
          <w:sz w:val="22"/>
          <w:szCs w:val="22"/>
        </w:rPr>
      </w:pPr>
    </w:p>
    <w:p w:rsidR="006E6F8E" w:rsidRDefault="006E6F8E" w:rsidP="006E6F8E">
      <w:pPr>
        <w:pStyle w:val="Default"/>
        <w:spacing w:after="18"/>
        <w:rPr>
          <w:rFonts w:ascii="Calibri Light" w:hAnsi="Calibri Light"/>
          <w:sz w:val="22"/>
          <w:szCs w:val="22"/>
        </w:rPr>
      </w:pPr>
      <w:r>
        <w:rPr>
          <w:rFonts w:ascii="Calibri Light" w:hAnsi="Calibri Light"/>
          <w:sz w:val="22"/>
          <w:szCs w:val="22"/>
        </w:rPr>
        <w:t>We believe that the rules around such charges must be set out clearly in the CUSC so that the policy is subject to a full impact assessment.</w:t>
      </w:r>
    </w:p>
    <w:p w:rsidR="006E6F8E" w:rsidRDefault="006E6F8E" w:rsidP="006E6F8E">
      <w:pPr>
        <w:pStyle w:val="Default"/>
        <w:spacing w:after="18"/>
        <w:rPr>
          <w:rFonts w:ascii="Calibri Light" w:hAnsi="Calibri Light"/>
          <w:sz w:val="22"/>
          <w:szCs w:val="22"/>
        </w:rPr>
      </w:pPr>
    </w:p>
    <w:p w:rsidR="006E6F8E" w:rsidRDefault="006E6F8E" w:rsidP="006E6F8E">
      <w:pPr>
        <w:pStyle w:val="Default"/>
        <w:spacing w:after="18"/>
        <w:ind w:left="720"/>
        <w:rPr>
          <w:rFonts w:ascii="Calibri Light" w:hAnsi="Calibri Light"/>
          <w:sz w:val="22"/>
          <w:szCs w:val="22"/>
        </w:rPr>
      </w:pPr>
    </w:p>
    <w:p w:rsidR="006E6F8E" w:rsidRPr="00A91DAE" w:rsidRDefault="006E6F8E" w:rsidP="006E6F8E">
      <w:pPr>
        <w:pStyle w:val="Default"/>
        <w:numPr>
          <w:ilvl w:val="0"/>
          <w:numId w:val="1"/>
        </w:numPr>
        <w:spacing w:after="18"/>
        <w:rPr>
          <w:rFonts w:ascii="Calibri Light" w:hAnsi="Calibri Light"/>
          <w:b/>
          <w:sz w:val="22"/>
          <w:szCs w:val="22"/>
        </w:rPr>
      </w:pPr>
      <w:r w:rsidRPr="00A91DAE">
        <w:rPr>
          <w:rFonts w:ascii="Calibri Light" w:hAnsi="Calibri Light"/>
          <w:b/>
          <w:sz w:val="22"/>
          <w:szCs w:val="22"/>
        </w:rPr>
        <w:t xml:space="preserve">What are your views on the changes we are proposing to the guidance note and methodologies? </w:t>
      </w:r>
    </w:p>
    <w:p w:rsidR="006E6F8E" w:rsidRDefault="006E6F8E" w:rsidP="006E6F8E">
      <w:pPr>
        <w:pStyle w:val="Default"/>
        <w:spacing w:after="18"/>
        <w:rPr>
          <w:rFonts w:ascii="Calibri Light" w:hAnsi="Calibri Light"/>
          <w:sz w:val="22"/>
          <w:szCs w:val="22"/>
        </w:rPr>
      </w:pPr>
    </w:p>
    <w:p w:rsidR="004E5894" w:rsidRDefault="006E6F8E" w:rsidP="004E5894">
      <w:pPr>
        <w:pStyle w:val="Default"/>
        <w:spacing w:after="18"/>
        <w:rPr>
          <w:rFonts w:ascii="Calibri Light" w:hAnsi="Calibri Light"/>
          <w:sz w:val="22"/>
          <w:szCs w:val="22"/>
        </w:rPr>
      </w:pPr>
      <w:r>
        <w:rPr>
          <w:rFonts w:ascii="Calibri Light" w:hAnsi="Calibri Light"/>
          <w:sz w:val="22"/>
        </w:rPr>
        <w:t>There is no cost reflectivity in the</w:t>
      </w:r>
      <w:r w:rsidR="004E5894">
        <w:rPr>
          <w:rFonts w:ascii="Calibri Light" w:hAnsi="Calibri Light"/>
          <w:sz w:val="22"/>
        </w:rPr>
        <w:t xml:space="preserve"> new proposals for ‘financing’. </w:t>
      </w:r>
      <w:r w:rsidR="004E5894" w:rsidRPr="004E5894">
        <w:rPr>
          <w:rFonts w:ascii="Calibri Light" w:hAnsi="Calibri Light"/>
          <w:sz w:val="22"/>
        </w:rPr>
        <w:t>We believe the actual cost incurred would be from evidencing the difference between the actual cost with the efficient-build cost, were the TO able to plan from the beginning.</w:t>
      </w:r>
      <w:r w:rsidR="004E5894">
        <w:rPr>
          <w:rFonts w:ascii="Calibri Light" w:hAnsi="Calibri Light"/>
          <w:sz w:val="22"/>
        </w:rPr>
        <w:t xml:space="preserve"> </w:t>
      </w:r>
      <w:r w:rsidR="003874DC">
        <w:rPr>
          <w:rFonts w:ascii="Calibri Light" w:hAnsi="Calibri Light"/>
          <w:sz w:val="22"/>
        </w:rPr>
        <w:t xml:space="preserve">It would also need to be clear </w:t>
      </w:r>
      <w:r w:rsidR="003874DC" w:rsidRPr="003874DC">
        <w:rPr>
          <w:rFonts w:ascii="Calibri Light" w:hAnsi="Calibri Light"/>
          <w:sz w:val="22"/>
        </w:rPr>
        <w:t>that the cost of those Infrastructure Assets that have been paid upfront through this Financing Charge are not also i</w:t>
      </w:r>
      <w:r w:rsidR="003874DC" w:rsidRPr="003874DC">
        <w:rPr>
          <w:rFonts w:ascii="Calibri Light" w:hAnsi="Calibri Light"/>
          <w:sz w:val="22"/>
        </w:rPr>
        <w:t>n</w:t>
      </w:r>
      <w:r w:rsidR="003874DC" w:rsidRPr="003874DC">
        <w:rPr>
          <w:rFonts w:ascii="Calibri Light" w:hAnsi="Calibri Light"/>
          <w:sz w:val="22"/>
        </w:rPr>
        <w:t>cluded in the cost base that is used</w:t>
      </w:r>
      <w:r w:rsidR="003874DC">
        <w:rPr>
          <w:rFonts w:ascii="Calibri Light" w:hAnsi="Calibri Light"/>
          <w:sz w:val="22"/>
        </w:rPr>
        <w:t xml:space="preserve"> to calculate the TNUoS charges.</w:t>
      </w:r>
      <w:r w:rsidR="003874DC" w:rsidRPr="003874DC">
        <w:rPr>
          <w:rFonts w:ascii="Calibri Light" w:hAnsi="Calibri Light"/>
          <w:sz w:val="22"/>
        </w:rPr>
        <w:t xml:space="preserve"> Similarly</w:t>
      </w:r>
      <w:r w:rsidR="003874DC">
        <w:rPr>
          <w:rFonts w:ascii="Calibri Light" w:hAnsi="Calibri Light"/>
          <w:sz w:val="22"/>
        </w:rPr>
        <w:t xml:space="preserve">, it needs to be clear that if </w:t>
      </w:r>
      <w:r w:rsidR="003874DC" w:rsidRPr="003874DC">
        <w:rPr>
          <w:rFonts w:ascii="Calibri Light" w:hAnsi="Calibri Light"/>
          <w:sz w:val="22"/>
        </w:rPr>
        <w:t>a Financing Charge</w:t>
      </w:r>
      <w:r w:rsidR="003874DC">
        <w:rPr>
          <w:rFonts w:ascii="Calibri Light" w:hAnsi="Calibri Light"/>
          <w:sz w:val="22"/>
        </w:rPr>
        <w:t xml:space="preserve"> is being applied</w:t>
      </w:r>
      <w:r w:rsidR="003874DC" w:rsidRPr="003874DC">
        <w:rPr>
          <w:rFonts w:ascii="Calibri Light" w:hAnsi="Calibri Light"/>
          <w:sz w:val="22"/>
        </w:rPr>
        <w:t xml:space="preserve"> to the Connec</w:t>
      </w:r>
      <w:r w:rsidR="003874DC">
        <w:rPr>
          <w:rFonts w:ascii="Calibri Light" w:hAnsi="Calibri Light"/>
          <w:sz w:val="22"/>
        </w:rPr>
        <w:t xml:space="preserve">tion Assets that that </w:t>
      </w:r>
      <w:r w:rsidR="003874DC" w:rsidRPr="003874DC">
        <w:rPr>
          <w:rFonts w:ascii="Calibri Light" w:hAnsi="Calibri Light"/>
          <w:sz w:val="22"/>
        </w:rPr>
        <w:t>cost has been deducted before calculating the annual Connec</w:t>
      </w:r>
      <w:r w:rsidR="003874DC">
        <w:rPr>
          <w:rFonts w:ascii="Calibri Light" w:hAnsi="Calibri Light"/>
          <w:sz w:val="22"/>
        </w:rPr>
        <w:t xml:space="preserve">tion Assets Charge. </w:t>
      </w:r>
      <w:r w:rsidR="004E5894">
        <w:rPr>
          <w:rFonts w:ascii="Calibri Light" w:hAnsi="Calibri Light"/>
          <w:sz w:val="22"/>
          <w:szCs w:val="22"/>
        </w:rPr>
        <w:t>We believe that this methodology needs to be set out clearly in the CUSC. Cu</w:t>
      </w:r>
      <w:r w:rsidR="004E5894">
        <w:rPr>
          <w:rFonts w:ascii="Calibri Light" w:hAnsi="Calibri Light"/>
          <w:sz w:val="22"/>
          <w:szCs w:val="22"/>
        </w:rPr>
        <w:t>r</w:t>
      </w:r>
      <w:r w:rsidR="004E5894">
        <w:rPr>
          <w:rFonts w:ascii="Calibri Light" w:hAnsi="Calibri Light"/>
          <w:sz w:val="22"/>
          <w:szCs w:val="22"/>
        </w:rPr>
        <w:t>rently, the lack of clarity could be considered a breach of Special Licence Condition 6(4).</w:t>
      </w:r>
    </w:p>
    <w:p w:rsidR="004E5894" w:rsidRDefault="004E5894" w:rsidP="004E5894">
      <w:pPr>
        <w:pStyle w:val="Default"/>
        <w:spacing w:after="18"/>
        <w:rPr>
          <w:rFonts w:ascii="Calibri Light" w:hAnsi="Calibri Light"/>
          <w:sz w:val="22"/>
        </w:rPr>
      </w:pPr>
    </w:p>
    <w:p w:rsidR="004E5894" w:rsidRDefault="004E5894" w:rsidP="004E5894">
      <w:pPr>
        <w:pStyle w:val="Default"/>
        <w:spacing w:after="18"/>
        <w:rPr>
          <w:rFonts w:ascii="Calibri Light" w:hAnsi="Calibri Light"/>
          <w:sz w:val="22"/>
        </w:rPr>
      </w:pPr>
      <w:r w:rsidRPr="004E5894">
        <w:rPr>
          <w:rFonts w:ascii="Calibri Light" w:hAnsi="Calibri Light"/>
          <w:sz w:val="22"/>
        </w:rPr>
        <w:t>We also feel the 6% rate of return in the calculation is not appropriate. There is little risk to National Grid as these assets are 100% secured/recoverable, and therefore this does not reflect the risk National Grid are exposed to.</w:t>
      </w:r>
    </w:p>
    <w:p w:rsidR="003A5269" w:rsidRDefault="003A5269" w:rsidP="004E5894">
      <w:pPr>
        <w:pStyle w:val="Default"/>
        <w:spacing w:after="18"/>
        <w:rPr>
          <w:rFonts w:ascii="Calibri Light" w:hAnsi="Calibri Light"/>
          <w:sz w:val="22"/>
        </w:rPr>
      </w:pPr>
    </w:p>
    <w:p w:rsidR="003A5269" w:rsidRDefault="003A5269" w:rsidP="004E5894">
      <w:pPr>
        <w:pStyle w:val="Default"/>
        <w:spacing w:after="18"/>
        <w:rPr>
          <w:rFonts w:ascii="Calibri Light" w:hAnsi="Calibri Light"/>
          <w:sz w:val="22"/>
        </w:rPr>
      </w:pPr>
      <w:r>
        <w:rPr>
          <w:rFonts w:ascii="Calibri Light" w:hAnsi="Calibri Light"/>
          <w:sz w:val="22"/>
        </w:rPr>
        <w:t>Some specific points we would want to raise:</w:t>
      </w:r>
    </w:p>
    <w:p w:rsidR="003A5269" w:rsidRDefault="003A5269" w:rsidP="003A5269">
      <w:pPr>
        <w:pStyle w:val="Default"/>
        <w:numPr>
          <w:ilvl w:val="0"/>
          <w:numId w:val="4"/>
        </w:numPr>
        <w:spacing w:after="18"/>
        <w:rPr>
          <w:rFonts w:ascii="Calibri Light" w:hAnsi="Calibri Light"/>
          <w:sz w:val="22"/>
        </w:rPr>
      </w:pPr>
      <w:r>
        <w:rPr>
          <w:rFonts w:ascii="Calibri Light" w:hAnsi="Calibri Light"/>
          <w:sz w:val="22"/>
        </w:rPr>
        <w:t>T</w:t>
      </w:r>
      <w:r w:rsidRPr="003A5269">
        <w:rPr>
          <w:rFonts w:ascii="Calibri Light" w:hAnsi="Calibri Light"/>
          <w:sz w:val="22"/>
        </w:rPr>
        <w:t>here is no mention of the Liabilities being reduced for Secured Enabling Works where a Finan</w:t>
      </w:r>
      <w:r w:rsidRPr="003A5269">
        <w:rPr>
          <w:rFonts w:ascii="Calibri Light" w:hAnsi="Calibri Light"/>
          <w:sz w:val="22"/>
        </w:rPr>
        <w:t>c</w:t>
      </w:r>
      <w:r>
        <w:rPr>
          <w:rFonts w:ascii="Calibri Light" w:hAnsi="Calibri Light"/>
          <w:sz w:val="22"/>
        </w:rPr>
        <w:t>ing Charge has been applied. I</w:t>
      </w:r>
      <w:r w:rsidRPr="003A5269">
        <w:rPr>
          <w:rFonts w:ascii="Calibri Light" w:hAnsi="Calibri Light"/>
          <w:sz w:val="22"/>
        </w:rPr>
        <w:t>f a payment has been made towards some of the cost of</w:t>
      </w:r>
      <w:r>
        <w:rPr>
          <w:rFonts w:ascii="Calibri Light" w:hAnsi="Calibri Light"/>
          <w:sz w:val="22"/>
        </w:rPr>
        <w:t xml:space="preserve"> these works then we should</w:t>
      </w:r>
      <w:r w:rsidRPr="003A5269">
        <w:rPr>
          <w:rFonts w:ascii="Calibri Light" w:hAnsi="Calibri Light"/>
          <w:sz w:val="22"/>
        </w:rPr>
        <w:t xml:space="preserve"> not</w:t>
      </w:r>
      <w:r>
        <w:rPr>
          <w:rFonts w:ascii="Calibri Light" w:hAnsi="Calibri Light"/>
          <w:sz w:val="22"/>
        </w:rPr>
        <w:t xml:space="preserve"> also</w:t>
      </w:r>
      <w:r w:rsidRPr="003A5269">
        <w:rPr>
          <w:rFonts w:ascii="Calibri Light" w:hAnsi="Calibri Light"/>
          <w:sz w:val="22"/>
        </w:rPr>
        <w:t xml:space="preserve"> be expected to be Liable for these same costs.</w:t>
      </w:r>
    </w:p>
    <w:p w:rsidR="003A5269" w:rsidRDefault="003A5269" w:rsidP="004E5894">
      <w:pPr>
        <w:pStyle w:val="Default"/>
        <w:spacing w:after="18"/>
        <w:rPr>
          <w:rFonts w:ascii="Calibri Light" w:hAnsi="Calibri Light"/>
          <w:sz w:val="22"/>
        </w:rPr>
      </w:pPr>
    </w:p>
    <w:p w:rsidR="003A5269" w:rsidRDefault="003A5269" w:rsidP="003A5269">
      <w:pPr>
        <w:pStyle w:val="Default"/>
        <w:numPr>
          <w:ilvl w:val="0"/>
          <w:numId w:val="4"/>
        </w:numPr>
        <w:spacing w:after="18"/>
        <w:rPr>
          <w:rFonts w:ascii="Calibri Light" w:hAnsi="Calibri Light"/>
          <w:sz w:val="22"/>
        </w:rPr>
      </w:pPr>
      <w:r>
        <w:rPr>
          <w:rFonts w:ascii="Calibri Light" w:hAnsi="Calibri Light"/>
          <w:sz w:val="22"/>
        </w:rPr>
        <w:t>T</w:t>
      </w:r>
      <w:r w:rsidRPr="003A5269">
        <w:rPr>
          <w:rFonts w:ascii="Calibri Light" w:hAnsi="Calibri Light"/>
          <w:sz w:val="22"/>
        </w:rPr>
        <w:t>he previous guidance  calculated the “delay charge”  (now called the “financing charge”) based on the transmission investments which the transmission owner has made, or is commit</w:t>
      </w:r>
      <w:r>
        <w:rPr>
          <w:rFonts w:ascii="Calibri Light" w:hAnsi="Calibri Light"/>
          <w:sz w:val="22"/>
        </w:rPr>
        <w:t>ted to make. We understood this to mean</w:t>
      </w:r>
      <w:r w:rsidRPr="003A5269">
        <w:rPr>
          <w:rFonts w:ascii="Calibri Light" w:hAnsi="Calibri Light"/>
          <w:sz w:val="22"/>
        </w:rPr>
        <w:t xml:space="preserve"> the Enabling Assets as listed in Appendix H of the </w:t>
      </w:r>
      <w:proofErr w:type="spellStart"/>
      <w:r w:rsidRPr="003A5269">
        <w:rPr>
          <w:rFonts w:ascii="Calibri Light" w:hAnsi="Calibri Light"/>
          <w:sz w:val="22"/>
        </w:rPr>
        <w:t>Consag</w:t>
      </w:r>
      <w:proofErr w:type="spellEnd"/>
      <w:r w:rsidRPr="003A5269">
        <w:rPr>
          <w:rFonts w:ascii="Calibri Light" w:hAnsi="Calibri Light"/>
          <w:sz w:val="22"/>
        </w:rPr>
        <w:t xml:space="preserve"> and also the Co</w:t>
      </w:r>
      <w:r w:rsidRPr="003A5269">
        <w:rPr>
          <w:rFonts w:ascii="Calibri Light" w:hAnsi="Calibri Light"/>
          <w:sz w:val="22"/>
        </w:rPr>
        <w:t>n</w:t>
      </w:r>
      <w:r w:rsidRPr="003A5269">
        <w:rPr>
          <w:rFonts w:ascii="Calibri Light" w:hAnsi="Calibri Light"/>
          <w:sz w:val="22"/>
        </w:rPr>
        <w:t>nection Assets as list</w:t>
      </w:r>
      <w:r>
        <w:rPr>
          <w:rFonts w:ascii="Calibri Light" w:hAnsi="Calibri Light"/>
          <w:sz w:val="22"/>
        </w:rPr>
        <w:t xml:space="preserve">ed in Appendix G of the </w:t>
      </w:r>
      <w:proofErr w:type="spellStart"/>
      <w:r>
        <w:rPr>
          <w:rFonts w:ascii="Calibri Light" w:hAnsi="Calibri Light"/>
          <w:sz w:val="22"/>
        </w:rPr>
        <w:t>Consag</w:t>
      </w:r>
      <w:proofErr w:type="spellEnd"/>
      <w:r>
        <w:rPr>
          <w:rFonts w:ascii="Calibri Light" w:hAnsi="Calibri Light"/>
          <w:sz w:val="22"/>
        </w:rPr>
        <w:t>. However this revised guidance</w:t>
      </w:r>
      <w:r w:rsidRPr="003A5269">
        <w:rPr>
          <w:rFonts w:ascii="Calibri Light" w:hAnsi="Calibri Light"/>
          <w:sz w:val="22"/>
        </w:rPr>
        <w:t xml:space="preserve"> now states that the transmission investment that is used to calculate the charge will be the Enabling Works as listed in Appendix H of the </w:t>
      </w:r>
      <w:proofErr w:type="spellStart"/>
      <w:r w:rsidRPr="003A5269">
        <w:rPr>
          <w:rFonts w:ascii="Calibri Light" w:hAnsi="Calibri Light"/>
          <w:sz w:val="22"/>
        </w:rPr>
        <w:t>Consag</w:t>
      </w:r>
      <w:proofErr w:type="spellEnd"/>
      <w:r w:rsidRPr="003A5269">
        <w:rPr>
          <w:rFonts w:ascii="Calibri Light" w:hAnsi="Calibri Light"/>
          <w:sz w:val="22"/>
        </w:rPr>
        <w:t>.  There is no me</w:t>
      </w:r>
      <w:r>
        <w:rPr>
          <w:rFonts w:ascii="Calibri Light" w:hAnsi="Calibri Light"/>
          <w:sz w:val="22"/>
        </w:rPr>
        <w:t>ntion of the Connection Assets.</w:t>
      </w:r>
      <w:r w:rsidRPr="003A5269">
        <w:rPr>
          <w:rFonts w:ascii="Calibri Light" w:hAnsi="Calibri Light"/>
          <w:sz w:val="22"/>
        </w:rPr>
        <w:t xml:space="preserve"> How are these treated?  Is there a delay charge</w:t>
      </w:r>
      <w:r>
        <w:rPr>
          <w:rFonts w:ascii="Calibri Light" w:hAnsi="Calibri Light"/>
          <w:sz w:val="22"/>
        </w:rPr>
        <w:t xml:space="preserve"> associated with these assets?</w:t>
      </w:r>
    </w:p>
    <w:p w:rsidR="006E6F8E" w:rsidRDefault="006E6F8E" w:rsidP="006E6F8E">
      <w:pPr>
        <w:pStyle w:val="Default"/>
        <w:spacing w:after="18"/>
        <w:rPr>
          <w:rFonts w:ascii="Calibri Light" w:hAnsi="Calibri Light"/>
          <w:sz w:val="22"/>
          <w:szCs w:val="22"/>
        </w:rPr>
      </w:pPr>
    </w:p>
    <w:p w:rsidR="006E6F8E" w:rsidRDefault="006E6F8E" w:rsidP="006E6F8E">
      <w:pPr>
        <w:pStyle w:val="Default"/>
        <w:spacing w:after="18"/>
        <w:rPr>
          <w:rFonts w:ascii="Calibri Light" w:hAnsi="Calibri Light"/>
          <w:sz w:val="22"/>
          <w:szCs w:val="22"/>
        </w:rPr>
      </w:pPr>
      <w:r>
        <w:rPr>
          <w:rFonts w:ascii="Calibri Light" w:hAnsi="Calibri Light"/>
          <w:sz w:val="22"/>
          <w:szCs w:val="22"/>
        </w:rPr>
        <w:t>To our best knowledge delay charges have not been applied in Scotland and it is unclear from the gui</w:t>
      </w:r>
      <w:r>
        <w:rPr>
          <w:rFonts w:ascii="Calibri Light" w:hAnsi="Calibri Light"/>
          <w:sz w:val="22"/>
          <w:szCs w:val="22"/>
        </w:rPr>
        <w:t>d</w:t>
      </w:r>
      <w:r>
        <w:rPr>
          <w:rFonts w:ascii="Calibri Light" w:hAnsi="Calibri Light"/>
          <w:sz w:val="22"/>
          <w:szCs w:val="22"/>
        </w:rPr>
        <w:t>ance whether it is the TO or SO who triggers the charge. Do the TO believe they are incurring a financial loss or do the SO believe that costs are not being effectively recovered from TNUoS?</w:t>
      </w:r>
    </w:p>
    <w:p w:rsidR="006E6F8E" w:rsidRDefault="006E6F8E" w:rsidP="006E6F8E">
      <w:pPr>
        <w:pStyle w:val="Default"/>
        <w:spacing w:after="18"/>
        <w:rPr>
          <w:rFonts w:ascii="Calibri Light" w:hAnsi="Calibri Light"/>
          <w:sz w:val="22"/>
          <w:szCs w:val="22"/>
        </w:rPr>
      </w:pPr>
    </w:p>
    <w:p w:rsidR="006E6F8E" w:rsidRDefault="006E6F8E" w:rsidP="006E6F8E">
      <w:pPr>
        <w:pStyle w:val="Default"/>
        <w:spacing w:after="18"/>
        <w:rPr>
          <w:rFonts w:ascii="Calibri Light" w:hAnsi="Calibri Light"/>
          <w:sz w:val="22"/>
          <w:szCs w:val="22"/>
        </w:rPr>
      </w:pPr>
      <w:r>
        <w:rPr>
          <w:rFonts w:ascii="Calibri Light" w:hAnsi="Calibri Light"/>
          <w:sz w:val="22"/>
          <w:szCs w:val="22"/>
        </w:rPr>
        <w:t>There should also be a transition plan which would allow for delays without liability.</w:t>
      </w:r>
    </w:p>
    <w:p w:rsidR="006E6F8E" w:rsidRDefault="006E6F8E" w:rsidP="006E6F8E">
      <w:pPr>
        <w:pStyle w:val="Default"/>
        <w:spacing w:after="18"/>
        <w:rPr>
          <w:rFonts w:ascii="Calibri Light" w:hAnsi="Calibri Light"/>
          <w:sz w:val="22"/>
          <w:szCs w:val="22"/>
        </w:rPr>
      </w:pPr>
    </w:p>
    <w:p w:rsidR="006E6F8E" w:rsidRDefault="006E6F8E" w:rsidP="006E6F8E">
      <w:pPr>
        <w:pStyle w:val="Default"/>
        <w:spacing w:after="18"/>
        <w:rPr>
          <w:rFonts w:ascii="Calibri Light" w:hAnsi="Calibri Light"/>
          <w:sz w:val="22"/>
          <w:szCs w:val="22"/>
        </w:rPr>
      </w:pPr>
    </w:p>
    <w:p w:rsidR="006E6F8E" w:rsidRPr="00A91DAE" w:rsidRDefault="006E6F8E" w:rsidP="006E6F8E">
      <w:pPr>
        <w:pStyle w:val="Default"/>
        <w:numPr>
          <w:ilvl w:val="0"/>
          <w:numId w:val="1"/>
        </w:numPr>
        <w:spacing w:after="18"/>
        <w:rPr>
          <w:rFonts w:ascii="Calibri Light" w:hAnsi="Calibri Light"/>
          <w:b/>
          <w:sz w:val="22"/>
          <w:szCs w:val="22"/>
        </w:rPr>
      </w:pPr>
      <w:r w:rsidRPr="00A91DAE">
        <w:rPr>
          <w:rFonts w:ascii="Calibri Light" w:hAnsi="Calibri Light"/>
          <w:b/>
          <w:sz w:val="22"/>
          <w:szCs w:val="22"/>
        </w:rPr>
        <w:t xml:space="preserve">What are your views on the benefits of publishing separate guidance notes for each of the two charges currently outlined in the guidance document? </w:t>
      </w:r>
    </w:p>
    <w:p w:rsidR="006E6F8E" w:rsidRDefault="006E6F8E" w:rsidP="006E6F8E">
      <w:pPr>
        <w:pStyle w:val="Default"/>
        <w:spacing w:after="18"/>
        <w:ind w:left="720"/>
        <w:rPr>
          <w:rFonts w:ascii="Calibri Light" w:hAnsi="Calibri Light"/>
          <w:sz w:val="22"/>
          <w:szCs w:val="22"/>
        </w:rPr>
      </w:pPr>
    </w:p>
    <w:p w:rsidR="004E5894" w:rsidRDefault="006E6F8E" w:rsidP="004E5894">
      <w:pPr>
        <w:pStyle w:val="Default"/>
        <w:spacing w:after="18"/>
        <w:rPr>
          <w:rFonts w:ascii="Calibri Light" w:hAnsi="Calibri Light"/>
          <w:sz w:val="22"/>
          <w:szCs w:val="22"/>
        </w:rPr>
      </w:pPr>
      <w:r>
        <w:rPr>
          <w:rFonts w:ascii="Calibri Light" w:hAnsi="Calibri Light"/>
          <w:sz w:val="22"/>
          <w:szCs w:val="22"/>
        </w:rPr>
        <w:t>Our view has not changed since innogy was a member of the CUSC workgroup for CMP249 – delay char</w:t>
      </w:r>
      <w:r>
        <w:rPr>
          <w:rFonts w:ascii="Calibri Light" w:hAnsi="Calibri Light"/>
          <w:sz w:val="22"/>
          <w:szCs w:val="22"/>
        </w:rPr>
        <w:t>g</w:t>
      </w:r>
      <w:r>
        <w:rPr>
          <w:rFonts w:ascii="Calibri Light" w:hAnsi="Calibri Light"/>
          <w:sz w:val="22"/>
          <w:szCs w:val="22"/>
        </w:rPr>
        <w:t xml:space="preserve">es should not be applied in the same manner as </w:t>
      </w:r>
      <w:proofErr w:type="spellStart"/>
      <w:r>
        <w:rPr>
          <w:rFonts w:ascii="Calibri Light" w:hAnsi="Calibri Light"/>
          <w:sz w:val="22"/>
          <w:szCs w:val="22"/>
        </w:rPr>
        <w:t>backfeed</w:t>
      </w:r>
      <w:proofErr w:type="spellEnd"/>
      <w:r>
        <w:rPr>
          <w:rFonts w:ascii="Calibri Light" w:hAnsi="Calibri Light"/>
          <w:sz w:val="22"/>
          <w:szCs w:val="22"/>
        </w:rPr>
        <w:t>. They should be considered separatel</w:t>
      </w:r>
      <w:r w:rsidR="004E5894">
        <w:rPr>
          <w:rFonts w:ascii="Calibri Light" w:hAnsi="Calibri Light"/>
          <w:sz w:val="22"/>
          <w:szCs w:val="22"/>
        </w:rPr>
        <w:t xml:space="preserve">y - </w:t>
      </w:r>
      <w:proofErr w:type="spellStart"/>
      <w:r w:rsidR="004E5894">
        <w:rPr>
          <w:rFonts w:ascii="Calibri Light" w:hAnsi="Calibri Light"/>
          <w:sz w:val="22"/>
          <w:szCs w:val="22"/>
        </w:rPr>
        <w:t>b</w:t>
      </w:r>
      <w:r w:rsidR="00A83100" w:rsidRPr="00A83100">
        <w:rPr>
          <w:rFonts w:ascii="Calibri Light" w:hAnsi="Calibri Light"/>
          <w:sz w:val="22"/>
          <w:szCs w:val="22"/>
        </w:rPr>
        <w:t>ac</w:t>
      </w:r>
      <w:r w:rsidR="00A83100" w:rsidRPr="00A83100">
        <w:rPr>
          <w:rFonts w:ascii="Calibri Light" w:hAnsi="Calibri Light"/>
          <w:sz w:val="22"/>
          <w:szCs w:val="22"/>
        </w:rPr>
        <w:t>k</w:t>
      </w:r>
      <w:r w:rsidR="00A83100" w:rsidRPr="00A83100">
        <w:rPr>
          <w:rFonts w:ascii="Calibri Light" w:hAnsi="Calibri Light"/>
          <w:sz w:val="22"/>
          <w:szCs w:val="22"/>
        </w:rPr>
        <w:t>feed</w:t>
      </w:r>
      <w:proofErr w:type="spellEnd"/>
      <w:r w:rsidR="00A83100" w:rsidRPr="00A83100">
        <w:rPr>
          <w:rFonts w:ascii="Calibri Light" w:hAnsi="Calibri Light"/>
          <w:sz w:val="22"/>
          <w:szCs w:val="22"/>
        </w:rPr>
        <w:t xml:space="preserve"> is requested to facilitate ‘definite’ connection, whereas delay charges are pushing back connections without certainty of connection or further delays.</w:t>
      </w:r>
      <w:r w:rsidR="004E5894">
        <w:rPr>
          <w:rFonts w:ascii="Calibri Light" w:hAnsi="Calibri Light"/>
          <w:sz w:val="22"/>
          <w:szCs w:val="22"/>
        </w:rPr>
        <w:t xml:space="preserve"> T</w:t>
      </w:r>
      <w:r w:rsidR="004E5894" w:rsidRPr="00A83100">
        <w:rPr>
          <w:rFonts w:ascii="Calibri Light" w:hAnsi="Calibri Light"/>
          <w:sz w:val="22"/>
          <w:szCs w:val="22"/>
        </w:rPr>
        <w:t xml:space="preserve">he provision of </w:t>
      </w:r>
      <w:proofErr w:type="spellStart"/>
      <w:r w:rsidR="004E5894" w:rsidRPr="00A83100">
        <w:rPr>
          <w:rFonts w:ascii="Calibri Light" w:hAnsi="Calibri Light"/>
          <w:sz w:val="22"/>
          <w:szCs w:val="22"/>
        </w:rPr>
        <w:t>backfeed</w:t>
      </w:r>
      <w:proofErr w:type="spellEnd"/>
      <w:r w:rsidR="004E5894" w:rsidRPr="00A83100">
        <w:rPr>
          <w:rFonts w:ascii="Calibri Light" w:hAnsi="Calibri Light"/>
          <w:sz w:val="22"/>
          <w:szCs w:val="22"/>
        </w:rPr>
        <w:t xml:space="preserve"> may be critical to a gener</w:t>
      </w:r>
      <w:r w:rsidR="004E5894" w:rsidRPr="00A83100">
        <w:rPr>
          <w:rFonts w:ascii="Calibri Light" w:hAnsi="Calibri Light"/>
          <w:sz w:val="22"/>
          <w:szCs w:val="22"/>
        </w:rPr>
        <w:t>a</w:t>
      </w:r>
      <w:r w:rsidR="004E5894" w:rsidRPr="00A83100">
        <w:rPr>
          <w:rFonts w:ascii="Calibri Light" w:hAnsi="Calibri Light"/>
          <w:sz w:val="22"/>
          <w:szCs w:val="22"/>
        </w:rPr>
        <w:t xml:space="preserve">tor’s connection, and therefore we feel the benefit of flexibility when facilitating a generator’s connection onto the transmission system is in the interest of all transmission </w:t>
      </w:r>
      <w:proofErr w:type="spellStart"/>
      <w:r w:rsidR="004E5894" w:rsidRPr="00A83100">
        <w:rPr>
          <w:rFonts w:ascii="Calibri Light" w:hAnsi="Calibri Light"/>
          <w:sz w:val="22"/>
          <w:szCs w:val="22"/>
        </w:rPr>
        <w:t>connectees</w:t>
      </w:r>
      <w:proofErr w:type="spellEnd"/>
      <w:r w:rsidR="004E5894" w:rsidRPr="00A83100">
        <w:rPr>
          <w:rFonts w:ascii="Calibri Light" w:hAnsi="Calibri Light"/>
          <w:sz w:val="22"/>
          <w:szCs w:val="22"/>
        </w:rPr>
        <w:t>.</w:t>
      </w:r>
      <w:r w:rsidR="004E5894">
        <w:rPr>
          <w:rFonts w:ascii="Calibri Light" w:hAnsi="Calibri Light"/>
          <w:sz w:val="22"/>
          <w:szCs w:val="22"/>
        </w:rPr>
        <w:t xml:space="preserve"> </w:t>
      </w:r>
      <w:proofErr w:type="spellStart"/>
      <w:r w:rsidR="004E5894">
        <w:rPr>
          <w:rFonts w:ascii="Calibri Light" w:hAnsi="Calibri Light"/>
          <w:sz w:val="22"/>
          <w:szCs w:val="22"/>
        </w:rPr>
        <w:t>Backfeed</w:t>
      </w:r>
      <w:proofErr w:type="spellEnd"/>
      <w:r w:rsidR="004E5894">
        <w:rPr>
          <w:rFonts w:ascii="Calibri Light" w:hAnsi="Calibri Light"/>
          <w:sz w:val="22"/>
          <w:szCs w:val="22"/>
        </w:rPr>
        <w:t xml:space="preserve"> charges, if/when applied, must be appropriate and cost-reflective – and fully transparent in the CUSC.</w:t>
      </w:r>
    </w:p>
    <w:p w:rsidR="006E6F8E" w:rsidRDefault="006E6F8E" w:rsidP="006E6F8E">
      <w:pPr>
        <w:pStyle w:val="Default"/>
        <w:spacing w:after="18"/>
        <w:rPr>
          <w:rFonts w:ascii="Calibri Light" w:hAnsi="Calibri Light"/>
          <w:sz w:val="22"/>
          <w:szCs w:val="22"/>
        </w:rPr>
      </w:pPr>
    </w:p>
    <w:p w:rsidR="004E5894" w:rsidRPr="004E5894" w:rsidRDefault="004E5894" w:rsidP="004E5894">
      <w:pPr>
        <w:pStyle w:val="Default"/>
        <w:spacing w:after="18"/>
        <w:rPr>
          <w:rFonts w:ascii="Calibri Light" w:hAnsi="Calibri Light"/>
          <w:sz w:val="22"/>
          <w:szCs w:val="22"/>
        </w:rPr>
      </w:pPr>
      <w:r>
        <w:rPr>
          <w:rFonts w:ascii="Calibri Light" w:hAnsi="Calibri Light"/>
          <w:sz w:val="22"/>
          <w:szCs w:val="22"/>
        </w:rPr>
        <w:t>The guidance</w:t>
      </w:r>
      <w:r w:rsidRPr="004E5894">
        <w:rPr>
          <w:rFonts w:ascii="Calibri Light" w:hAnsi="Calibri Light"/>
          <w:sz w:val="22"/>
          <w:szCs w:val="22"/>
        </w:rPr>
        <w:t xml:space="preserve"> states that NGET assume that </w:t>
      </w:r>
      <w:proofErr w:type="spellStart"/>
      <w:r w:rsidRPr="004E5894">
        <w:rPr>
          <w:rFonts w:ascii="Calibri Light" w:hAnsi="Calibri Light"/>
          <w:sz w:val="22"/>
          <w:szCs w:val="22"/>
        </w:rPr>
        <w:t>backfeed</w:t>
      </w:r>
      <w:proofErr w:type="spellEnd"/>
      <w:r w:rsidRPr="004E5894">
        <w:rPr>
          <w:rFonts w:ascii="Calibri Light" w:hAnsi="Calibri Light"/>
          <w:sz w:val="22"/>
          <w:szCs w:val="22"/>
        </w:rPr>
        <w:t xml:space="preserve"> would only be required a few weeks ahead of ge</w:t>
      </w:r>
      <w:r w:rsidRPr="004E5894">
        <w:rPr>
          <w:rFonts w:ascii="Calibri Light" w:hAnsi="Calibri Light"/>
          <w:sz w:val="22"/>
          <w:szCs w:val="22"/>
        </w:rPr>
        <w:t>n</w:t>
      </w:r>
      <w:r w:rsidRPr="004E5894">
        <w:rPr>
          <w:rFonts w:ascii="Calibri Light" w:hAnsi="Calibri Light"/>
          <w:sz w:val="22"/>
          <w:szCs w:val="22"/>
        </w:rPr>
        <w:t>eration commencing which may not be the case when there are significant OTSDUW assets to commi</w:t>
      </w:r>
      <w:r w:rsidRPr="004E5894">
        <w:rPr>
          <w:rFonts w:ascii="Calibri Light" w:hAnsi="Calibri Light"/>
          <w:sz w:val="22"/>
          <w:szCs w:val="22"/>
        </w:rPr>
        <w:t>s</w:t>
      </w:r>
      <w:r w:rsidRPr="004E5894">
        <w:rPr>
          <w:rFonts w:ascii="Calibri Light" w:hAnsi="Calibri Light"/>
          <w:sz w:val="22"/>
          <w:szCs w:val="22"/>
        </w:rPr>
        <w:t>sion</w:t>
      </w:r>
      <w:r>
        <w:rPr>
          <w:rFonts w:ascii="Calibri Light" w:hAnsi="Calibri Light"/>
          <w:sz w:val="22"/>
          <w:szCs w:val="22"/>
        </w:rPr>
        <w:t>:</w:t>
      </w:r>
    </w:p>
    <w:p w:rsidR="004E5894" w:rsidRDefault="004E5894" w:rsidP="004E5894">
      <w:pPr>
        <w:pStyle w:val="Default"/>
        <w:spacing w:after="18"/>
        <w:rPr>
          <w:rFonts w:ascii="Calibri Light" w:hAnsi="Calibri Light"/>
          <w:sz w:val="22"/>
          <w:szCs w:val="22"/>
        </w:rPr>
      </w:pPr>
    </w:p>
    <w:p w:rsidR="004E5894" w:rsidRPr="004E5894" w:rsidRDefault="004E5894" w:rsidP="004E5894">
      <w:pPr>
        <w:pStyle w:val="Default"/>
        <w:numPr>
          <w:ilvl w:val="0"/>
          <w:numId w:val="3"/>
        </w:numPr>
        <w:spacing w:after="18"/>
        <w:ind w:left="360"/>
        <w:rPr>
          <w:rFonts w:ascii="Calibri Light" w:hAnsi="Calibri Light"/>
          <w:sz w:val="22"/>
          <w:szCs w:val="22"/>
        </w:rPr>
      </w:pPr>
      <w:r w:rsidRPr="004E5894">
        <w:rPr>
          <w:rFonts w:ascii="Calibri Light" w:hAnsi="Calibri Light"/>
          <w:sz w:val="22"/>
          <w:szCs w:val="22"/>
        </w:rPr>
        <w:t xml:space="preserve">Earlier </w:t>
      </w:r>
      <w:proofErr w:type="spellStart"/>
      <w:r w:rsidRPr="004E5894">
        <w:rPr>
          <w:rFonts w:ascii="Calibri Light" w:hAnsi="Calibri Light"/>
          <w:sz w:val="22"/>
          <w:szCs w:val="22"/>
        </w:rPr>
        <w:t>backfeed</w:t>
      </w:r>
      <w:proofErr w:type="spellEnd"/>
      <w:r w:rsidRPr="004E5894">
        <w:rPr>
          <w:rFonts w:ascii="Calibri Light" w:hAnsi="Calibri Light"/>
          <w:sz w:val="22"/>
          <w:szCs w:val="22"/>
        </w:rPr>
        <w:t xml:space="preserve"> dates may be driven by the OTSDUW party, rather than the generator, and therefore the generator should not get charged for this.</w:t>
      </w:r>
    </w:p>
    <w:p w:rsidR="004E5894" w:rsidRPr="004E5894" w:rsidRDefault="004E5894" w:rsidP="004E5894">
      <w:pPr>
        <w:pStyle w:val="Default"/>
        <w:numPr>
          <w:ilvl w:val="0"/>
          <w:numId w:val="3"/>
        </w:numPr>
        <w:spacing w:after="18"/>
        <w:ind w:left="360"/>
        <w:rPr>
          <w:rFonts w:ascii="Calibri Light" w:hAnsi="Calibri Light"/>
          <w:sz w:val="22"/>
          <w:szCs w:val="22"/>
        </w:rPr>
      </w:pPr>
      <w:r w:rsidRPr="004E5894">
        <w:rPr>
          <w:rFonts w:ascii="Calibri Light" w:hAnsi="Calibri Light"/>
          <w:sz w:val="22"/>
          <w:szCs w:val="22"/>
        </w:rPr>
        <w:t xml:space="preserve">The development of the OTSDUW programme between the generator and NGET may result in an earlier </w:t>
      </w:r>
      <w:proofErr w:type="spellStart"/>
      <w:r w:rsidRPr="004E5894">
        <w:rPr>
          <w:rFonts w:ascii="Calibri Light" w:hAnsi="Calibri Light"/>
          <w:sz w:val="22"/>
          <w:szCs w:val="22"/>
        </w:rPr>
        <w:t>backfeed</w:t>
      </w:r>
      <w:proofErr w:type="spellEnd"/>
      <w:r w:rsidRPr="004E5894">
        <w:rPr>
          <w:rFonts w:ascii="Calibri Light" w:hAnsi="Calibri Light"/>
          <w:sz w:val="22"/>
          <w:szCs w:val="22"/>
        </w:rPr>
        <w:t xml:space="preserve"> than originally anticipated by the initial connection agreement.</w:t>
      </w:r>
    </w:p>
    <w:p w:rsidR="004E5894" w:rsidRPr="004E5894" w:rsidRDefault="004E5894" w:rsidP="004E5894">
      <w:pPr>
        <w:pStyle w:val="Default"/>
        <w:numPr>
          <w:ilvl w:val="0"/>
          <w:numId w:val="3"/>
        </w:numPr>
        <w:spacing w:after="18"/>
        <w:ind w:left="360"/>
        <w:rPr>
          <w:rFonts w:ascii="Calibri Light" w:hAnsi="Calibri Light"/>
          <w:sz w:val="22"/>
          <w:szCs w:val="22"/>
        </w:rPr>
      </w:pPr>
      <w:r w:rsidRPr="004E5894">
        <w:rPr>
          <w:rFonts w:ascii="Calibri Light" w:hAnsi="Calibri Light"/>
          <w:sz w:val="22"/>
          <w:szCs w:val="22"/>
        </w:rPr>
        <w:t xml:space="preserve">The </w:t>
      </w:r>
      <w:proofErr w:type="spellStart"/>
      <w:r w:rsidRPr="004E5894">
        <w:rPr>
          <w:rFonts w:ascii="Calibri Light" w:hAnsi="Calibri Light"/>
          <w:sz w:val="22"/>
          <w:szCs w:val="22"/>
        </w:rPr>
        <w:t>backfeed</w:t>
      </w:r>
      <w:proofErr w:type="spellEnd"/>
      <w:r w:rsidRPr="004E5894">
        <w:rPr>
          <w:rFonts w:ascii="Calibri Light" w:hAnsi="Calibri Light"/>
          <w:sz w:val="22"/>
          <w:szCs w:val="22"/>
        </w:rPr>
        <w:t xml:space="preserve"> timescale can be impacted greatly to coordinate with TO works, associated outages and their coordination with seasonal restrictions</w:t>
      </w:r>
    </w:p>
    <w:p w:rsidR="004E5894" w:rsidRDefault="0069269D" w:rsidP="004E5894">
      <w:pPr>
        <w:pStyle w:val="Default"/>
        <w:numPr>
          <w:ilvl w:val="0"/>
          <w:numId w:val="3"/>
        </w:numPr>
        <w:spacing w:after="18"/>
        <w:ind w:left="360"/>
        <w:rPr>
          <w:rFonts w:ascii="Calibri Light" w:hAnsi="Calibri Light"/>
          <w:sz w:val="22"/>
          <w:szCs w:val="22"/>
        </w:rPr>
      </w:pPr>
      <w:r>
        <w:rPr>
          <w:rFonts w:ascii="Calibri Light" w:hAnsi="Calibri Light"/>
          <w:sz w:val="22"/>
          <w:szCs w:val="22"/>
        </w:rPr>
        <w:t>The guidance</w:t>
      </w:r>
      <w:r w:rsidR="004E5894" w:rsidRPr="004E5894">
        <w:rPr>
          <w:rFonts w:ascii="Calibri Light" w:hAnsi="Calibri Light"/>
          <w:sz w:val="22"/>
          <w:szCs w:val="22"/>
        </w:rPr>
        <w:t xml:space="preserve"> should take note of where original date for works is earlier than required by the gene</w:t>
      </w:r>
      <w:r w:rsidR="004E5894" w:rsidRPr="004E5894">
        <w:rPr>
          <w:rFonts w:ascii="Calibri Light" w:hAnsi="Calibri Light"/>
          <w:sz w:val="22"/>
          <w:szCs w:val="22"/>
        </w:rPr>
        <w:t>r</w:t>
      </w:r>
      <w:r w:rsidR="004E5894" w:rsidRPr="004E5894">
        <w:rPr>
          <w:rFonts w:ascii="Calibri Light" w:hAnsi="Calibri Light"/>
          <w:sz w:val="22"/>
          <w:szCs w:val="22"/>
        </w:rPr>
        <w:t>ator’s programme in order to suit the TO’s delivery programme (e.g. to combine with other works that are being undertaken)</w:t>
      </w:r>
    </w:p>
    <w:p w:rsidR="004E5894" w:rsidRDefault="004E5894" w:rsidP="006E6F8E">
      <w:pPr>
        <w:pStyle w:val="Default"/>
        <w:spacing w:after="18"/>
        <w:rPr>
          <w:rFonts w:ascii="Calibri Light" w:hAnsi="Calibri Light"/>
          <w:sz w:val="22"/>
          <w:szCs w:val="22"/>
        </w:rPr>
      </w:pPr>
    </w:p>
    <w:p w:rsidR="00A83100" w:rsidRDefault="004E5894" w:rsidP="006E6F8E">
      <w:pPr>
        <w:pStyle w:val="Default"/>
        <w:spacing w:after="18"/>
        <w:rPr>
          <w:rFonts w:ascii="Calibri Light" w:hAnsi="Calibri Light"/>
          <w:sz w:val="22"/>
          <w:szCs w:val="22"/>
        </w:rPr>
      </w:pPr>
      <w:r>
        <w:rPr>
          <w:rFonts w:ascii="Calibri Light" w:hAnsi="Calibri Light"/>
          <w:sz w:val="22"/>
          <w:szCs w:val="22"/>
        </w:rPr>
        <w:t>M</w:t>
      </w:r>
      <w:r w:rsidR="00A83100" w:rsidRPr="00A83100">
        <w:rPr>
          <w:rFonts w:ascii="Calibri Light" w:hAnsi="Calibri Light"/>
          <w:sz w:val="22"/>
          <w:szCs w:val="22"/>
        </w:rPr>
        <w:t xml:space="preserve">ore clarification </w:t>
      </w:r>
      <w:r>
        <w:rPr>
          <w:rFonts w:ascii="Calibri Light" w:hAnsi="Calibri Light"/>
          <w:sz w:val="22"/>
          <w:szCs w:val="22"/>
        </w:rPr>
        <w:t xml:space="preserve">is needed regarding </w:t>
      </w:r>
      <w:r w:rsidR="00A83100" w:rsidRPr="00A83100">
        <w:rPr>
          <w:rFonts w:ascii="Calibri Light" w:hAnsi="Calibri Light"/>
          <w:sz w:val="22"/>
          <w:szCs w:val="22"/>
        </w:rPr>
        <w:t xml:space="preserve">on why demand TNUoS doesn’t cover the </w:t>
      </w:r>
      <w:proofErr w:type="spellStart"/>
      <w:r w:rsidR="00A83100" w:rsidRPr="00A83100">
        <w:rPr>
          <w:rFonts w:ascii="Calibri Light" w:hAnsi="Calibri Light"/>
          <w:sz w:val="22"/>
          <w:szCs w:val="22"/>
        </w:rPr>
        <w:t>backfeed</w:t>
      </w:r>
      <w:proofErr w:type="spellEnd"/>
      <w:r w:rsidR="00A83100" w:rsidRPr="00A83100">
        <w:rPr>
          <w:rFonts w:ascii="Calibri Light" w:hAnsi="Calibri Light"/>
          <w:sz w:val="22"/>
          <w:szCs w:val="22"/>
        </w:rPr>
        <w:t xml:space="preserve"> cost, and for consistency, further clarification on what happens with demand </w:t>
      </w:r>
      <w:proofErr w:type="spellStart"/>
      <w:r w:rsidR="00A83100" w:rsidRPr="00A83100">
        <w:rPr>
          <w:rFonts w:ascii="Calibri Light" w:hAnsi="Calibri Light"/>
          <w:sz w:val="22"/>
          <w:szCs w:val="22"/>
        </w:rPr>
        <w:t>connectees</w:t>
      </w:r>
      <w:proofErr w:type="spellEnd"/>
      <w:r w:rsidR="00A83100" w:rsidRPr="00A83100">
        <w:rPr>
          <w:rFonts w:ascii="Calibri Light" w:hAnsi="Calibri Light"/>
          <w:sz w:val="22"/>
          <w:szCs w:val="22"/>
        </w:rPr>
        <w:t xml:space="preserve"> who request a delay.</w:t>
      </w:r>
    </w:p>
    <w:p w:rsidR="00A83100" w:rsidRDefault="00A83100" w:rsidP="006E6F8E">
      <w:pPr>
        <w:pStyle w:val="Default"/>
        <w:spacing w:after="18"/>
        <w:rPr>
          <w:rFonts w:ascii="Calibri Light" w:hAnsi="Calibri Light"/>
          <w:sz w:val="22"/>
          <w:szCs w:val="22"/>
        </w:rPr>
      </w:pPr>
    </w:p>
    <w:p w:rsidR="006E6F8E" w:rsidRDefault="006E6F8E" w:rsidP="006E6F8E">
      <w:pPr>
        <w:pStyle w:val="Default"/>
        <w:spacing w:after="18"/>
        <w:rPr>
          <w:rFonts w:ascii="Calibri Light" w:hAnsi="Calibri Light"/>
          <w:sz w:val="22"/>
          <w:szCs w:val="22"/>
        </w:rPr>
      </w:pPr>
    </w:p>
    <w:p w:rsidR="006E6F8E" w:rsidRDefault="006E6F8E" w:rsidP="006E6F8E">
      <w:pPr>
        <w:pStyle w:val="Default"/>
        <w:spacing w:after="18"/>
        <w:ind w:left="720"/>
        <w:rPr>
          <w:rFonts w:ascii="Calibri Light" w:hAnsi="Calibri Light"/>
          <w:sz w:val="22"/>
          <w:szCs w:val="22"/>
        </w:rPr>
      </w:pPr>
    </w:p>
    <w:p w:rsidR="006E6F8E" w:rsidRDefault="006E6F8E" w:rsidP="006E6F8E">
      <w:pPr>
        <w:pStyle w:val="Default"/>
        <w:numPr>
          <w:ilvl w:val="0"/>
          <w:numId w:val="1"/>
        </w:numPr>
        <w:spacing w:after="18"/>
        <w:rPr>
          <w:rFonts w:ascii="Calibri Light" w:hAnsi="Calibri Light"/>
          <w:b/>
          <w:sz w:val="22"/>
          <w:szCs w:val="22"/>
        </w:rPr>
      </w:pPr>
      <w:r w:rsidRPr="00A91DAE">
        <w:rPr>
          <w:rFonts w:ascii="Calibri Light" w:hAnsi="Calibri Light"/>
          <w:b/>
          <w:sz w:val="22"/>
          <w:szCs w:val="22"/>
        </w:rPr>
        <w:t xml:space="preserve">Are there any further changes you would like to see made to the guidance note? </w:t>
      </w:r>
    </w:p>
    <w:p w:rsidR="006E6F8E" w:rsidRPr="00D7120F" w:rsidRDefault="006E6F8E" w:rsidP="006E6F8E">
      <w:pPr>
        <w:pStyle w:val="Default"/>
        <w:spacing w:after="18"/>
        <w:ind w:left="720"/>
        <w:rPr>
          <w:rFonts w:ascii="Calibri Light" w:hAnsi="Calibri Light"/>
          <w:b/>
          <w:sz w:val="22"/>
          <w:szCs w:val="22"/>
        </w:rPr>
      </w:pPr>
    </w:p>
    <w:p w:rsidR="00824197" w:rsidRPr="0069269D" w:rsidRDefault="004E5894" w:rsidP="0069269D">
      <w:pPr>
        <w:rPr>
          <w:rFonts w:ascii="Calibri Light" w:hAnsi="Calibri Light"/>
          <w:lang w:val="en-GB"/>
        </w:rPr>
      </w:pPr>
      <w:r w:rsidRPr="0069269D">
        <w:rPr>
          <w:rFonts w:ascii="Calibri Light" w:hAnsi="Calibri Light"/>
          <w:lang w:val="en-GB"/>
        </w:rPr>
        <w:t>We advocate full cost-reflectivity and transparency in how and when delay charges may be a</w:t>
      </w:r>
      <w:r w:rsidR="0069269D" w:rsidRPr="0069269D">
        <w:rPr>
          <w:rFonts w:ascii="Calibri Light" w:hAnsi="Calibri Light"/>
          <w:lang w:val="en-GB"/>
        </w:rPr>
        <w:t>pplied. We believe that the rules around such charges must be set out clearly in the CUSC so that the policy is subject to a full impact assessment.</w:t>
      </w:r>
    </w:p>
    <w:p w:rsidR="00F968FF" w:rsidRDefault="00F968FF" w:rsidP="00492D8D">
      <w:pPr>
        <w:pStyle w:val="innogyFlietext"/>
        <w:rPr>
          <w:lang w:val="en-GB"/>
        </w:rPr>
      </w:pPr>
      <w:bookmarkStart w:id="9" w:name="Grußformel"/>
      <w:bookmarkStart w:id="10" w:name="_GoBack"/>
      <w:bookmarkEnd w:id="9"/>
      <w:bookmarkEnd w:id="10"/>
    </w:p>
    <w:p w:rsidR="00F968FF" w:rsidRDefault="00F968FF" w:rsidP="00492D8D">
      <w:pPr>
        <w:pStyle w:val="innogyFlietext"/>
        <w:rPr>
          <w:lang w:val="en-GB"/>
        </w:rPr>
      </w:pPr>
    </w:p>
    <w:p w:rsidR="00F968FF" w:rsidRPr="00F968FF" w:rsidRDefault="00F968FF" w:rsidP="00492D8D">
      <w:pPr>
        <w:pStyle w:val="innogyFlietext"/>
        <w:rPr>
          <w:lang w:val="en-GB"/>
        </w:rPr>
      </w:pPr>
      <w:bookmarkStart w:id="11" w:name="Firma"/>
      <w:bookmarkEnd w:id="11"/>
    </w:p>
    <w:p w:rsidR="00F968FF" w:rsidRDefault="00824197" w:rsidP="00492D8D">
      <w:pPr>
        <w:pStyle w:val="innogyFlietext"/>
        <w:rPr>
          <w:lang w:val="en-GB"/>
        </w:rPr>
      </w:pPr>
      <w:r w:rsidRPr="00F968FF">
        <w:rPr>
          <w:lang w:val="en-GB"/>
        </w:rPr>
        <w:t>Yours sincerely,</w:t>
      </w:r>
    </w:p>
    <w:p w:rsidR="00F968FF" w:rsidRDefault="00F968FF" w:rsidP="00492D8D">
      <w:pPr>
        <w:pStyle w:val="innogyFlietext"/>
        <w:rPr>
          <w:lang w:val="en-GB"/>
        </w:rPr>
      </w:pPr>
    </w:p>
    <w:p w:rsidR="00824197" w:rsidRPr="00824197" w:rsidRDefault="004E5894" w:rsidP="00492D8D">
      <w:pPr>
        <w:pStyle w:val="innogyFlietext"/>
        <w:rPr>
          <w:lang w:val="en-GB"/>
        </w:rPr>
      </w:pPr>
      <w:r>
        <w:rPr>
          <w:lang w:val="en-GB"/>
        </w:rPr>
        <w:t>Nicola Percival</w:t>
      </w:r>
    </w:p>
    <w:p w:rsidR="00B47BC5" w:rsidRPr="00F968FF" w:rsidRDefault="00AC0ADA" w:rsidP="004E5894">
      <w:pPr>
        <w:pStyle w:val="innogyFlietext"/>
        <w:rPr>
          <w:lang w:val="en-GB"/>
        </w:rPr>
      </w:pPr>
      <w:r>
        <w:rPr>
          <w:lang w:val="en-GB"/>
        </w:rPr>
        <w:t xml:space="preserve">Innogy Renewables </w:t>
      </w:r>
      <w:r w:rsidR="00824197" w:rsidRPr="00824197">
        <w:rPr>
          <w:lang w:val="en-GB"/>
        </w:rPr>
        <w:t>UK Limited</w:t>
      </w:r>
      <w:bookmarkStart w:id="12" w:name="Unterzeichner"/>
      <w:bookmarkStart w:id="13" w:name="Anlagen"/>
      <w:bookmarkEnd w:id="12"/>
      <w:bookmarkEnd w:id="13"/>
      <w:r w:rsidR="00824197">
        <w:rPr>
          <w:noProof/>
          <w:lang w:val="en-GB" w:eastAsia="en-GB"/>
        </w:rPr>
        <mc:AlternateContent>
          <mc:Choice Requires="wps">
            <w:drawing>
              <wp:anchor distT="0" distB="0" distL="0" distR="0" simplePos="0" relativeHeight="251659264" behindDoc="1" locked="0" layoutInCell="0" allowOverlap="1" wp14:anchorId="3B5363A7" wp14:editId="0922BF29">
                <wp:simplePos x="0" y="0"/>
                <wp:positionH relativeFrom="page">
                  <wp:posOffset>902970</wp:posOffset>
                </wp:positionH>
                <wp:positionV relativeFrom="page">
                  <wp:posOffset>9694545</wp:posOffset>
                </wp:positionV>
                <wp:extent cx="5939790" cy="554990"/>
                <wp:effectExtent l="0" t="0" r="3810" b="16510"/>
                <wp:wrapThrough wrapText="bothSides">
                  <wp:wrapPolygon edited="0">
                    <wp:start x="0" y="0"/>
                    <wp:lineTo x="0" y="21501"/>
                    <wp:lineTo x="21545" y="21501"/>
                    <wp:lineTo x="21545" y="0"/>
                    <wp:lineTo x="0" y="0"/>
                  </wp:wrapPolygon>
                </wp:wrapThrough>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55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5894" w:rsidRPr="00405953" w:rsidRDefault="004E5894">
                            <w:pPr>
                              <w:pStyle w:val="Vorstandsleiste"/>
                              <w:rPr>
                                <w:rFonts w:ascii="Calibri" w:hAnsi="Calibri"/>
                                <w:b/>
                                <w:szCs w:val="14"/>
                                <w:lang w:val="en-GB"/>
                              </w:rPr>
                            </w:pPr>
                            <w:r w:rsidRPr="00405953">
                              <w:rPr>
                                <w:rFonts w:ascii="Calibri" w:hAnsi="Calibri"/>
                                <w:b/>
                                <w:szCs w:val="14"/>
                                <w:lang w:val="en-GB"/>
                              </w:rPr>
                              <w:t>Innogy Renewables UK Limited</w:t>
                            </w:r>
                          </w:p>
                          <w:p w:rsidR="004E5894" w:rsidRPr="00824197" w:rsidRDefault="004E5894">
                            <w:pPr>
                              <w:pStyle w:val="Vorstandsleiste"/>
                              <w:rPr>
                                <w:lang w:val="en-GB"/>
                              </w:rPr>
                            </w:pPr>
                            <w:r w:rsidRPr="006E6F8E">
                              <w:rPr>
                                <w:lang w:val="en-GB"/>
                              </w:rPr>
                              <w:t xml:space="preserve">Windmill Hill Business Park </w:t>
                            </w:r>
                            <w:r w:rsidRPr="006E6F8E">
                              <w:rPr>
                                <w:rFonts w:ascii="Calibri-Bold" w:hAnsi="Calibri-Bold" w:cs="Calibri-Bold"/>
                                <w:b/>
                                <w:bCs/>
                                <w:szCs w:val="15"/>
                                <w:lang w:val="en-GB"/>
                              </w:rPr>
                              <w:t>·</w:t>
                            </w:r>
                            <w:r w:rsidRPr="006E6F8E">
                              <w:rPr>
                                <w:lang w:val="en-GB"/>
                              </w:rPr>
                              <w:t xml:space="preserve"> </w:t>
                            </w:r>
                            <w:proofErr w:type="spellStart"/>
                            <w:r w:rsidRPr="006E6F8E">
                              <w:rPr>
                                <w:lang w:val="en-GB"/>
                              </w:rPr>
                              <w:t>Whitehill</w:t>
                            </w:r>
                            <w:proofErr w:type="spellEnd"/>
                            <w:r w:rsidRPr="006E6F8E">
                              <w:rPr>
                                <w:lang w:val="en-GB"/>
                              </w:rPr>
                              <w:t xml:space="preserve"> Way</w:t>
                            </w:r>
                            <w:r w:rsidRPr="006E6F8E">
                              <w:rPr>
                                <w:rFonts w:ascii="Calibri-Bold" w:hAnsi="Calibri-Bold" w:cs="Calibri-Bold"/>
                                <w:b/>
                                <w:bCs/>
                                <w:szCs w:val="15"/>
                                <w:lang w:val="en-GB"/>
                              </w:rPr>
                              <w:t>·</w:t>
                            </w:r>
                            <w:r w:rsidRPr="006E6F8E">
                              <w:rPr>
                                <w:lang w:val="en-GB"/>
                              </w:rPr>
                              <w:t xml:space="preserve">  Swindon </w:t>
                            </w:r>
                            <w:r w:rsidRPr="006E6F8E">
                              <w:rPr>
                                <w:rFonts w:ascii="Calibri-Bold" w:hAnsi="Calibri-Bold" w:cs="Calibri-Bold"/>
                                <w:b/>
                                <w:bCs/>
                                <w:szCs w:val="15"/>
                                <w:lang w:val="en-GB"/>
                              </w:rPr>
                              <w:t>·</w:t>
                            </w:r>
                            <w:r w:rsidRPr="006E6F8E">
                              <w:rPr>
                                <w:lang w:val="en-GB"/>
                              </w:rPr>
                              <w:t xml:space="preserve"> Wiltshire </w:t>
                            </w:r>
                            <w:r w:rsidRPr="006E6F8E">
                              <w:rPr>
                                <w:rFonts w:ascii="Calibri-Bold" w:hAnsi="Calibri-Bold" w:cs="Calibri-Bold"/>
                                <w:b/>
                                <w:bCs/>
                                <w:szCs w:val="15"/>
                                <w:lang w:val="en-GB"/>
                              </w:rPr>
                              <w:t>·</w:t>
                            </w:r>
                            <w:r w:rsidRPr="006E6F8E">
                              <w:rPr>
                                <w:lang w:val="en-GB"/>
                              </w:rPr>
                              <w:t xml:space="preserve"> SN5 6PB</w:t>
                            </w:r>
                            <w:r w:rsidRPr="00824197">
                              <w:rPr>
                                <w:lang w:val="en-GB"/>
                              </w:rPr>
                              <w:t xml:space="preserve"> </w:t>
                            </w:r>
                          </w:p>
                          <w:p w:rsidR="004E5894" w:rsidRPr="00824197" w:rsidRDefault="004E5894" w:rsidP="00824197">
                            <w:pPr>
                              <w:pStyle w:val="Vorstandsleiste"/>
                              <w:rPr>
                                <w:b/>
                                <w:noProof/>
                                <w:color w:val="000000"/>
                                <w:szCs w:val="15"/>
                                <w:lang w:val="en-US"/>
                              </w:rPr>
                            </w:pPr>
                            <w:r w:rsidRPr="00824197">
                              <w:rPr>
                                <w:rFonts w:ascii="Calibri" w:hAnsi="Calibri"/>
                                <w:b/>
                                <w:noProof/>
                                <w:color w:val="000000"/>
                                <w:szCs w:val="15"/>
                                <w:lang w:val="en-US"/>
                              </w:rPr>
                              <w:t>Registered Office Innogy Renewables UK Limited</w:t>
                            </w:r>
                            <w:r>
                              <w:rPr>
                                <w:rFonts w:ascii="Calibri" w:hAnsi="Calibri"/>
                                <w:b/>
                                <w:noProof/>
                                <w:color w:val="000000"/>
                                <w:szCs w:val="15"/>
                                <w:lang w:val="en-US"/>
                              </w:rPr>
                              <w:t xml:space="preserve"> </w:t>
                            </w:r>
                            <w:r>
                              <w:rPr>
                                <w:rFonts w:ascii="Calibri-Bold" w:hAnsi="Calibri-Bold" w:cs="Calibri-Bold"/>
                                <w:b/>
                                <w:bCs/>
                                <w:szCs w:val="15"/>
                                <w:lang w:val="en-GB"/>
                              </w:rPr>
                              <w:t>·</w:t>
                            </w:r>
                            <w:r w:rsidRPr="00824197">
                              <w:rPr>
                                <w:rFonts w:ascii="Calibri" w:hAnsi="Calibri"/>
                                <w:b/>
                                <w:noProof/>
                                <w:color w:val="000000"/>
                                <w:szCs w:val="15"/>
                                <w:lang w:val="en-US"/>
                              </w:rPr>
                              <w:t xml:space="preserve"> Windmill Hill Business </w:t>
                            </w:r>
                            <w:r>
                              <w:rPr>
                                <w:rFonts w:ascii="Calibri" w:hAnsi="Calibri"/>
                                <w:b/>
                                <w:noProof/>
                                <w:color w:val="000000"/>
                                <w:szCs w:val="15"/>
                                <w:lang w:val="en-US"/>
                              </w:rPr>
                              <w:t>P</w:t>
                            </w:r>
                            <w:r w:rsidRPr="00824197">
                              <w:rPr>
                                <w:rFonts w:ascii="Calibri" w:hAnsi="Calibri"/>
                                <w:b/>
                                <w:noProof/>
                                <w:color w:val="000000"/>
                                <w:szCs w:val="15"/>
                                <w:lang w:val="en-US"/>
                              </w:rPr>
                              <w:t>ark</w:t>
                            </w:r>
                            <w:r>
                              <w:rPr>
                                <w:rFonts w:ascii="Calibri" w:hAnsi="Calibri"/>
                                <w:b/>
                                <w:noProof/>
                                <w:color w:val="000000"/>
                                <w:szCs w:val="15"/>
                                <w:lang w:val="en-US"/>
                              </w:rPr>
                              <w:t xml:space="preserve"> </w:t>
                            </w:r>
                            <w:r>
                              <w:rPr>
                                <w:rFonts w:ascii="Calibri-Bold" w:hAnsi="Calibri-Bold" w:cs="Calibri-Bold"/>
                                <w:b/>
                                <w:bCs/>
                                <w:szCs w:val="15"/>
                                <w:lang w:val="en-GB"/>
                              </w:rPr>
                              <w:t>·</w:t>
                            </w:r>
                            <w:r w:rsidRPr="00824197">
                              <w:rPr>
                                <w:rFonts w:ascii="Calibri" w:hAnsi="Calibri"/>
                                <w:b/>
                                <w:noProof/>
                                <w:color w:val="000000"/>
                                <w:szCs w:val="15"/>
                                <w:lang w:val="en-US"/>
                              </w:rPr>
                              <w:t xml:space="preserve"> Whitehill Way</w:t>
                            </w:r>
                            <w:r>
                              <w:rPr>
                                <w:rFonts w:ascii="Calibri" w:hAnsi="Calibri"/>
                                <w:b/>
                                <w:noProof/>
                                <w:color w:val="000000"/>
                                <w:szCs w:val="15"/>
                                <w:lang w:val="en-US"/>
                              </w:rPr>
                              <w:t xml:space="preserve"> </w:t>
                            </w:r>
                            <w:r>
                              <w:rPr>
                                <w:rFonts w:ascii="Calibri-Bold" w:hAnsi="Calibri-Bold" w:cs="Calibri-Bold"/>
                                <w:b/>
                                <w:bCs/>
                                <w:szCs w:val="15"/>
                                <w:lang w:val="en-GB"/>
                              </w:rPr>
                              <w:t xml:space="preserve">· </w:t>
                            </w:r>
                            <w:r w:rsidRPr="00824197">
                              <w:rPr>
                                <w:rFonts w:ascii="Calibri" w:hAnsi="Calibri"/>
                                <w:b/>
                                <w:noProof/>
                                <w:color w:val="000000"/>
                                <w:szCs w:val="15"/>
                                <w:lang w:val="en-US"/>
                              </w:rPr>
                              <w:t>Swindon</w:t>
                            </w:r>
                            <w:r>
                              <w:rPr>
                                <w:rFonts w:ascii="Calibri" w:hAnsi="Calibri"/>
                                <w:b/>
                                <w:noProof/>
                                <w:color w:val="000000"/>
                                <w:szCs w:val="15"/>
                                <w:lang w:val="en-US"/>
                              </w:rPr>
                              <w:t xml:space="preserve"> </w:t>
                            </w:r>
                            <w:r>
                              <w:rPr>
                                <w:rFonts w:ascii="Calibri-Bold" w:hAnsi="Calibri-Bold" w:cs="Calibri-Bold"/>
                                <w:b/>
                                <w:bCs/>
                                <w:szCs w:val="15"/>
                                <w:lang w:val="en-GB"/>
                              </w:rPr>
                              <w:t>·</w:t>
                            </w:r>
                            <w:r>
                              <w:rPr>
                                <w:rFonts w:ascii="Calibri" w:hAnsi="Calibri"/>
                                <w:b/>
                                <w:noProof/>
                                <w:color w:val="000000"/>
                                <w:szCs w:val="15"/>
                                <w:lang w:val="en-US"/>
                              </w:rPr>
                              <w:t xml:space="preserve"> Wiltshire </w:t>
                            </w:r>
                            <w:r>
                              <w:rPr>
                                <w:rFonts w:ascii="Calibri-Bold" w:hAnsi="Calibri-Bold" w:cs="Calibri-Bold"/>
                                <w:b/>
                                <w:bCs/>
                                <w:szCs w:val="15"/>
                                <w:lang w:val="en-GB"/>
                              </w:rPr>
                              <w:t>·</w:t>
                            </w:r>
                            <w:r>
                              <w:rPr>
                                <w:rFonts w:ascii="Calibri" w:hAnsi="Calibri"/>
                                <w:b/>
                                <w:noProof/>
                                <w:color w:val="000000"/>
                                <w:szCs w:val="15"/>
                                <w:lang w:val="en-US"/>
                              </w:rPr>
                              <w:t xml:space="preserve"> </w:t>
                            </w:r>
                            <w:r w:rsidRPr="00824197">
                              <w:rPr>
                                <w:rFonts w:ascii="Calibri" w:hAnsi="Calibri"/>
                                <w:b/>
                                <w:noProof/>
                                <w:color w:val="000000"/>
                                <w:szCs w:val="15"/>
                                <w:lang w:val="en-US"/>
                              </w:rPr>
                              <w:t xml:space="preserve">SN5 </w:t>
                            </w:r>
                            <w:r>
                              <w:rPr>
                                <w:rFonts w:ascii="Calibri" w:hAnsi="Calibri"/>
                                <w:b/>
                                <w:noProof/>
                                <w:color w:val="000000"/>
                                <w:szCs w:val="15"/>
                                <w:lang w:val="en-US"/>
                              </w:rPr>
                              <w:t>6PB</w:t>
                            </w:r>
                          </w:p>
                          <w:p w:rsidR="004E5894" w:rsidRPr="00824197" w:rsidRDefault="004E5894" w:rsidP="00990FAD">
                            <w:pPr>
                              <w:pStyle w:val="Vorstandsleiste"/>
                              <w:rPr>
                                <w:noProof/>
                                <w:color w:val="000000"/>
                                <w:szCs w:val="15"/>
                                <w:lang w:val="en-GB"/>
                              </w:rPr>
                            </w:pPr>
                            <w:r w:rsidRPr="00824197">
                              <w:rPr>
                                <w:noProof/>
                                <w:color w:val="000000"/>
                                <w:szCs w:val="15"/>
                                <w:lang w:val="en-GB"/>
                              </w:rPr>
                              <w:t>Registered in England and Wales no. 2550622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71.1pt;margin-top:763.35pt;width:467.7pt;height:43.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" o:allowincell="f" filled="f" stroked="f">
                <v:textbox inset="0,0,0,0">
                  <w:txbxContent>
                    <w:p w:rsidR="004E5894" w:rsidRPr="00405953" w:rsidRDefault="004E5894">
                      <w:pPr>
                        <w:pStyle w:val="Vorstandsleiste"/>
                        <w:rPr>
                          <w:rFonts w:ascii="Calibri" w:hAnsi="Calibri"/>
                          <w:b/>
                          <w:szCs w:val="14"/>
                          <w:lang w:val="en-GB"/>
                        </w:rPr>
                      </w:pPr>
                      <w:r w:rsidRPr="00405953">
                        <w:rPr>
                          <w:rFonts w:ascii="Calibri" w:hAnsi="Calibri"/>
                          <w:b/>
                          <w:szCs w:val="14"/>
                          <w:lang w:val="en-GB"/>
                        </w:rPr>
                        <w:t>Innogy Renewables UK Limited</w:t>
                      </w:r>
                    </w:p>
                    <w:p w:rsidR="004E5894" w:rsidRPr="00824197" w:rsidRDefault="004E5894">
                      <w:pPr>
                        <w:pStyle w:val="Vorstandsleiste"/>
                        <w:rPr>
                          <w:lang w:val="en-GB"/>
                        </w:rPr>
                      </w:pPr>
                      <w:r w:rsidRPr="006E6F8E">
                        <w:rPr>
                          <w:lang w:val="en-GB"/>
                        </w:rPr>
                        <w:t xml:space="preserve">Windmill Hill Business Park </w:t>
                      </w:r>
                      <w:r w:rsidRPr="006E6F8E">
                        <w:rPr>
                          <w:rFonts w:ascii="Calibri-Bold" w:hAnsi="Calibri-Bold" w:cs="Calibri-Bold"/>
                          <w:b/>
                          <w:bCs/>
                          <w:szCs w:val="15"/>
                          <w:lang w:val="en-GB"/>
                        </w:rPr>
                        <w:t>·</w:t>
                      </w:r>
                      <w:r w:rsidRPr="006E6F8E">
                        <w:rPr>
                          <w:lang w:val="en-GB"/>
                        </w:rPr>
                        <w:t xml:space="preserve"> </w:t>
                      </w:r>
                      <w:proofErr w:type="spellStart"/>
                      <w:r w:rsidRPr="006E6F8E">
                        <w:rPr>
                          <w:lang w:val="en-GB"/>
                        </w:rPr>
                        <w:t>Whitehill</w:t>
                      </w:r>
                      <w:proofErr w:type="spellEnd"/>
                      <w:r w:rsidRPr="006E6F8E">
                        <w:rPr>
                          <w:lang w:val="en-GB"/>
                        </w:rPr>
                        <w:t xml:space="preserve"> Way</w:t>
                      </w:r>
                      <w:r w:rsidRPr="006E6F8E">
                        <w:rPr>
                          <w:rFonts w:ascii="Calibri-Bold" w:hAnsi="Calibri-Bold" w:cs="Calibri-Bold"/>
                          <w:b/>
                          <w:bCs/>
                          <w:szCs w:val="15"/>
                          <w:lang w:val="en-GB"/>
                        </w:rPr>
                        <w:t>·</w:t>
                      </w:r>
                      <w:r w:rsidRPr="006E6F8E">
                        <w:rPr>
                          <w:lang w:val="en-GB"/>
                        </w:rPr>
                        <w:t xml:space="preserve">  Swindon </w:t>
                      </w:r>
                      <w:r w:rsidRPr="006E6F8E">
                        <w:rPr>
                          <w:rFonts w:ascii="Calibri-Bold" w:hAnsi="Calibri-Bold" w:cs="Calibri-Bold"/>
                          <w:b/>
                          <w:bCs/>
                          <w:szCs w:val="15"/>
                          <w:lang w:val="en-GB"/>
                        </w:rPr>
                        <w:t>·</w:t>
                      </w:r>
                      <w:r w:rsidRPr="006E6F8E">
                        <w:rPr>
                          <w:lang w:val="en-GB"/>
                        </w:rPr>
                        <w:t xml:space="preserve"> Wiltshire </w:t>
                      </w:r>
                      <w:r w:rsidRPr="006E6F8E">
                        <w:rPr>
                          <w:rFonts w:ascii="Calibri-Bold" w:hAnsi="Calibri-Bold" w:cs="Calibri-Bold"/>
                          <w:b/>
                          <w:bCs/>
                          <w:szCs w:val="15"/>
                          <w:lang w:val="en-GB"/>
                        </w:rPr>
                        <w:t>·</w:t>
                      </w:r>
                      <w:r w:rsidRPr="006E6F8E">
                        <w:rPr>
                          <w:lang w:val="en-GB"/>
                        </w:rPr>
                        <w:t xml:space="preserve"> SN5 6PB</w:t>
                      </w:r>
                      <w:r w:rsidRPr="00824197">
                        <w:rPr>
                          <w:lang w:val="en-GB"/>
                        </w:rPr>
                        <w:t xml:space="preserve"> </w:t>
                      </w:r>
                    </w:p>
                    <w:p w:rsidR="004E5894" w:rsidRPr="00824197" w:rsidRDefault="004E5894" w:rsidP="00824197">
                      <w:pPr>
                        <w:pStyle w:val="Vorstandsleiste"/>
                        <w:rPr>
                          <w:b/>
                          <w:noProof/>
                          <w:color w:val="000000"/>
                          <w:szCs w:val="15"/>
                          <w:lang w:val="en-US"/>
                        </w:rPr>
                      </w:pPr>
                      <w:r w:rsidRPr="00824197">
                        <w:rPr>
                          <w:rFonts w:ascii="Calibri" w:hAnsi="Calibri"/>
                          <w:b/>
                          <w:noProof/>
                          <w:color w:val="000000"/>
                          <w:szCs w:val="15"/>
                          <w:lang w:val="en-US"/>
                        </w:rPr>
                        <w:t>Registered Office Innogy Renewables UK Limited</w:t>
                      </w:r>
                      <w:r>
                        <w:rPr>
                          <w:rFonts w:ascii="Calibri" w:hAnsi="Calibri"/>
                          <w:b/>
                          <w:noProof/>
                          <w:color w:val="000000"/>
                          <w:szCs w:val="15"/>
                          <w:lang w:val="en-US"/>
                        </w:rPr>
                        <w:t xml:space="preserve"> </w:t>
                      </w:r>
                      <w:r>
                        <w:rPr>
                          <w:rFonts w:ascii="Calibri-Bold" w:hAnsi="Calibri-Bold" w:cs="Calibri-Bold"/>
                          <w:b/>
                          <w:bCs/>
                          <w:szCs w:val="15"/>
                          <w:lang w:val="en-GB"/>
                        </w:rPr>
                        <w:t>·</w:t>
                      </w:r>
                      <w:r w:rsidRPr="00824197">
                        <w:rPr>
                          <w:rFonts w:ascii="Calibri" w:hAnsi="Calibri"/>
                          <w:b/>
                          <w:noProof/>
                          <w:color w:val="000000"/>
                          <w:szCs w:val="15"/>
                          <w:lang w:val="en-US"/>
                        </w:rPr>
                        <w:t xml:space="preserve"> Windmill Hill Business </w:t>
                      </w:r>
                      <w:r>
                        <w:rPr>
                          <w:rFonts w:ascii="Calibri" w:hAnsi="Calibri"/>
                          <w:b/>
                          <w:noProof/>
                          <w:color w:val="000000"/>
                          <w:szCs w:val="15"/>
                          <w:lang w:val="en-US"/>
                        </w:rPr>
                        <w:t>P</w:t>
                      </w:r>
                      <w:r w:rsidRPr="00824197">
                        <w:rPr>
                          <w:rFonts w:ascii="Calibri" w:hAnsi="Calibri"/>
                          <w:b/>
                          <w:noProof/>
                          <w:color w:val="000000"/>
                          <w:szCs w:val="15"/>
                          <w:lang w:val="en-US"/>
                        </w:rPr>
                        <w:t>ark</w:t>
                      </w:r>
                      <w:r>
                        <w:rPr>
                          <w:rFonts w:ascii="Calibri" w:hAnsi="Calibri"/>
                          <w:b/>
                          <w:noProof/>
                          <w:color w:val="000000"/>
                          <w:szCs w:val="15"/>
                          <w:lang w:val="en-US"/>
                        </w:rPr>
                        <w:t xml:space="preserve"> </w:t>
                      </w:r>
                      <w:r>
                        <w:rPr>
                          <w:rFonts w:ascii="Calibri-Bold" w:hAnsi="Calibri-Bold" w:cs="Calibri-Bold"/>
                          <w:b/>
                          <w:bCs/>
                          <w:szCs w:val="15"/>
                          <w:lang w:val="en-GB"/>
                        </w:rPr>
                        <w:t>·</w:t>
                      </w:r>
                      <w:r w:rsidRPr="00824197">
                        <w:rPr>
                          <w:rFonts w:ascii="Calibri" w:hAnsi="Calibri"/>
                          <w:b/>
                          <w:noProof/>
                          <w:color w:val="000000"/>
                          <w:szCs w:val="15"/>
                          <w:lang w:val="en-US"/>
                        </w:rPr>
                        <w:t xml:space="preserve"> Whitehill Way</w:t>
                      </w:r>
                      <w:r>
                        <w:rPr>
                          <w:rFonts w:ascii="Calibri" w:hAnsi="Calibri"/>
                          <w:b/>
                          <w:noProof/>
                          <w:color w:val="000000"/>
                          <w:szCs w:val="15"/>
                          <w:lang w:val="en-US"/>
                        </w:rPr>
                        <w:t xml:space="preserve"> </w:t>
                      </w:r>
                      <w:r>
                        <w:rPr>
                          <w:rFonts w:ascii="Calibri-Bold" w:hAnsi="Calibri-Bold" w:cs="Calibri-Bold"/>
                          <w:b/>
                          <w:bCs/>
                          <w:szCs w:val="15"/>
                          <w:lang w:val="en-GB"/>
                        </w:rPr>
                        <w:t xml:space="preserve">· </w:t>
                      </w:r>
                      <w:r w:rsidRPr="00824197">
                        <w:rPr>
                          <w:rFonts w:ascii="Calibri" w:hAnsi="Calibri"/>
                          <w:b/>
                          <w:noProof/>
                          <w:color w:val="000000"/>
                          <w:szCs w:val="15"/>
                          <w:lang w:val="en-US"/>
                        </w:rPr>
                        <w:t>Swindon</w:t>
                      </w:r>
                      <w:r>
                        <w:rPr>
                          <w:rFonts w:ascii="Calibri" w:hAnsi="Calibri"/>
                          <w:b/>
                          <w:noProof/>
                          <w:color w:val="000000"/>
                          <w:szCs w:val="15"/>
                          <w:lang w:val="en-US"/>
                        </w:rPr>
                        <w:t xml:space="preserve"> </w:t>
                      </w:r>
                      <w:r>
                        <w:rPr>
                          <w:rFonts w:ascii="Calibri-Bold" w:hAnsi="Calibri-Bold" w:cs="Calibri-Bold"/>
                          <w:b/>
                          <w:bCs/>
                          <w:szCs w:val="15"/>
                          <w:lang w:val="en-GB"/>
                        </w:rPr>
                        <w:t>·</w:t>
                      </w:r>
                      <w:r>
                        <w:rPr>
                          <w:rFonts w:ascii="Calibri" w:hAnsi="Calibri"/>
                          <w:b/>
                          <w:noProof/>
                          <w:color w:val="000000"/>
                          <w:szCs w:val="15"/>
                          <w:lang w:val="en-US"/>
                        </w:rPr>
                        <w:t xml:space="preserve"> Wiltshire </w:t>
                      </w:r>
                      <w:r>
                        <w:rPr>
                          <w:rFonts w:ascii="Calibri-Bold" w:hAnsi="Calibri-Bold" w:cs="Calibri-Bold"/>
                          <w:b/>
                          <w:bCs/>
                          <w:szCs w:val="15"/>
                          <w:lang w:val="en-GB"/>
                        </w:rPr>
                        <w:t>·</w:t>
                      </w:r>
                      <w:r>
                        <w:rPr>
                          <w:rFonts w:ascii="Calibri" w:hAnsi="Calibri"/>
                          <w:b/>
                          <w:noProof/>
                          <w:color w:val="000000"/>
                          <w:szCs w:val="15"/>
                          <w:lang w:val="en-US"/>
                        </w:rPr>
                        <w:t xml:space="preserve"> </w:t>
                      </w:r>
                      <w:r w:rsidRPr="00824197">
                        <w:rPr>
                          <w:rFonts w:ascii="Calibri" w:hAnsi="Calibri"/>
                          <w:b/>
                          <w:noProof/>
                          <w:color w:val="000000"/>
                          <w:szCs w:val="15"/>
                          <w:lang w:val="en-US"/>
                        </w:rPr>
                        <w:t xml:space="preserve">SN5 </w:t>
                      </w:r>
                      <w:r>
                        <w:rPr>
                          <w:rFonts w:ascii="Calibri" w:hAnsi="Calibri"/>
                          <w:b/>
                          <w:noProof/>
                          <w:color w:val="000000"/>
                          <w:szCs w:val="15"/>
                          <w:lang w:val="en-US"/>
                        </w:rPr>
                        <w:t>6PB</w:t>
                      </w:r>
                    </w:p>
                    <w:p w:rsidR="004E5894" w:rsidRPr="00824197" w:rsidRDefault="004E5894" w:rsidP="00990FAD">
                      <w:pPr>
                        <w:pStyle w:val="Vorstandsleiste"/>
                        <w:rPr>
                          <w:noProof/>
                          <w:color w:val="000000"/>
                          <w:szCs w:val="15"/>
                          <w:lang w:val="en-GB"/>
                        </w:rPr>
                      </w:pPr>
                      <w:r w:rsidRPr="00824197">
                        <w:rPr>
                          <w:noProof/>
                          <w:color w:val="000000"/>
                          <w:szCs w:val="15"/>
                          <w:lang w:val="en-GB"/>
                        </w:rPr>
                        <w:t>Registered in England and Wales no. 2550622</w:t>
                      </w:r>
                    </w:p>
                  </w:txbxContent>
                </v:textbox>
                <w10:wrap type="through" anchorx="page" anchory="page"/>
              </v:shape>
            </w:pict>
          </mc:Fallback>
        </mc:AlternateContent>
      </w:r>
    </w:p>
    <w:sectPr w:rsidR="00B47BC5" w:rsidRPr="00F968FF" w:rsidSect="00B47BC5">
      <w:type w:val="continuous"/>
      <w:pgSz w:w="11907" w:h="16840" w:code="9"/>
      <w:pgMar w:top="2892" w:right="1134" w:bottom="1247" w:left="1418" w:header="2098" w:footer="124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894" w:rsidRDefault="004E5894">
      <w:r>
        <w:separator/>
      </w:r>
    </w:p>
  </w:endnote>
  <w:endnote w:type="continuationSeparator" w:id="0">
    <w:p w:rsidR="004E5894" w:rsidRDefault="004E5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94" w:rsidRPr="00BC351E" w:rsidRDefault="004E5894" w:rsidP="00765F68">
    <w:pPr>
      <w:tabs>
        <w:tab w:val="center" w:pos="4820"/>
      </w:tabs>
    </w:pP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94" w:rsidRPr="00765F68" w:rsidRDefault="004E5894" w:rsidP="00ED7EC7">
    <w:pPr>
      <w:pStyle w:val="Footer"/>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894" w:rsidRDefault="004E5894">
      <w:r>
        <w:separator/>
      </w:r>
    </w:p>
  </w:footnote>
  <w:footnote w:type="continuationSeparator" w:id="0">
    <w:p w:rsidR="004E5894" w:rsidRDefault="004E58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94" w:rsidRDefault="004E5894" w:rsidP="006612DA">
    <w:pPr>
      <w:pStyle w:val="innogySeitenangabe"/>
    </w:pPr>
    <w:r>
      <w:rPr>
        <w:lang w:val="en-GB" w:eastAsia="en-GB"/>
      </w:rPr>
      <mc:AlternateContent>
        <mc:Choice Requires="wps">
          <w:drawing>
            <wp:anchor distT="0" distB="0" distL="114300" distR="114300" simplePos="0" relativeHeight="251657216" behindDoc="0" locked="0" layoutInCell="1" allowOverlap="1" wp14:anchorId="01F1AFA8" wp14:editId="2FEC839E">
              <wp:simplePos x="0" y="0"/>
              <wp:positionH relativeFrom="page">
                <wp:posOffset>6084570</wp:posOffset>
              </wp:positionH>
              <wp:positionV relativeFrom="page">
                <wp:posOffset>396240</wp:posOffset>
              </wp:positionV>
              <wp:extent cx="792000" cy="1152000"/>
              <wp:effectExtent l="0" t="0" r="8255" b="0"/>
              <wp:wrapNone/>
              <wp:docPr id="4" name="Text Box 7" descr="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1152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E5894" w:rsidRDefault="004E5894" w:rsidP="006E4000">
                          <w:r>
                            <w:rPr>
                              <w:noProof/>
                              <w:lang w:val="en-GB" w:eastAsia="en-GB"/>
                            </w:rPr>
                            <w:drawing>
                              <wp:inline distT="0" distB="0" distL="0" distR="0" wp14:anchorId="178DEF9E" wp14:editId="3B2E44BC">
                                <wp:extent cx="790575" cy="1152525"/>
                                <wp:effectExtent l="0" t="0" r="9525" b="9525"/>
                                <wp:docPr id="6" name="Grafik 6" descr="I:\RWE-VORLAGEN\VERTEILUNG\Update-2016\Phoenix\Logos\innogy_logo_M_p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WE-VORLAGEN\VERTEILUNG\Update-2016\Phoenix\Logos\innogy_logo_M_p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11525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7" type="#_x0000_t202" alt="Logo" style="position:absolute;margin-left:479.1pt;margin-top:31.2pt;width:62.35pt;height:90.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" stroked="f" strokeweight="0">
              <v:textbox inset="0,0,0,0">
                <w:txbxContent>
                  <w:p w:rsidR="004E5894" w:rsidRDefault="004E5894" w:rsidP="006E4000">
                    <w:r>
                      <w:rPr>
                        <w:noProof/>
                        <w:lang w:val="en-GB" w:eastAsia="en-GB"/>
                      </w:rPr>
                      <w:drawing>
                        <wp:inline distT="0" distB="0" distL="0" distR="0" wp14:anchorId="178DEF9E" wp14:editId="3B2E44BC">
                          <wp:extent cx="790575" cy="1152525"/>
                          <wp:effectExtent l="0" t="0" r="9525" b="9525"/>
                          <wp:docPr id="6" name="Grafik 6" descr="I:\RWE-VORLAGEN\VERTEILUNG\Update-2016\Phoenix\Logos\innogy_logo_M_p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WE-VORLAGEN\VERTEILUNG\Update-2016\Phoenix\Logos\innogy_logo_M_p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1152525"/>
                                  </a:xfrm>
                                  <a:prstGeom prst="rect">
                                    <a:avLst/>
                                  </a:prstGeom>
                                  <a:noFill/>
                                  <a:ln>
                                    <a:noFill/>
                                  </a:ln>
                                </pic:spPr>
                              </pic:pic>
                            </a:graphicData>
                          </a:graphic>
                        </wp:inline>
                      </w:drawing>
                    </w:r>
                  </w:p>
                </w:txbxContent>
              </v:textbox>
              <w10:wrap anchorx="page" anchory="page"/>
            </v:shape>
          </w:pict>
        </mc:Fallback>
      </mc:AlternateContent>
    </w:r>
    <w:r>
      <w:t xml:space="preserve">Page </w:t>
    </w:r>
    <w:r>
      <w:fldChar w:fldCharType="begin"/>
    </w:r>
    <w:r>
      <w:instrText xml:space="preserve"> PAGE </w:instrText>
    </w:r>
    <w:r>
      <w:fldChar w:fldCharType="separate"/>
    </w:r>
    <w:r w:rsidR="00D266AF">
      <w:t>2</w:t>
    </w:r>
    <w:r>
      <w:fldChar w:fldCharType="end"/>
    </w:r>
    <w:r>
      <w:t>/</w:t>
    </w:r>
    <w:r>
      <w:fldChar w:fldCharType="begin"/>
    </w:r>
    <w:r>
      <w:instrText xml:space="preserve"> NUMPAGES </w:instrText>
    </w:r>
    <w:r>
      <w:fldChar w:fldCharType="separate"/>
    </w:r>
    <w:r w:rsidR="00D266AF">
      <w:t>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94" w:rsidRDefault="004E5894" w:rsidP="007F0B20">
    <w:pPr>
      <w:pStyle w:val="Header"/>
    </w:pPr>
  </w:p>
  <w:p w:rsidR="004E5894" w:rsidRDefault="004E5894" w:rsidP="007F0B20">
    <w:pPr>
      <w:pStyle w:val="Header"/>
    </w:pPr>
  </w:p>
  <w:p w:rsidR="004E5894" w:rsidRDefault="004E5894" w:rsidP="007F0B20">
    <w:pPr>
      <w:pStyle w:val="Header"/>
    </w:pPr>
  </w:p>
  <w:p w:rsidR="004E5894" w:rsidRDefault="004E5894" w:rsidP="007F0B20">
    <w:pPr>
      <w:pStyle w:val="Header"/>
    </w:pPr>
  </w:p>
  <w:p w:rsidR="004E5894" w:rsidRPr="00445BB9" w:rsidRDefault="004E5894" w:rsidP="008B77C9">
    <w:pPr>
      <w:pStyle w:val="innogyBetreffberschrift"/>
    </w:pPr>
    <w:bookmarkStart w:id="3" w:name="Fax"/>
    <w:bookmarkEnd w:id="3"/>
    <w:r>
      <w:rPr>
        <w:noProof/>
        <w:lang w:val="en-GB" w:eastAsia="en-GB"/>
      </w:rPr>
      <mc:AlternateContent>
        <mc:Choice Requires="wps">
          <w:drawing>
            <wp:anchor distT="0" distB="0" distL="114300" distR="114300" simplePos="0" relativeHeight="251659264" behindDoc="0" locked="0" layoutInCell="1" allowOverlap="0" wp14:anchorId="1F821819" wp14:editId="5CE33D70">
              <wp:simplePos x="0" y="0"/>
              <wp:positionH relativeFrom="page">
                <wp:posOffset>900430</wp:posOffset>
              </wp:positionH>
              <wp:positionV relativeFrom="page">
                <wp:posOffset>828040</wp:posOffset>
              </wp:positionV>
              <wp:extent cx="720000" cy="180000"/>
              <wp:effectExtent l="0" t="0" r="4445" b="0"/>
              <wp:wrapNone/>
              <wp:docPr id="1" name="Text Box 5" descr="Endorsemen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20000" cy="180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E5894" w:rsidRDefault="004E5894" w:rsidP="00380345">
                          <w:pPr>
                            <w:pStyle w:val="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alt="Endorsement" style="position:absolute;margin-left:70.9pt;margin-top:65.2pt;width:56.7pt;height:14.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" o:allowoverlap="f" stroked="f" strokeweight="0">
              <o:lock v:ext="edit" aspectratio="t"/>
              <v:textbox inset="0,0,0,0">
                <w:txbxContent>
                  <w:p w:rsidR="004E5894" w:rsidRDefault="004E5894" w:rsidP="00380345">
                    <w:pPr>
                      <w:pStyle w:val="Header"/>
                    </w:pP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56192" behindDoc="0" locked="0" layoutInCell="1" allowOverlap="1" wp14:anchorId="14B8E109" wp14:editId="139DC69A">
              <wp:simplePos x="0" y="0"/>
              <wp:positionH relativeFrom="page">
                <wp:posOffset>6084570</wp:posOffset>
              </wp:positionH>
              <wp:positionV relativeFrom="page">
                <wp:posOffset>396240</wp:posOffset>
              </wp:positionV>
              <wp:extent cx="792000" cy="1152000"/>
              <wp:effectExtent l="0" t="0" r="8255" b="0"/>
              <wp:wrapNone/>
              <wp:docPr id="2" name="Text Box 5" descr="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000" cy="1152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4E5894" w:rsidRDefault="004E5894" w:rsidP="006E4000">
                          <w:r>
                            <w:rPr>
                              <w:noProof/>
                              <w:lang w:val="en-GB" w:eastAsia="en-GB"/>
                            </w:rPr>
                            <w:drawing>
                              <wp:inline distT="0" distB="0" distL="0" distR="0" wp14:anchorId="35E81D1C" wp14:editId="24B19C48">
                                <wp:extent cx="790575" cy="1152525"/>
                                <wp:effectExtent l="0" t="0" r="9525" b="9525"/>
                                <wp:docPr id="5" name="Grafik 5" descr="I:\RWE-VORLAGEN\VERTEILUNG\Update-2016\Phoenix\Logos\innogy_logo_M_p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WE-VORLAGEN\VERTEILUNG\Update-2016\Phoenix\Logos\innogy_logo_M_p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1152525"/>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alt="Logo" style="position:absolute;margin-left:479.1pt;margin-top:31.2pt;width:62.35pt;height:90.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" stroked="f" strokeweight="0">
              <v:textbox inset="0,0,0,0">
                <w:txbxContent>
                  <w:p w:rsidR="004E5894" w:rsidRDefault="004E5894" w:rsidP="006E4000">
                    <w:r>
                      <w:rPr>
                        <w:noProof/>
                        <w:lang w:val="en-GB" w:eastAsia="en-GB"/>
                      </w:rPr>
                      <w:drawing>
                        <wp:inline distT="0" distB="0" distL="0" distR="0" wp14:anchorId="35E81D1C" wp14:editId="24B19C48">
                          <wp:extent cx="790575" cy="1152525"/>
                          <wp:effectExtent l="0" t="0" r="9525" b="9525"/>
                          <wp:docPr id="5" name="Grafik 5" descr="I:\RWE-VORLAGEN\VERTEILUNG\Update-2016\Phoenix\Logos\innogy_logo_M_p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WE-VORLAGEN\VERTEILUNG\Update-2016\Phoenix\Logos\innogy_logo_M_p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115252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950CD"/>
    <w:multiLevelType w:val="hybridMultilevel"/>
    <w:tmpl w:val="318AD1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8B18BA"/>
    <w:multiLevelType w:val="hybridMultilevel"/>
    <w:tmpl w:val="241EF6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85A04E5"/>
    <w:multiLevelType w:val="hybridMultilevel"/>
    <w:tmpl w:val="08E207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793B26D1"/>
    <w:multiLevelType w:val="hybridMultilevel"/>
    <w:tmpl w:val="9C608CD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ED5"/>
    <w:rsid w:val="00071F60"/>
    <w:rsid w:val="00082718"/>
    <w:rsid w:val="000970C6"/>
    <w:rsid w:val="000D6829"/>
    <w:rsid w:val="000E2114"/>
    <w:rsid w:val="001129F6"/>
    <w:rsid w:val="00147086"/>
    <w:rsid w:val="001564D9"/>
    <w:rsid w:val="001B0929"/>
    <w:rsid w:val="00220DED"/>
    <w:rsid w:val="00236361"/>
    <w:rsid w:val="00243403"/>
    <w:rsid w:val="0029358F"/>
    <w:rsid w:val="002A5B4C"/>
    <w:rsid w:val="002C5A7C"/>
    <w:rsid w:val="002F3357"/>
    <w:rsid w:val="002F4BE5"/>
    <w:rsid w:val="00377AA2"/>
    <w:rsid w:val="00380345"/>
    <w:rsid w:val="00386EB4"/>
    <w:rsid w:val="003874DC"/>
    <w:rsid w:val="003A5269"/>
    <w:rsid w:val="003D29DA"/>
    <w:rsid w:val="003E612D"/>
    <w:rsid w:val="00405304"/>
    <w:rsid w:val="00405953"/>
    <w:rsid w:val="0042138B"/>
    <w:rsid w:val="00434CA3"/>
    <w:rsid w:val="00445BB9"/>
    <w:rsid w:val="00445D8E"/>
    <w:rsid w:val="00453B47"/>
    <w:rsid w:val="00492D8D"/>
    <w:rsid w:val="004A5876"/>
    <w:rsid w:val="004C0CA0"/>
    <w:rsid w:val="004D1A4D"/>
    <w:rsid w:val="004E5894"/>
    <w:rsid w:val="004F1BC4"/>
    <w:rsid w:val="00502474"/>
    <w:rsid w:val="00517DE6"/>
    <w:rsid w:val="00547FEC"/>
    <w:rsid w:val="005D157B"/>
    <w:rsid w:val="005F4FA3"/>
    <w:rsid w:val="00614EF5"/>
    <w:rsid w:val="006556F3"/>
    <w:rsid w:val="006612DA"/>
    <w:rsid w:val="006652B0"/>
    <w:rsid w:val="00672F23"/>
    <w:rsid w:val="00676A99"/>
    <w:rsid w:val="0069269D"/>
    <w:rsid w:val="006C0ED5"/>
    <w:rsid w:val="006E4000"/>
    <w:rsid w:val="006E6F8E"/>
    <w:rsid w:val="006F441B"/>
    <w:rsid w:val="00710091"/>
    <w:rsid w:val="00712057"/>
    <w:rsid w:val="00733094"/>
    <w:rsid w:val="00747ABC"/>
    <w:rsid w:val="00765F68"/>
    <w:rsid w:val="00783F50"/>
    <w:rsid w:val="007F0B20"/>
    <w:rsid w:val="00820844"/>
    <w:rsid w:val="00824197"/>
    <w:rsid w:val="00825BFD"/>
    <w:rsid w:val="00893390"/>
    <w:rsid w:val="008A56D2"/>
    <w:rsid w:val="008B77C9"/>
    <w:rsid w:val="008C6B94"/>
    <w:rsid w:val="008D74AB"/>
    <w:rsid w:val="008E1CC5"/>
    <w:rsid w:val="009343DC"/>
    <w:rsid w:val="0094131B"/>
    <w:rsid w:val="00972DF8"/>
    <w:rsid w:val="00990FAD"/>
    <w:rsid w:val="009B1DE6"/>
    <w:rsid w:val="009E2DDD"/>
    <w:rsid w:val="009F1B70"/>
    <w:rsid w:val="00A353AC"/>
    <w:rsid w:val="00A74CB5"/>
    <w:rsid w:val="00A83100"/>
    <w:rsid w:val="00AB2A6F"/>
    <w:rsid w:val="00AC0ADA"/>
    <w:rsid w:val="00B050FC"/>
    <w:rsid w:val="00B47BC5"/>
    <w:rsid w:val="00B83D8E"/>
    <w:rsid w:val="00BB280C"/>
    <w:rsid w:val="00BC351E"/>
    <w:rsid w:val="00BD17E4"/>
    <w:rsid w:val="00BE53F4"/>
    <w:rsid w:val="00C042C9"/>
    <w:rsid w:val="00C9301F"/>
    <w:rsid w:val="00CA747D"/>
    <w:rsid w:val="00CE44A5"/>
    <w:rsid w:val="00CF6ACA"/>
    <w:rsid w:val="00D075D2"/>
    <w:rsid w:val="00D266AF"/>
    <w:rsid w:val="00D3342D"/>
    <w:rsid w:val="00D42FEB"/>
    <w:rsid w:val="00D51993"/>
    <w:rsid w:val="00E0743B"/>
    <w:rsid w:val="00E41B7B"/>
    <w:rsid w:val="00EB1339"/>
    <w:rsid w:val="00EC4FD6"/>
    <w:rsid w:val="00ED7EC7"/>
    <w:rsid w:val="00F56F5D"/>
    <w:rsid w:val="00F7559A"/>
    <w:rsid w:val="00F80829"/>
    <w:rsid w:val="00F968FF"/>
    <w:rsid w:val="00FB0B0C"/>
    <w:rsid w:val="00FF3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3DC"/>
    <w:rPr>
      <w:rFonts w:asciiTheme="minorHAnsi" w:hAnsiTheme="minorHAnsi"/>
      <w:sz w:val="22"/>
    </w:rPr>
  </w:style>
  <w:style w:type="paragraph" w:styleId="Heading1">
    <w:name w:val="heading 1"/>
    <w:basedOn w:val="Normal"/>
    <w:next w:val="Normal"/>
    <w:link w:val="Heading1Char"/>
    <w:uiPriority w:val="9"/>
    <w:qFormat/>
    <w:rsid w:val="009343DC"/>
    <w:pPr>
      <w:keepNext/>
      <w:keepLines/>
      <w:spacing w:before="48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3DC"/>
    <w:rPr>
      <w:rFonts w:asciiTheme="minorHAnsi" w:eastAsiaTheme="majorEastAsia" w:hAnsiTheme="minorHAnsi" w:cstheme="majorBidi"/>
      <w:b/>
      <w:bCs/>
      <w:color w:val="365F91" w:themeColor="accent1" w:themeShade="BF"/>
      <w:sz w:val="28"/>
      <w:szCs w:val="28"/>
    </w:rPr>
  </w:style>
  <w:style w:type="paragraph" w:styleId="Header">
    <w:name w:val="header"/>
    <w:basedOn w:val="Normal"/>
    <w:rsid w:val="00ED7EC7"/>
    <w:pPr>
      <w:tabs>
        <w:tab w:val="center" w:pos="4536"/>
        <w:tab w:val="right" w:pos="9072"/>
      </w:tabs>
    </w:pPr>
    <w:rPr>
      <w:rFonts w:ascii="Calibri Light" w:hAnsi="Calibri Light"/>
      <w:sz w:val="15"/>
    </w:rPr>
  </w:style>
  <w:style w:type="paragraph" w:styleId="Footer">
    <w:name w:val="footer"/>
    <w:basedOn w:val="Normal"/>
    <w:rsid w:val="00ED7EC7"/>
    <w:pPr>
      <w:tabs>
        <w:tab w:val="center" w:pos="4536"/>
        <w:tab w:val="right" w:pos="9072"/>
      </w:tabs>
    </w:pPr>
    <w:rPr>
      <w:rFonts w:ascii="Calibri Light" w:hAnsi="Calibri Light"/>
      <w:sz w:val="15"/>
    </w:rPr>
  </w:style>
  <w:style w:type="paragraph" w:customStyle="1" w:styleId="innogyFlietext">
    <w:name w:val="innogy Fließtext"/>
    <w:qFormat/>
    <w:rsid w:val="00377AA2"/>
    <w:pPr>
      <w:spacing w:line="264" w:lineRule="exact"/>
    </w:pPr>
    <w:rPr>
      <w:rFonts w:ascii="Calibri Light" w:hAnsi="Calibri Light"/>
      <w:sz w:val="22"/>
    </w:rPr>
  </w:style>
  <w:style w:type="paragraph" w:customStyle="1" w:styleId="innogyBetreffberschrift">
    <w:name w:val="innogy Betreff/Überschrift"/>
    <w:basedOn w:val="innogyFlietext"/>
    <w:qFormat/>
    <w:rsid w:val="00220DED"/>
    <w:rPr>
      <w:rFonts w:asciiTheme="minorHAnsi" w:hAnsiTheme="minorHAnsi"/>
      <w:b/>
    </w:rPr>
  </w:style>
  <w:style w:type="paragraph" w:customStyle="1" w:styleId="innogyFensterzeile">
    <w:name w:val="innogy Fensterzeile"/>
    <w:qFormat/>
    <w:rsid w:val="0094131B"/>
    <w:rPr>
      <w:rFonts w:ascii="Calibri Light" w:hAnsi="Calibri Light"/>
      <w:sz w:val="13"/>
    </w:rPr>
  </w:style>
  <w:style w:type="paragraph" w:customStyle="1" w:styleId="innogySeitenangabe">
    <w:name w:val="innogy Seitenangabe"/>
    <w:qFormat/>
    <w:rsid w:val="006612DA"/>
    <w:rPr>
      <w:rFonts w:ascii="Calibri Light" w:hAnsi="Calibri Light"/>
      <w:noProof/>
      <w:sz w:val="22"/>
    </w:rPr>
  </w:style>
  <w:style w:type="paragraph" w:customStyle="1" w:styleId="innogySparteOE">
    <w:name w:val="innogy Sparte/OE"/>
    <w:qFormat/>
    <w:rsid w:val="007F0B20"/>
    <w:rPr>
      <w:rFonts w:ascii="Calibri" w:hAnsi="Calibri"/>
      <w:b/>
      <w:sz w:val="22"/>
    </w:rPr>
  </w:style>
  <w:style w:type="paragraph" w:customStyle="1" w:styleId="innogyBezugtitel">
    <w:name w:val="innogy Bezugtitel"/>
    <w:qFormat/>
    <w:rsid w:val="00082718"/>
    <w:pPr>
      <w:spacing w:line="192" w:lineRule="exact"/>
    </w:pPr>
    <w:rPr>
      <w:rFonts w:ascii="Calibri Light" w:hAnsi="Calibri Light"/>
      <w:sz w:val="16"/>
    </w:rPr>
  </w:style>
  <w:style w:type="paragraph" w:customStyle="1" w:styleId="innogyBezugtext">
    <w:name w:val="innogy Bezugtext"/>
    <w:qFormat/>
    <w:rsid w:val="007F0B20"/>
    <w:pPr>
      <w:spacing w:line="192" w:lineRule="exact"/>
    </w:pPr>
    <w:rPr>
      <w:rFonts w:ascii="Calibri Light" w:hAnsi="Calibri Light"/>
      <w:sz w:val="16"/>
    </w:rPr>
  </w:style>
  <w:style w:type="paragraph" w:customStyle="1" w:styleId="innogyBezugtextberschrift">
    <w:name w:val="innogy Bezugtext Überschrift"/>
    <w:qFormat/>
    <w:rsid w:val="00D3342D"/>
    <w:pPr>
      <w:spacing w:line="264" w:lineRule="exact"/>
    </w:pPr>
    <w:rPr>
      <w:rFonts w:asciiTheme="minorHAnsi" w:hAnsiTheme="minorHAnsi"/>
      <w:b/>
      <w:sz w:val="22"/>
    </w:rPr>
  </w:style>
  <w:style w:type="paragraph" w:customStyle="1" w:styleId="Vorstandsleiste">
    <w:name w:val="Vorstandsleiste"/>
    <w:basedOn w:val="Normal"/>
    <w:link w:val="VorstandsleisteZchn"/>
    <w:rsid w:val="006C0ED5"/>
    <w:pPr>
      <w:tabs>
        <w:tab w:val="left" w:pos="170"/>
        <w:tab w:val="left" w:pos="5443"/>
        <w:tab w:val="left" w:pos="7881"/>
      </w:tabs>
      <w:spacing w:line="180" w:lineRule="exact"/>
    </w:pPr>
    <w:rPr>
      <w:rFonts w:ascii="Calibri Light" w:hAnsi="Calibri Light"/>
      <w:sz w:val="15"/>
    </w:rPr>
  </w:style>
  <w:style w:type="character" w:customStyle="1" w:styleId="VorstandsleisteZchn">
    <w:name w:val="Vorstandsleiste Zchn"/>
    <w:link w:val="Vorstandsleiste"/>
    <w:rsid w:val="006C0ED5"/>
    <w:rPr>
      <w:rFonts w:ascii="Calibri Light" w:hAnsi="Calibri Light"/>
      <w:sz w:val="15"/>
    </w:rPr>
  </w:style>
  <w:style w:type="paragraph" w:styleId="BalloonText">
    <w:name w:val="Balloon Text"/>
    <w:basedOn w:val="Normal"/>
    <w:link w:val="BalloonTextChar"/>
    <w:uiPriority w:val="99"/>
    <w:semiHidden/>
    <w:unhideWhenUsed/>
    <w:rsid w:val="006C0ED5"/>
    <w:rPr>
      <w:rFonts w:ascii="Tahoma" w:hAnsi="Tahoma" w:cs="Tahoma"/>
      <w:sz w:val="16"/>
      <w:szCs w:val="16"/>
    </w:rPr>
  </w:style>
  <w:style w:type="character" w:customStyle="1" w:styleId="BalloonTextChar">
    <w:name w:val="Balloon Text Char"/>
    <w:basedOn w:val="DefaultParagraphFont"/>
    <w:link w:val="BalloonText"/>
    <w:uiPriority w:val="99"/>
    <w:semiHidden/>
    <w:rsid w:val="006C0ED5"/>
    <w:rPr>
      <w:rFonts w:ascii="Tahoma" w:hAnsi="Tahoma" w:cs="Tahoma"/>
      <w:sz w:val="16"/>
      <w:szCs w:val="16"/>
    </w:rPr>
  </w:style>
  <w:style w:type="character" w:styleId="Hyperlink">
    <w:name w:val="Hyperlink"/>
    <w:basedOn w:val="DefaultParagraphFont"/>
    <w:uiPriority w:val="99"/>
    <w:unhideWhenUsed/>
    <w:rsid w:val="006E6F8E"/>
    <w:rPr>
      <w:color w:val="0000FF" w:themeColor="hyperlink"/>
      <w:u w:val="single"/>
    </w:rPr>
  </w:style>
  <w:style w:type="paragraph" w:customStyle="1" w:styleId="Default">
    <w:name w:val="Default"/>
    <w:rsid w:val="006E6F8E"/>
    <w:pPr>
      <w:autoSpaceDE w:val="0"/>
      <w:autoSpaceDN w:val="0"/>
      <w:adjustRightInd w:val="0"/>
    </w:pPr>
    <w:rPr>
      <w:rFonts w:ascii="Calibri" w:eastAsiaTheme="minorHAnsi" w:hAnsi="Calibri" w:cs="Calibri"/>
      <w:color w:val="000000"/>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3DC"/>
    <w:rPr>
      <w:rFonts w:asciiTheme="minorHAnsi" w:hAnsiTheme="minorHAnsi"/>
      <w:sz w:val="22"/>
    </w:rPr>
  </w:style>
  <w:style w:type="paragraph" w:styleId="Heading1">
    <w:name w:val="heading 1"/>
    <w:basedOn w:val="Normal"/>
    <w:next w:val="Normal"/>
    <w:link w:val="Heading1Char"/>
    <w:uiPriority w:val="9"/>
    <w:qFormat/>
    <w:rsid w:val="009343DC"/>
    <w:pPr>
      <w:keepNext/>
      <w:keepLines/>
      <w:spacing w:before="48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3DC"/>
    <w:rPr>
      <w:rFonts w:asciiTheme="minorHAnsi" w:eastAsiaTheme="majorEastAsia" w:hAnsiTheme="minorHAnsi" w:cstheme="majorBidi"/>
      <w:b/>
      <w:bCs/>
      <w:color w:val="365F91" w:themeColor="accent1" w:themeShade="BF"/>
      <w:sz w:val="28"/>
      <w:szCs w:val="28"/>
    </w:rPr>
  </w:style>
  <w:style w:type="paragraph" w:styleId="Header">
    <w:name w:val="header"/>
    <w:basedOn w:val="Normal"/>
    <w:rsid w:val="00ED7EC7"/>
    <w:pPr>
      <w:tabs>
        <w:tab w:val="center" w:pos="4536"/>
        <w:tab w:val="right" w:pos="9072"/>
      </w:tabs>
    </w:pPr>
    <w:rPr>
      <w:rFonts w:ascii="Calibri Light" w:hAnsi="Calibri Light"/>
      <w:sz w:val="15"/>
    </w:rPr>
  </w:style>
  <w:style w:type="paragraph" w:styleId="Footer">
    <w:name w:val="footer"/>
    <w:basedOn w:val="Normal"/>
    <w:rsid w:val="00ED7EC7"/>
    <w:pPr>
      <w:tabs>
        <w:tab w:val="center" w:pos="4536"/>
        <w:tab w:val="right" w:pos="9072"/>
      </w:tabs>
    </w:pPr>
    <w:rPr>
      <w:rFonts w:ascii="Calibri Light" w:hAnsi="Calibri Light"/>
      <w:sz w:val="15"/>
    </w:rPr>
  </w:style>
  <w:style w:type="paragraph" w:customStyle="1" w:styleId="innogyFlietext">
    <w:name w:val="innogy Fließtext"/>
    <w:qFormat/>
    <w:rsid w:val="00377AA2"/>
    <w:pPr>
      <w:spacing w:line="264" w:lineRule="exact"/>
    </w:pPr>
    <w:rPr>
      <w:rFonts w:ascii="Calibri Light" w:hAnsi="Calibri Light"/>
      <w:sz w:val="22"/>
    </w:rPr>
  </w:style>
  <w:style w:type="paragraph" w:customStyle="1" w:styleId="innogyBetreffberschrift">
    <w:name w:val="innogy Betreff/Überschrift"/>
    <w:basedOn w:val="innogyFlietext"/>
    <w:qFormat/>
    <w:rsid w:val="00220DED"/>
    <w:rPr>
      <w:rFonts w:asciiTheme="minorHAnsi" w:hAnsiTheme="minorHAnsi"/>
      <w:b/>
    </w:rPr>
  </w:style>
  <w:style w:type="paragraph" w:customStyle="1" w:styleId="innogyFensterzeile">
    <w:name w:val="innogy Fensterzeile"/>
    <w:qFormat/>
    <w:rsid w:val="0094131B"/>
    <w:rPr>
      <w:rFonts w:ascii="Calibri Light" w:hAnsi="Calibri Light"/>
      <w:sz w:val="13"/>
    </w:rPr>
  </w:style>
  <w:style w:type="paragraph" w:customStyle="1" w:styleId="innogySeitenangabe">
    <w:name w:val="innogy Seitenangabe"/>
    <w:qFormat/>
    <w:rsid w:val="006612DA"/>
    <w:rPr>
      <w:rFonts w:ascii="Calibri Light" w:hAnsi="Calibri Light"/>
      <w:noProof/>
      <w:sz w:val="22"/>
    </w:rPr>
  </w:style>
  <w:style w:type="paragraph" w:customStyle="1" w:styleId="innogySparteOE">
    <w:name w:val="innogy Sparte/OE"/>
    <w:qFormat/>
    <w:rsid w:val="007F0B20"/>
    <w:rPr>
      <w:rFonts w:ascii="Calibri" w:hAnsi="Calibri"/>
      <w:b/>
      <w:sz w:val="22"/>
    </w:rPr>
  </w:style>
  <w:style w:type="paragraph" w:customStyle="1" w:styleId="innogyBezugtitel">
    <w:name w:val="innogy Bezugtitel"/>
    <w:qFormat/>
    <w:rsid w:val="00082718"/>
    <w:pPr>
      <w:spacing w:line="192" w:lineRule="exact"/>
    </w:pPr>
    <w:rPr>
      <w:rFonts w:ascii="Calibri Light" w:hAnsi="Calibri Light"/>
      <w:sz w:val="16"/>
    </w:rPr>
  </w:style>
  <w:style w:type="paragraph" w:customStyle="1" w:styleId="innogyBezugtext">
    <w:name w:val="innogy Bezugtext"/>
    <w:qFormat/>
    <w:rsid w:val="007F0B20"/>
    <w:pPr>
      <w:spacing w:line="192" w:lineRule="exact"/>
    </w:pPr>
    <w:rPr>
      <w:rFonts w:ascii="Calibri Light" w:hAnsi="Calibri Light"/>
      <w:sz w:val="16"/>
    </w:rPr>
  </w:style>
  <w:style w:type="paragraph" w:customStyle="1" w:styleId="innogyBezugtextberschrift">
    <w:name w:val="innogy Bezugtext Überschrift"/>
    <w:qFormat/>
    <w:rsid w:val="00D3342D"/>
    <w:pPr>
      <w:spacing w:line="264" w:lineRule="exact"/>
    </w:pPr>
    <w:rPr>
      <w:rFonts w:asciiTheme="minorHAnsi" w:hAnsiTheme="minorHAnsi"/>
      <w:b/>
      <w:sz w:val="22"/>
    </w:rPr>
  </w:style>
  <w:style w:type="paragraph" w:customStyle="1" w:styleId="Vorstandsleiste">
    <w:name w:val="Vorstandsleiste"/>
    <w:basedOn w:val="Normal"/>
    <w:link w:val="VorstandsleisteZchn"/>
    <w:rsid w:val="006C0ED5"/>
    <w:pPr>
      <w:tabs>
        <w:tab w:val="left" w:pos="170"/>
        <w:tab w:val="left" w:pos="5443"/>
        <w:tab w:val="left" w:pos="7881"/>
      </w:tabs>
      <w:spacing w:line="180" w:lineRule="exact"/>
    </w:pPr>
    <w:rPr>
      <w:rFonts w:ascii="Calibri Light" w:hAnsi="Calibri Light"/>
      <w:sz w:val="15"/>
    </w:rPr>
  </w:style>
  <w:style w:type="character" w:customStyle="1" w:styleId="VorstandsleisteZchn">
    <w:name w:val="Vorstandsleiste Zchn"/>
    <w:link w:val="Vorstandsleiste"/>
    <w:rsid w:val="006C0ED5"/>
    <w:rPr>
      <w:rFonts w:ascii="Calibri Light" w:hAnsi="Calibri Light"/>
      <w:sz w:val="15"/>
    </w:rPr>
  </w:style>
  <w:style w:type="paragraph" w:styleId="BalloonText">
    <w:name w:val="Balloon Text"/>
    <w:basedOn w:val="Normal"/>
    <w:link w:val="BalloonTextChar"/>
    <w:uiPriority w:val="99"/>
    <w:semiHidden/>
    <w:unhideWhenUsed/>
    <w:rsid w:val="006C0ED5"/>
    <w:rPr>
      <w:rFonts w:ascii="Tahoma" w:hAnsi="Tahoma" w:cs="Tahoma"/>
      <w:sz w:val="16"/>
      <w:szCs w:val="16"/>
    </w:rPr>
  </w:style>
  <w:style w:type="character" w:customStyle="1" w:styleId="BalloonTextChar">
    <w:name w:val="Balloon Text Char"/>
    <w:basedOn w:val="DefaultParagraphFont"/>
    <w:link w:val="BalloonText"/>
    <w:uiPriority w:val="99"/>
    <w:semiHidden/>
    <w:rsid w:val="006C0ED5"/>
    <w:rPr>
      <w:rFonts w:ascii="Tahoma" w:hAnsi="Tahoma" w:cs="Tahoma"/>
      <w:sz w:val="16"/>
      <w:szCs w:val="16"/>
    </w:rPr>
  </w:style>
  <w:style w:type="character" w:styleId="Hyperlink">
    <w:name w:val="Hyperlink"/>
    <w:basedOn w:val="DefaultParagraphFont"/>
    <w:uiPriority w:val="99"/>
    <w:unhideWhenUsed/>
    <w:rsid w:val="006E6F8E"/>
    <w:rPr>
      <w:color w:val="0000FF" w:themeColor="hyperlink"/>
      <w:u w:val="single"/>
    </w:rPr>
  </w:style>
  <w:style w:type="paragraph" w:customStyle="1" w:styleId="Default">
    <w:name w:val="Default"/>
    <w:rsid w:val="006E6F8E"/>
    <w:pPr>
      <w:autoSpaceDE w:val="0"/>
      <w:autoSpaceDN w:val="0"/>
      <w:adjustRightInd w:val="0"/>
    </w:pPr>
    <w:rPr>
      <w:rFonts w:ascii="Calibri" w:eastAsiaTheme="minorHAnsi" w:hAnsi="Calibri" w:cs="Calibri"/>
      <w:color w:val="000000"/>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hn.brookes1@nationalgrid.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icola.percival@innogy.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1207</Words>
  <Characters>6317</Characters>
  <Application>Microsoft Office Word</Application>
  <DocSecurity>0</DocSecurity>
  <Lines>52</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Geschäftsbrief innogy</vt:lpstr>
      <vt:lpstr>Geschäftsbrief innogy</vt:lpstr>
    </vt:vector>
  </TitlesOfParts>
  <Company>RWE IT GmbH</Company>
  <LinksUpToDate>false</LinksUpToDate>
  <CharactersWithSpaces>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Geschäftsbrief innogy</dc:title>
  <dc:creator>Hielscher, Klaus-Peter</dc:creator>
  <dc:description>mit wahlweise Firmenlogo</dc:description>
  <cp:lastModifiedBy>Percival, Nicola</cp:lastModifiedBy>
  <cp:revision>5</cp:revision>
  <cp:lastPrinted>2016-08-22T12:29:00Z</cp:lastPrinted>
  <dcterms:created xsi:type="dcterms:W3CDTF">2017-06-24T19:01:00Z</dcterms:created>
  <dcterms:modified xsi:type="dcterms:W3CDTF">2017-06-29T14:24:00Z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ameVorstandsleiste">
    <vt:lpwstr>Zentrale Fußzeile (Std)</vt:lpwstr>
  </property>
  <property fmtid="{D5CDD505-2E9C-101B-9397-08002B2CF9AE}" pid="3" name="DatumOrgEinheit">
    <vt:lpwstr>19.08.2016 10:58:28</vt:lpwstr>
  </property>
</Properties>
</file>