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65EB" w:rsidR="006B69AD" w:rsidP="007A16CA" w:rsidRDefault="006F4236" w14:paraId="0B1C13ED" w14:textId="346BA067">
      <w:pPr>
        <w:pStyle w:val="DocumentTitle"/>
        <w:framePr w:w="7696" w:wrap="notBeside" w:x="1096" w:y="2341"/>
        <w:jc w:val="both"/>
        <w:rPr>
          <w:rFonts w:ascii="Poppins" w:hAnsi="Poppins" w:cs="Poppins"/>
          <w:color w:val="auto"/>
        </w:rPr>
      </w:pPr>
      <w:r>
        <w:rPr>
          <w:rFonts w:ascii="Poppins" w:hAnsi="Poppins" w:cs="Poppins"/>
          <w:color w:val="auto"/>
        </w:rPr>
        <w:t>Explanatory Document</w:t>
      </w:r>
    </w:p>
    <w:p w:rsidR="005F174D" w:rsidP="007A16CA" w:rsidRDefault="005F174D" w14:paraId="68D133E5" w14:textId="77777777">
      <w:pPr>
        <w:pStyle w:val="Heading2"/>
        <w:jc w:val="both"/>
        <w:rPr>
          <w:rFonts w:cs="Poppins"/>
        </w:rPr>
      </w:pPr>
    </w:p>
    <w:p w:rsidRPr="004365EB" w:rsidR="002D313A" w:rsidP="007A16CA" w:rsidRDefault="006F4236" w14:paraId="4F352338" w14:textId="59E60817">
      <w:pPr>
        <w:pStyle w:val="Heading2"/>
        <w:jc w:val="both"/>
        <w:rPr>
          <w:rFonts w:cs="Poppins"/>
        </w:rPr>
      </w:pPr>
      <w:r>
        <w:rPr>
          <w:rFonts w:cs="Poppins"/>
        </w:rPr>
        <w:t>Purpose of this document</w:t>
      </w:r>
    </w:p>
    <w:p w:rsidR="006F4236" w:rsidP="007A16CA" w:rsidRDefault="006F4236" w14:paraId="11DCC74D" w14:textId="0BB1C6A5">
      <w:pPr>
        <w:pStyle w:val="BodyText"/>
        <w:jc w:val="both"/>
      </w:pPr>
      <w:r>
        <w:t>This document provides the background information on the underlying principles within the Pricing Proposal (PP). We recommend reading this document alongside the PP.</w:t>
      </w:r>
    </w:p>
    <w:p w:rsidRPr="004365EB" w:rsidR="005F174D" w:rsidP="007A16CA" w:rsidRDefault="005F174D" w14:paraId="753A5544" w14:textId="77777777">
      <w:pPr>
        <w:pStyle w:val="BodyText"/>
        <w:jc w:val="both"/>
        <w:rPr>
          <w:rFonts w:cs="Poppins"/>
        </w:rPr>
      </w:pPr>
    </w:p>
    <w:p w:rsidRPr="004365EB" w:rsidR="002D313A" w:rsidP="007A16CA" w:rsidRDefault="006F4236" w14:paraId="21D6BA84" w14:textId="345DE213">
      <w:pPr>
        <w:pStyle w:val="Heading2"/>
        <w:jc w:val="both"/>
        <w:rPr>
          <w:rFonts w:cs="Poppins"/>
        </w:rPr>
      </w:pPr>
      <w:r>
        <w:rPr>
          <w:rFonts w:cs="Poppins"/>
        </w:rPr>
        <w:t>Context</w:t>
      </w:r>
    </w:p>
    <w:p w:rsidR="006F4236" w:rsidP="007A16CA" w:rsidRDefault="006F4236" w14:paraId="6295B97D" w14:textId="77777777">
      <w:pPr>
        <w:jc w:val="both"/>
        <w:rPr>
          <w:rFonts w:cs="Poppins"/>
          <w:color w:val="000000" w:themeColor="text1"/>
          <w:kern w:val="0"/>
          <w:sz w:val="20"/>
          <w:szCs w:val="20"/>
          <w14:ligatures w14:val="none"/>
        </w:rPr>
      </w:pPr>
      <w:r w:rsidRPr="006F4236">
        <w:rPr>
          <w:rFonts w:cs="Poppins"/>
          <w:color w:val="000000" w:themeColor="text1"/>
          <w:kern w:val="0"/>
          <w:sz w:val="20"/>
          <w:szCs w:val="20"/>
          <w14:ligatures w14:val="none"/>
        </w:rPr>
        <w:t xml:space="preserve">The CEP came into force in January 2020, and there have been on-going conversations with OFGEM since then regarding the applicability of the Article 6(4) to the different Balancing products in GB. </w:t>
      </w:r>
    </w:p>
    <w:p w:rsidR="006F4236" w:rsidP="007A16CA" w:rsidRDefault="006F4236" w14:paraId="20043194" w14:textId="77777777">
      <w:pPr>
        <w:jc w:val="both"/>
        <w:rPr>
          <w:rFonts w:cs="Poppins"/>
          <w:color w:val="000000" w:themeColor="text1"/>
          <w:kern w:val="0"/>
          <w:sz w:val="20"/>
          <w:szCs w:val="20"/>
          <w14:ligatures w14:val="none"/>
        </w:rPr>
      </w:pPr>
      <w:r w:rsidRPr="006F4236">
        <w:rPr>
          <w:rFonts w:cs="Poppins"/>
          <w:color w:val="000000" w:themeColor="text1"/>
          <w:kern w:val="0"/>
          <w:sz w:val="20"/>
          <w:szCs w:val="20"/>
          <w14:ligatures w14:val="none"/>
        </w:rPr>
        <w:t xml:space="preserve">The original interpretation of Article 6(4) was that only products that had been deemed specific through an EBGL Article 26 process were under the obligation to be PAC (unless derogated from the requirements). As such STOR and the BM were approved to remain PAB as they were designated as specific in line with the implementation framework for TERRE. </w:t>
      </w:r>
    </w:p>
    <w:p w:rsidR="006F4236" w:rsidP="007A16CA" w:rsidRDefault="006F4236" w14:paraId="2EEE6BFE" w14:textId="6442F2A1">
      <w:pPr>
        <w:jc w:val="both"/>
        <w:rPr>
          <w:rFonts w:cs="Poppins"/>
          <w:color w:val="000000" w:themeColor="text1"/>
          <w:kern w:val="0"/>
          <w:sz w:val="20"/>
          <w:szCs w:val="20"/>
          <w14:ligatures w14:val="none"/>
        </w:rPr>
      </w:pPr>
      <w:r w:rsidRPr="006F4236">
        <w:rPr>
          <w:rFonts w:cs="Poppins"/>
          <w:color w:val="000000" w:themeColor="text1"/>
          <w:kern w:val="0"/>
          <w:sz w:val="20"/>
          <w:szCs w:val="20"/>
          <w14:ligatures w14:val="none"/>
        </w:rPr>
        <w:t xml:space="preserve">All other Balancing products were deemed out of scope as they were not due to become specific until MARI was implemented, or there were no standard products to align them to (e.g. Frequency Response products). However, due to the changes following approval of Statutory Instrument 2020 No. </w:t>
      </w:r>
      <w:r w:rsidRPr="006F4236">
        <w:rPr>
          <w:rFonts w:cs="Poppins"/>
          <w:color w:val="000000" w:themeColor="text1"/>
          <w:kern w:val="0"/>
          <w:sz w:val="20"/>
          <w:szCs w:val="20"/>
          <w14:ligatures w14:val="none"/>
        </w:rPr>
        <w:t>10061</w:t>
      </w:r>
      <w:r w:rsidR="005F174D">
        <w:rPr>
          <w:rStyle w:val="FootnoteReference"/>
          <w:rFonts w:cs="Poppins"/>
          <w:color w:val="000000" w:themeColor="text1"/>
          <w:kern w:val="0"/>
          <w:sz w:val="20"/>
          <w:szCs w:val="20"/>
          <w14:ligatures w14:val="none"/>
        </w:rPr>
        <w:footnoteReference w:id="2"/>
      </w:r>
      <w:r w:rsidRPr="006F4236">
        <w:rPr>
          <w:rFonts w:cs="Poppins"/>
          <w:color w:val="000000" w:themeColor="text1"/>
          <w:kern w:val="0"/>
          <w:sz w:val="20"/>
          <w:szCs w:val="20"/>
          <w14:ligatures w14:val="none"/>
        </w:rPr>
        <w:t>,</w:t>
      </w:r>
      <w:r w:rsidRPr="006F4236">
        <w:rPr>
          <w:rFonts w:cs="Poppins"/>
          <w:color w:val="000000" w:themeColor="text1"/>
          <w:kern w:val="0"/>
          <w:sz w:val="20"/>
          <w:szCs w:val="20"/>
          <w14:ligatures w14:val="none"/>
        </w:rPr>
        <w:t xml:space="preserve"> all GB Balancing products are now deemed to be specific and as such should be PAC unless covered by a derogation or a PP. </w:t>
      </w:r>
    </w:p>
    <w:p w:rsidR="00A05374" w:rsidP="007A16CA" w:rsidRDefault="006F4236" w14:paraId="64D9AE56" w14:textId="4BC71145">
      <w:pPr>
        <w:jc w:val="both"/>
        <w:rPr>
          <w:rFonts w:cs="Poppins"/>
          <w:color w:val="000000" w:themeColor="text1"/>
          <w:kern w:val="0"/>
          <w:sz w:val="20"/>
          <w:szCs w:val="20"/>
          <w14:ligatures w14:val="none"/>
        </w:rPr>
      </w:pPr>
      <w:r w:rsidRPr="006F4236">
        <w:rPr>
          <w:rFonts w:cs="Poppins"/>
          <w:color w:val="000000" w:themeColor="text1"/>
          <w:kern w:val="0"/>
          <w:sz w:val="20"/>
          <w:szCs w:val="20"/>
          <w14:ligatures w14:val="none"/>
        </w:rPr>
        <w:t>Under the retained legislation it is possible to derogate separately for each Balancing product, or develop a PP. The intention of the PP is to develop a transparent methodology for how future Balancing products are developed and account for legacy products that are non-compliant to the requirements of Article 6(4). This will avoid the need for multiple derogations for legacy products that would be needed if the PP was not created.</w:t>
      </w:r>
    </w:p>
    <w:p w:rsidR="006F4236" w:rsidP="007A16CA" w:rsidRDefault="006F4236" w14:paraId="6AC521E4" w14:textId="77777777">
      <w:pPr>
        <w:jc w:val="both"/>
        <w:rPr>
          <w:rStyle w:val="HighlightAccent4"/>
          <w:rFonts w:cs="Poppins"/>
        </w:rPr>
      </w:pPr>
    </w:p>
    <w:p w:rsidR="005F174D" w:rsidP="007A16CA" w:rsidRDefault="005F174D" w14:paraId="47D3CA92" w14:textId="77777777">
      <w:pPr>
        <w:jc w:val="both"/>
        <w:rPr>
          <w:rStyle w:val="HighlightAccent4"/>
          <w:rFonts w:cs="Poppins"/>
        </w:rPr>
      </w:pPr>
    </w:p>
    <w:p w:rsidR="005F174D" w:rsidP="007A16CA" w:rsidRDefault="005F174D" w14:paraId="13DCAC0C" w14:textId="77777777">
      <w:pPr>
        <w:jc w:val="both"/>
        <w:rPr>
          <w:rStyle w:val="HighlightAccent4"/>
          <w:rFonts w:cs="Poppins"/>
        </w:rPr>
      </w:pPr>
    </w:p>
    <w:p w:rsidRPr="004365EB" w:rsidR="005F174D" w:rsidP="007A16CA" w:rsidRDefault="005F174D" w14:paraId="6C50C082" w14:textId="77777777">
      <w:pPr>
        <w:jc w:val="both"/>
        <w:rPr>
          <w:rStyle w:val="HighlightAccent4"/>
          <w:rFonts w:cs="Poppins"/>
        </w:rPr>
      </w:pPr>
    </w:p>
    <w:p w:rsidR="006F4236" w:rsidP="007A16CA" w:rsidRDefault="006F4236" w14:paraId="28058633" w14:textId="3305105B">
      <w:pPr>
        <w:pStyle w:val="Heading2"/>
        <w:jc w:val="both"/>
        <w:rPr>
          <w:rFonts w:cs="Poppins"/>
        </w:rPr>
      </w:pPr>
      <w:r>
        <w:rPr>
          <w:rFonts w:cs="Poppins"/>
        </w:rPr>
        <w:t>Pay as Bid vs Marginal Pricing (Pay as Cleared)</w:t>
      </w:r>
    </w:p>
    <w:p w:rsidRPr="006F4236" w:rsidR="006F4236" w:rsidP="007A16CA" w:rsidRDefault="006F4236" w14:paraId="1C56785F" w14:textId="71A004D4">
      <w:pPr>
        <w:pStyle w:val="BodyText"/>
        <w:jc w:val="both"/>
        <w:rPr>
          <w:b/>
          <w:bCs/>
        </w:rPr>
      </w:pPr>
      <w:r w:rsidRPr="006F4236">
        <w:rPr>
          <w:b/>
          <w:bCs/>
        </w:rPr>
        <w:t>What is the difference between Pay as Bid vs Pay as Cleared?</w:t>
      </w:r>
    </w:p>
    <w:p w:rsidRPr="004365EB" w:rsidR="000A730E" w:rsidP="007A16CA" w:rsidRDefault="000A730E" w14:paraId="0E020FEF" w14:textId="77777777">
      <w:pPr>
        <w:jc w:val="both"/>
        <w:rPr>
          <w:rStyle w:val="HighlightAccent4"/>
          <w:rFonts w:cs="Poppins"/>
        </w:rPr>
      </w:pPr>
    </w:p>
    <w:p w:rsidRPr="004365EB" w:rsidR="000A730E" w:rsidP="007A16CA" w:rsidRDefault="005F174D" w14:paraId="0029EC84" w14:textId="6794CC57">
      <w:pPr>
        <w:jc w:val="both"/>
        <w:rPr>
          <w:rStyle w:val="HighlightAccent4"/>
          <w:rFonts w:cs="Poppins"/>
          <w:sz w:val="24"/>
        </w:rPr>
      </w:pPr>
      <w:r>
        <w:rPr>
          <w:rStyle w:val="HighlightAccent4"/>
          <w:rFonts w:cs="Poppins"/>
          <w:noProof/>
          <w:sz w:val="24"/>
        </w:rPr>
        <w:drawing>
          <wp:inline distT="0" distB="0" distL="0" distR="0" wp14:anchorId="20A47A61" wp14:editId="10ECCD83">
            <wp:extent cx="6188075" cy="2554605"/>
            <wp:effectExtent l="0" t="0" r="3175" b="0"/>
            <wp:docPr id="1288020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075" cy="2554605"/>
                    </a:xfrm>
                    <a:prstGeom prst="rect">
                      <a:avLst/>
                    </a:prstGeom>
                    <a:noFill/>
                  </pic:spPr>
                </pic:pic>
              </a:graphicData>
            </a:graphic>
          </wp:inline>
        </w:drawing>
      </w:r>
    </w:p>
    <w:p w:rsidRPr="005F174D" w:rsidR="000A730E" w:rsidP="007A16CA" w:rsidRDefault="005F174D" w14:paraId="63632944" w14:textId="50C5F7FB">
      <w:pPr>
        <w:jc w:val="both"/>
        <w:rPr>
          <w:rStyle w:val="HighlightAccent4"/>
          <w:rFonts w:cs="Poppins"/>
          <w:i/>
          <w:iCs/>
          <w:sz w:val="16"/>
          <w:szCs w:val="16"/>
        </w:rPr>
      </w:pPr>
      <w:r w:rsidRPr="005F174D">
        <w:rPr>
          <w:i/>
          <w:iCs/>
          <w:sz w:val="16"/>
          <w:szCs w:val="16"/>
        </w:rPr>
        <w:t>Figure 1: Difference between Pay as Bid vs Pay as Cleared, ESO Webinar, 7 September 2021</w:t>
      </w:r>
    </w:p>
    <w:p w:rsidRPr="004365EB" w:rsidR="00EB2BC1" w:rsidP="007A16CA" w:rsidRDefault="00EB2BC1" w14:paraId="6E330113" w14:textId="77777777">
      <w:pPr>
        <w:jc w:val="both"/>
        <w:rPr>
          <w:rStyle w:val="HighlightAccent4"/>
          <w:rFonts w:cs="Poppins"/>
          <w:sz w:val="24"/>
        </w:rPr>
      </w:pPr>
    </w:p>
    <w:p w:rsidRPr="005F174D" w:rsidR="005F174D" w:rsidP="007A16CA" w:rsidRDefault="005F174D" w14:paraId="3942CEBC" w14:textId="77777777">
      <w:pPr>
        <w:jc w:val="both"/>
        <w:rPr>
          <w:sz w:val="20"/>
          <w:szCs w:val="20"/>
        </w:rPr>
      </w:pPr>
      <w:r w:rsidRPr="005F174D">
        <w:rPr>
          <w:sz w:val="20"/>
          <w:szCs w:val="20"/>
        </w:rPr>
        <w:t xml:space="preserve">For this we have used PAB as an example, as it is the most prevalent payment mechanism currently in the GB market. The regulation states that Alternative Payment Methods should be used. This does not exclusively mean PAB. </w:t>
      </w:r>
    </w:p>
    <w:p w:rsidRPr="005F174D" w:rsidR="005F174D" w:rsidP="007A16CA" w:rsidRDefault="005F174D" w14:paraId="546B3D76" w14:textId="77777777">
      <w:pPr>
        <w:jc w:val="both"/>
        <w:rPr>
          <w:sz w:val="20"/>
          <w:szCs w:val="20"/>
        </w:rPr>
      </w:pPr>
      <w:r w:rsidRPr="005F174D">
        <w:rPr>
          <w:sz w:val="20"/>
          <w:szCs w:val="20"/>
        </w:rPr>
        <w:t xml:space="preserve">Generally accepted economic theory suggests that in a competitive market, a PAB market and a PAC market should produce similar results for the following reasons: </w:t>
      </w:r>
    </w:p>
    <w:p w:rsidRPr="005F174D" w:rsidR="005F174D" w:rsidP="007A16CA" w:rsidRDefault="005F174D" w14:paraId="4FF713FF" w14:textId="17700BE4">
      <w:pPr>
        <w:pStyle w:val="ListParagraph"/>
        <w:numPr>
          <w:ilvl w:val="0"/>
          <w:numId w:val="123"/>
        </w:numPr>
        <w:jc w:val="both"/>
        <w:rPr>
          <w:rFonts w:cs="Poppins"/>
          <w:sz w:val="20"/>
          <w:szCs w:val="20"/>
          <w:shd w:val="clear" w:color="auto" w:fill="AEE07E" w:themeFill="accent5" w:themeFillTint="66"/>
        </w:rPr>
      </w:pPr>
      <w:r w:rsidRPr="005F174D">
        <w:rPr>
          <w:sz w:val="20"/>
          <w:szCs w:val="20"/>
        </w:rPr>
        <w:t xml:space="preserve">Under a PAB auction there is an incentive to bid at the price of the most expensive offer that is expected to be accepted – hence there is an incentive for providers to potentially bid above their short-run marginal cost. This maximises the money a party will receive, but if a party bids too </w:t>
      </w:r>
      <w:r w:rsidRPr="005F174D">
        <w:rPr>
          <w:sz w:val="20"/>
          <w:szCs w:val="20"/>
        </w:rPr>
        <w:t>high,</w:t>
      </w:r>
      <w:r w:rsidRPr="005F174D">
        <w:rPr>
          <w:sz w:val="20"/>
          <w:szCs w:val="20"/>
        </w:rPr>
        <w:t xml:space="preserve"> they will be ‘out of merit’ and so not accepted. </w:t>
      </w:r>
    </w:p>
    <w:p w:rsidRPr="005F174D" w:rsidR="005F174D" w:rsidP="007A16CA" w:rsidRDefault="005F174D" w14:paraId="43C34FAA" w14:textId="77777777">
      <w:pPr>
        <w:pStyle w:val="ListParagraph"/>
        <w:jc w:val="both"/>
        <w:rPr>
          <w:rFonts w:cs="Poppins"/>
          <w:sz w:val="20"/>
          <w:szCs w:val="20"/>
          <w:shd w:val="clear" w:color="auto" w:fill="AEE07E" w:themeFill="accent5" w:themeFillTint="66"/>
        </w:rPr>
      </w:pPr>
    </w:p>
    <w:p w:rsidRPr="005F174D" w:rsidR="005F174D" w:rsidP="007A16CA" w:rsidRDefault="005F174D" w14:paraId="7E3936D2" w14:textId="77777777">
      <w:pPr>
        <w:pStyle w:val="ListParagraph"/>
        <w:numPr>
          <w:ilvl w:val="0"/>
          <w:numId w:val="123"/>
        </w:numPr>
        <w:jc w:val="both"/>
        <w:rPr>
          <w:rFonts w:cs="Poppins"/>
          <w:sz w:val="20"/>
          <w:szCs w:val="20"/>
          <w:shd w:val="clear" w:color="auto" w:fill="AEE07E" w:themeFill="accent5" w:themeFillTint="66"/>
        </w:rPr>
      </w:pPr>
      <w:r w:rsidRPr="005F174D">
        <w:rPr>
          <w:sz w:val="20"/>
          <w:szCs w:val="20"/>
        </w:rPr>
        <w:t xml:space="preserve">In a PAC market, participants are automatically awarded the most expensive offer accepted, so there is an incentive to bid only at your short-run marginal cost, and participants will be paid the market clearing price. Participants bid enough to cover their costs, and the market determines if there is a need for surplus profit valuing the contribution of the product to the market. </w:t>
      </w:r>
    </w:p>
    <w:p w:rsidRPr="005F174D" w:rsidR="005F174D" w:rsidP="007A16CA" w:rsidRDefault="005F174D" w14:paraId="73F91417" w14:textId="77777777">
      <w:pPr>
        <w:pStyle w:val="ListParagraph"/>
        <w:jc w:val="both"/>
        <w:rPr>
          <w:sz w:val="20"/>
          <w:szCs w:val="20"/>
        </w:rPr>
      </w:pPr>
    </w:p>
    <w:p w:rsidR="005F174D" w:rsidP="007A16CA" w:rsidRDefault="005F174D" w14:paraId="5A746582" w14:textId="77777777">
      <w:pPr>
        <w:pStyle w:val="ListParagraph"/>
        <w:jc w:val="both"/>
        <w:rPr>
          <w:sz w:val="20"/>
          <w:szCs w:val="20"/>
        </w:rPr>
      </w:pPr>
      <w:r w:rsidRPr="005F174D">
        <w:rPr>
          <w:sz w:val="20"/>
          <w:szCs w:val="20"/>
        </w:rPr>
        <w:t xml:space="preserve">In this sense, a PAC market discovers the marginal cost of the Balancing Energy based on a merit order of individual short-run marginal costs and pays it to everyone. </w:t>
      </w:r>
    </w:p>
    <w:p w:rsidR="005F174D" w:rsidP="007A16CA" w:rsidRDefault="005F174D" w14:paraId="1548DED8" w14:textId="77777777">
      <w:pPr>
        <w:pStyle w:val="ListParagraph"/>
        <w:jc w:val="both"/>
        <w:rPr>
          <w:sz w:val="20"/>
          <w:szCs w:val="20"/>
        </w:rPr>
      </w:pPr>
      <w:r w:rsidRPr="005F174D">
        <w:rPr>
          <w:sz w:val="20"/>
          <w:szCs w:val="20"/>
        </w:rPr>
        <w:t xml:space="preserve">In a PAB auction, providers should say how much they are willing to accept, but there is an incentive to try and hit the marginal cost to maximise your profit. </w:t>
      </w:r>
    </w:p>
    <w:p w:rsidR="005F174D" w:rsidP="007A16CA" w:rsidRDefault="005F174D" w14:paraId="52ADA87E" w14:textId="77777777">
      <w:pPr>
        <w:pStyle w:val="ListParagraph"/>
        <w:jc w:val="both"/>
        <w:rPr>
          <w:sz w:val="20"/>
          <w:szCs w:val="20"/>
        </w:rPr>
      </w:pPr>
    </w:p>
    <w:p w:rsidR="005F174D" w:rsidP="007A16CA" w:rsidRDefault="005F174D" w14:paraId="3FB222B1" w14:textId="77777777">
      <w:pPr>
        <w:pStyle w:val="ListParagraph"/>
        <w:jc w:val="both"/>
        <w:rPr>
          <w:sz w:val="20"/>
          <w:szCs w:val="20"/>
        </w:rPr>
      </w:pPr>
      <w:r w:rsidRPr="005F174D">
        <w:rPr>
          <w:sz w:val="20"/>
          <w:szCs w:val="20"/>
        </w:rPr>
        <w:t xml:space="preserve">These conclusions are predicated on assumptions about the market structures being sufficiently competitive. Drawing from generally accepted economic theory, there are three key market criteria derived from elements of the model of perfect competition: </w:t>
      </w:r>
    </w:p>
    <w:p w:rsidRPr="005F174D" w:rsidR="005F174D" w:rsidP="007A16CA" w:rsidRDefault="005F174D" w14:paraId="7F9A057E" w14:textId="532D82BC">
      <w:pPr>
        <w:pStyle w:val="ListParagraph"/>
        <w:numPr>
          <w:ilvl w:val="0"/>
          <w:numId w:val="124"/>
        </w:numPr>
        <w:jc w:val="both"/>
        <w:rPr>
          <w:rFonts w:cs="Poppins"/>
          <w:sz w:val="20"/>
          <w:szCs w:val="20"/>
          <w:shd w:val="clear" w:color="auto" w:fill="AEE07E" w:themeFill="accent5" w:themeFillTint="66"/>
        </w:rPr>
      </w:pPr>
      <w:r w:rsidRPr="005F174D">
        <w:rPr>
          <w:sz w:val="20"/>
          <w:szCs w:val="20"/>
        </w:rPr>
        <w:t xml:space="preserve">There is a homogenous </w:t>
      </w:r>
      <w:r w:rsidRPr="005F174D">
        <w:rPr>
          <w:sz w:val="20"/>
          <w:szCs w:val="20"/>
        </w:rPr>
        <w:t>product.</w:t>
      </w:r>
      <w:r w:rsidRPr="005F174D">
        <w:rPr>
          <w:sz w:val="20"/>
          <w:szCs w:val="20"/>
        </w:rPr>
        <w:t xml:space="preserve"> </w:t>
      </w:r>
    </w:p>
    <w:p w:rsidRPr="005F174D" w:rsidR="005F174D" w:rsidP="007A16CA" w:rsidRDefault="005F174D" w14:paraId="3CA0C65F" w14:textId="77777777">
      <w:pPr>
        <w:pStyle w:val="ListParagraph"/>
        <w:numPr>
          <w:ilvl w:val="0"/>
          <w:numId w:val="124"/>
        </w:numPr>
        <w:jc w:val="both"/>
        <w:rPr>
          <w:rFonts w:cs="Poppins"/>
          <w:sz w:val="20"/>
          <w:szCs w:val="20"/>
          <w:shd w:val="clear" w:color="auto" w:fill="AEE07E" w:themeFill="accent5" w:themeFillTint="66"/>
        </w:rPr>
      </w:pPr>
      <w:r w:rsidRPr="005F174D">
        <w:rPr>
          <w:sz w:val="20"/>
          <w:szCs w:val="20"/>
        </w:rPr>
        <w:t xml:space="preserve"> There are sufficient levels of competition i.e. </w:t>
      </w:r>
      <w:proofErr w:type="gramStart"/>
      <w:r w:rsidRPr="005F174D">
        <w:rPr>
          <w:sz w:val="20"/>
          <w:szCs w:val="20"/>
        </w:rPr>
        <w:t>a large number of</w:t>
      </w:r>
      <w:proofErr w:type="gramEnd"/>
      <w:r w:rsidRPr="005F174D">
        <w:rPr>
          <w:sz w:val="20"/>
          <w:szCs w:val="20"/>
        </w:rPr>
        <w:t xml:space="preserve"> providers, with no party exercising market power; and </w:t>
      </w:r>
    </w:p>
    <w:p w:rsidRPr="005F174D" w:rsidR="005F174D" w:rsidP="007A16CA" w:rsidRDefault="005F174D" w14:paraId="7FF4FE7C" w14:textId="77777777">
      <w:pPr>
        <w:pStyle w:val="ListParagraph"/>
        <w:numPr>
          <w:ilvl w:val="0"/>
          <w:numId w:val="124"/>
        </w:numPr>
        <w:jc w:val="both"/>
        <w:rPr>
          <w:rFonts w:cs="Poppins"/>
          <w:sz w:val="20"/>
          <w:szCs w:val="20"/>
          <w:shd w:val="clear" w:color="auto" w:fill="AEE07E" w:themeFill="accent5" w:themeFillTint="66"/>
        </w:rPr>
      </w:pPr>
      <w:r w:rsidRPr="005F174D">
        <w:rPr>
          <w:sz w:val="20"/>
          <w:szCs w:val="20"/>
        </w:rPr>
        <w:t xml:space="preserve">There is full information about the market available to the parties </w:t>
      </w:r>
    </w:p>
    <w:p w:rsidR="00A31299" w:rsidP="007A16CA" w:rsidRDefault="005F174D" w14:paraId="2BB1273B" w14:textId="77777777">
      <w:pPr>
        <w:jc w:val="both"/>
        <w:rPr>
          <w:sz w:val="20"/>
          <w:szCs w:val="20"/>
        </w:rPr>
      </w:pPr>
      <w:r w:rsidRPr="005F174D">
        <w:rPr>
          <w:sz w:val="20"/>
          <w:szCs w:val="20"/>
        </w:rPr>
        <w:t xml:space="preserve">In a PAC market, it is expected that these conditions </w:t>
      </w:r>
      <w:proofErr w:type="gramStart"/>
      <w:r w:rsidRPr="005F174D">
        <w:rPr>
          <w:sz w:val="20"/>
          <w:szCs w:val="20"/>
        </w:rPr>
        <w:t>have to</w:t>
      </w:r>
      <w:proofErr w:type="gramEnd"/>
      <w:r w:rsidRPr="005F174D">
        <w:rPr>
          <w:sz w:val="20"/>
          <w:szCs w:val="20"/>
        </w:rPr>
        <w:t xml:space="preserve"> be present for the market to be more economically efficient that PAB. The electricity market previously operated on a PAC basis prior to NETA</w:t>
      </w:r>
      <w:r>
        <w:rPr>
          <w:rStyle w:val="FootnoteReference"/>
          <w:sz w:val="20"/>
          <w:szCs w:val="20"/>
        </w:rPr>
        <w:footnoteReference w:id="3"/>
      </w:r>
      <w:r>
        <w:rPr>
          <w:sz w:val="20"/>
          <w:szCs w:val="20"/>
        </w:rPr>
        <w:t>.</w:t>
      </w:r>
      <w:r w:rsidRPr="005F174D">
        <w:rPr>
          <w:sz w:val="20"/>
          <w:szCs w:val="20"/>
        </w:rPr>
        <w:t xml:space="preserve"> It was decided to move to a PAB basis on the justification that PAB could provide better economic signals, and that "when markets are broadly competitive, System Marginal Price and PAB produce similar results, but that when market power is evident, PAB can have advantages”</w:t>
      </w:r>
      <w:r>
        <w:rPr>
          <w:rStyle w:val="FootnoteReference"/>
          <w:sz w:val="20"/>
          <w:szCs w:val="20"/>
        </w:rPr>
        <w:footnoteReference w:id="4"/>
      </w:r>
      <w:r w:rsidR="00A31299">
        <w:rPr>
          <w:sz w:val="20"/>
          <w:szCs w:val="20"/>
        </w:rPr>
        <w:t>.</w:t>
      </w:r>
      <w:r w:rsidRPr="005F174D">
        <w:rPr>
          <w:sz w:val="20"/>
          <w:szCs w:val="20"/>
        </w:rPr>
        <w:t xml:space="preserve"> NETA also realised wholesale price reductions of 20-25%</w:t>
      </w:r>
      <w:r w:rsidR="00A31299">
        <w:rPr>
          <w:rStyle w:val="FootnoteReference"/>
          <w:sz w:val="20"/>
          <w:szCs w:val="20"/>
        </w:rPr>
        <w:footnoteReference w:id="5"/>
      </w:r>
      <w:r w:rsidRPr="005F174D">
        <w:rPr>
          <w:sz w:val="20"/>
          <w:szCs w:val="20"/>
        </w:rPr>
        <w:t xml:space="preserve">. As markets began to develop, it was evident that European Markets prefer a PAC mechanism, as illustrated by products such as MARI and Project TERRE, where the product is more homogenous, and more information is available to the multiple participants. There are also arguments to be made that PAC can lead to more efficient dispatch, and encourages smaller players within the market to participate, as the highest offer in the bid curve is accepted and paid to all participants, resulting in more commercially advantageous conditions for smaller parties, when compared to the PAB market. </w:t>
      </w:r>
    </w:p>
    <w:p w:rsidRPr="00A31299" w:rsidR="000A730E" w:rsidP="007A16CA" w:rsidRDefault="005F174D" w14:paraId="35BD294B" w14:textId="2C8955E6">
      <w:pPr>
        <w:jc w:val="both"/>
        <w:rPr>
          <w:rStyle w:val="HighlightAccent4"/>
          <w:rFonts w:cs="Poppins"/>
          <w:color w:val="auto"/>
          <w:sz w:val="20"/>
          <w:szCs w:val="20"/>
        </w:rPr>
      </w:pPr>
      <w:r w:rsidRPr="005F174D">
        <w:rPr>
          <w:sz w:val="20"/>
          <w:szCs w:val="20"/>
        </w:rPr>
        <w:t>For the purposes of the PP, we have attempted to define the market conditions criteria as per the below table.</w:t>
      </w:r>
    </w:p>
    <w:tbl>
      <w:tblPr>
        <w:tblStyle w:val="TableGrid0"/>
        <w:tblW w:w="10184" w:type="dxa"/>
        <w:tblInd w:w="12" w:type="dxa"/>
        <w:tblCellMar>
          <w:top w:w="25" w:type="dxa"/>
          <w:left w:w="106" w:type="dxa"/>
          <w:right w:w="115" w:type="dxa"/>
        </w:tblCellMar>
        <w:tblLook w:val="04A0" w:firstRow="1" w:lastRow="0" w:firstColumn="1" w:lastColumn="0" w:noHBand="0" w:noVBand="1"/>
      </w:tblPr>
      <w:tblGrid>
        <w:gridCol w:w="2838"/>
        <w:gridCol w:w="7346"/>
      </w:tblGrid>
      <w:tr w:rsidRPr="00A31299" w:rsidR="00A31299" w:rsidTr="00A31299" w14:paraId="59CCF2DC" w14:textId="77777777">
        <w:trPr>
          <w:trHeight w:val="416"/>
        </w:trPr>
        <w:tc>
          <w:tcPr>
            <w:tcW w:w="2838" w:type="dxa"/>
            <w:tcBorders>
              <w:top w:val="single" w:color="000000" w:sz="8" w:space="0"/>
              <w:left w:val="single" w:color="000000" w:sz="8" w:space="0"/>
              <w:bottom w:val="single" w:color="000000" w:sz="8" w:space="0"/>
              <w:right w:val="single" w:color="000000" w:sz="8" w:space="0"/>
            </w:tcBorders>
            <w:shd w:val="clear" w:color="auto" w:fill="7A3864" w:themeFill="accent2"/>
          </w:tcPr>
          <w:p w:rsidRPr="007A16CA" w:rsidR="00A31299" w:rsidP="007A16CA" w:rsidRDefault="00A31299" w14:paraId="62F5957E" w14:textId="77777777">
            <w:pPr>
              <w:spacing w:after="0"/>
              <w:jc w:val="both"/>
              <w:rPr>
                <w:b/>
                <w:bCs/>
                <w:sz w:val="20"/>
                <w:szCs w:val="20"/>
              </w:rPr>
            </w:pPr>
            <w:r w:rsidRPr="007A16CA">
              <w:rPr>
                <w:b/>
                <w:bCs/>
                <w:color w:val="FFFFFF" w:themeColor="background1"/>
                <w:sz w:val="20"/>
                <w:szCs w:val="20"/>
              </w:rPr>
              <w:t xml:space="preserve">Criteria </w:t>
            </w:r>
          </w:p>
        </w:tc>
        <w:tc>
          <w:tcPr>
            <w:tcW w:w="7346" w:type="dxa"/>
            <w:tcBorders>
              <w:top w:val="single" w:color="000000" w:sz="8" w:space="0"/>
              <w:left w:val="single" w:color="000000" w:sz="8" w:space="0"/>
              <w:bottom w:val="single" w:color="000000" w:sz="8" w:space="0"/>
              <w:right w:val="single" w:color="000000" w:sz="8" w:space="0"/>
            </w:tcBorders>
            <w:shd w:val="clear" w:color="auto" w:fill="7A3864" w:themeFill="accent2"/>
          </w:tcPr>
          <w:p w:rsidRPr="007A16CA" w:rsidR="00A31299" w:rsidP="007A16CA" w:rsidRDefault="00A31299" w14:paraId="0274E6F5" w14:textId="77777777">
            <w:pPr>
              <w:spacing w:after="0"/>
              <w:ind w:left="2"/>
              <w:jc w:val="both"/>
              <w:rPr>
                <w:b/>
                <w:bCs/>
                <w:sz w:val="20"/>
                <w:szCs w:val="20"/>
              </w:rPr>
            </w:pPr>
            <w:r w:rsidRPr="007A16CA">
              <w:rPr>
                <w:b/>
                <w:bCs/>
                <w:color w:val="FFFFFF" w:themeColor="background1"/>
                <w:sz w:val="20"/>
                <w:szCs w:val="20"/>
              </w:rPr>
              <w:t xml:space="preserve">Definition </w:t>
            </w:r>
          </w:p>
        </w:tc>
      </w:tr>
      <w:tr w:rsidRPr="00A31299" w:rsidR="00A31299" w:rsidTr="00A31299" w14:paraId="56C62717" w14:textId="77777777">
        <w:trPr>
          <w:trHeight w:val="728"/>
        </w:trPr>
        <w:tc>
          <w:tcPr>
            <w:tcW w:w="2838" w:type="dxa"/>
            <w:tcBorders>
              <w:top w:val="single" w:color="000000" w:sz="8" w:space="0"/>
              <w:left w:val="single" w:color="000000" w:sz="8" w:space="0"/>
              <w:bottom w:val="single" w:color="000000" w:sz="8" w:space="0"/>
              <w:right w:val="single" w:color="000000" w:sz="8" w:space="0"/>
            </w:tcBorders>
          </w:tcPr>
          <w:p w:rsidRPr="00A31299" w:rsidR="00A31299" w:rsidP="007A16CA" w:rsidRDefault="00A31299" w14:paraId="268DC20F" w14:textId="77777777">
            <w:pPr>
              <w:spacing w:after="0"/>
              <w:jc w:val="both"/>
              <w:rPr>
                <w:sz w:val="20"/>
                <w:szCs w:val="20"/>
              </w:rPr>
            </w:pPr>
            <w:r w:rsidRPr="00A31299">
              <w:rPr>
                <w:sz w:val="20"/>
                <w:szCs w:val="20"/>
              </w:rPr>
              <w:t xml:space="preserve">Homogeneity </w:t>
            </w:r>
          </w:p>
        </w:tc>
        <w:tc>
          <w:tcPr>
            <w:tcW w:w="7346" w:type="dxa"/>
            <w:tcBorders>
              <w:top w:val="single" w:color="000000" w:sz="8" w:space="0"/>
              <w:left w:val="single" w:color="000000" w:sz="8" w:space="0"/>
              <w:bottom w:val="single" w:color="000000" w:sz="8" w:space="0"/>
              <w:right w:val="single" w:color="000000" w:sz="8" w:space="0"/>
            </w:tcBorders>
          </w:tcPr>
          <w:p w:rsidRPr="00A31299" w:rsidR="00A31299" w:rsidP="007A16CA" w:rsidRDefault="00A31299" w14:paraId="275A85A7" w14:textId="77777777">
            <w:pPr>
              <w:spacing w:after="0"/>
              <w:ind w:left="722" w:hanging="360"/>
              <w:jc w:val="both"/>
              <w:rPr>
                <w:sz w:val="20"/>
                <w:szCs w:val="20"/>
              </w:rPr>
            </w:pPr>
            <w:r w:rsidRPr="00A31299">
              <w:rPr>
                <w:sz w:val="20"/>
                <w:szCs w:val="20"/>
              </w:rPr>
              <w:t xml:space="preserve">• </w:t>
            </w:r>
            <w:r w:rsidRPr="00A31299">
              <w:rPr>
                <w:sz w:val="20"/>
                <w:szCs w:val="20"/>
              </w:rPr>
              <w:tab/>
            </w:r>
            <w:r w:rsidRPr="00A31299">
              <w:rPr>
                <w:sz w:val="20"/>
                <w:szCs w:val="20"/>
              </w:rPr>
              <w:t xml:space="preserve">The product cannot be distinguished from the same product offered by different providers by the consumer (TSO). </w:t>
            </w:r>
          </w:p>
        </w:tc>
      </w:tr>
      <w:tr w:rsidRPr="00A31299" w:rsidR="00A31299" w:rsidTr="00A31299" w14:paraId="7A7036F4" w14:textId="77777777">
        <w:trPr>
          <w:trHeight w:val="727"/>
        </w:trPr>
        <w:tc>
          <w:tcPr>
            <w:tcW w:w="2838" w:type="dxa"/>
            <w:tcBorders>
              <w:top w:val="single" w:color="000000" w:sz="8" w:space="0"/>
              <w:left w:val="single" w:color="000000" w:sz="8" w:space="0"/>
              <w:bottom w:val="single" w:color="000000" w:sz="8" w:space="0"/>
              <w:right w:val="single" w:color="000000" w:sz="8" w:space="0"/>
            </w:tcBorders>
          </w:tcPr>
          <w:p w:rsidRPr="00A31299" w:rsidR="00A31299" w:rsidP="007A16CA" w:rsidRDefault="00A31299" w14:paraId="0AD68BE1" w14:textId="77777777">
            <w:pPr>
              <w:spacing w:after="0"/>
              <w:jc w:val="both"/>
              <w:rPr>
                <w:sz w:val="20"/>
                <w:szCs w:val="20"/>
              </w:rPr>
            </w:pPr>
            <w:r w:rsidRPr="00A31299">
              <w:rPr>
                <w:sz w:val="20"/>
                <w:szCs w:val="20"/>
              </w:rPr>
              <w:t xml:space="preserve">Full Information </w:t>
            </w:r>
          </w:p>
        </w:tc>
        <w:tc>
          <w:tcPr>
            <w:tcW w:w="7346" w:type="dxa"/>
            <w:tcBorders>
              <w:top w:val="single" w:color="000000" w:sz="8" w:space="0"/>
              <w:left w:val="single" w:color="000000" w:sz="8" w:space="0"/>
              <w:bottom w:val="single" w:color="000000" w:sz="8" w:space="0"/>
              <w:right w:val="single" w:color="000000" w:sz="8" w:space="0"/>
            </w:tcBorders>
          </w:tcPr>
          <w:p w:rsidRPr="00A31299" w:rsidR="00A31299" w:rsidP="007A16CA" w:rsidRDefault="00A31299" w14:paraId="63C0E724" w14:textId="77777777">
            <w:pPr>
              <w:spacing w:after="0"/>
              <w:ind w:left="722" w:hanging="360"/>
              <w:jc w:val="both"/>
              <w:rPr>
                <w:sz w:val="20"/>
                <w:szCs w:val="20"/>
              </w:rPr>
            </w:pPr>
            <w:r w:rsidRPr="00A31299">
              <w:rPr>
                <w:sz w:val="20"/>
                <w:szCs w:val="20"/>
              </w:rPr>
              <w:t xml:space="preserve">• </w:t>
            </w:r>
            <w:r w:rsidRPr="00A31299">
              <w:rPr>
                <w:sz w:val="20"/>
                <w:szCs w:val="20"/>
              </w:rPr>
              <w:tab/>
            </w:r>
            <w:r w:rsidRPr="00A31299">
              <w:rPr>
                <w:sz w:val="20"/>
                <w:szCs w:val="20"/>
              </w:rPr>
              <w:t xml:space="preserve">As much information as possible for the market in which the product is available is correct, transparent and available to all parties. </w:t>
            </w:r>
          </w:p>
        </w:tc>
      </w:tr>
      <w:tr w:rsidRPr="00A31299" w:rsidR="00A31299" w:rsidTr="00A31299" w14:paraId="5C00CD78" w14:textId="77777777">
        <w:trPr>
          <w:trHeight w:val="727"/>
        </w:trPr>
        <w:tc>
          <w:tcPr>
            <w:tcW w:w="2838" w:type="dxa"/>
            <w:tcBorders>
              <w:top w:val="single" w:color="000000" w:sz="8" w:space="0"/>
              <w:left w:val="single" w:color="000000" w:sz="8" w:space="0"/>
              <w:bottom w:val="single" w:color="000000" w:sz="8" w:space="0"/>
              <w:right w:val="single" w:color="000000" w:sz="8" w:space="0"/>
            </w:tcBorders>
          </w:tcPr>
          <w:p w:rsidRPr="00A31299" w:rsidR="00A31299" w:rsidP="007A16CA" w:rsidRDefault="00A31299" w14:paraId="003BF89E" w14:textId="6B51AE54">
            <w:pPr>
              <w:spacing w:after="0"/>
              <w:jc w:val="both"/>
              <w:rPr>
                <w:sz w:val="20"/>
                <w:szCs w:val="20"/>
              </w:rPr>
            </w:pPr>
            <w:r w:rsidRPr="00A31299">
              <w:rPr>
                <w:sz w:val="20"/>
                <w:szCs w:val="20"/>
              </w:rPr>
              <w:t>Competition</w:t>
            </w:r>
          </w:p>
        </w:tc>
        <w:tc>
          <w:tcPr>
            <w:tcW w:w="7346" w:type="dxa"/>
            <w:tcBorders>
              <w:top w:val="single" w:color="000000" w:sz="8" w:space="0"/>
              <w:left w:val="single" w:color="000000" w:sz="8" w:space="0"/>
              <w:bottom w:val="single" w:color="000000" w:sz="8" w:space="0"/>
              <w:right w:val="single" w:color="000000" w:sz="8" w:space="0"/>
            </w:tcBorders>
          </w:tcPr>
          <w:p w:rsidRPr="00A31299" w:rsidR="00A31299" w:rsidP="007A16CA" w:rsidRDefault="00A31299" w14:paraId="17BD80BF" w14:textId="0F6584BC">
            <w:pPr>
              <w:pStyle w:val="ListParagraph"/>
              <w:numPr>
                <w:ilvl w:val="0"/>
                <w:numId w:val="125"/>
              </w:numPr>
              <w:spacing w:after="0"/>
              <w:jc w:val="both"/>
              <w:rPr>
                <w:sz w:val="20"/>
                <w:szCs w:val="20"/>
              </w:rPr>
            </w:pPr>
            <w:r w:rsidRPr="00A31299">
              <w:rPr>
                <w:sz w:val="20"/>
                <w:szCs w:val="20"/>
              </w:rPr>
              <w:t>The market in which the product is in has competition and is not distorted by a single or dominant market participant.</w:t>
            </w:r>
          </w:p>
        </w:tc>
      </w:tr>
    </w:tbl>
    <w:p w:rsidR="00A31299" w:rsidP="007A16CA" w:rsidRDefault="00A31299" w14:paraId="276EC650" w14:textId="77777777">
      <w:pPr>
        <w:jc w:val="both"/>
        <w:rPr>
          <w:sz w:val="20"/>
          <w:szCs w:val="20"/>
        </w:rPr>
      </w:pPr>
      <w:r w:rsidRPr="00A31299">
        <w:rPr>
          <w:sz w:val="20"/>
          <w:szCs w:val="20"/>
        </w:rPr>
        <w:t xml:space="preserve">Consistent with our approach to this proposal, we are being guided by economic </w:t>
      </w:r>
      <w:r w:rsidRPr="00A31299">
        <w:rPr>
          <w:sz w:val="20"/>
          <w:szCs w:val="20"/>
        </w:rPr>
        <w:t>theory which</w:t>
      </w:r>
      <w:r w:rsidRPr="00A31299">
        <w:rPr>
          <w:sz w:val="20"/>
          <w:szCs w:val="20"/>
        </w:rPr>
        <w:t xml:space="preserve"> suggest that PAC is only more economically efficient than current Alternative Pricing Methodologies when the above criteria are in place. The criteria, definitions and quantifications of each are available in Section 2 of the PP. </w:t>
      </w:r>
    </w:p>
    <w:p w:rsidR="00A31299" w:rsidP="007A16CA" w:rsidRDefault="00A31299" w14:paraId="1A296EB7" w14:textId="77777777">
      <w:pPr>
        <w:jc w:val="both"/>
        <w:rPr>
          <w:sz w:val="20"/>
          <w:szCs w:val="20"/>
        </w:rPr>
      </w:pPr>
      <w:r w:rsidRPr="00A31299">
        <w:rPr>
          <w:b/>
          <w:bCs/>
          <w:sz w:val="20"/>
          <w:szCs w:val="20"/>
        </w:rPr>
        <w:t>Why are the parameters set out in the measures for homogeneity not limited to a certain number?</w:t>
      </w:r>
      <w:r w:rsidRPr="00A31299">
        <w:rPr>
          <w:sz w:val="20"/>
          <w:szCs w:val="20"/>
        </w:rPr>
        <w:t xml:space="preserve"> </w:t>
      </w:r>
    </w:p>
    <w:p w:rsidR="00A31299" w:rsidP="007A16CA" w:rsidRDefault="00A31299" w14:paraId="21699AAD" w14:textId="77777777">
      <w:pPr>
        <w:jc w:val="both"/>
        <w:rPr>
          <w:sz w:val="20"/>
          <w:szCs w:val="20"/>
        </w:rPr>
      </w:pPr>
      <w:r w:rsidRPr="00A31299">
        <w:rPr>
          <w:sz w:val="20"/>
          <w:szCs w:val="20"/>
        </w:rPr>
        <w:t xml:space="preserve">We are not limiting parameters as it may be possible in the future for other parameters to become more pertinent in helping to decide whether a product is homogenous or not. </w:t>
      </w:r>
    </w:p>
    <w:p w:rsidR="00A31299" w:rsidP="007A16CA" w:rsidRDefault="00A31299" w14:paraId="4F8568E8" w14:textId="77777777">
      <w:pPr>
        <w:jc w:val="both"/>
        <w:rPr>
          <w:sz w:val="20"/>
          <w:szCs w:val="20"/>
        </w:rPr>
      </w:pPr>
      <w:r w:rsidRPr="00A31299">
        <w:rPr>
          <w:b/>
          <w:bCs/>
          <w:sz w:val="20"/>
          <w:szCs w:val="20"/>
        </w:rPr>
        <w:t>Why are Alternative Pricing Methodologies more economically efficient in the current market?</w:t>
      </w:r>
      <w:r w:rsidRPr="00A31299">
        <w:rPr>
          <w:sz w:val="20"/>
          <w:szCs w:val="20"/>
        </w:rPr>
        <w:t xml:space="preserve"> </w:t>
      </w:r>
    </w:p>
    <w:p w:rsidR="00A31299" w:rsidP="007A16CA" w:rsidRDefault="00A31299" w14:paraId="124185F9" w14:textId="2F4CB791">
      <w:pPr>
        <w:jc w:val="both"/>
        <w:rPr>
          <w:sz w:val="20"/>
          <w:szCs w:val="20"/>
        </w:rPr>
      </w:pPr>
      <w:r w:rsidRPr="00A31299">
        <w:rPr>
          <w:sz w:val="20"/>
          <w:szCs w:val="20"/>
        </w:rPr>
        <w:t>Alternative Pricing Methodologies are more economically efficient for many GB specific products as the outlined market conditions are not met. This is particularly pertinent for longstanding products within the GB Market. In 2019, as part of a derogation against Article 6(4) of the Clean Energy Package for BM and STOR, the</w:t>
      </w:r>
      <w:r w:rsidRPr="00A31299">
        <w:rPr>
          <w:b/>
          <w:bCs/>
          <w:sz w:val="20"/>
          <w:szCs w:val="20"/>
        </w:rPr>
        <w:t xml:space="preserve"> </w:t>
      </w:r>
      <w:hyperlink w:history="1" r:id="rId12">
        <w:r w:rsidRPr="00A31299">
          <w:rPr>
            <w:rStyle w:val="Hyperlink"/>
            <w:b/>
            <w:bCs/>
            <w:sz w:val="20"/>
            <w:szCs w:val="20"/>
          </w:rPr>
          <w:t>ESO provided evidence to Ofgem</w:t>
        </w:r>
      </w:hyperlink>
      <w:r w:rsidRPr="00A31299">
        <w:rPr>
          <w:sz w:val="20"/>
          <w:szCs w:val="20"/>
        </w:rPr>
        <w:t xml:space="preserve"> that PAB should be retained for these products as it would be the most economic mechanism for each product. </w:t>
      </w:r>
    </w:p>
    <w:p w:rsidRPr="00A31299" w:rsidR="000A730E" w:rsidP="007A16CA" w:rsidRDefault="00A31299" w14:paraId="34E5F199" w14:textId="4C166585">
      <w:pPr>
        <w:jc w:val="both"/>
        <w:rPr>
          <w:rStyle w:val="HighlightAccent4"/>
          <w:rFonts w:cs="Poppins"/>
          <w:color w:val="auto"/>
          <w:sz w:val="20"/>
          <w:szCs w:val="20"/>
        </w:rPr>
      </w:pPr>
      <w:r w:rsidRPr="00A31299">
        <w:rPr>
          <w:sz w:val="20"/>
          <w:szCs w:val="20"/>
        </w:rPr>
        <w:t>Please see below examples.</w:t>
      </w:r>
    </w:p>
    <w:p w:rsidRPr="00A31299" w:rsidR="00A31299" w:rsidP="007A16CA" w:rsidRDefault="00A31299" w14:paraId="481F7331" w14:textId="7992F7D0">
      <w:pPr>
        <w:pStyle w:val="ListParagraph"/>
        <w:numPr>
          <w:ilvl w:val="0"/>
          <w:numId w:val="126"/>
        </w:numPr>
        <w:jc w:val="both"/>
        <w:rPr>
          <w:b/>
          <w:bCs/>
          <w:sz w:val="20"/>
          <w:szCs w:val="20"/>
        </w:rPr>
      </w:pPr>
      <w:r w:rsidRPr="00A31299">
        <w:rPr>
          <w:b/>
          <w:bCs/>
          <w:sz w:val="20"/>
          <w:szCs w:val="20"/>
        </w:rPr>
        <w:t xml:space="preserve">Balancing Mechanism </w:t>
      </w:r>
    </w:p>
    <w:p w:rsidR="00A31299" w:rsidP="007A16CA" w:rsidRDefault="00A31299" w14:paraId="55768643" w14:textId="71640174">
      <w:pPr>
        <w:ind w:left="360"/>
        <w:jc w:val="both"/>
        <w:rPr>
          <w:sz w:val="20"/>
          <w:szCs w:val="20"/>
        </w:rPr>
      </w:pPr>
      <w:r w:rsidRPr="00A31299">
        <w:rPr>
          <w:sz w:val="20"/>
          <w:szCs w:val="20"/>
        </w:rPr>
        <w:t>The ESO applied the three listed criteria to the Balancing Mechanism and found that it was not homogenous due to the fact it provided energy for both constraint and system management, that it was not possible to take the cheapest energy options on the system at any given time due to system configuration, and that there were different technical attributes for different Balancing Energy products (</w:t>
      </w:r>
      <w:proofErr w:type="spellStart"/>
      <w:r w:rsidRPr="00A31299">
        <w:rPr>
          <w:sz w:val="20"/>
          <w:szCs w:val="20"/>
        </w:rPr>
        <w:t>e.g</w:t>
      </w:r>
      <w:proofErr w:type="spellEnd"/>
      <w:r w:rsidRPr="00A31299">
        <w:rPr>
          <w:sz w:val="20"/>
          <w:szCs w:val="20"/>
        </w:rPr>
        <w:t xml:space="preserve"> longevity of energy, speed of response). The BM market was found to be sometimes competitive (the average (mean) value of the HHI is 2680. The median value was 2376, meaning that the market was moderately to highly concentrated), but there was evidence of periods in which the Balancing Mechanism was not competitive. It was also found that some larger players were impacting price - which also detracted from the competitiveness and homogeneity of the market as these large players would have a distortive impact on the market. In addition, it was found that market parties did not have the requisite level of information, as they do not know how much energy is required for a settlement period in advance, nor for what purpose. Furthermore, there was not enough information in the post event to classify as perfect information. Using historic data, NGESO showed that a move to PAC would result in higher cost of around £48M per annum. The BM fell short against all three criteria, as such the ESO successfully illustrated that Pay as Bid was the more suitable and efficient mechanism. </w:t>
      </w:r>
    </w:p>
    <w:p w:rsidR="00A31299" w:rsidP="007A16CA" w:rsidRDefault="00A31299" w14:paraId="10C3BDCF" w14:textId="77777777">
      <w:pPr>
        <w:ind w:left="360"/>
        <w:jc w:val="both"/>
        <w:rPr>
          <w:sz w:val="20"/>
          <w:szCs w:val="20"/>
        </w:rPr>
      </w:pPr>
    </w:p>
    <w:p w:rsidR="00A31299" w:rsidP="007A16CA" w:rsidRDefault="00A31299" w14:paraId="269F5AE0" w14:textId="77777777">
      <w:pPr>
        <w:ind w:left="360"/>
        <w:jc w:val="both"/>
        <w:rPr>
          <w:sz w:val="20"/>
          <w:szCs w:val="20"/>
        </w:rPr>
      </w:pPr>
    </w:p>
    <w:p w:rsidRPr="00A31299" w:rsidR="00A31299" w:rsidP="007A16CA" w:rsidRDefault="00A31299" w14:paraId="6DE078E1" w14:textId="578A46A6">
      <w:pPr>
        <w:pStyle w:val="ListParagraph"/>
        <w:numPr>
          <w:ilvl w:val="0"/>
          <w:numId w:val="126"/>
        </w:numPr>
        <w:jc w:val="both"/>
        <w:rPr>
          <w:b/>
          <w:bCs/>
          <w:sz w:val="20"/>
          <w:szCs w:val="20"/>
        </w:rPr>
      </w:pPr>
      <w:r w:rsidRPr="00A31299">
        <w:rPr>
          <w:b/>
          <w:bCs/>
          <w:sz w:val="20"/>
          <w:szCs w:val="20"/>
        </w:rPr>
        <w:t xml:space="preserve">STOR </w:t>
      </w:r>
    </w:p>
    <w:p w:rsidR="00A31299" w:rsidP="007A16CA" w:rsidRDefault="00A31299" w14:paraId="6E6BF36E" w14:textId="77777777">
      <w:pPr>
        <w:ind w:left="360"/>
        <w:jc w:val="both"/>
        <w:rPr>
          <w:sz w:val="20"/>
          <w:szCs w:val="20"/>
        </w:rPr>
      </w:pPr>
      <w:r w:rsidRPr="00A31299">
        <w:rPr>
          <w:sz w:val="20"/>
          <w:szCs w:val="20"/>
        </w:rPr>
        <w:t xml:space="preserve">The ESO applied the same three criteria to STOR. Whilst it concluded that STOR was a more homogenous product than the BM, it was noted that STOR also had some heterogenous aspects, arising from how the product is deployed. In terms of competition, STOR was found to draw its participants from a wider range when compared to the BM, with 86% of STOR energy volumes being drawn from non-BM providers. There were certain settlement periods where STOR measured 10,000 on the HHI index (periods where only one provider was used), but likewise, there were </w:t>
      </w:r>
      <w:proofErr w:type="gramStart"/>
      <w:r w:rsidRPr="00A31299">
        <w:rPr>
          <w:sz w:val="20"/>
          <w:szCs w:val="20"/>
        </w:rPr>
        <w:t>a number of</w:t>
      </w:r>
      <w:proofErr w:type="gramEnd"/>
      <w:r w:rsidRPr="00A31299">
        <w:rPr>
          <w:sz w:val="20"/>
          <w:szCs w:val="20"/>
        </w:rPr>
        <w:t xml:space="preserve"> periods which scored as low as 918, where multiple providers were used. The ESO concluded that given STOR is procured through a tender and that as a reserve product the volume can vary significantly, that there is sufficient evidence that it is relatively competitive. Available Information was also assessed, but whilst the ESO noted that there was a significant amount of information available post event, the pre-event market information was not at the same level. In conclusion, additional costs to the consumer of £14m per annum would be realised if STOR were to move to PAC. </w:t>
      </w:r>
    </w:p>
    <w:p w:rsidRPr="00A31299" w:rsidR="00A31299" w:rsidP="007A16CA" w:rsidRDefault="00A31299" w14:paraId="06B61B74" w14:textId="77777777">
      <w:pPr>
        <w:ind w:left="360"/>
        <w:jc w:val="both"/>
        <w:rPr>
          <w:b/>
          <w:bCs/>
          <w:sz w:val="20"/>
          <w:szCs w:val="20"/>
        </w:rPr>
      </w:pPr>
      <w:r w:rsidRPr="00A31299">
        <w:rPr>
          <w:b/>
          <w:bCs/>
          <w:sz w:val="20"/>
          <w:szCs w:val="20"/>
        </w:rPr>
        <w:t>Conclusion for BM &amp; STOR</w:t>
      </w:r>
    </w:p>
    <w:p w:rsidRPr="00A31299" w:rsidR="00EB2BC1" w:rsidP="007A16CA" w:rsidRDefault="00A31299" w14:paraId="74723BC4" w14:textId="6E3A2247">
      <w:pPr>
        <w:ind w:left="360"/>
        <w:jc w:val="both"/>
        <w:rPr>
          <w:rStyle w:val="HighlightAccent4"/>
          <w:rFonts w:cs="Poppins"/>
          <w:sz w:val="20"/>
          <w:szCs w:val="20"/>
        </w:rPr>
      </w:pPr>
      <w:r w:rsidRPr="00A31299">
        <w:rPr>
          <w:sz w:val="20"/>
          <w:szCs w:val="20"/>
        </w:rPr>
        <w:t>Both BM and STOR show that moving from PAB to PAC may be more expensive at this time, due to the market conditions not being met</w:t>
      </w:r>
    </w:p>
    <w:p w:rsidR="00A31299" w:rsidP="007A16CA" w:rsidRDefault="00A31299" w14:paraId="0A8269A7" w14:textId="77777777">
      <w:pPr>
        <w:jc w:val="both"/>
        <w:rPr>
          <w:sz w:val="20"/>
          <w:szCs w:val="20"/>
        </w:rPr>
      </w:pPr>
      <w:r w:rsidRPr="00A31299">
        <w:rPr>
          <w:sz w:val="20"/>
          <w:szCs w:val="20"/>
        </w:rPr>
        <w:t xml:space="preserve">The ESO is aware that any market conditions can change. This is particularly pertinent for newly developed products, so that the payment mechanism for a product can be developed to provide the most economic outcome, at that </w:t>
      </w:r>
      <w:proofErr w:type="gramStart"/>
      <w:r w:rsidRPr="00A31299">
        <w:rPr>
          <w:sz w:val="20"/>
          <w:szCs w:val="20"/>
        </w:rPr>
        <w:t>particular point</w:t>
      </w:r>
      <w:proofErr w:type="gramEnd"/>
      <w:r w:rsidRPr="00A31299">
        <w:rPr>
          <w:sz w:val="20"/>
          <w:szCs w:val="20"/>
        </w:rPr>
        <w:t xml:space="preserve"> in time </w:t>
      </w:r>
    </w:p>
    <w:p w:rsidRPr="00A31299" w:rsidR="000A730E" w:rsidP="007A16CA" w:rsidRDefault="00A31299" w14:paraId="5D6BCF74" w14:textId="2D1E9D39">
      <w:pPr>
        <w:jc w:val="both"/>
        <w:rPr>
          <w:rStyle w:val="HighlightAccent4"/>
          <w:rFonts w:cs="Poppins"/>
          <w:b/>
          <w:bCs/>
          <w:sz w:val="20"/>
          <w:szCs w:val="20"/>
        </w:rPr>
      </w:pPr>
      <w:r w:rsidRPr="00A31299">
        <w:rPr>
          <w:b/>
          <w:bCs/>
          <w:sz w:val="20"/>
          <w:szCs w:val="20"/>
        </w:rPr>
        <w:t>Examples of Alternative Payment Methods</w:t>
      </w:r>
    </w:p>
    <w:tbl>
      <w:tblPr>
        <w:tblStyle w:val="TableGrid0"/>
        <w:tblW w:w="9736" w:type="dxa"/>
        <w:tblInd w:w="6" w:type="dxa"/>
        <w:tblCellMar>
          <w:top w:w="11" w:type="dxa"/>
          <w:left w:w="107" w:type="dxa"/>
          <w:right w:w="115" w:type="dxa"/>
        </w:tblCellMar>
        <w:tblLook w:val="04A0" w:firstRow="1" w:lastRow="0" w:firstColumn="1" w:lastColumn="0" w:noHBand="0" w:noVBand="1"/>
      </w:tblPr>
      <w:tblGrid>
        <w:gridCol w:w="4867"/>
        <w:gridCol w:w="4869"/>
      </w:tblGrid>
      <w:tr w:rsidRPr="007A16CA" w:rsidR="007A16CA" w:rsidTr="007A16CA" w14:paraId="4E57386A" w14:textId="77777777">
        <w:trPr>
          <w:trHeight w:val="238"/>
        </w:trPr>
        <w:tc>
          <w:tcPr>
            <w:tcW w:w="4867" w:type="dxa"/>
            <w:tcBorders>
              <w:top w:val="single" w:color="000000" w:sz="4" w:space="0"/>
              <w:left w:val="single" w:color="000000" w:sz="4" w:space="0"/>
              <w:bottom w:val="single" w:color="000000" w:sz="4" w:space="0"/>
              <w:right w:val="single" w:color="000000" w:sz="4" w:space="0"/>
            </w:tcBorders>
            <w:shd w:val="clear" w:color="auto" w:fill="7A3864" w:themeFill="accent2"/>
          </w:tcPr>
          <w:p w:rsidRPr="007A16CA" w:rsidR="007A16CA" w:rsidP="007A16CA" w:rsidRDefault="007A16CA" w14:paraId="2522C3D0" w14:textId="77777777">
            <w:pPr>
              <w:spacing w:after="0"/>
              <w:jc w:val="both"/>
              <w:rPr>
                <w:sz w:val="20"/>
                <w:szCs w:val="20"/>
              </w:rPr>
            </w:pPr>
            <w:r w:rsidRPr="007A16CA">
              <w:rPr>
                <w:b/>
                <w:color w:val="FFFFFF" w:themeColor="background1"/>
                <w:sz w:val="20"/>
                <w:szCs w:val="20"/>
              </w:rPr>
              <w:t xml:space="preserve">Method </w:t>
            </w:r>
          </w:p>
        </w:tc>
        <w:tc>
          <w:tcPr>
            <w:tcW w:w="4869" w:type="dxa"/>
            <w:tcBorders>
              <w:top w:val="single" w:color="000000" w:sz="4" w:space="0"/>
              <w:left w:val="single" w:color="000000" w:sz="4" w:space="0"/>
              <w:bottom w:val="single" w:color="000000" w:sz="4" w:space="0"/>
              <w:right w:val="single" w:color="000000" w:sz="4" w:space="0"/>
            </w:tcBorders>
            <w:shd w:val="clear" w:color="auto" w:fill="7A3864" w:themeFill="accent2"/>
          </w:tcPr>
          <w:p w:rsidRPr="007A16CA" w:rsidR="007A16CA" w:rsidP="007A16CA" w:rsidRDefault="007A16CA" w14:paraId="41BEC34D" w14:textId="77777777">
            <w:pPr>
              <w:spacing w:after="0"/>
              <w:ind w:left="1"/>
              <w:jc w:val="both"/>
              <w:rPr>
                <w:sz w:val="20"/>
                <w:szCs w:val="20"/>
              </w:rPr>
            </w:pPr>
            <w:r w:rsidRPr="007A16CA">
              <w:rPr>
                <w:b/>
                <w:color w:val="FFFFFF" w:themeColor="background1"/>
                <w:sz w:val="20"/>
                <w:szCs w:val="20"/>
              </w:rPr>
              <w:t xml:space="preserve">Explanation </w:t>
            </w:r>
          </w:p>
        </w:tc>
      </w:tr>
      <w:tr w:rsidRPr="007A16CA" w:rsidR="007A16CA" w:rsidTr="00986FE0" w14:paraId="53B9DB2D" w14:textId="77777777">
        <w:trPr>
          <w:trHeight w:val="1160"/>
        </w:trPr>
        <w:tc>
          <w:tcPr>
            <w:tcW w:w="4867" w:type="dxa"/>
            <w:tcBorders>
              <w:top w:val="single" w:color="000000" w:sz="4" w:space="0"/>
              <w:left w:val="single" w:color="000000" w:sz="4" w:space="0"/>
              <w:bottom w:val="single" w:color="000000" w:sz="4" w:space="0"/>
              <w:right w:val="single" w:color="000000" w:sz="4" w:space="0"/>
            </w:tcBorders>
          </w:tcPr>
          <w:p w:rsidRPr="007A16CA" w:rsidR="007A16CA" w:rsidP="007A16CA" w:rsidRDefault="007A16CA" w14:paraId="031C1360" w14:textId="77777777">
            <w:pPr>
              <w:spacing w:after="0"/>
              <w:jc w:val="both"/>
              <w:rPr>
                <w:sz w:val="20"/>
                <w:szCs w:val="20"/>
              </w:rPr>
            </w:pPr>
            <w:r w:rsidRPr="007A16CA">
              <w:rPr>
                <w:sz w:val="20"/>
                <w:szCs w:val="20"/>
              </w:rPr>
              <w:t xml:space="preserve">Pay as Bid </w:t>
            </w:r>
          </w:p>
        </w:tc>
        <w:tc>
          <w:tcPr>
            <w:tcW w:w="4869" w:type="dxa"/>
            <w:tcBorders>
              <w:top w:val="single" w:color="000000" w:sz="4" w:space="0"/>
              <w:left w:val="single" w:color="000000" w:sz="4" w:space="0"/>
              <w:bottom w:val="single" w:color="000000" w:sz="4" w:space="0"/>
              <w:right w:val="single" w:color="000000" w:sz="4" w:space="0"/>
            </w:tcBorders>
          </w:tcPr>
          <w:p w:rsidRPr="007A16CA" w:rsidR="007A16CA" w:rsidP="007A16CA" w:rsidRDefault="007A16CA" w14:paraId="67200DAF" w14:textId="6DF202B8">
            <w:pPr>
              <w:spacing w:after="0"/>
              <w:ind w:left="1"/>
              <w:jc w:val="both"/>
              <w:rPr>
                <w:sz w:val="20"/>
                <w:szCs w:val="20"/>
              </w:rPr>
            </w:pPr>
            <w:r w:rsidRPr="007A16CA">
              <w:rPr>
                <w:sz w:val="20"/>
                <w:szCs w:val="20"/>
              </w:rPr>
              <w:t xml:space="preserve">Participants bid into the market and are selected on merit order. Cheapest bids are </w:t>
            </w:r>
            <w:r w:rsidRPr="007A16CA">
              <w:rPr>
                <w:sz w:val="20"/>
                <w:szCs w:val="20"/>
              </w:rPr>
              <w:t>taken,</w:t>
            </w:r>
            <w:r w:rsidRPr="007A16CA">
              <w:rPr>
                <w:sz w:val="20"/>
                <w:szCs w:val="20"/>
              </w:rPr>
              <w:t xml:space="preserve"> and participants are paid the amount that they bid in. This is the mechanism used for most current GB products. </w:t>
            </w:r>
          </w:p>
        </w:tc>
      </w:tr>
      <w:tr w:rsidRPr="007A16CA" w:rsidR="007A16CA" w:rsidTr="00986FE0" w14:paraId="5C09BE0C" w14:textId="77777777">
        <w:trPr>
          <w:trHeight w:val="1621"/>
        </w:trPr>
        <w:tc>
          <w:tcPr>
            <w:tcW w:w="4867" w:type="dxa"/>
            <w:tcBorders>
              <w:top w:val="single" w:color="000000" w:sz="4" w:space="0"/>
              <w:left w:val="single" w:color="000000" w:sz="4" w:space="0"/>
              <w:bottom w:val="single" w:color="000000" w:sz="4" w:space="0"/>
              <w:right w:val="single" w:color="000000" w:sz="4" w:space="0"/>
            </w:tcBorders>
          </w:tcPr>
          <w:p w:rsidRPr="007A16CA" w:rsidR="007A16CA" w:rsidP="007A16CA" w:rsidRDefault="007A16CA" w14:paraId="1C1A2DB5" w14:textId="77777777">
            <w:pPr>
              <w:spacing w:after="0"/>
              <w:jc w:val="both"/>
              <w:rPr>
                <w:sz w:val="20"/>
                <w:szCs w:val="20"/>
              </w:rPr>
            </w:pPr>
            <w:r w:rsidRPr="007A16CA">
              <w:rPr>
                <w:sz w:val="20"/>
                <w:szCs w:val="20"/>
              </w:rPr>
              <w:t xml:space="preserve">Index Linked Payment </w:t>
            </w:r>
          </w:p>
        </w:tc>
        <w:tc>
          <w:tcPr>
            <w:tcW w:w="4869" w:type="dxa"/>
            <w:tcBorders>
              <w:top w:val="single" w:color="000000" w:sz="4" w:space="0"/>
              <w:left w:val="single" w:color="000000" w:sz="4" w:space="0"/>
              <w:bottom w:val="single" w:color="000000" w:sz="4" w:space="0"/>
              <w:right w:val="single" w:color="000000" w:sz="4" w:space="0"/>
            </w:tcBorders>
          </w:tcPr>
          <w:p w:rsidRPr="007A16CA" w:rsidR="007A16CA" w:rsidP="007A16CA" w:rsidRDefault="007A16CA" w14:paraId="335842DC" w14:textId="77777777">
            <w:pPr>
              <w:spacing w:after="0"/>
              <w:ind w:left="1"/>
              <w:jc w:val="both"/>
              <w:rPr>
                <w:sz w:val="20"/>
                <w:szCs w:val="20"/>
              </w:rPr>
            </w:pPr>
            <w:r w:rsidRPr="007A16CA">
              <w:rPr>
                <w:sz w:val="20"/>
                <w:szCs w:val="20"/>
              </w:rPr>
              <w:t>The participant is paid based on the agreed strike price. The generator will also be compensated if the generation spread is negative, if positive, the positive spread will be deducted from the strike price. This method is referred to as index linked payments/contracts because the generation spread is calculated based on the outturn market indices.</w:t>
            </w:r>
            <w:r w:rsidRPr="007A16CA">
              <w:rPr>
                <w:rFonts w:ascii="Segoe UI" w:hAnsi="Segoe UI" w:eastAsia="Segoe UI" w:cs="Segoe UI"/>
                <w:color w:val="454545"/>
                <w:sz w:val="20"/>
                <w:szCs w:val="20"/>
              </w:rPr>
              <w:t xml:space="preserve"> </w:t>
            </w:r>
          </w:p>
        </w:tc>
      </w:tr>
    </w:tbl>
    <w:p w:rsidRPr="007A16CA" w:rsidR="000A730E" w:rsidP="007A16CA" w:rsidRDefault="000A730E" w14:paraId="0C027BB9" w14:textId="77777777">
      <w:pPr>
        <w:jc w:val="both"/>
        <w:rPr>
          <w:rStyle w:val="HighlightAccent4"/>
          <w:rFonts w:cs="Poppins"/>
          <w:sz w:val="20"/>
          <w:szCs w:val="20"/>
        </w:rPr>
      </w:pPr>
    </w:p>
    <w:p w:rsidRPr="004365EB" w:rsidR="007A16CA" w:rsidP="007A16CA" w:rsidRDefault="007A16CA" w14:paraId="4ED5379B" w14:textId="13AB1774">
      <w:pPr>
        <w:pStyle w:val="Heading2"/>
        <w:jc w:val="both"/>
        <w:rPr>
          <w:rFonts w:cs="Poppins"/>
        </w:rPr>
      </w:pPr>
      <w:r>
        <w:rPr>
          <w:rFonts w:cs="Poppins"/>
        </w:rPr>
        <w:t>Scope of the Pricing Proposal</w:t>
      </w:r>
    </w:p>
    <w:p w:rsidRPr="007A16CA" w:rsidR="007A16CA" w:rsidP="007A16CA" w:rsidRDefault="007A16CA" w14:paraId="4F3855C9" w14:textId="77777777">
      <w:pPr>
        <w:jc w:val="both"/>
        <w:rPr>
          <w:sz w:val="20"/>
          <w:szCs w:val="20"/>
        </w:rPr>
      </w:pPr>
      <w:r w:rsidRPr="007A16CA">
        <w:rPr>
          <w:sz w:val="20"/>
          <w:szCs w:val="20"/>
        </w:rPr>
        <w:t xml:space="preserve">Article 6(4) of the Clean Energy Package (CEP) obliges TSOs to settle Balancing Energy (utilisation) on a PAC basis for Standard and Specific Balancing products. As part of the consultation on this issue, we have listened to feedback from industry and produced the product table in Appendix B of the Pricing Proposal to outline which products are in scope, which are out of scope and what their current/planned payment mechanism will be. </w:t>
      </w:r>
    </w:p>
    <w:p w:rsidR="007A16CA" w:rsidP="007A16CA" w:rsidRDefault="007A16CA" w14:paraId="0281B452" w14:textId="77777777">
      <w:pPr>
        <w:jc w:val="both"/>
        <w:rPr>
          <w:sz w:val="20"/>
          <w:szCs w:val="20"/>
        </w:rPr>
      </w:pPr>
      <w:r w:rsidRPr="007A16CA">
        <w:rPr>
          <w:sz w:val="20"/>
          <w:szCs w:val="20"/>
        </w:rPr>
        <w:t xml:space="preserve">Please note that under this Proposal, all legacy products will remain on </w:t>
      </w:r>
      <w:r w:rsidRPr="007A16CA">
        <w:rPr>
          <w:sz w:val="20"/>
          <w:szCs w:val="20"/>
        </w:rPr>
        <w:t>an</w:t>
      </w:r>
      <w:r w:rsidRPr="007A16CA">
        <w:rPr>
          <w:sz w:val="20"/>
          <w:szCs w:val="20"/>
        </w:rPr>
        <w:t xml:space="preserve"> Alternative Payment Method, until such time as they are amended or replaced. This will be explained in more detail within the Assessment section of this document. There are currently no plans to reassess Legacy products as many of them will be phased out </w:t>
      </w:r>
      <w:proofErr w:type="gramStart"/>
      <w:r w:rsidRPr="007A16CA">
        <w:rPr>
          <w:sz w:val="20"/>
          <w:szCs w:val="20"/>
        </w:rPr>
        <w:t xml:space="preserve">in the near </w:t>
      </w:r>
      <w:r w:rsidRPr="007A16CA">
        <w:rPr>
          <w:sz w:val="20"/>
          <w:szCs w:val="20"/>
        </w:rPr>
        <w:t>future</w:t>
      </w:r>
      <w:proofErr w:type="gramEnd"/>
      <w:r w:rsidRPr="007A16CA">
        <w:rPr>
          <w:sz w:val="20"/>
          <w:szCs w:val="20"/>
        </w:rPr>
        <w:t xml:space="preserve"> or</w:t>
      </w:r>
      <w:r w:rsidRPr="007A16CA">
        <w:rPr>
          <w:sz w:val="20"/>
          <w:szCs w:val="20"/>
        </w:rPr>
        <w:t xml:space="preserve"> replaced with other products. </w:t>
      </w:r>
    </w:p>
    <w:p w:rsidR="007A16CA" w:rsidP="007A16CA" w:rsidRDefault="007A16CA" w14:paraId="3072E85C" w14:textId="77777777">
      <w:pPr>
        <w:jc w:val="both"/>
        <w:rPr>
          <w:sz w:val="20"/>
          <w:szCs w:val="20"/>
        </w:rPr>
      </w:pPr>
      <w:r w:rsidRPr="007A16CA">
        <w:rPr>
          <w:sz w:val="20"/>
          <w:szCs w:val="20"/>
        </w:rPr>
        <w:t xml:space="preserve">The ESO, following feedback from parties, believe that FCR products are in scope. </w:t>
      </w:r>
    </w:p>
    <w:p w:rsidR="007A16CA" w:rsidP="007A16CA" w:rsidRDefault="007A16CA" w14:paraId="5C657E51" w14:textId="77777777">
      <w:pPr>
        <w:jc w:val="both"/>
        <w:rPr>
          <w:sz w:val="20"/>
          <w:szCs w:val="20"/>
        </w:rPr>
      </w:pPr>
      <w:r w:rsidRPr="007A16CA">
        <w:rPr>
          <w:sz w:val="20"/>
          <w:szCs w:val="20"/>
        </w:rPr>
        <w:t xml:space="preserve">Our initial interpretation was that FCR were out of scope of 6(4) for 2 main reasons. </w:t>
      </w:r>
    </w:p>
    <w:p w:rsidRPr="007A16CA" w:rsidR="007A16CA" w:rsidP="007A16CA" w:rsidRDefault="007A16CA" w14:paraId="6E0B85D0" w14:textId="77777777">
      <w:pPr>
        <w:pStyle w:val="ListParagraph"/>
        <w:numPr>
          <w:ilvl w:val="0"/>
          <w:numId w:val="127"/>
        </w:numPr>
        <w:jc w:val="both"/>
        <w:rPr>
          <w:rFonts w:cs="Poppins"/>
          <w:sz w:val="20"/>
          <w:szCs w:val="20"/>
          <w:shd w:val="clear" w:color="auto" w:fill="AEE07E" w:themeFill="accent5" w:themeFillTint="66"/>
        </w:rPr>
      </w:pPr>
      <w:r w:rsidRPr="007A16CA">
        <w:rPr>
          <w:sz w:val="20"/>
          <w:szCs w:val="20"/>
        </w:rPr>
        <w:t xml:space="preserve">There was no standard product for them to align to (unlike RR and FRR products), which means that the conditions for PAC to be more efficient are unlikely to be present, and there was no process for them to be deemed Specific as a result. </w:t>
      </w:r>
    </w:p>
    <w:p w:rsidRPr="007A16CA" w:rsidR="007A16CA" w:rsidP="007A16CA" w:rsidRDefault="007A16CA" w14:paraId="2B1C453A" w14:textId="77777777">
      <w:pPr>
        <w:pStyle w:val="ListParagraph"/>
        <w:numPr>
          <w:ilvl w:val="0"/>
          <w:numId w:val="127"/>
        </w:numPr>
        <w:jc w:val="both"/>
        <w:rPr>
          <w:rFonts w:cs="Poppins"/>
          <w:sz w:val="20"/>
          <w:szCs w:val="20"/>
          <w:shd w:val="clear" w:color="auto" w:fill="AEE07E" w:themeFill="accent5" w:themeFillTint="66"/>
        </w:rPr>
      </w:pPr>
      <w:r w:rsidRPr="007A16CA">
        <w:rPr>
          <w:sz w:val="20"/>
          <w:szCs w:val="20"/>
        </w:rPr>
        <w:t xml:space="preserve">The original Acer PP also removed FCR products from the scope so aligning to this interpretation was sensible. </w:t>
      </w:r>
    </w:p>
    <w:p w:rsidR="007A16CA" w:rsidP="007A16CA" w:rsidRDefault="007A16CA" w14:paraId="78E0AAA7" w14:textId="77777777">
      <w:pPr>
        <w:jc w:val="both"/>
        <w:rPr>
          <w:sz w:val="20"/>
          <w:szCs w:val="20"/>
        </w:rPr>
      </w:pPr>
      <w:proofErr w:type="gramStart"/>
      <w:r w:rsidRPr="007A16CA">
        <w:rPr>
          <w:sz w:val="20"/>
          <w:szCs w:val="20"/>
        </w:rPr>
        <w:t>During the course of</w:t>
      </w:r>
      <w:proofErr w:type="gramEnd"/>
      <w:r w:rsidRPr="007A16CA">
        <w:rPr>
          <w:sz w:val="20"/>
          <w:szCs w:val="20"/>
        </w:rPr>
        <w:t xml:space="preserve"> the consultation, we had multiple sessions with stakeholders who provided a range of views on this. We have taken this feedback on board and </w:t>
      </w:r>
      <w:proofErr w:type="gramStart"/>
      <w:r w:rsidRPr="007A16CA">
        <w:rPr>
          <w:sz w:val="20"/>
          <w:szCs w:val="20"/>
        </w:rPr>
        <w:t>come to the conclusion</w:t>
      </w:r>
      <w:proofErr w:type="gramEnd"/>
      <w:r w:rsidRPr="007A16CA">
        <w:rPr>
          <w:sz w:val="20"/>
          <w:szCs w:val="20"/>
        </w:rPr>
        <w:t xml:space="preserve"> that FCR products should be within the scope of 6(4) for the below reasons:</w:t>
      </w:r>
    </w:p>
    <w:p w:rsidRPr="007A16CA" w:rsidR="007A16CA" w:rsidP="007A16CA" w:rsidRDefault="007A16CA" w14:paraId="7DB89BD4" w14:textId="77777777">
      <w:pPr>
        <w:pStyle w:val="ListParagraph"/>
        <w:numPr>
          <w:ilvl w:val="0"/>
          <w:numId w:val="128"/>
        </w:numPr>
        <w:jc w:val="both"/>
        <w:rPr>
          <w:rFonts w:cs="Poppins"/>
          <w:sz w:val="20"/>
          <w:szCs w:val="20"/>
          <w:shd w:val="clear" w:color="auto" w:fill="AEE07E" w:themeFill="accent5" w:themeFillTint="66"/>
        </w:rPr>
      </w:pPr>
      <w:r w:rsidRPr="007A16CA">
        <w:rPr>
          <w:sz w:val="20"/>
          <w:szCs w:val="20"/>
        </w:rPr>
        <w:t xml:space="preserve">FCR products are already compliant to the requirement. </w:t>
      </w:r>
    </w:p>
    <w:p w:rsidRPr="007A16CA" w:rsidR="007A16CA" w:rsidP="007A16CA" w:rsidRDefault="007A16CA" w14:paraId="7C214849" w14:textId="77777777">
      <w:pPr>
        <w:pStyle w:val="ListParagraph"/>
        <w:numPr>
          <w:ilvl w:val="0"/>
          <w:numId w:val="128"/>
        </w:numPr>
        <w:jc w:val="both"/>
        <w:rPr>
          <w:rFonts w:cs="Poppins"/>
          <w:sz w:val="20"/>
          <w:szCs w:val="20"/>
          <w:shd w:val="clear" w:color="auto" w:fill="AEE07E" w:themeFill="accent5" w:themeFillTint="66"/>
        </w:rPr>
      </w:pPr>
      <w:r w:rsidRPr="007A16CA">
        <w:rPr>
          <w:sz w:val="20"/>
          <w:szCs w:val="20"/>
        </w:rPr>
        <w:t xml:space="preserve">Given the change in legislation from the Statutory Instruments, all GB balancing products are now Specific, and thus FCR products now come under the scope of 6(4). </w:t>
      </w:r>
    </w:p>
    <w:p w:rsidRPr="007A16CA" w:rsidR="007A16CA" w:rsidP="007A16CA" w:rsidRDefault="007A16CA" w14:paraId="4128F87A" w14:textId="77777777">
      <w:pPr>
        <w:pStyle w:val="ListParagraph"/>
        <w:numPr>
          <w:ilvl w:val="0"/>
          <w:numId w:val="128"/>
        </w:numPr>
        <w:jc w:val="both"/>
        <w:rPr>
          <w:rFonts w:cs="Poppins"/>
          <w:sz w:val="20"/>
          <w:szCs w:val="20"/>
          <w:shd w:val="clear" w:color="auto" w:fill="AEE07E" w:themeFill="accent5" w:themeFillTint="66"/>
        </w:rPr>
      </w:pPr>
      <w:r w:rsidRPr="007A16CA">
        <w:rPr>
          <w:sz w:val="20"/>
          <w:szCs w:val="20"/>
        </w:rPr>
        <w:t xml:space="preserve">When developing new balancing products (regardless of the type), we go through a process whereby the most efficient payment mechanism is explored. The PP provides a clear and transparent process for this. </w:t>
      </w:r>
    </w:p>
    <w:p w:rsidRPr="007A16CA" w:rsidR="000A730E" w:rsidP="007A16CA" w:rsidRDefault="007A16CA" w14:paraId="7EB4505B" w14:textId="4AB2C53C">
      <w:pPr>
        <w:jc w:val="both"/>
        <w:rPr>
          <w:rStyle w:val="HighlightAccent4"/>
          <w:rFonts w:cs="Poppins"/>
          <w:color w:val="auto"/>
          <w:sz w:val="20"/>
          <w:szCs w:val="20"/>
        </w:rPr>
      </w:pPr>
      <w:r w:rsidRPr="0A2550C6" w:rsidR="007A16CA">
        <w:rPr>
          <w:sz w:val="20"/>
          <w:szCs w:val="20"/>
        </w:rPr>
        <w:t xml:space="preserve">The scope table has been changed from </w:t>
      </w:r>
      <w:r w:rsidRPr="0A2550C6" w:rsidR="007A16CA">
        <w:rPr>
          <w:sz w:val="20"/>
          <w:szCs w:val="20"/>
        </w:rPr>
        <w:t>previous</w:t>
      </w:r>
      <w:r w:rsidRPr="0A2550C6" w:rsidR="007A16CA">
        <w:rPr>
          <w:sz w:val="20"/>
          <w:szCs w:val="20"/>
        </w:rPr>
        <w:t xml:space="preserve"> iterations published as part of the consultation process to reflect </w:t>
      </w:r>
      <w:r w:rsidRPr="0A2550C6" w:rsidR="204C5D15">
        <w:rPr>
          <w:sz w:val="20"/>
          <w:szCs w:val="20"/>
        </w:rPr>
        <w:t>this and</w:t>
      </w:r>
      <w:r w:rsidRPr="0A2550C6" w:rsidR="007A16CA">
        <w:rPr>
          <w:sz w:val="20"/>
          <w:szCs w:val="20"/>
        </w:rPr>
        <w:t xml:space="preserve"> is available at Annex B of the Pricing </w:t>
      </w:r>
      <w:r w:rsidRPr="0A2550C6" w:rsidR="4C44C139">
        <w:rPr>
          <w:sz w:val="20"/>
          <w:szCs w:val="20"/>
        </w:rPr>
        <w:t>Proposal.</w:t>
      </w:r>
      <w:r w:rsidRPr="0A2550C6" w:rsidR="007A16CA">
        <w:rPr>
          <w:sz w:val="20"/>
          <w:szCs w:val="20"/>
        </w:rPr>
        <w:t xml:space="preserve"> The reasoning behind this is that FCR products should not be treated differently to other balancing </w:t>
      </w:r>
      <w:r w:rsidRPr="0A2550C6" w:rsidR="1A06C2F7">
        <w:rPr>
          <w:sz w:val="20"/>
          <w:szCs w:val="20"/>
        </w:rPr>
        <w:t>products and</w:t>
      </w:r>
      <w:r w:rsidRPr="0A2550C6" w:rsidR="007A16CA">
        <w:rPr>
          <w:sz w:val="20"/>
          <w:szCs w:val="20"/>
        </w:rPr>
        <w:t xml:space="preserve"> go through the same process as other balancing products. It would therefore make sense, </w:t>
      </w:r>
      <w:r w:rsidRPr="0A2550C6" w:rsidR="007A16CA">
        <w:rPr>
          <w:sz w:val="20"/>
          <w:szCs w:val="20"/>
        </w:rPr>
        <w:t>and also</w:t>
      </w:r>
      <w:r w:rsidRPr="0A2550C6" w:rsidR="007A16CA">
        <w:rPr>
          <w:sz w:val="20"/>
          <w:szCs w:val="20"/>
        </w:rPr>
        <w:t xml:space="preserve"> </w:t>
      </w:r>
      <w:r w:rsidRPr="0A2550C6" w:rsidR="007A16CA">
        <w:rPr>
          <w:sz w:val="20"/>
          <w:szCs w:val="20"/>
        </w:rPr>
        <w:t>attain</w:t>
      </w:r>
      <w:r w:rsidRPr="0A2550C6" w:rsidR="007A16CA">
        <w:rPr>
          <w:sz w:val="20"/>
          <w:szCs w:val="20"/>
        </w:rPr>
        <w:t xml:space="preserve"> compliance, by including them within the scope of this Pricing Proposal. Please note that the new suite of Dynamic FCR products is compliant with the regulation as they are settled on a PAC basis.</w:t>
      </w:r>
    </w:p>
    <w:p w:rsidRPr="004365EB" w:rsidR="00F4613D" w:rsidP="007A16CA" w:rsidRDefault="00F4613D" w14:paraId="667BC0F9" w14:textId="77777777">
      <w:pPr>
        <w:jc w:val="both"/>
        <w:rPr>
          <w:rFonts w:cs="Poppins"/>
          <w:sz w:val="24"/>
        </w:rPr>
      </w:pPr>
    </w:p>
    <w:p w:rsidRPr="007A16CA" w:rsidR="007A16CA" w:rsidP="007A16CA" w:rsidRDefault="007A16CA" w14:paraId="01769429" w14:textId="77777777">
      <w:pPr>
        <w:jc w:val="both"/>
        <w:rPr>
          <w:b/>
          <w:bCs/>
          <w:sz w:val="20"/>
          <w:szCs w:val="20"/>
        </w:rPr>
      </w:pPr>
      <w:r w:rsidRPr="007A16CA">
        <w:rPr>
          <w:b/>
          <w:bCs/>
          <w:sz w:val="20"/>
          <w:szCs w:val="20"/>
        </w:rPr>
        <w:t xml:space="preserve">New Product Development </w:t>
      </w:r>
    </w:p>
    <w:p w:rsidRPr="007A16CA" w:rsidR="007A16CA" w:rsidP="007A16CA" w:rsidRDefault="007A16CA" w14:paraId="5C0B270B" w14:textId="77777777">
      <w:pPr>
        <w:jc w:val="both"/>
        <w:rPr>
          <w:sz w:val="20"/>
          <w:szCs w:val="20"/>
        </w:rPr>
      </w:pPr>
      <w:r w:rsidRPr="007A16CA">
        <w:rPr>
          <w:sz w:val="20"/>
          <w:szCs w:val="20"/>
        </w:rPr>
        <w:t xml:space="preserve">NGESO is currently developing new Balancing products that will support a zero-carbon system through Response and Reserve Reform. At the time of writing this document, the analysis shows that the new Reserve products do not meet the criteria for PAC to result in a more economic and efficient outcome. Therefore, the intention is to develop them to be PAB in the first instance and revisit the analysis periodically. This way, the most economically efficient payment mechanism can be selected, and this can be checked regularly to see if conditions have changed. </w:t>
      </w:r>
    </w:p>
    <w:p w:rsidRPr="007A16CA" w:rsidR="007A16CA" w:rsidP="007A16CA" w:rsidRDefault="007A16CA" w14:paraId="3213ABAE" w14:textId="77777777">
      <w:pPr>
        <w:jc w:val="both"/>
        <w:rPr>
          <w:sz w:val="20"/>
          <w:szCs w:val="20"/>
        </w:rPr>
      </w:pPr>
      <w:r w:rsidRPr="007A16CA">
        <w:rPr>
          <w:b/>
          <w:bCs/>
          <w:sz w:val="20"/>
          <w:szCs w:val="20"/>
        </w:rPr>
        <w:t>BM BOAs</w:t>
      </w:r>
      <w:r w:rsidRPr="007A16CA">
        <w:rPr>
          <w:sz w:val="20"/>
          <w:szCs w:val="20"/>
        </w:rPr>
        <w:t xml:space="preserve"> </w:t>
      </w:r>
    </w:p>
    <w:p w:rsidRPr="007A16CA" w:rsidR="00F4613D" w:rsidP="007A16CA" w:rsidRDefault="007A16CA" w14:paraId="34A6EB7F" w14:textId="32E5B9BF">
      <w:pPr>
        <w:jc w:val="both"/>
        <w:rPr>
          <w:rFonts w:cs="Poppins"/>
          <w:sz w:val="20"/>
          <w:szCs w:val="20"/>
        </w:rPr>
      </w:pPr>
      <w:r w:rsidRPr="007A16CA">
        <w:rPr>
          <w:sz w:val="20"/>
          <w:szCs w:val="20"/>
        </w:rPr>
        <w:t xml:space="preserve">The status of BM BOAs needs elaboration, given the complexity of the current electricity market and how BM BOAs are used. BM BOAs are a legacy product and will remain PAB, but they are also </w:t>
      </w:r>
      <w:proofErr w:type="gramStart"/>
      <w:r w:rsidRPr="007A16CA">
        <w:rPr>
          <w:sz w:val="20"/>
          <w:szCs w:val="20"/>
        </w:rPr>
        <w:t>the means by which</w:t>
      </w:r>
      <w:proofErr w:type="gramEnd"/>
      <w:r w:rsidRPr="007A16CA">
        <w:rPr>
          <w:sz w:val="20"/>
          <w:szCs w:val="20"/>
        </w:rPr>
        <w:t xml:space="preserve"> BMUs under the new reserve services will be instructed.</w:t>
      </w:r>
    </w:p>
    <w:p w:rsidRPr="007A16CA" w:rsidR="007A16CA" w:rsidP="007A16CA" w:rsidRDefault="007A16CA" w14:paraId="0F888ED9" w14:textId="77777777">
      <w:pPr>
        <w:jc w:val="both"/>
        <w:rPr>
          <w:rFonts w:cs="Poppins"/>
          <w:b/>
          <w:bCs/>
          <w:sz w:val="20"/>
          <w:szCs w:val="20"/>
          <w:u w:val="single"/>
        </w:rPr>
      </w:pPr>
      <w:r w:rsidRPr="007A16CA">
        <w:rPr>
          <w:rFonts w:cs="Poppins"/>
          <w:b/>
          <w:bCs/>
          <w:sz w:val="20"/>
          <w:szCs w:val="20"/>
          <w:u w:val="single"/>
        </w:rPr>
        <w:t>Example:</w:t>
      </w:r>
    </w:p>
    <w:p w:rsidRPr="007A16CA" w:rsidR="007A16CA" w:rsidP="007A16CA" w:rsidRDefault="007A16CA" w14:paraId="38D9F850" w14:textId="43FD8A5F">
      <w:pPr>
        <w:jc w:val="both"/>
        <w:rPr>
          <w:rFonts w:cs="Poppins"/>
          <w:sz w:val="20"/>
          <w:szCs w:val="20"/>
        </w:rPr>
      </w:pPr>
      <w:r w:rsidRPr="007A16CA">
        <w:rPr>
          <w:rFonts w:cs="Poppins"/>
          <w:sz w:val="20"/>
          <w:szCs w:val="20"/>
        </w:rPr>
        <w:t>Currently, any instruction sent to a BMU to increase or decrease its MW output is done via a BM BOA</w:t>
      </w:r>
      <w:r>
        <w:rPr>
          <w:rStyle w:val="FootnoteReference"/>
          <w:rFonts w:cs="Poppins"/>
          <w:sz w:val="20"/>
          <w:szCs w:val="20"/>
        </w:rPr>
        <w:footnoteReference w:id="6"/>
      </w:r>
      <w:r w:rsidRPr="007A16CA">
        <w:rPr>
          <w:rFonts w:cs="Poppins"/>
          <w:sz w:val="20"/>
          <w:szCs w:val="20"/>
        </w:rPr>
        <w:t>To take the upcoming Positive Slow Reserve (PSR) service as an example: a BMU can tender for PSR in the day-ahead auction, and if successful they will be paid an availability payment (outside the scope of CEP 6.4), and will be held in reserve to ensure system security. If, during this period, an event happens – like IFA tripping due to a fire at the converter station – the BMU could be instructed to deliver additional energy, as per its PSR contract. However, this instruction will be via a BM BOA.</w:t>
      </w:r>
    </w:p>
    <w:p w:rsidRPr="007A16CA" w:rsidR="007A16CA" w:rsidP="007A16CA" w:rsidRDefault="007A16CA" w14:paraId="443B324C" w14:textId="20D714B1">
      <w:pPr>
        <w:jc w:val="both"/>
        <w:rPr>
          <w:rFonts w:cs="Poppins"/>
          <w:sz w:val="20"/>
          <w:szCs w:val="20"/>
        </w:rPr>
      </w:pPr>
      <w:r w:rsidRPr="007A16CA">
        <w:rPr>
          <w:rFonts w:cs="Poppins"/>
          <w:sz w:val="20"/>
          <w:szCs w:val="20"/>
        </w:rPr>
        <w:t>Thus, if PSR met the economic criteria for PAC, there would be a question to answer: how should the BM BOA in the example be treated? Should it be classed as a BM BOA, and thus settled PAB, or should this be classed as PSR, and settled PAC?</w:t>
      </w:r>
    </w:p>
    <w:p w:rsidRPr="007A16CA" w:rsidR="007A16CA" w:rsidP="007A16CA" w:rsidRDefault="007A16CA" w14:paraId="2E056487" w14:textId="77777777">
      <w:pPr>
        <w:jc w:val="both"/>
        <w:rPr>
          <w:rFonts w:cs="Poppins"/>
          <w:sz w:val="20"/>
          <w:szCs w:val="20"/>
        </w:rPr>
      </w:pPr>
      <w:r w:rsidRPr="007A16CA">
        <w:rPr>
          <w:rFonts w:cs="Poppins"/>
          <w:sz w:val="20"/>
          <w:szCs w:val="20"/>
        </w:rPr>
        <w:t>There are market implications for both approaches.</w:t>
      </w:r>
    </w:p>
    <w:p w:rsidRPr="007A16CA" w:rsidR="007A16CA" w:rsidP="007A16CA" w:rsidRDefault="007A16CA" w14:paraId="1FEE5D7F" w14:textId="77777777">
      <w:pPr>
        <w:jc w:val="both"/>
        <w:rPr>
          <w:rFonts w:cs="Poppins"/>
          <w:b/>
          <w:bCs/>
          <w:sz w:val="20"/>
          <w:szCs w:val="20"/>
          <w:u w:val="single"/>
        </w:rPr>
      </w:pPr>
      <w:r w:rsidRPr="007A16CA">
        <w:rPr>
          <w:rFonts w:cs="Poppins"/>
          <w:b/>
          <w:bCs/>
          <w:sz w:val="20"/>
          <w:szCs w:val="20"/>
          <w:u w:val="single"/>
        </w:rPr>
        <w:t>Market implications for each approach</w:t>
      </w:r>
    </w:p>
    <w:p w:rsidRPr="007A16CA" w:rsidR="007A16CA" w:rsidP="007A16CA" w:rsidRDefault="007A16CA" w14:paraId="16858B6F" w14:textId="77777777">
      <w:pPr>
        <w:jc w:val="both"/>
        <w:rPr>
          <w:rFonts w:cs="Poppins"/>
          <w:sz w:val="20"/>
          <w:szCs w:val="20"/>
        </w:rPr>
      </w:pPr>
      <w:r w:rsidRPr="007A16CA">
        <w:rPr>
          <w:rFonts w:cs="Poppins"/>
          <w:sz w:val="20"/>
          <w:szCs w:val="20"/>
        </w:rPr>
        <w:t>If BM BOAs are always settled PAB, the following is true:</w:t>
      </w:r>
    </w:p>
    <w:p w:rsidR="007A16CA" w:rsidP="007A16CA" w:rsidRDefault="007A16CA" w14:paraId="763464EA" w14:textId="77777777">
      <w:pPr>
        <w:pStyle w:val="ListParagraph"/>
        <w:numPr>
          <w:ilvl w:val="0"/>
          <w:numId w:val="125"/>
        </w:numPr>
        <w:jc w:val="both"/>
        <w:rPr>
          <w:rFonts w:cs="Poppins"/>
          <w:sz w:val="20"/>
          <w:szCs w:val="20"/>
        </w:rPr>
      </w:pPr>
      <w:r w:rsidRPr="007A16CA">
        <w:rPr>
          <w:rFonts w:cs="Poppins"/>
          <w:sz w:val="20"/>
          <w:szCs w:val="20"/>
        </w:rPr>
        <w:t>BMUs can only have their energy settled PAB</w:t>
      </w:r>
    </w:p>
    <w:p w:rsidR="007A16CA" w:rsidP="007A16CA" w:rsidRDefault="007A16CA" w14:paraId="17F9BFC6" w14:textId="27D7A229">
      <w:pPr>
        <w:pStyle w:val="ListParagraph"/>
        <w:numPr>
          <w:ilvl w:val="0"/>
          <w:numId w:val="125"/>
        </w:numPr>
        <w:jc w:val="both"/>
        <w:rPr>
          <w:rFonts w:cs="Poppins"/>
          <w:sz w:val="20"/>
          <w:szCs w:val="20"/>
        </w:rPr>
      </w:pPr>
      <w:r w:rsidRPr="007A16CA">
        <w:rPr>
          <w:rFonts w:cs="Poppins"/>
          <w:sz w:val="20"/>
          <w:szCs w:val="20"/>
        </w:rPr>
        <w:t xml:space="preserve">Therefore, under this PP, BMUs and </w:t>
      </w:r>
      <w:r w:rsidRPr="007A16CA">
        <w:rPr>
          <w:rFonts w:cs="Poppins"/>
          <w:sz w:val="20"/>
          <w:szCs w:val="20"/>
        </w:rPr>
        <w:t>non-BMUs</w:t>
      </w:r>
      <w:r w:rsidRPr="007A16CA">
        <w:rPr>
          <w:rFonts w:cs="Poppins"/>
          <w:sz w:val="20"/>
          <w:szCs w:val="20"/>
        </w:rPr>
        <w:t xml:space="preserve"> providing the same service would sometimes be settled differently – for a PAC service, BMUs will continue to be settled PAB, whereas </w:t>
      </w:r>
      <w:r w:rsidRPr="007A16CA">
        <w:rPr>
          <w:rFonts w:cs="Poppins"/>
          <w:sz w:val="20"/>
          <w:szCs w:val="20"/>
        </w:rPr>
        <w:t>non-BMUs</w:t>
      </w:r>
      <w:r w:rsidRPr="007A16CA">
        <w:rPr>
          <w:rFonts w:cs="Poppins"/>
          <w:sz w:val="20"/>
          <w:szCs w:val="20"/>
        </w:rPr>
        <w:t xml:space="preserve"> will be settled PAC</w:t>
      </w:r>
    </w:p>
    <w:p w:rsidRPr="00CF5EB7" w:rsidR="00F4613D" w:rsidP="007A16CA" w:rsidRDefault="007A16CA" w14:paraId="02A53537" w14:textId="47B75717">
      <w:pPr>
        <w:pStyle w:val="ListParagraph"/>
        <w:numPr>
          <w:ilvl w:val="0"/>
          <w:numId w:val="125"/>
        </w:numPr>
        <w:jc w:val="both"/>
        <w:rPr>
          <w:rFonts w:cs="Poppins"/>
          <w:sz w:val="20"/>
          <w:szCs w:val="20"/>
        </w:rPr>
      </w:pPr>
      <w:r w:rsidRPr="007A16CA">
        <w:rPr>
          <w:rFonts w:cs="Poppins"/>
          <w:sz w:val="20"/>
          <w:szCs w:val="20"/>
        </w:rPr>
        <w:t xml:space="preserve">For a PAC service, would the price be set based on only the </w:t>
      </w:r>
      <w:r w:rsidRPr="007A16CA">
        <w:rPr>
          <w:rFonts w:cs="Poppins"/>
          <w:sz w:val="20"/>
          <w:szCs w:val="20"/>
        </w:rPr>
        <w:t>non-BMU</w:t>
      </w:r>
      <w:r w:rsidRPr="007A16CA">
        <w:rPr>
          <w:rFonts w:cs="Poppins"/>
          <w:sz w:val="20"/>
          <w:szCs w:val="20"/>
        </w:rPr>
        <w:t xml:space="preserve"> actions? Presumably so:</w:t>
      </w:r>
      <w:r w:rsidR="00CF5EB7">
        <w:rPr>
          <w:rFonts w:cs="Poppins"/>
          <w:sz w:val="20"/>
          <w:szCs w:val="20"/>
        </w:rPr>
        <w:t xml:space="preserve"> </w:t>
      </w:r>
      <w:r w:rsidRPr="00CF5EB7">
        <w:rPr>
          <w:rFonts w:cs="Poppins"/>
          <w:sz w:val="20"/>
          <w:szCs w:val="20"/>
        </w:rPr>
        <w:t xml:space="preserve">otherwise, if it were based on the Non-BMU and the BMU actions, it would mean that it </w:t>
      </w:r>
      <w:r w:rsidRPr="00CF5EB7">
        <w:rPr>
          <w:rFonts w:cs="Poppins"/>
          <w:sz w:val="20"/>
          <w:szCs w:val="20"/>
        </w:rPr>
        <w:t>would always</w:t>
      </w:r>
      <w:r w:rsidR="00CF5EB7">
        <w:rPr>
          <w:rFonts w:cs="Poppins"/>
          <w:sz w:val="20"/>
          <w:szCs w:val="20"/>
        </w:rPr>
        <w:t xml:space="preserve"> </w:t>
      </w:r>
      <w:r w:rsidRPr="00CF5EB7">
        <w:rPr>
          <w:rFonts w:cs="Poppins"/>
          <w:sz w:val="20"/>
          <w:szCs w:val="20"/>
        </w:rPr>
        <w:t xml:space="preserve">be more profitable to be a </w:t>
      </w:r>
      <w:r w:rsidRPr="00CF5EB7" w:rsidR="00CF5EB7">
        <w:rPr>
          <w:rFonts w:cs="Poppins"/>
          <w:sz w:val="20"/>
          <w:szCs w:val="20"/>
        </w:rPr>
        <w:t>non-BMU</w:t>
      </w:r>
      <w:r w:rsidRPr="00CF5EB7">
        <w:rPr>
          <w:rFonts w:cs="Poppins"/>
          <w:sz w:val="20"/>
          <w:szCs w:val="20"/>
        </w:rPr>
        <w:t xml:space="preserve"> for the service in question, providing a disincentive for </w:t>
      </w:r>
      <w:r w:rsidRPr="00CF5EB7" w:rsidR="00CF5EB7">
        <w:rPr>
          <w:rFonts w:cs="Poppins"/>
          <w:sz w:val="20"/>
          <w:szCs w:val="20"/>
        </w:rPr>
        <w:t>non-BMUs</w:t>
      </w:r>
      <w:r w:rsidRPr="00CF5EB7">
        <w:rPr>
          <w:rFonts w:cs="Poppins"/>
          <w:sz w:val="20"/>
          <w:szCs w:val="20"/>
        </w:rPr>
        <w:t xml:space="preserve"> to join the BM</w:t>
      </w:r>
      <w:r w:rsidR="00CF5EB7">
        <w:rPr>
          <w:rFonts w:cs="Poppins"/>
          <w:sz w:val="20"/>
          <w:szCs w:val="20"/>
        </w:rPr>
        <w:t>.</w:t>
      </w:r>
    </w:p>
    <w:p w:rsidR="00CF5EB7" w:rsidP="007A16CA" w:rsidRDefault="00CF5EB7" w14:paraId="569FA11C" w14:textId="77777777">
      <w:pPr>
        <w:jc w:val="both"/>
        <w:rPr>
          <w:sz w:val="20"/>
          <w:szCs w:val="20"/>
        </w:rPr>
      </w:pPr>
      <w:r w:rsidRPr="00CF5EB7">
        <w:rPr>
          <w:sz w:val="20"/>
          <w:szCs w:val="20"/>
        </w:rPr>
        <w:t xml:space="preserve">If BM BOAs are sometimes settled PAC, the following is true – noting first that as per legal text and definitions, only energy actions should be settled PAC, and that system actions should always be settled Pay as Bid (see below for more details): </w:t>
      </w:r>
    </w:p>
    <w:p w:rsidRPr="00CF5EB7" w:rsidR="00CF5EB7" w:rsidP="007A16CA" w:rsidRDefault="00CF5EB7" w14:paraId="059F3194" w14:textId="77777777">
      <w:pPr>
        <w:pStyle w:val="ListParagraph"/>
        <w:numPr>
          <w:ilvl w:val="0"/>
          <w:numId w:val="129"/>
        </w:numPr>
        <w:jc w:val="both"/>
        <w:rPr>
          <w:rFonts w:cs="Poppins"/>
          <w:sz w:val="20"/>
          <w:szCs w:val="20"/>
        </w:rPr>
      </w:pPr>
      <w:r w:rsidRPr="00CF5EB7">
        <w:rPr>
          <w:sz w:val="20"/>
          <w:szCs w:val="20"/>
        </w:rPr>
        <w:t xml:space="preserve">Some BM BOAs will need to be settled PAC – impacting </w:t>
      </w:r>
      <w:proofErr w:type="spellStart"/>
      <w:r w:rsidRPr="00CF5EB7">
        <w:rPr>
          <w:sz w:val="20"/>
          <w:szCs w:val="20"/>
        </w:rPr>
        <w:t>Elexon</w:t>
      </w:r>
      <w:proofErr w:type="spellEnd"/>
      <w:r w:rsidRPr="00CF5EB7">
        <w:rPr>
          <w:sz w:val="20"/>
          <w:szCs w:val="20"/>
        </w:rPr>
        <w:t xml:space="preserve"> processes and industry reporting</w:t>
      </w:r>
      <w:r>
        <w:rPr>
          <w:sz w:val="20"/>
          <w:szCs w:val="20"/>
        </w:rPr>
        <w:t>.</w:t>
      </w:r>
    </w:p>
    <w:p w:rsidRPr="00CF5EB7" w:rsidR="00CF5EB7" w:rsidP="007A16CA" w:rsidRDefault="00CF5EB7" w14:paraId="38562FF0" w14:textId="77777777">
      <w:pPr>
        <w:pStyle w:val="ListParagraph"/>
        <w:numPr>
          <w:ilvl w:val="0"/>
          <w:numId w:val="129"/>
        </w:numPr>
        <w:jc w:val="both"/>
        <w:rPr>
          <w:rFonts w:cs="Poppins"/>
          <w:sz w:val="20"/>
          <w:szCs w:val="20"/>
        </w:rPr>
      </w:pPr>
      <w:r w:rsidRPr="00CF5EB7">
        <w:rPr>
          <w:sz w:val="20"/>
          <w:szCs w:val="20"/>
        </w:rPr>
        <w:t xml:space="preserve">The costs of PAC BM BOAs will only be known after the settlement period ends, thus meaning some BM BOA prices are non-firm when instructed </w:t>
      </w:r>
    </w:p>
    <w:p w:rsidRPr="00CF5EB7" w:rsidR="00CF5EB7" w:rsidP="007A16CA" w:rsidRDefault="00CF5EB7" w14:paraId="7AB051BB" w14:textId="782DD72D">
      <w:pPr>
        <w:pStyle w:val="ListParagraph"/>
        <w:numPr>
          <w:ilvl w:val="0"/>
          <w:numId w:val="129"/>
        </w:numPr>
        <w:jc w:val="both"/>
        <w:rPr>
          <w:rFonts w:cs="Poppins"/>
          <w:sz w:val="20"/>
          <w:szCs w:val="20"/>
        </w:rPr>
      </w:pPr>
      <w:r w:rsidRPr="00CF5EB7">
        <w:rPr>
          <w:sz w:val="20"/>
          <w:szCs w:val="20"/>
        </w:rPr>
        <w:t>If NGESO need to instruct a BMU for system reasons, it will be settled PAB even if it was under a reserve contract</w:t>
      </w:r>
      <w:r>
        <w:rPr>
          <w:sz w:val="20"/>
          <w:szCs w:val="20"/>
        </w:rPr>
        <w:t>.</w:t>
      </w:r>
    </w:p>
    <w:p w:rsidRPr="00CF5EB7" w:rsidR="00CF5EB7" w:rsidP="007A16CA" w:rsidRDefault="00CF5EB7" w14:paraId="60AE1452" w14:textId="77777777">
      <w:pPr>
        <w:pStyle w:val="ListParagraph"/>
        <w:numPr>
          <w:ilvl w:val="0"/>
          <w:numId w:val="129"/>
        </w:numPr>
        <w:jc w:val="both"/>
        <w:rPr>
          <w:rFonts w:cs="Poppins"/>
          <w:sz w:val="20"/>
          <w:szCs w:val="20"/>
        </w:rPr>
      </w:pPr>
      <w:proofErr w:type="spellStart"/>
      <w:r w:rsidRPr="00CF5EB7">
        <w:rPr>
          <w:sz w:val="20"/>
          <w:szCs w:val="20"/>
        </w:rPr>
        <w:t>Elexon’s</w:t>
      </w:r>
      <w:proofErr w:type="spellEnd"/>
      <w:r w:rsidRPr="00CF5EB7">
        <w:rPr>
          <w:sz w:val="20"/>
          <w:szCs w:val="20"/>
        </w:rPr>
        <w:t xml:space="preserve"> retagging process can switch a BM BOA from System to Energy, changing its settlement approach, thus certainty is only gained after this retagging process</w:t>
      </w:r>
      <w:r>
        <w:rPr>
          <w:sz w:val="20"/>
          <w:szCs w:val="20"/>
        </w:rPr>
        <w:t>.</w:t>
      </w:r>
      <w:r w:rsidRPr="00CF5EB7">
        <w:rPr>
          <w:sz w:val="20"/>
          <w:szCs w:val="20"/>
        </w:rPr>
        <w:t xml:space="preserve"> </w:t>
      </w:r>
    </w:p>
    <w:p w:rsidR="00F4613D" w:rsidP="00CF5EB7" w:rsidRDefault="00CF5EB7" w14:paraId="25E43255" w14:textId="7AB3D98E">
      <w:pPr>
        <w:jc w:val="both"/>
        <w:rPr>
          <w:sz w:val="20"/>
          <w:szCs w:val="20"/>
        </w:rPr>
      </w:pPr>
      <w:r w:rsidRPr="00CF5EB7">
        <w:rPr>
          <w:sz w:val="20"/>
          <w:szCs w:val="20"/>
        </w:rPr>
        <w:t>Under either option, market rules would need to be established to determine implementation detail – as one example, the expectations on how NGESO should continue to fulfil its obligations to balance in an economic and efficient manner, given some instruction costs are only known after the clearing period.</w:t>
      </w:r>
    </w:p>
    <w:p w:rsidR="00CF5EB7" w:rsidP="00CF5EB7" w:rsidRDefault="00CF5EB7" w14:paraId="015BA472" w14:textId="1C6E4CE1">
      <w:pPr>
        <w:jc w:val="both"/>
        <w:rPr>
          <w:sz w:val="20"/>
          <w:szCs w:val="20"/>
        </w:rPr>
      </w:pPr>
      <w:r>
        <w:rPr>
          <w:noProof/>
        </w:rPr>
        <w:drawing>
          <wp:inline distT="0" distB="0" distL="0" distR="0" wp14:anchorId="4E8820B0" wp14:editId="41E09888">
            <wp:extent cx="6192520" cy="5121332"/>
            <wp:effectExtent l="0" t="0" r="0" b="3175"/>
            <wp:docPr id="1549" name="Picture 1549"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1549" name="Picture 1549" descr="A diagram of a flowchart&#10;&#10;Description automatically generated"/>
                    <pic:cNvPicPr/>
                  </pic:nvPicPr>
                  <pic:blipFill>
                    <a:blip r:embed="rId13"/>
                    <a:stretch>
                      <a:fillRect/>
                    </a:stretch>
                  </pic:blipFill>
                  <pic:spPr>
                    <a:xfrm>
                      <a:off x="0" y="0"/>
                      <a:ext cx="6192520" cy="5121332"/>
                    </a:xfrm>
                    <a:prstGeom prst="rect">
                      <a:avLst/>
                    </a:prstGeom>
                  </pic:spPr>
                </pic:pic>
              </a:graphicData>
            </a:graphic>
          </wp:inline>
        </w:drawing>
      </w:r>
    </w:p>
    <w:p w:rsidRPr="00CF5EB7" w:rsidR="00CF5EB7" w:rsidP="00CF5EB7" w:rsidRDefault="00CF5EB7" w14:paraId="7D9C8469" w14:textId="77777777">
      <w:pPr>
        <w:jc w:val="both"/>
        <w:rPr>
          <w:b/>
          <w:bCs/>
          <w:sz w:val="20"/>
          <w:szCs w:val="20"/>
        </w:rPr>
      </w:pPr>
      <w:r w:rsidRPr="00CF5EB7">
        <w:rPr>
          <w:b/>
          <w:bCs/>
          <w:sz w:val="20"/>
          <w:szCs w:val="20"/>
        </w:rPr>
        <w:t xml:space="preserve">Interaction with Standard Products Standard </w:t>
      </w:r>
    </w:p>
    <w:p w:rsidR="00CF5EB7" w:rsidP="00CF5EB7" w:rsidRDefault="00CF5EB7" w14:paraId="74C1339F" w14:textId="7890B6DD">
      <w:pPr>
        <w:jc w:val="both"/>
        <w:rPr>
          <w:sz w:val="20"/>
          <w:szCs w:val="20"/>
        </w:rPr>
      </w:pPr>
      <w:r w:rsidRPr="00CF5EB7">
        <w:rPr>
          <w:sz w:val="20"/>
          <w:szCs w:val="20"/>
        </w:rPr>
        <w:t>Products are those which exist in the EU internal balancing market, which have been agreed by all TSOs to be used for balancing and</w:t>
      </w:r>
      <w:r>
        <w:rPr>
          <w:sz w:val="20"/>
          <w:szCs w:val="20"/>
        </w:rPr>
        <w:t xml:space="preserve"> </w:t>
      </w:r>
      <w:r w:rsidRPr="00CF5EB7">
        <w:rPr>
          <w:sz w:val="20"/>
          <w:szCs w:val="20"/>
        </w:rPr>
        <w:t>are harmonised across all member states. Following GBs withdrawal from the European Union, all GB products are viewed as specific. This is defined in Article 2 (31) of EU Regulation 943/2019. Furthermore, the Trade and Co-operation Agreement (TCA) states that GB cannot participate in Union procedures i.e. TERRE &amp; MARI</w:t>
      </w:r>
    </w:p>
    <w:p w:rsidR="00CF5EB7" w:rsidP="00CF5EB7" w:rsidRDefault="00CF5EB7" w14:paraId="5A8BCBF3" w14:textId="77777777">
      <w:pPr>
        <w:jc w:val="both"/>
        <w:rPr>
          <w:sz w:val="20"/>
          <w:szCs w:val="20"/>
        </w:rPr>
      </w:pPr>
      <w:r w:rsidRPr="47AD1BF0" w:rsidR="00CF5EB7">
        <w:rPr>
          <w:sz w:val="20"/>
          <w:szCs w:val="20"/>
        </w:rPr>
        <w:t xml:space="preserve">Balancing products in GB are activated locally (i.e. cannot be used in European markets), and therefore there is no distortive impact on European standard products such as TERRE or MARI. These European standard products do have a PAC utilisation method. This is because they meet the market conditions set out earlier in the document. </w:t>
      </w:r>
    </w:p>
    <w:p w:rsidR="47AD1BF0" w:rsidP="47AD1BF0" w:rsidRDefault="47AD1BF0" w14:paraId="617F954D" w14:textId="3BB3AF13">
      <w:pPr>
        <w:jc w:val="both"/>
        <w:rPr>
          <w:b w:val="1"/>
          <w:bCs w:val="1"/>
          <w:sz w:val="20"/>
          <w:szCs w:val="20"/>
        </w:rPr>
      </w:pPr>
    </w:p>
    <w:p w:rsidR="00CF5EB7" w:rsidP="00CF5EB7" w:rsidRDefault="00CF5EB7" w14:paraId="10036CCE" w14:textId="77777777">
      <w:pPr>
        <w:jc w:val="both"/>
        <w:rPr>
          <w:sz w:val="20"/>
          <w:szCs w:val="20"/>
        </w:rPr>
      </w:pPr>
      <w:r w:rsidRPr="00CF5EB7">
        <w:rPr>
          <w:b/>
          <w:bCs/>
          <w:sz w:val="20"/>
          <w:szCs w:val="20"/>
        </w:rPr>
        <w:t>Capacity vs. Utilisation</w:t>
      </w:r>
      <w:r w:rsidRPr="00CF5EB7">
        <w:rPr>
          <w:sz w:val="20"/>
          <w:szCs w:val="20"/>
        </w:rPr>
        <w:t xml:space="preserve"> </w:t>
      </w:r>
    </w:p>
    <w:p w:rsidR="00CF5EB7" w:rsidP="00CF5EB7" w:rsidRDefault="00CF5EB7" w14:paraId="1D979529" w14:textId="77777777">
      <w:pPr>
        <w:jc w:val="both"/>
        <w:rPr>
          <w:sz w:val="20"/>
          <w:szCs w:val="20"/>
        </w:rPr>
      </w:pPr>
      <w:r w:rsidRPr="00CF5EB7">
        <w:rPr>
          <w:sz w:val="20"/>
          <w:szCs w:val="20"/>
        </w:rPr>
        <w:t xml:space="preserve">An important distinction to make when discussing CEP 6.4 is the difference between capacity payments (also known as availability payments or holding payments) and energy payments (also known as utilisation payments). </w:t>
      </w:r>
      <w:r w:rsidRPr="00CF5EB7">
        <w:rPr>
          <w:b/>
          <w:bCs/>
          <w:sz w:val="20"/>
          <w:szCs w:val="20"/>
        </w:rPr>
        <w:t>There are no obligations on how to settle capacity payments, either in CEP 6.4 or elsewhere. The CEP 6.4 obligations only apply to energy payments,</w:t>
      </w:r>
      <w:r w:rsidRPr="00CF5EB7">
        <w:rPr>
          <w:sz w:val="20"/>
          <w:szCs w:val="20"/>
        </w:rPr>
        <w:t xml:space="preserve"> and so they are the focus of this proposal. </w:t>
      </w:r>
    </w:p>
    <w:p w:rsidRPr="00CF5EB7" w:rsidR="00CF5EB7" w:rsidP="00CF5EB7" w:rsidRDefault="00CF5EB7" w14:paraId="1AFB740F" w14:textId="2BBB800A">
      <w:pPr>
        <w:jc w:val="both"/>
        <w:rPr>
          <w:rFonts w:cs="Poppins"/>
          <w:sz w:val="20"/>
          <w:szCs w:val="20"/>
        </w:rPr>
      </w:pPr>
      <w:r w:rsidRPr="00CF5EB7">
        <w:rPr>
          <w:sz w:val="20"/>
          <w:szCs w:val="20"/>
        </w:rPr>
        <w:t xml:space="preserve">The market conditions for capacity for some products are present for PAC (STOR for example) to be the most efficient method. For </w:t>
      </w:r>
      <w:r w:rsidRPr="00CF5EB7">
        <w:rPr>
          <w:sz w:val="20"/>
          <w:szCs w:val="20"/>
        </w:rPr>
        <w:t>example,</w:t>
      </w:r>
      <w:r w:rsidRPr="00CF5EB7">
        <w:rPr>
          <w:sz w:val="20"/>
          <w:szCs w:val="20"/>
        </w:rPr>
        <w:t xml:space="preserve"> the amount of capacity needed can be calculated ahead of time, communicated to market, and can be used to inform a provider’s tender decisions thus providing close to full information (as per the economic definitions).</w:t>
      </w:r>
    </w:p>
    <w:p w:rsidRPr="00CF5EB7" w:rsidR="00CF5EB7" w:rsidP="007A16CA" w:rsidRDefault="00CF5EB7" w14:paraId="5EF682B4" w14:textId="77777777">
      <w:pPr>
        <w:jc w:val="both"/>
        <w:rPr>
          <w:b/>
          <w:bCs/>
          <w:sz w:val="20"/>
          <w:szCs w:val="20"/>
        </w:rPr>
      </w:pPr>
      <w:r w:rsidRPr="00CF5EB7">
        <w:rPr>
          <w:b/>
          <w:bCs/>
          <w:sz w:val="20"/>
          <w:szCs w:val="20"/>
        </w:rPr>
        <w:t xml:space="preserve">System vs. Energy </w:t>
      </w:r>
    </w:p>
    <w:p w:rsidRPr="00CF5EB7" w:rsidR="00CF5EB7" w:rsidP="007A16CA" w:rsidRDefault="00CF5EB7" w14:paraId="6DCCDD72" w14:textId="77777777">
      <w:pPr>
        <w:jc w:val="both"/>
        <w:rPr>
          <w:sz w:val="20"/>
          <w:szCs w:val="20"/>
        </w:rPr>
      </w:pPr>
      <w:r w:rsidRPr="00CF5EB7">
        <w:rPr>
          <w:sz w:val="20"/>
          <w:szCs w:val="20"/>
        </w:rPr>
        <w:t xml:space="preserve">As per the relevant legal text and definitions, the obligation to move to PAC only applies to energy actions. Elsewhere in retained CEP law, system actions are prevented from setting the clearing price, so must remain PAB. </w:t>
      </w:r>
    </w:p>
    <w:p w:rsidRPr="00CF5EB7" w:rsidR="00CF5EB7" w:rsidP="007A16CA" w:rsidRDefault="00CF5EB7" w14:paraId="44E4DD21" w14:textId="77777777">
      <w:pPr>
        <w:jc w:val="both"/>
        <w:rPr>
          <w:sz w:val="20"/>
          <w:szCs w:val="20"/>
        </w:rPr>
      </w:pPr>
      <w:r w:rsidRPr="00CF5EB7">
        <w:rPr>
          <w:sz w:val="20"/>
          <w:szCs w:val="20"/>
        </w:rPr>
        <w:t xml:space="preserve">Thus, for any service that meets the criteria to move to PAC, it is only energy actions under that service that must be settled PAC, with system actions still settled PAB. If the decision is taken that BMUs can only be settled PAB, then this point has minimal impact. However, if BM BOAs can be settled PAC (by participation in a PAC reserve service), there are further implications to consider: </w:t>
      </w:r>
    </w:p>
    <w:p w:rsidRPr="00CF5EB7" w:rsidR="00CF5EB7" w:rsidP="00CF5EB7" w:rsidRDefault="00CF5EB7" w14:paraId="4987CA9E" w14:textId="148681F3">
      <w:pPr>
        <w:pStyle w:val="ListParagraph"/>
        <w:numPr>
          <w:ilvl w:val="0"/>
          <w:numId w:val="130"/>
        </w:numPr>
        <w:jc w:val="both"/>
        <w:rPr>
          <w:rFonts w:cs="Poppins"/>
          <w:sz w:val="20"/>
          <w:szCs w:val="20"/>
        </w:rPr>
      </w:pPr>
      <w:r w:rsidRPr="00CF5EB7">
        <w:rPr>
          <w:sz w:val="20"/>
          <w:szCs w:val="20"/>
        </w:rPr>
        <w:t>NGESO may opt, under emergency conditions, to use reserves to manage system issues, thus classifying the action as a system action as per CEP retained regulation – changing the settlement approach from PAC to PAB</w:t>
      </w:r>
      <w:r w:rsidRPr="00CF5EB7">
        <w:rPr>
          <w:sz w:val="20"/>
          <w:szCs w:val="20"/>
        </w:rPr>
        <w:t>.</w:t>
      </w:r>
    </w:p>
    <w:p w:rsidRPr="00CF5EB7" w:rsidR="00CF5EB7" w:rsidP="00CF5EB7" w:rsidRDefault="00CF5EB7" w14:paraId="6F921682" w14:textId="77777777">
      <w:pPr>
        <w:pStyle w:val="ListParagraph"/>
        <w:numPr>
          <w:ilvl w:val="0"/>
          <w:numId w:val="130"/>
        </w:numPr>
        <w:jc w:val="both"/>
        <w:rPr>
          <w:rFonts w:cs="Poppins"/>
          <w:sz w:val="20"/>
          <w:szCs w:val="20"/>
        </w:rPr>
      </w:pPr>
      <w:proofErr w:type="spellStart"/>
      <w:r w:rsidRPr="00CF5EB7">
        <w:rPr>
          <w:sz w:val="20"/>
          <w:szCs w:val="20"/>
        </w:rPr>
        <w:t>Elexon’s</w:t>
      </w:r>
      <w:proofErr w:type="spellEnd"/>
      <w:r w:rsidRPr="00CF5EB7">
        <w:rPr>
          <w:sz w:val="20"/>
          <w:szCs w:val="20"/>
        </w:rPr>
        <w:t xml:space="preserve"> retagging process changes some energy actions to system actions, thus post-event could change settlement approach from PAC to PAB </w:t>
      </w:r>
    </w:p>
    <w:p w:rsidRPr="00CF5EB7" w:rsidR="00F4613D" w:rsidP="00CF5EB7" w:rsidRDefault="00CF5EB7" w14:paraId="3E6BB7A7" w14:textId="0733F6DC">
      <w:pPr>
        <w:jc w:val="both"/>
        <w:rPr>
          <w:sz w:val="20"/>
          <w:szCs w:val="20"/>
        </w:rPr>
      </w:pPr>
      <w:r w:rsidRPr="00CF5EB7">
        <w:rPr>
          <w:sz w:val="20"/>
          <w:szCs w:val="20"/>
        </w:rPr>
        <w:t>As such, BMUs would need to consider how to price themselves in such a market, given the underlying economic theory suggests that PAC and PAB normally lead to different pricing strategies.</w:t>
      </w:r>
    </w:p>
    <w:p w:rsidRPr="00CF5EB7" w:rsidR="00CF5EB7" w:rsidP="00CF5EB7" w:rsidRDefault="00CF5EB7" w14:paraId="520BFDE4" w14:textId="77777777">
      <w:pPr>
        <w:jc w:val="both"/>
        <w:rPr>
          <w:b/>
          <w:bCs/>
          <w:sz w:val="20"/>
          <w:szCs w:val="20"/>
        </w:rPr>
      </w:pPr>
      <w:r w:rsidRPr="00CF5EB7">
        <w:rPr>
          <w:b/>
          <w:bCs/>
          <w:sz w:val="20"/>
          <w:szCs w:val="20"/>
        </w:rPr>
        <w:t xml:space="preserve">Review Periods </w:t>
      </w:r>
    </w:p>
    <w:p w:rsidR="00CF5EB7" w:rsidP="00CF5EB7" w:rsidRDefault="00CF5EB7" w14:paraId="017DC2D6" w14:textId="60604698">
      <w:pPr>
        <w:jc w:val="both"/>
        <w:rPr>
          <w:sz w:val="20"/>
          <w:szCs w:val="20"/>
        </w:rPr>
      </w:pPr>
      <w:r w:rsidRPr="00CF5EB7">
        <w:rPr>
          <w:sz w:val="20"/>
          <w:szCs w:val="20"/>
        </w:rPr>
        <w:t xml:space="preserve">The ESO have </w:t>
      </w:r>
      <w:proofErr w:type="gramStart"/>
      <w:r w:rsidRPr="00CF5EB7">
        <w:rPr>
          <w:sz w:val="20"/>
          <w:szCs w:val="20"/>
        </w:rPr>
        <w:t>taken into account</w:t>
      </w:r>
      <w:proofErr w:type="gramEnd"/>
      <w:r w:rsidRPr="00CF5EB7">
        <w:rPr>
          <w:sz w:val="20"/>
          <w:szCs w:val="20"/>
        </w:rPr>
        <w:t xml:space="preserve"> the review period for each product. We recognise that new products will only have assumed data on which to </w:t>
      </w:r>
      <w:proofErr w:type="gramStart"/>
      <w:r w:rsidRPr="00CF5EB7">
        <w:rPr>
          <w:sz w:val="20"/>
          <w:szCs w:val="20"/>
        </w:rPr>
        <w:t>make a decision</w:t>
      </w:r>
      <w:proofErr w:type="gramEnd"/>
      <w:r w:rsidRPr="00CF5EB7">
        <w:rPr>
          <w:sz w:val="20"/>
          <w:szCs w:val="20"/>
        </w:rPr>
        <w:t xml:space="preserve"> about payment mechanisms. Therefore, it is important to review the products as soon as reasonably practicable, </w:t>
      </w:r>
      <w:proofErr w:type="spellStart"/>
      <w:r w:rsidRPr="00CF5EB7">
        <w:rPr>
          <w:sz w:val="20"/>
          <w:szCs w:val="20"/>
        </w:rPr>
        <w:t>e.g</w:t>
      </w:r>
      <w:proofErr w:type="spellEnd"/>
      <w:r w:rsidRPr="00CF5EB7">
        <w:rPr>
          <w:sz w:val="20"/>
          <w:szCs w:val="20"/>
        </w:rPr>
        <w:t xml:space="preserve"> when enough data is available to illustrate whether a product should retain its payment mechanism or look at changing this. We believe that a review period within the first two years of a products life cycle gives ample time to collect such data. Once this has been completed, the product would return to a </w:t>
      </w:r>
      <w:r w:rsidRPr="00CF5EB7">
        <w:rPr>
          <w:sz w:val="20"/>
          <w:szCs w:val="20"/>
        </w:rPr>
        <w:t>3-year</w:t>
      </w:r>
      <w:r w:rsidRPr="00CF5EB7">
        <w:rPr>
          <w:sz w:val="20"/>
          <w:szCs w:val="20"/>
        </w:rPr>
        <w:t xml:space="preserve"> review cycle. </w:t>
      </w:r>
    </w:p>
    <w:p w:rsidRPr="004365EB" w:rsidR="00F4613D" w:rsidP="47AD1BF0" w:rsidRDefault="00F4613D" w14:paraId="3E07473D" w14:textId="107F8DAB">
      <w:pPr>
        <w:jc w:val="both"/>
        <w:rPr>
          <w:rFonts w:cs="Poppins"/>
          <w:b w:val="1"/>
          <w:bCs w:val="1"/>
          <w:sz w:val="20"/>
          <w:szCs w:val="20"/>
        </w:rPr>
      </w:pPr>
      <w:r w:rsidRPr="47AD1BF0" w:rsidR="00CF5EB7">
        <w:rPr>
          <w:b w:val="1"/>
          <w:bCs w:val="1"/>
          <w:sz w:val="20"/>
          <w:szCs w:val="20"/>
        </w:rPr>
        <w:t>The ESO will review the PP every 3 years</w:t>
      </w:r>
      <w:r w:rsidRPr="47AD1BF0" w:rsidR="3A9AF470">
        <w:rPr>
          <w:b w:val="1"/>
          <w:bCs w:val="1"/>
          <w:sz w:val="20"/>
          <w:szCs w:val="20"/>
        </w:rPr>
        <w:t>.</w:t>
      </w:r>
    </w:p>
    <w:sectPr w:rsidRPr="004365EB" w:rsidR="00F4613D" w:rsidSect="00AE2241">
      <w:headerReference w:type="default" r:id="rId14"/>
      <w:footerReference w:type="default" r:id="rId15"/>
      <w:headerReference w:type="first" r:id="rId16"/>
      <w:footerReference w:type="first" r:id="rId17"/>
      <w:pgSz w:w="11906" w:h="16838" w:orient="portrait" w:code="9"/>
      <w:pgMar w:top="2495" w:right="1077" w:bottom="1361"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6D3C" w:rsidP="00A62BFF" w:rsidRDefault="00146D3C" w14:paraId="40B23887" w14:textId="77777777">
      <w:pPr>
        <w:spacing w:after="0"/>
      </w:pPr>
      <w:r>
        <w:separator/>
      </w:r>
    </w:p>
  </w:endnote>
  <w:endnote w:type="continuationSeparator" w:id="0">
    <w:p w:rsidR="00146D3C" w:rsidP="00A62BFF" w:rsidRDefault="00146D3C" w14:paraId="0543195B" w14:textId="77777777">
      <w:pPr>
        <w:spacing w:after="0"/>
      </w:pPr>
      <w:r>
        <w:continuationSeparator/>
      </w:r>
    </w:p>
  </w:endnote>
  <w:endnote w:type="continuationNotice" w:id="1">
    <w:p w:rsidR="00146D3C" w:rsidRDefault="00146D3C" w14:paraId="302406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MinchoE">
    <w:charset w:val="80"/>
    <w:family w:val="roman"/>
    <w:pitch w:val="variable"/>
    <w:sig w:usb0="E00002FF" w:usb1="2AC7EDFE" w:usb2="00000012"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96304"/>
      <w:docPartObj>
        <w:docPartGallery w:val="Page Numbers (Bottom of Page)"/>
        <w:docPartUnique/>
      </w:docPartObj>
    </w:sdtPr>
    <w:sdtContent>
      <w:p w:rsidR="00AE2241" w:rsidP="00AE2241" w:rsidRDefault="00AE2241" w14:paraId="3783403E" w14:textId="77777777">
        <w:pPr>
          <w:pStyle w:val="Footer"/>
          <w:jc w:val="right"/>
        </w:pPr>
        <w:r>
          <w:fldChar w:fldCharType="begin"/>
        </w:r>
        <w:r>
          <w:instrText>PAGE   \* MERGEFORMAT</w:instrText>
        </w:r>
        <w:r>
          <w:fldChar w:fldCharType="separate"/>
        </w:r>
        <w:r>
          <w:t>2</w:t>
        </w:r>
        <w:r>
          <w:fldChar w:fldCharType="end"/>
        </w:r>
      </w:p>
      <w:p w:rsidRPr="00AE2241" w:rsidR="00B26D29" w:rsidP="00AE2241" w:rsidRDefault="00000000" w14:paraId="41444E7C" w14:textId="77777777">
        <w:pPr>
          <w:pStyle w:val="Footer"/>
          <w:jc w:val="right"/>
          <w:rPr>
            <w:sz w:val="26"/>
            <w:szCs w:val="2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26D29" w:rsidRDefault="00EB2BC1" w14:paraId="4F11060F" w14:textId="77777777">
    <w:pPr>
      <w:pStyle w:val="Footer"/>
    </w:pPr>
    <w:r w:rsidRPr="00EB2BC1">
      <w:rPr>
        <w:rFonts w:ascii="Helvetica" w:hAnsi="Helvetica" w:eastAsia="HGPMinchoE"/>
        <w:noProof/>
        <w:sz w:val="28"/>
        <w:szCs w:val="40"/>
      </w:rPr>
      <mc:AlternateContent>
        <mc:Choice Requires="wps">
          <w:drawing>
            <wp:anchor distT="45720" distB="45720" distL="114300" distR="114300" simplePos="0" relativeHeight="251660289" behindDoc="0" locked="0" layoutInCell="1" allowOverlap="1" wp14:anchorId="0C0541B1" wp14:editId="40B5DEF2">
              <wp:simplePos x="0" y="0"/>
              <wp:positionH relativeFrom="rightMargin">
                <wp:posOffset>88265</wp:posOffset>
              </wp:positionH>
              <wp:positionV relativeFrom="paragraph">
                <wp:posOffset>-287655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EB2BC1" w:rsidP="00F4613D" w:rsidRDefault="00EB2BC1" w14:paraId="1C36B3DF" w14:textId="77777777">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D9286C9">
            <v:shapetype id="_x0000_t202" coordsize="21600,21600" o:spt="202" path="m,l,21600r21600,l21600,xe" w14:anchorId="0C0541B1">
              <v:stroke joinstyle="miter"/>
              <v:path gradientshapeok="t" o:connecttype="rect"/>
            </v:shapetype>
            <v:shape id="Text Box 2" style="position:absolute;margin-left:6.95pt;margin-top:-22.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">
              <v:textbox>
                <w:txbxContent>
                  <w:p w:rsidR="00EB2BC1" w:rsidP="00F4613D" w:rsidRDefault="00EB2BC1" w14:paraId="407CE2FB" w14:textId="77777777">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6D3C" w:rsidP="00A62BFF" w:rsidRDefault="00146D3C" w14:paraId="75467D49" w14:textId="77777777">
      <w:pPr>
        <w:spacing w:after="0"/>
      </w:pPr>
      <w:r>
        <w:separator/>
      </w:r>
    </w:p>
  </w:footnote>
  <w:footnote w:type="continuationSeparator" w:id="0">
    <w:p w:rsidR="00146D3C" w:rsidP="00A62BFF" w:rsidRDefault="00146D3C" w14:paraId="629A5A43" w14:textId="77777777">
      <w:pPr>
        <w:spacing w:after="0"/>
      </w:pPr>
      <w:r>
        <w:continuationSeparator/>
      </w:r>
    </w:p>
  </w:footnote>
  <w:footnote w:type="continuationNotice" w:id="1">
    <w:p w:rsidR="00146D3C" w:rsidRDefault="00146D3C" w14:paraId="606BB706" w14:textId="77777777">
      <w:pPr>
        <w:spacing w:after="0" w:line="240" w:lineRule="auto"/>
      </w:pPr>
    </w:p>
  </w:footnote>
  <w:footnote w:id="2">
    <w:p w:rsidR="005F174D" w:rsidRDefault="005F174D" w14:paraId="7762F4E2" w14:textId="25D1B966">
      <w:pPr>
        <w:pStyle w:val="FootnoteText"/>
      </w:pPr>
      <w:r>
        <w:rPr>
          <w:rStyle w:val="FootnoteReference"/>
        </w:rPr>
        <w:footnoteRef/>
      </w:r>
      <w:r>
        <w:t xml:space="preserve"> </w:t>
      </w:r>
      <w:hyperlink w:history="1" r:id="rId1">
        <w:r w:rsidRPr="005F174D">
          <w:rPr>
            <w:rStyle w:val="Hyperlink"/>
            <w:sz w:val="18"/>
            <w:szCs w:val="18"/>
          </w:rPr>
          <w:t>STATUTORY INSTRUMENTS 2020 No.1006</w:t>
        </w:r>
      </w:hyperlink>
      <w:r>
        <w:rPr>
          <w:sz w:val="18"/>
          <w:szCs w:val="18"/>
        </w:rPr>
        <w:t xml:space="preserve"> – The approval for this statutory instrument retained the CEP into GB Law.</w:t>
      </w:r>
    </w:p>
  </w:footnote>
  <w:footnote w:id="3">
    <w:p w:rsidRPr="00A31299" w:rsidR="005F174D" w:rsidRDefault="005F174D" w14:paraId="44849FEB" w14:textId="20C0764B">
      <w:pPr>
        <w:pStyle w:val="FootnoteText"/>
        <w:rPr>
          <w:sz w:val="18"/>
          <w:szCs w:val="18"/>
        </w:rPr>
      </w:pPr>
      <w:r w:rsidRPr="00A31299">
        <w:rPr>
          <w:rStyle w:val="FootnoteReference"/>
          <w:sz w:val="18"/>
          <w:szCs w:val="18"/>
        </w:rPr>
        <w:footnoteRef/>
      </w:r>
      <w:r w:rsidRPr="00A31299">
        <w:rPr>
          <w:sz w:val="18"/>
          <w:szCs w:val="18"/>
        </w:rPr>
        <w:t xml:space="preserve"> </w:t>
      </w:r>
      <w:hyperlink w:history="1" r:id="rId2">
        <w:r w:rsidRPr="00A31299" w:rsidR="00A31299">
          <w:rPr>
            <w:rStyle w:val="Hyperlink"/>
            <w:sz w:val="18"/>
            <w:szCs w:val="18"/>
          </w:rPr>
          <w:t>The New Electricity Trading Arrangements, Ofgem/DTI Conclusions Document, October 1999,</w:t>
        </w:r>
      </w:hyperlink>
      <w:r w:rsidRPr="00A31299" w:rsidR="00A31299">
        <w:rPr>
          <w:sz w:val="18"/>
          <w:szCs w:val="18"/>
        </w:rPr>
        <w:t xml:space="preserve"> p91</w:t>
      </w:r>
    </w:p>
  </w:footnote>
  <w:footnote w:id="4">
    <w:p w:rsidRPr="00A31299" w:rsidR="005F174D" w:rsidRDefault="005F174D" w14:paraId="6B1963CE" w14:textId="0639C450">
      <w:pPr>
        <w:pStyle w:val="FootnoteText"/>
        <w:rPr>
          <w:sz w:val="18"/>
          <w:szCs w:val="18"/>
        </w:rPr>
      </w:pPr>
      <w:r w:rsidRPr="00A31299">
        <w:rPr>
          <w:rStyle w:val="FootnoteReference"/>
          <w:sz w:val="18"/>
          <w:szCs w:val="18"/>
        </w:rPr>
        <w:footnoteRef/>
      </w:r>
      <w:r w:rsidRPr="00A31299">
        <w:rPr>
          <w:sz w:val="18"/>
          <w:szCs w:val="18"/>
        </w:rPr>
        <w:t xml:space="preserve"> </w:t>
      </w:r>
      <w:r w:rsidRPr="00A31299" w:rsidR="00A31299">
        <w:rPr>
          <w:i/>
          <w:iCs/>
          <w:sz w:val="18"/>
          <w:szCs w:val="18"/>
        </w:rPr>
        <w:t>Ibid</w:t>
      </w:r>
    </w:p>
  </w:footnote>
  <w:footnote w:id="5">
    <w:p w:rsidR="00A31299" w:rsidRDefault="00A31299" w14:paraId="2818BF79" w14:textId="1B893036">
      <w:pPr>
        <w:pStyle w:val="FootnoteText"/>
      </w:pPr>
      <w:r w:rsidRPr="00A31299">
        <w:rPr>
          <w:rStyle w:val="FootnoteReference"/>
          <w:sz w:val="18"/>
          <w:szCs w:val="18"/>
        </w:rPr>
        <w:footnoteRef/>
      </w:r>
      <w:r w:rsidRPr="00A31299">
        <w:rPr>
          <w:sz w:val="18"/>
          <w:szCs w:val="18"/>
        </w:rPr>
        <w:t xml:space="preserve"> </w:t>
      </w:r>
      <w:r>
        <w:rPr>
          <w:sz w:val="18"/>
          <w:szCs w:val="18"/>
        </w:rPr>
        <w:t xml:space="preserve">Ofgem review of NETA and the impact on smaller generators, October 2001 – (p1) </w:t>
      </w:r>
      <w:hyperlink w:history="1" r:id="rId3">
        <w:r w:rsidRPr="00530DC0">
          <w:rPr>
            <w:rStyle w:val="Hyperlink"/>
            <w:sz w:val="18"/>
            <w:szCs w:val="18"/>
          </w:rPr>
          <w:t>https://archive.uea.ac.uk/~e680/energy/energy_links/electricity/neta_review_aug2001.pdf</w:t>
        </w:r>
      </w:hyperlink>
    </w:p>
  </w:footnote>
  <w:footnote w:id="6">
    <w:p w:rsidR="007A16CA" w:rsidRDefault="007A16CA" w14:paraId="70B22D8F" w14:textId="6E42D083">
      <w:pPr>
        <w:pStyle w:val="FootnoteText"/>
      </w:pPr>
      <w:r>
        <w:rPr>
          <w:rStyle w:val="FootnoteReference"/>
        </w:rPr>
        <w:footnoteRef/>
      </w:r>
      <w:r>
        <w:t xml:space="preserve"> </w:t>
      </w:r>
      <w:r w:rsidRPr="00CF5EB7" w:rsidR="00CF5EB7">
        <w:rPr>
          <w:sz w:val="18"/>
          <w:szCs w:val="18"/>
        </w:rPr>
        <w:t xml:space="preserve">For the purposes of this </w:t>
      </w:r>
      <w:r w:rsidRPr="00CF5EB7" w:rsidR="00CF5EB7">
        <w:rPr>
          <w:sz w:val="18"/>
          <w:szCs w:val="18"/>
        </w:rPr>
        <w:t>section,</w:t>
      </w:r>
      <w:r w:rsidRPr="00CF5EB7" w:rsidR="00CF5EB7">
        <w:rPr>
          <w:sz w:val="18"/>
          <w:szCs w:val="18"/>
        </w:rPr>
        <w:t xml:space="preserve"> we will ignore response arming instructions, as they do not, in and of themselves, change a BMU’s MW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E2241" w:rsidP="00607F76" w:rsidRDefault="00EB2BC1" w14:paraId="54D68D4E" w14:textId="77777777">
    <w:pPr>
      <w:pStyle w:val="Header"/>
      <w:ind w:left="0"/>
      <w:jc w:val="left"/>
      <w:rPr>
        <w:rFonts w:eastAsia="HGPMinchoE" w:cs="Poppins"/>
        <w:color w:val="3F0730"/>
        <w:sz w:val="28"/>
        <w:szCs w:val="40"/>
      </w:rPr>
    </w:pPr>
    <w:r w:rsidRPr="004365EB">
      <w:rPr>
        <w:rFonts w:cs="Poppins"/>
        <w:b/>
        <w:bCs/>
      </w:rPr>
      <w:drawing>
        <wp:anchor distT="0" distB="0" distL="114300" distR="114300" simplePos="0" relativeHeight="251658241" behindDoc="1" locked="1" layoutInCell="1" allowOverlap="0" wp14:anchorId="0B4C770D" wp14:editId="0F7FDE48">
          <wp:simplePos x="0" y="0"/>
          <wp:positionH relativeFrom="page">
            <wp:align>center</wp:align>
          </wp:positionH>
          <wp:positionV relativeFrom="page">
            <wp:align>top</wp:align>
          </wp:positionV>
          <wp:extent cx="7560000" cy="10684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rsidR="00AE2241" w:rsidP="00607F76" w:rsidRDefault="00AE2241" w14:paraId="45F7BAB5" w14:textId="77777777">
    <w:pPr>
      <w:pStyle w:val="Header"/>
      <w:ind w:left="0"/>
      <w:jc w:val="left"/>
      <w:rPr>
        <w:rFonts w:eastAsia="HGPMinchoE" w:cs="Poppins"/>
        <w:color w:val="3F0730"/>
        <w:sz w:val="28"/>
        <w:szCs w:val="40"/>
      </w:rPr>
    </w:pPr>
  </w:p>
  <w:p w:rsidR="00AE2241" w:rsidP="00607F76" w:rsidRDefault="00AE2241" w14:paraId="4BC295A2" w14:textId="77777777">
    <w:pPr>
      <w:pStyle w:val="Header"/>
      <w:ind w:left="0"/>
      <w:jc w:val="left"/>
      <w:rPr>
        <w:rFonts w:eastAsia="HGPMinchoE" w:cs="Poppins"/>
        <w:color w:val="3F0730"/>
        <w:sz w:val="28"/>
        <w:szCs w:val="40"/>
      </w:rPr>
    </w:pPr>
  </w:p>
  <w:p w:rsidR="00AE2241" w:rsidP="00607F76" w:rsidRDefault="00AE2241" w14:paraId="02F34691" w14:textId="77777777">
    <w:pPr>
      <w:pStyle w:val="Header"/>
      <w:ind w:left="0"/>
      <w:jc w:val="left"/>
      <w:rPr>
        <w:rFonts w:eastAsia="HGPMinchoE" w:cs="Poppins"/>
        <w:color w:val="3F0730"/>
        <w:sz w:val="28"/>
        <w:szCs w:val="40"/>
      </w:rPr>
    </w:pPr>
  </w:p>
  <w:p w:rsidRPr="004365EB" w:rsidR="008313D5" w:rsidP="00FA59D0" w:rsidRDefault="00FA59D0" w14:paraId="49E6CC91" w14:textId="77777777">
    <w:pPr>
      <w:pStyle w:val="Header"/>
      <w:ind w:left="0"/>
      <w:jc w:val="left"/>
      <w:rPr>
        <w:rFonts w:eastAsia="HGPMinchoE" w:cs="Poppins"/>
        <w:color w:val="3F0730"/>
        <w:sz w:val="28"/>
        <w:szCs w:val="40"/>
      </w:rPr>
    </w:pPr>
    <w:r w:rsidRPr="00FA59D0">
      <w:rPr>
        <w:rFonts w:eastAsia="HGPMinchoE" w:cs="Poppins"/>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4365EB" w:rsidR="00DF17EF" w:rsidP="00DF17EF" w:rsidRDefault="006E510D" w14:paraId="7CB23AD1" w14:textId="77777777">
    <w:pPr>
      <w:pStyle w:val="Header"/>
      <w:ind w:left="0"/>
      <w:jc w:val="left"/>
      <w:rPr>
        <w:rFonts w:eastAsia="HGPMinchoE" w:cs="Poppins"/>
        <w:sz w:val="28"/>
        <w:szCs w:val="40"/>
      </w:rPr>
    </w:pPr>
    <w:r w:rsidRPr="004365EB">
      <w:rPr>
        <w:rFonts w:eastAsia="HGPMinchoE" w:cs="Poppins"/>
        <w:sz w:val="28"/>
        <w:szCs w:val="40"/>
      </w:rPr>
      <w:drawing>
        <wp:anchor distT="0" distB="0" distL="114300" distR="114300" simplePos="0" relativeHeight="251658240" behindDoc="1" locked="0" layoutInCell="1" allowOverlap="1" wp14:anchorId="377F183E" wp14:editId="21D1E32F">
          <wp:simplePos x="0" y="0"/>
          <wp:positionH relativeFrom="column">
            <wp:posOffset>-693986</wp:posOffset>
          </wp:positionH>
          <wp:positionV relativeFrom="paragraph">
            <wp:posOffset>-261620</wp:posOffset>
          </wp:positionV>
          <wp:extent cx="7559524" cy="1068876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9524" cy="10688760"/>
                  </a:xfrm>
                  <a:prstGeom prst="rect">
                    <a:avLst/>
                  </a:prstGeom>
                </pic:spPr>
              </pic:pic>
            </a:graphicData>
          </a:graphic>
          <wp14:sizeRelH relativeFrom="page">
            <wp14:pctWidth>0</wp14:pctWidth>
          </wp14:sizeRelH>
          <wp14:sizeRelV relativeFrom="page">
            <wp14:pctHeight>0</wp14:pctHeight>
          </wp14:sizeRelV>
        </wp:anchor>
      </w:drawing>
    </w:r>
  </w:p>
  <w:p w:rsidRPr="004365EB" w:rsidR="00DF17EF" w:rsidP="00DF17EF" w:rsidRDefault="00DF17EF" w14:paraId="5C875E48" w14:textId="77777777">
    <w:pPr>
      <w:pStyle w:val="Header"/>
      <w:ind w:left="0"/>
      <w:jc w:val="left"/>
      <w:rPr>
        <w:rFonts w:eastAsia="HGPMinchoE" w:cs="Poppins"/>
        <w:sz w:val="28"/>
        <w:szCs w:val="40"/>
      </w:rPr>
    </w:pPr>
  </w:p>
  <w:p w:rsidRPr="004365EB" w:rsidR="00DF17EF" w:rsidP="00DF17EF" w:rsidRDefault="00DF17EF" w14:paraId="5038E1D2" w14:textId="77777777">
    <w:pPr>
      <w:pStyle w:val="Header"/>
      <w:ind w:left="0"/>
      <w:jc w:val="left"/>
      <w:rPr>
        <w:rFonts w:eastAsia="HGPMinchoE" w:cs="Poppins"/>
        <w:sz w:val="28"/>
        <w:szCs w:val="40"/>
      </w:rPr>
    </w:pPr>
  </w:p>
  <w:p w:rsidRPr="004365EB" w:rsidR="00B26D29" w:rsidP="00607F76" w:rsidRDefault="00607F76" w14:paraId="313C242F" w14:textId="77777777">
    <w:pPr>
      <w:pStyle w:val="Header"/>
      <w:ind w:left="0"/>
      <w:jc w:val="left"/>
      <w:rPr>
        <w:rFonts w:eastAsia="HGPMinchoE" w:cs="Poppins"/>
        <w:color w:val="3F0730"/>
        <w:sz w:val="28"/>
        <w:szCs w:val="40"/>
      </w:rPr>
    </w:pPr>
    <w:r w:rsidRPr="004365EB">
      <w:rPr>
        <w:rFonts w:eastAsia="HGPMinchoE" w:cs="Poppins"/>
        <w:color w:val="3F0730"/>
        <w:sz w:val="28"/>
        <w:szCs w:val="4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hint="default" w:ascii="Symbol" w:hAnsi="Symbol"/>
        <w:sz w:val="18"/>
      </w:rPr>
    </w:lvl>
  </w:abstractNum>
  <w:abstractNum w:abstractNumId="10" w15:restartNumberingAfterBreak="0">
    <w:nsid w:val="016F27AA"/>
    <w:multiLevelType w:val="singleLevel"/>
    <w:tmpl w:val="107E0C76"/>
    <w:lvl w:ilvl="0">
      <w:start w:val="1"/>
      <w:numFmt w:val="bullet"/>
      <w:lvlText w:val=""/>
      <w:lvlJc w:val="left"/>
      <w:pPr>
        <w:ind w:left="360" w:hanging="360"/>
      </w:pPr>
      <w:rPr>
        <w:rFonts w:hint="default" w:ascii="Symbol" w:hAnsi="Symbol"/>
        <w:color w:val="FF00FF"/>
      </w:rPr>
    </w:lvl>
  </w:abstractNum>
  <w:abstractNum w:abstractNumId="11" w15:restartNumberingAfterBreak="0">
    <w:nsid w:val="03917BAC"/>
    <w:multiLevelType w:val="hybridMultilevel"/>
    <w:tmpl w:val="E33E46A4"/>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hint="default" w:ascii="Symbol" w:hAnsi="Symbol"/>
        <w:color w:val="D43900"/>
      </w:rPr>
    </w:lvl>
    <w:lvl w:ilvl="1">
      <w:start w:val="1"/>
      <w:numFmt w:val="bullet"/>
      <w:lvlRestart w:val="0"/>
      <w:lvlText w:val=""/>
      <w:lvlJc w:val="left"/>
      <w:pPr>
        <w:ind w:left="568" w:hanging="284"/>
      </w:pPr>
      <w:rPr>
        <w:rFonts w:hint="default" w:ascii="Symbol" w:hAnsi="Symbol"/>
        <w:color w:val="D43900"/>
      </w:rPr>
    </w:lvl>
    <w:lvl w:ilvl="2">
      <w:start w:val="1"/>
      <w:numFmt w:val="bullet"/>
      <w:lvlRestart w:val="0"/>
      <w:lvlText w:val=""/>
      <w:lvlJc w:val="left"/>
      <w:pPr>
        <w:ind w:left="852" w:hanging="284"/>
      </w:pPr>
      <w:rPr>
        <w:rFonts w:hint="default" w:ascii="Symbol" w:hAnsi="Symbol"/>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BE15FA1"/>
    <w:multiLevelType w:val="hybridMultilevel"/>
    <w:tmpl w:val="FDBCD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B75ED5"/>
    <w:multiLevelType w:val="hybridMultilevel"/>
    <w:tmpl w:val="7DBAD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674420"/>
    <w:multiLevelType w:val="multilevel"/>
    <w:tmpl w:val="9A8437B8"/>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A1F2726"/>
    <w:multiLevelType w:val="multilevel"/>
    <w:tmpl w:val="CE981792"/>
    <w:numStyleLink w:val="Bullets"/>
  </w:abstractNum>
  <w:abstractNum w:abstractNumId="17" w15:restartNumberingAfterBreak="0">
    <w:nsid w:val="2A360ACD"/>
    <w:multiLevelType w:val="multilevel"/>
    <w:tmpl w:val="ABFED574"/>
    <w:lvl w:ilvl="0">
      <w:start w:val="1"/>
      <w:numFmt w:val="bullet"/>
      <w:pStyle w:val="Bullet1"/>
      <w:lvlText w:val=""/>
      <w:lvlJc w:val="left"/>
      <w:pPr>
        <w:ind w:left="360" w:hanging="360"/>
      </w:pPr>
      <w:rPr>
        <w:rFonts w:hint="default" w:ascii="Symbol" w:hAnsi="Symbol"/>
        <w:color w:val="FF00FF"/>
      </w:rPr>
    </w:lvl>
    <w:lvl w:ilvl="1">
      <w:start w:val="1"/>
      <w:numFmt w:val="bullet"/>
      <w:lvlRestart w:val="0"/>
      <w:lvlText w:val=""/>
      <w:lvlJc w:val="left"/>
      <w:pPr>
        <w:ind w:left="568" w:hanging="284"/>
      </w:pPr>
      <w:rPr>
        <w:rFonts w:hint="default" w:ascii="Symbol" w:hAnsi="Symbol"/>
        <w:color w:val="D43900"/>
      </w:rPr>
    </w:lvl>
    <w:lvl w:ilvl="2">
      <w:start w:val="1"/>
      <w:numFmt w:val="bullet"/>
      <w:lvlRestart w:val="0"/>
      <w:lvlText w:val=""/>
      <w:lvlJc w:val="left"/>
      <w:pPr>
        <w:ind w:left="852" w:hanging="284"/>
      </w:pPr>
      <w:rPr>
        <w:rFonts w:hint="default" w:ascii="Symbol" w:hAnsi="Symbol"/>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8" w15:restartNumberingAfterBreak="0">
    <w:nsid w:val="302D78FA"/>
    <w:multiLevelType w:val="hybridMultilevel"/>
    <w:tmpl w:val="B7060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376E88"/>
    <w:multiLevelType w:val="hybridMultilevel"/>
    <w:tmpl w:val="38126198"/>
    <w:lvl w:ilvl="0" w:tplc="61963378">
      <w:start w:val="1"/>
      <w:numFmt w:val="bullet"/>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AE1373"/>
    <w:multiLevelType w:val="hybridMultilevel"/>
    <w:tmpl w:val="AF4C7030"/>
    <w:lvl w:ilvl="0" w:tplc="18CA66F2">
      <w:start w:val="1"/>
      <w:numFmt w:val="decimal"/>
      <w:pStyle w:val="Heading1Numbered"/>
      <w:lvlText w:val="%1."/>
      <w:lvlJc w:val="left"/>
      <w:pPr>
        <w:ind w:left="360" w:hanging="360"/>
      </w:pPr>
      <w:rPr>
        <w:rFonts w:hint="default"/>
        <w:color w:val="3F073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918F7"/>
    <w:multiLevelType w:val="hybridMultilevel"/>
    <w:tmpl w:val="D6307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CA297C"/>
    <w:multiLevelType w:val="hybridMultilevel"/>
    <w:tmpl w:val="71BE0F1C"/>
    <w:lvl w:ilvl="0" w:tplc="72B87F12">
      <w:start w:val="1"/>
      <w:numFmt w:val="bullet"/>
      <w:pStyle w:val="Bullet3"/>
      <w:lvlText w:val=""/>
      <w:lvlJc w:val="left"/>
      <w:pPr>
        <w:ind w:left="1288" w:hanging="360"/>
      </w:pPr>
      <w:rPr>
        <w:rFonts w:hint="default" w:ascii="Symbol" w:hAnsi="Symbol"/>
        <w:color w:val="FF00FF"/>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26"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235CE0"/>
    <w:multiLevelType w:val="hybridMultilevel"/>
    <w:tmpl w:val="55D89948"/>
    <w:lvl w:ilvl="0" w:tplc="9404F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607F32"/>
    <w:multiLevelType w:val="multilevel"/>
    <w:tmpl w:val="CE981792"/>
    <w:numStyleLink w:val="Bullets"/>
  </w:abstractNum>
  <w:abstractNum w:abstractNumId="29" w15:restartNumberingAfterBreak="0">
    <w:nsid w:val="61577F5C"/>
    <w:multiLevelType w:val="hybridMultilevel"/>
    <w:tmpl w:val="916E8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1814D5E"/>
    <w:multiLevelType w:val="multilevel"/>
    <w:tmpl w:val="86A61410"/>
    <w:lvl w:ilvl="0">
      <w:start w:val="1"/>
      <w:numFmt w:val="decimal"/>
      <w:lvlText w:val="%1."/>
      <w:lvlJc w:val="left"/>
      <w:pPr>
        <w:ind w:left="284" w:hanging="284"/>
      </w:pPr>
      <w:rPr>
        <w:rFonts w:hint="default"/>
        <w:color w:val="3F0731" w:themeColor="accent1"/>
      </w:rPr>
    </w:lvl>
    <w:lvl w:ilvl="1">
      <w:start w:val="1"/>
      <w:numFmt w:val="bullet"/>
      <w:lvlRestart w:val="0"/>
      <w:lvlText w:val=""/>
      <w:lvlJc w:val="left"/>
      <w:pPr>
        <w:ind w:left="568" w:hanging="284"/>
      </w:pPr>
      <w:rPr>
        <w:rFonts w:hint="default" w:ascii="Symbol" w:hAnsi="Symbol"/>
        <w:color w:val="3F0731" w:themeColor="accent1"/>
      </w:rPr>
    </w:lvl>
    <w:lvl w:ilvl="2">
      <w:start w:val="1"/>
      <w:numFmt w:val="bullet"/>
      <w:lvlRestart w:val="0"/>
      <w:lvlText w:val=""/>
      <w:lvlJc w:val="left"/>
      <w:pPr>
        <w:ind w:left="852" w:hanging="284"/>
      </w:pPr>
      <w:rPr>
        <w:rFonts w:hint="default" w:ascii="Symbol" w:hAnsi="Symbol"/>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1"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1610D5"/>
    <w:multiLevelType w:val="multilevel"/>
    <w:tmpl w:val="7D7CA560"/>
    <w:styleLink w:val="NumberedBulletsList"/>
    <w:lvl w:ilvl="0">
      <w:start w:val="1"/>
      <w:numFmt w:val="decimal"/>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5" w15:restartNumberingAfterBreak="0">
    <w:nsid w:val="6AD3657F"/>
    <w:multiLevelType w:val="multilevel"/>
    <w:tmpl w:val="CE981792"/>
    <w:numStyleLink w:val="Bullets"/>
  </w:abstractNum>
  <w:abstractNum w:abstractNumId="36" w15:restartNumberingAfterBreak="0">
    <w:nsid w:val="6C19419A"/>
    <w:multiLevelType w:val="hybridMultilevel"/>
    <w:tmpl w:val="BF887DB2"/>
    <w:lvl w:ilvl="0" w:tplc="972E6C4A">
      <w:start w:val="1"/>
      <w:numFmt w:val="bullet"/>
      <w:pStyle w:val="Bullet2"/>
      <w:lvlText w:val=""/>
      <w:lvlJc w:val="left"/>
      <w:pPr>
        <w:ind w:left="1004" w:hanging="360"/>
      </w:pPr>
      <w:rPr>
        <w:rFonts w:hint="default" w:ascii="Symbol" w:hAnsi="Symbol"/>
        <w:color w:val="FF00FF"/>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7"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8E4D1C"/>
    <w:multiLevelType w:val="multilevel"/>
    <w:tmpl w:val="C770AC32"/>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40" w15:restartNumberingAfterBreak="0">
    <w:nsid w:val="7855149B"/>
    <w:multiLevelType w:val="hybridMultilevel"/>
    <w:tmpl w:val="6292D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7E2A4C"/>
    <w:multiLevelType w:val="hybridMultilevel"/>
    <w:tmpl w:val="BB1A720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C814088"/>
    <w:multiLevelType w:val="multilevel"/>
    <w:tmpl w:val="4F7EE70A"/>
    <w:lvl w:ilvl="0">
      <w:start w:val="1"/>
      <w:numFmt w:val="bullet"/>
      <w:lvlText w:val=""/>
      <w:lvlJc w:val="left"/>
      <w:pPr>
        <w:ind w:left="284" w:hanging="284"/>
      </w:pPr>
      <w:rPr>
        <w:rFonts w:hint="default" w:ascii="Symbol" w:hAnsi="Symbol"/>
        <w:color w:val="3F0731" w:themeColor="accent1"/>
      </w:rPr>
    </w:lvl>
    <w:lvl w:ilvl="1">
      <w:start w:val="1"/>
      <w:numFmt w:val="bullet"/>
      <w:lvlRestart w:val="0"/>
      <w:lvlText w:val="–"/>
      <w:lvlJc w:val="left"/>
      <w:pPr>
        <w:ind w:left="568" w:hanging="284"/>
      </w:pPr>
      <w:rPr>
        <w:rFonts w:hint="default" w:ascii="Arial" w:hAnsi="Arial"/>
        <w:color w:val="3F0731" w:themeColor="accent1"/>
      </w:rPr>
    </w:lvl>
    <w:lvl w:ilvl="2">
      <w:start w:val="1"/>
      <w:numFmt w:val="bullet"/>
      <w:lvlRestart w:val="0"/>
      <w:lvlText w:val="○"/>
      <w:lvlJc w:val="left"/>
      <w:pPr>
        <w:ind w:left="852" w:hanging="284"/>
      </w:pPr>
      <w:rPr>
        <w:rFonts w:hint="default" w:ascii="Arial" w:hAnsi="Arial"/>
        <w:color w:val="3F0731"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3"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4"/>
  </w:num>
  <w:num w:numId="12" w16cid:durableId="450050108">
    <w:abstractNumId w:val="20"/>
  </w:num>
  <w:num w:numId="13" w16cid:durableId="427045568">
    <w:abstractNumId w:val="43"/>
  </w:num>
  <w:num w:numId="14" w16cid:durableId="351030145">
    <w:abstractNumId w:val="12"/>
  </w:num>
  <w:num w:numId="15" w16cid:durableId="419713709">
    <w:abstractNumId w:val="35"/>
  </w:num>
  <w:num w:numId="16" w16cid:durableId="1339162828">
    <w:abstractNumId w:val="39"/>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0"/>
  </w:num>
  <w:num w:numId="19" w16cid:durableId="1216563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9"/>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9"/>
  </w:num>
  <w:num w:numId="23" w16cid:durableId="914751835">
    <w:abstractNumId w:val="37"/>
  </w:num>
  <w:num w:numId="24" w16cid:durableId="269238063">
    <w:abstractNumId w:val="24"/>
  </w:num>
  <w:num w:numId="25" w16cid:durableId="48194925">
    <w:abstractNumId w:val="11"/>
  </w:num>
  <w:num w:numId="26" w16cid:durableId="237911749">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2"/>
  </w:num>
  <w:num w:numId="28" w16cid:durableId="1982036560">
    <w:abstractNumId w:val="28"/>
  </w:num>
  <w:num w:numId="29" w16cid:durableId="795679059">
    <w:abstractNumId w:val="16"/>
  </w:num>
  <w:num w:numId="30" w16cid:durableId="776801520">
    <w:abstractNumId w:val="10"/>
  </w:num>
  <w:num w:numId="31" w16cid:durableId="233004790">
    <w:abstractNumId w:val="23"/>
  </w:num>
  <w:num w:numId="32" w16cid:durableId="1849902588">
    <w:abstractNumId w:val="31"/>
  </w:num>
  <w:num w:numId="33" w16cid:durableId="1724792781">
    <w:abstractNumId w:val="32"/>
  </w:num>
  <w:num w:numId="34" w16cid:durableId="182482013">
    <w:abstractNumId w:val="26"/>
  </w:num>
  <w:num w:numId="35" w16cid:durableId="873037354">
    <w:abstractNumId w:val="22"/>
  </w:num>
  <w:num w:numId="36" w16cid:durableId="143934142">
    <w:abstractNumId w:val="33"/>
  </w:num>
  <w:num w:numId="37" w16cid:durableId="853499786">
    <w:abstractNumId w:val="38"/>
  </w:num>
  <w:num w:numId="38" w16cid:durableId="1942257626">
    <w:abstractNumId w:val="19"/>
  </w:num>
  <w:num w:numId="39" w16cid:durableId="235628489">
    <w:abstractNumId w:val="17"/>
  </w:num>
  <w:num w:numId="40" w16cid:durableId="889611311">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1" w16cid:durableId="605624631">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2" w16cid:durableId="1862090257">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3" w16cid:durableId="1533959200">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4" w16cid:durableId="111948649">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5" w16cid:durableId="1061295426">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6" w16cid:durableId="168452708">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7" w16cid:durableId="598493198">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48" w16cid:durableId="1614552168">
    <w:abstractNumId w:val="36"/>
  </w:num>
  <w:num w:numId="49" w16cid:durableId="1795443873">
    <w:abstractNumId w:val="25"/>
  </w:num>
  <w:num w:numId="50" w16cid:durableId="2001958217">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1" w16cid:durableId="1221667900">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2" w16cid:durableId="697894085">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53" w16cid:durableId="541793571">
    <w:abstractNumId w:val="15"/>
  </w:num>
  <w:num w:numId="54" w16cid:durableId="254167450">
    <w:abstractNumId w:val="15"/>
  </w:num>
  <w:num w:numId="55" w16cid:durableId="1863670398">
    <w:abstractNumId w:val="15"/>
  </w:num>
  <w:num w:numId="56" w16cid:durableId="1362631498">
    <w:abstractNumId w:val="15"/>
  </w:num>
  <w:num w:numId="57" w16cid:durableId="410935084">
    <w:abstractNumId w:val="15"/>
  </w:num>
  <w:num w:numId="58" w16cid:durableId="1858810682">
    <w:abstractNumId w:val="15"/>
  </w:num>
  <w:num w:numId="59" w16cid:durableId="1685401287">
    <w:abstractNumId w:val="17"/>
  </w:num>
  <w:num w:numId="60" w16cid:durableId="1018390567">
    <w:abstractNumId w:val="36"/>
  </w:num>
  <w:num w:numId="61" w16cid:durableId="1865048331">
    <w:abstractNumId w:val="25"/>
  </w:num>
  <w:num w:numId="62" w16cid:durableId="957875667">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3" w16cid:durableId="604578063">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4" w16cid:durableId="1899245678">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65" w16cid:durableId="630673952">
    <w:abstractNumId w:val="20"/>
  </w:num>
  <w:num w:numId="66" w16cid:durableId="1683432448">
    <w:abstractNumId w:val="11"/>
  </w:num>
  <w:num w:numId="67" w16cid:durableId="1058210447">
    <w:abstractNumId w:val="15"/>
  </w:num>
  <w:num w:numId="68" w16cid:durableId="1443496628">
    <w:abstractNumId w:val="15"/>
  </w:num>
  <w:num w:numId="69" w16cid:durableId="1940916667">
    <w:abstractNumId w:val="15"/>
  </w:num>
  <w:num w:numId="70" w16cid:durableId="1804151546">
    <w:abstractNumId w:val="15"/>
  </w:num>
  <w:num w:numId="71" w16cid:durableId="1807239540">
    <w:abstractNumId w:val="15"/>
  </w:num>
  <w:num w:numId="72" w16cid:durableId="478769964">
    <w:abstractNumId w:val="15"/>
  </w:num>
  <w:num w:numId="73" w16cid:durableId="778262459">
    <w:abstractNumId w:val="17"/>
  </w:num>
  <w:num w:numId="74" w16cid:durableId="1574043876">
    <w:abstractNumId w:val="36"/>
  </w:num>
  <w:num w:numId="75" w16cid:durableId="1669096986">
    <w:abstractNumId w:val="25"/>
  </w:num>
  <w:num w:numId="76" w16cid:durableId="1263024897">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7" w16cid:durableId="1535578317">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8" w16cid:durableId="812258246">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79" w16cid:durableId="1002398027">
    <w:abstractNumId w:val="20"/>
  </w:num>
  <w:num w:numId="80" w16cid:durableId="1446345873">
    <w:abstractNumId w:val="11"/>
  </w:num>
  <w:num w:numId="81" w16cid:durableId="684791753">
    <w:abstractNumId w:val="15"/>
  </w:num>
  <w:num w:numId="82" w16cid:durableId="1030108799">
    <w:abstractNumId w:val="15"/>
  </w:num>
  <w:num w:numId="83" w16cid:durableId="1946301502">
    <w:abstractNumId w:val="15"/>
  </w:num>
  <w:num w:numId="84" w16cid:durableId="1937860477">
    <w:abstractNumId w:val="15"/>
  </w:num>
  <w:num w:numId="85" w16cid:durableId="2123767335">
    <w:abstractNumId w:val="15"/>
  </w:num>
  <w:num w:numId="86" w16cid:durableId="1973829864">
    <w:abstractNumId w:val="15"/>
  </w:num>
  <w:num w:numId="87" w16cid:durableId="998532188">
    <w:abstractNumId w:val="17"/>
  </w:num>
  <w:num w:numId="88" w16cid:durableId="1739474388">
    <w:abstractNumId w:val="36"/>
  </w:num>
  <w:num w:numId="89" w16cid:durableId="524516525">
    <w:abstractNumId w:val="25"/>
  </w:num>
  <w:num w:numId="90" w16cid:durableId="1028531592">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91" w16cid:durableId="76169253">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92" w16cid:durableId="504055316">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93" w16cid:durableId="1080558914">
    <w:abstractNumId w:val="20"/>
  </w:num>
  <w:num w:numId="94" w16cid:durableId="1665739155">
    <w:abstractNumId w:val="11"/>
  </w:num>
  <w:num w:numId="95" w16cid:durableId="523326987">
    <w:abstractNumId w:val="15"/>
  </w:num>
  <w:num w:numId="96" w16cid:durableId="914626219">
    <w:abstractNumId w:val="15"/>
  </w:num>
  <w:num w:numId="97" w16cid:durableId="1605654048">
    <w:abstractNumId w:val="15"/>
  </w:num>
  <w:num w:numId="98" w16cid:durableId="1146123045">
    <w:abstractNumId w:val="15"/>
  </w:num>
  <w:num w:numId="99" w16cid:durableId="346367409">
    <w:abstractNumId w:val="15"/>
  </w:num>
  <w:num w:numId="100" w16cid:durableId="1041975059">
    <w:abstractNumId w:val="15"/>
  </w:num>
  <w:num w:numId="101" w16cid:durableId="1979526050">
    <w:abstractNumId w:val="17"/>
  </w:num>
  <w:num w:numId="102" w16cid:durableId="655382495">
    <w:abstractNumId w:val="36"/>
  </w:num>
  <w:num w:numId="103" w16cid:durableId="1606577675">
    <w:abstractNumId w:val="25"/>
  </w:num>
  <w:num w:numId="104" w16cid:durableId="1966232192">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05" w16cid:durableId="1129395709">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06" w16cid:durableId="1450079035">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07" w16cid:durableId="1580283653">
    <w:abstractNumId w:val="20"/>
  </w:num>
  <w:num w:numId="108" w16cid:durableId="147669902">
    <w:abstractNumId w:val="11"/>
  </w:num>
  <w:num w:numId="109" w16cid:durableId="1369910863">
    <w:abstractNumId w:val="15"/>
  </w:num>
  <w:num w:numId="110" w16cid:durableId="1105854505">
    <w:abstractNumId w:val="15"/>
  </w:num>
  <w:num w:numId="111" w16cid:durableId="1502087411">
    <w:abstractNumId w:val="15"/>
  </w:num>
  <w:num w:numId="112" w16cid:durableId="231738566">
    <w:abstractNumId w:val="15"/>
  </w:num>
  <w:num w:numId="113" w16cid:durableId="840268589">
    <w:abstractNumId w:val="15"/>
  </w:num>
  <w:num w:numId="114" w16cid:durableId="1217353298">
    <w:abstractNumId w:val="15"/>
  </w:num>
  <w:num w:numId="115" w16cid:durableId="1042053295">
    <w:abstractNumId w:val="17"/>
  </w:num>
  <w:num w:numId="116" w16cid:durableId="401565751">
    <w:abstractNumId w:val="36"/>
  </w:num>
  <w:num w:numId="117" w16cid:durableId="1280262003">
    <w:abstractNumId w:val="25"/>
  </w:num>
  <w:num w:numId="118" w16cid:durableId="1420446547">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19" w16cid:durableId="1970282999">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20" w16cid:durableId="895353830">
    <w:abstractNumId w:val="39"/>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21" w16cid:durableId="889268325">
    <w:abstractNumId w:val="20"/>
  </w:num>
  <w:num w:numId="122" w16cid:durableId="1781218940">
    <w:abstractNumId w:val="11"/>
  </w:num>
  <w:num w:numId="123" w16cid:durableId="1332561726">
    <w:abstractNumId w:val="29"/>
  </w:num>
  <w:num w:numId="124" w16cid:durableId="1091849881">
    <w:abstractNumId w:val="41"/>
  </w:num>
  <w:num w:numId="125" w16cid:durableId="1273828450">
    <w:abstractNumId w:val="14"/>
  </w:num>
  <w:num w:numId="126" w16cid:durableId="2090345969">
    <w:abstractNumId w:val="27"/>
  </w:num>
  <w:num w:numId="127" w16cid:durableId="186796580">
    <w:abstractNumId w:val="13"/>
  </w:num>
  <w:num w:numId="128" w16cid:durableId="2125880879">
    <w:abstractNumId w:val="40"/>
  </w:num>
  <w:num w:numId="129" w16cid:durableId="1997949153">
    <w:abstractNumId w:val="18"/>
  </w:num>
  <w:num w:numId="130" w16cid:durableId="1268005442">
    <w:abstractNumId w:val="21"/>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linkStyl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36"/>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44B5"/>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3C"/>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C2"/>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960"/>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5EB"/>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174D"/>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036F"/>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4919"/>
    <w:rsid w:val="006D6073"/>
    <w:rsid w:val="006D6266"/>
    <w:rsid w:val="006E055E"/>
    <w:rsid w:val="006E0E6C"/>
    <w:rsid w:val="006E1030"/>
    <w:rsid w:val="006E3DA2"/>
    <w:rsid w:val="006E5041"/>
    <w:rsid w:val="006E510D"/>
    <w:rsid w:val="006E6687"/>
    <w:rsid w:val="006E7597"/>
    <w:rsid w:val="006F2FDC"/>
    <w:rsid w:val="006F3637"/>
    <w:rsid w:val="006F37D9"/>
    <w:rsid w:val="006F4236"/>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6B1"/>
    <w:rsid w:val="007A16CA"/>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0D75"/>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38DB"/>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299"/>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FC5"/>
    <w:rsid w:val="00A938C7"/>
    <w:rsid w:val="00A95EB0"/>
    <w:rsid w:val="00A961D5"/>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2241"/>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27F49"/>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800"/>
    <w:rsid w:val="00B60E8B"/>
    <w:rsid w:val="00B6242E"/>
    <w:rsid w:val="00B64D66"/>
    <w:rsid w:val="00B64EA4"/>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5EB7"/>
    <w:rsid w:val="00CF6CB7"/>
    <w:rsid w:val="00CF7312"/>
    <w:rsid w:val="00D02E54"/>
    <w:rsid w:val="00D03C6C"/>
    <w:rsid w:val="00D03F9B"/>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3D40"/>
    <w:rsid w:val="00E144AA"/>
    <w:rsid w:val="00E150E0"/>
    <w:rsid w:val="00E15B0E"/>
    <w:rsid w:val="00E15F79"/>
    <w:rsid w:val="00E20324"/>
    <w:rsid w:val="00E20A1E"/>
    <w:rsid w:val="00E219D2"/>
    <w:rsid w:val="00E24337"/>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A59D0"/>
    <w:rsid w:val="00FB18DC"/>
    <w:rsid w:val="00FB199E"/>
    <w:rsid w:val="00FB325F"/>
    <w:rsid w:val="00FB3C60"/>
    <w:rsid w:val="00FB56C0"/>
    <w:rsid w:val="00FB5E34"/>
    <w:rsid w:val="00FB6CEF"/>
    <w:rsid w:val="00FC1876"/>
    <w:rsid w:val="00FC1B55"/>
    <w:rsid w:val="00FC2A1B"/>
    <w:rsid w:val="00FC33FC"/>
    <w:rsid w:val="00FC41FE"/>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9B"/>
    <w:rsid w:val="00FF40BD"/>
    <w:rsid w:val="00FF4518"/>
    <w:rsid w:val="00FF4603"/>
    <w:rsid w:val="00FF6CA9"/>
    <w:rsid w:val="00FF6ED8"/>
    <w:rsid w:val="00FF722C"/>
    <w:rsid w:val="0A2550C6"/>
    <w:rsid w:val="1A06C2F7"/>
    <w:rsid w:val="204C5D15"/>
    <w:rsid w:val="3A9AF470"/>
    <w:rsid w:val="47AD1BF0"/>
    <w:rsid w:val="4C44C1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3D4BFC"/>
  <w15:docId w15:val="{B708D155-8777-4B2A-AC93-7DBE2926FB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4" w:semiHidden="1" w:unhideWhenUsed="1" w:qFormat="1"/>
    <w:lsdException w:name="heading 4" w:uiPriority="23" w:semiHidden="1" w:qFormat="1"/>
    <w:lsdException w:name="heading 5" w:uiPriority="23" w:semiHidden="1" w:unhideWhenUsed="1" w:qFormat="1"/>
    <w:lsdException w:name="heading 6" w:uiPriority="23" w:semiHidden="1" w:qFormat="1"/>
    <w:lsdException w:name="heading 7" w:uiPriority="23" w:semiHidden="1" w:qFormat="1"/>
    <w:lsdException w:name="heading 8" w:uiPriority="23" w:semiHidden="1" w:qFormat="1"/>
    <w:lsdException w:name="heading 9" w:uiPriority="23"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5"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semiHidden="1" w:qFormat="1"/>
    <w:lsdException w:name="Intense Quote" w:uiPriority="31"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semiHidden="1" w:qFormat="1"/>
    <w:lsdException w:name="Intense Emphasis" w:uiPriority="28" w:semiHidden="1" w:qFormat="1"/>
    <w:lsdException w:name="Subtle Reference" w:uiPriority="32" w:semiHidden="1" w:qFormat="1"/>
    <w:lsdException w:name="Intense Reference" w:uiPriority="33" w:semiHidden="1" w:qFormat="1"/>
    <w:lsdException w:name="Book Title" w:uiPriority="34" w:semiHidden="1" w:qFormat="1"/>
    <w:lsdException w:name="Bibliography" w:uiPriority="38"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2241"/>
    <w:pPr>
      <w:spacing w:after="160" w:line="259" w:lineRule="auto"/>
    </w:pPr>
    <w:rPr>
      <w:rFonts w:ascii="Poppins" w:hAnsi="Poppins"/>
      <w:kern w:val="2"/>
      <w:sz w:val="22"/>
      <w:szCs w:val="22"/>
      <w:lang w:val="en-GB"/>
      <w14:ligatures w14:val="standardContextual"/>
    </w:rPr>
  </w:style>
  <w:style w:type="paragraph" w:styleId="Heading1">
    <w:name w:val="heading 1"/>
    <w:basedOn w:val="Normal"/>
    <w:next w:val="BodyText"/>
    <w:link w:val="Heading1Char"/>
    <w:uiPriority w:val="4"/>
    <w:qFormat/>
    <w:rsid w:val="00AE2241"/>
    <w:pPr>
      <w:keepNext/>
      <w:keepLines/>
      <w:spacing w:before="240"/>
      <w:outlineLvl w:val="0"/>
    </w:pPr>
    <w:rPr>
      <w:rFonts w:eastAsiaTheme="majorEastAsia" w:cstheme="majorBidi"/>
      <w:b/>
      <w:bCs/>
      <w:color w:val="3F0731" w:themeColor="text2"/>
      <w:sz w:val="28"/>
      <w:szCs w:val="28"/>
    </w:rPr>
  </w:style>
  <w:style w:type="paragraph" w:styleId="Heading2">
    <w:name w:val="heading 2"/>
    <w:basedOn w:val="Normal"/>
    <w:next w:val="BodyText"/>
    <w:link w:val="Heading2Char"/>
    <w:uiPriority w:val="4"/>
    <w:qFormat/>
    <w:rsid w:val="00AE2241"/>
    <w:pPr>
      <w:keepNext/>
      <w:keepLines/>
      <w:spacing w:before="240"/>
      <w:outlineLvl w:val="1"/>
    </w:pPr>
    <w:rPr>
      <w:rFonts w:eastAsiaTheme="majorEastAsia" w:cstheme="majorBidi"/>
      <w:b/>
      <w:bCs/>
      <w:color w:val="3F0731" w:themeColor="text2"/>
      <w:sz w:val="28"/>
      <w:szCs w:val="26"/>
    </w:rPr>
  </w:style>
  <w:style w:type="paragraph" w:styleId="Heading3">
    <w:name w:val="heading 3"/>
    <w:basedOn w:val="Normal"/>
    <w:next w:val="BodyText"/>
    <w:link w:val="Heading3Char"/>
    <w:uiPriority w:val="4"/>
    <w:qFormat/>
    <w:rsid w:val="00AE2241"/>
    <w:pPr>
      <w:keepNext/>
      <w:keepLines/>
      <w:spacing w:before="240"/>
      <w:outlineLvl w:val="2"/>
    </w:pPr>
    <w:rPr>
      <w:rFonts w:eastAsiaTheme="majorEastAsia" w:cstheme="majorBidi"/>
      <w:color w:val="3F0731" w:themeColor="text2"/>
      <w:sz w:val="24"/>
      <w:szCs w:val="24"/>
    </w:rPr>
  </w:style>
  <w:style w:type="paragraph" w:styleId="Heading4">
    <w:name w:val="heading 4"/>
    <w:aliases w:val="Heading 4 (table &amp; chart)"/>
    <w:basedOn w:val="Normal"/>
    <w:next w:val="Normal"/>
    <w:link w:val="Heading4Char"/>
    <w:uiPriority w:val="23"/>
    <w:semiHidden/>
    <w:qFormat/>
    <w:rsid w:val="00AE2241"/>
    <w:pPr>
      <w:keepNext/>
      <w:keepLines/>
      <w:numPr>
        <w:ilvl w:val="3"/>
        <w:numId w:val="114"/>
      </w:numPr>
      <w:spacing w:before="120"/>
      <w:outlineLvl w:val="3"/>
    </w:pPr>
    <w:rPr>
      <w:rFonts w:asciiTheme="majorHAnsi" w:hAnsiTheme="majorHAnsi" w:eastAsiaTheme="majorEastAsia" w:cstheme="majorBidi"/>
      <w:b/>
      <w:iCs/>
      <w:color w:val="7A3864" w:themeColor="accent2"/>
    </w:rPr>
  </w:style>
  <w:style w:type="paragraph" w:styleId="Heading5">
    <w:name w:val="heading 5"/>
    <w:basedOn w:val="Normal"/>
    <w:next w:val="Normal"/>
    <w:link w:val="Heading5Char"/>
    <w:uiPriority w:val="23"/>
    <w:semiHidden/>
    <w:qFormat/>
    <w:rsid w:val="00AE2241"/>
    <w:pPr>
      <w:keepNext/>
      <w:keepLines/>
      <w:numPr>
        <w:ilvl w:val="4"/>
        <w:numId w:val="114"/>
      </w:numPr>
      <w:spacing w:before="40" w:after="0"/>
      <w:outlineLvl w:val="4"/>
    </w:pPr>
    <w:rPr>
      <w:rFonts w:asciiTheme="majorHAnsi" w:hAnsiTheme="majorHAnsi" w:eastAsiaTheme="majorEastAsia" w:cstheme="majorBidi"/>
      <w:color w:val="2F0524" w:themeColor="accent1" w:themeShade="BF"/>
    </w:rPr>
  </w:style>
  <w:style w:type="paragraph" w:styleId="Heading6">
    <w:name w:val="heading 6"/>
    <w:basedOn w:val="Normal"/>
    <w:next w:val="Normal"/>
    <w:link w:val="Heading6Char"/>
    <w:uiPriority w:val="23"/>
    <w:semiHidden/>
    <w:qFormat/>
    <w:rsid w:val="00AE2241"/>
    <w:pPr>
      <w:keepNext/>
      <w:keepLines/>
      <w:numPr>
        <w:ilvl w:val="5"/>
        <w:numId w:val="114"/>
      </w:numPr>
      <w:spacing w:before="40" w:after="0"/>
      <w:outlineLvl w:val="5"/>
    </w:pPr>
    <w:rPr>
      <w:rFonts w:asciiTheme="majorHAnsi" w:hAnsiTheme="majorHAnsi" w:eastAsiaTheme="majorEastAsia" w:cstheme="majorBidi"/>
      <w:color w:val="1F0318" w:themeColor="accent1" w:themeShade="7F"/>
    </w:rPr>
  </w:style>
  <w:style w:type="paragraph" w:styleId="Heading7">
    <w:name w:val="heading 7"/>
    <w:basedOn w:val="Normal"/>
    <w:next w:val="Normal"/>
    <w:link w:val="Heading7Char"/>
    <w:uiPriority w:val="23"/>
    <w:semiHidden/>
    <w:qFormat/>
    <w:rsid w:val="00AE2241"/>
    <w:pPr>
      <w:keepNext/>
      <w:keepLines/>
      <w:numPr>
        <w:ilvl w:val="6"/>
        <w:numId w:val="114"/>
      </w:numPr>
      <w:spacing w:before="40" w:after="0"/>
      <w:outlineLvl w:val="6"/>
    </w:pPr>
    <w:rPr>
      <w:rFonts w:asciiTheme="majorHAnsi" w:hAnsiTheme="majorHAnsi" w:eastAsiaTheme="majorEastAsia" w:cstheme="majorBidi"/>
      <w:i/>
      <w:iCs/>
      <w:color w:val="1F0318" w:themeColor="accent1" w:themeShade="7F"/>
    </w:rPr>
  </w:style>
  <w:style w:type="paragraph" w:styleId="Heading8">
    <w:name w:val="heading 8"/>
    <w:basedOn w:val="Normal"/>
    <w:next w:val="Normal"/>
    <w:link w:val="Heading8Char"/>
    <w:uiPriority w:val="23"/>
    <w:semiHidden/>
    <w:qFormat/>
    <w:rsid w:val="00AE2241"/>
    <w:pPr>
      <w:keepNext/>
      <w:keepLines/>
      <w:numPr>
        <w:ilvl w:val="7"/>
        <w:numId w:val="114"/>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23"/>
    <w:semiHidden/>
    <w:qFormat/>
    <w:rsid w:val="00AE2241"/>
    <w:pPr>
      <w:keepNext/>
      <w:keepLines/>
      <w:numPr>
        <w:ilvl w:val="8"/>
        <w:numId w:val="114"/>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ColumnHeading" w:customStyle="1">
    <w:name w:val="Table Column Heading"/>
    <w:basedOn w:val="BodyText"/>
    <w:uiPriority w:val="7"/>
    <w:qFormat/>
    <w:rsid w:val="00AE2241"/>
    <w:pPr>
      <w:spacing w:before="60" w:after="60"/>
    </w:pPr>
    <w:rPr>
      <w:b/>
      <w:bCs/>
    </w:rPr>
  </w:style>
  <w:style w:type="paragraph" w:styleId="Footer">
    <w:name w:val="footer"/>
    <w:basedOn w:val="Normal"/>
    <w:link w:val="FooterChar"/>
    <w:uiPriority w:val="99"/>
    <w:unhideWhenUsed/>
    <w:rsid w:val="00B27F49"/>
    <w:pPr>
      <w:tabs>
        <w:tab w:val="center" w:pos="4513"/>
        <w:tab w:val="right" w:pos="9026"/>
      </w:tabs>
      <w:spacing w:after="0"/>
    </w:pPr>
  </w:style>
  <w:style w:type="character" w:styleId="FooterChar" w:customStyle="1">
    <w:name w:val="Footer Char"/>
    <w:basedOn w:val="DefaultParagraphFont"/>
    <w:link w:val="Footer"/>
    <w:uiPriority w:val="99"/>
    <w:rsid w:val="00B27F49"/>
    <w:rPr>
      <w:kern w:val="2"/>
      <w:sz w:val="22"/>
      <w:szCs w:val="22"/>
      <w:lang w:val="en-GB"/>
      <w14:ligatures w14:val="standardContextual"/>
    </w:rPr>
  </w:style>
  <w:style w:type="paragraph" w:styleId="TableColumnHeadingRight" w:customStyle="1">
    <w:name w:val="Table Column Heading Right"/>
    <w:basedOn w:val="TableColumnHeading"/>
    <w:uiPriority w:val="7"/>
    <w:qFormat/>
    <w:rsid w:val="00AE2241"/>
    <w:pPr>
      <w:jc w:val="right"/>
    </w:pPr>
  </w:style>
  <w:style w:type="paragraph" w:styleId="PageTitle" w:customStyle="1">
    <w:name w:val="Page Title"/>
    <w:basedOn w:val="Normal"/>
    <w:next w:val="BodyText"/>
    <w:uiPriority w:val="3"/>
    <w:qFormat/>
    <w:rsid w:val="00AE2241"/>
    <w:pPr>
      <w:keepNext/>
      <w:spacing w:before="480"/>
      <w:outlineLvl w:val="0"/>
    </w:pPr>
    <w:rPr>
      <w:b/>
      <w:noProof/>
      <w:color w:val="3F0731" w:themeColor="text2"/>
      <w:sz w:val="32"/>
      <w:szCs w:val="48"/>
    </w:rPr>
  </w:style>
  <w:style w:type="paragraph" w:styleId="TableBodyRight" w:customStyle="1">
    <w:name w:val="Table Body Right"/>
    <w:basedOn w:val="TableBody"/>
    <w:uiPriority w:val="8"/>
    <w:qFormat/>
    <w:rsid w:val="00AE2241"/>
    <w:pPr>
      <w:jc w:val="right"/>
    </w:pPr>
  </w:style>
  <w:style w:type="character" w:styleId="Bold" w:customStyle="1">
    <w:name w:val="Bold"/>
    <w:basedOn w:val="DefaultParagraphFont"/>
    <w:uiPriority w:val="2"/>
    <w:qFormat/>
    <w:rsid w:val="00AE2241"/>
    <w:rPr>
      <w:rFonts w:ascii="Poppins" w:hAnsi="Poppins"/>
      <w:b/>
      <w:i w:val="0"/>
      <w:color w:val="000000" w:themeColor="text1"/>
    </w:rPr>
  </w:style>
  <w:style w:type="paragraph" w:styleId="DocumentTitle" w:customStyle="1">
    <w:name w:val="Document Title"/>
    <w:next w:val="DocumentSubtitle"/>
    <w:uiPriority w:val="26"/>
    <w:rsid w:val="00AB5A91"/>
    <w:pPr>
      <w:framePr w:w="8108" w:wrap="notBeside" w:hAnchor="page" w:v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5A91"/>
    <w:rPr>
      <w:rFonts w:ascii="Tahoma" w:hAnsi="Tahoma" w:cs="Tahoma"/>
      <w:color w:val="6E6E6E"/>
      <w:sz w:val="16"/>
      <w:szCs w:val="16"/>
      <w:lang w:val="en-GB"/>
    </w:rPr>
  </w:style>
  <w:style w:type="character" w:styleId="HeaderChar" w:customStyle="1">
    <w:name w:val="Header Char"/>
    <w:basedOn w:val="DefaultParagraphFont"/>
    <w:link w:val="Header"/>
    <w:uiPriority w:val="99"/>
    <w:rsid w:val="00AB5A91"/>
    <w:rPr>
      <w:noProof/>
      <w:color w:val="6E6E6E"/>
      <w:sz w:val="18"/>
      <w:lang w:val="en-GB"/>
    </w:rPr>
  </w:style>
  <w:style w:type="character" w:styleId="Heading1Char" w:customStyle="1">
    <w:name w:val="Heading 1 Char"/>
    <w:basedOn w:val="DefaultParagraphFont"/>
    <w:link w:val="Heading1"/>
    <w:uiPriority w:val="4"/>
    <w:rsid w:val="00AE2241"/>
    <w:rPr>
      <w:rFonts w:ascii="Poppins" w:hAnsi="Poppins" w:eastAsiaTheme="majorEastAsia" w:cstheme="majorBidi"/>
      <w:b/>
      <w:bCs/>
      <w:color w:val="3F0731" w:themeColor="text2"/>
      <w:kern w:val="2"/>
      <w:sz w:val="28"/>
      <w:szCs w:val="28"/>
      <w:lang w:val="en-GB"/>
      <w14:ligatures w14:val="standardContextual"/>
    </w:rPr>
  </w:style>
  <w:style w:type="character" w:styleId="Heading2Char" w:customStyle="1">
    <w:name w:val="Heading 2 Char"/>
    <w:basedOn w:val="DefaultParagraphFont"/>
    <w:link w:val="Heading2"/>
    <w:uiPriority w:val="4"/>
    <w:rsid w:val="00AE2241"/>
    <w:rPr>
      <w:rFonts w:ascii="Poppins" w:hAnsi="Poppins" w:eastAsiaTheme="majorEastAsia" w:cstheme="majorBidi"/>
      <w:b/>
      <w:bCs/>
      <w:color w:val="3F0731" w:themeColor="text2"/>
      <w:kern w:val="2"/>
      <w:sz w:val="28"/>
      <w:szCs w:val="26"/>
      <w:lang w:val="en-GB"/>
      <w14:ligatures w14:val="standardContextual"/>
    </w:rPr>
  </w:style>
  <w:style w:type="table" w:styleId="TableGrid">
    <w:name w:val="Table Grid"/>
    <w:basedOn w:val="TableNormal"/>
    <w:uiPriority w:val="59"/>
    <w:rsid w:val="00AB5A9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ody" w:customStyle="1">
    <w:name w:val="Table Body"/>
    <w:basedOn w:val="BodyText"/>
    <w:uiPriority w:val="8"/>
    <w:qFormat/>
    <w:rsid w:val="00AE2241"/>
    <w:pPr>
      <w:spacing w:before="60" w:after="60"/>
    </w:pPr>
    <w:rPr>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styleId="CommentTextChar" w:customStyle="1">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styleId="CommentSubjectChar" w:customStyle="1">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qFormat/>
    <w:rsid w:val="00AE2241"/>
    <w:rPr>
      <w:rFonts w:ascii="Poppins" w:hAnsi="Poppins"/>
      <w:i/>
      <w:iCs/>
    </w:rPr>
  </w:style>
  <w:style w:type="paragraph" w:styleId="DocumentSubtitle" w:customStyle="1">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styleId="Heading3Char" w:customStyle="1">
    <w:name w:val="Heading 3 Char"/>
    <w:basedOn w:val="DefaultParagraphFont"/>
    <w:link w:val="Heading3"/>
    <w:uiPriority w:val="4"/>
    <w:rsid w:val="00AE2241"/>
    <w:rPr>
      <w:rFonts w:ascii="Poppins" w:hAnsi="Poppins" w:eastAsiaTheme="majorEastAsia" w:cstheme="majorBidi"/>
      <w:color w:val="3F0731" w:themeColor="text2"/>
      <w:kern w:val="2"/>
      <w:sz w:val="24"/>
      <w:szCs w:val="24"/>
      <w:lang w:val="en-GB"/>
      <w14:ligatures w14:val="standardContextual"/>
    </w:rPr>
  </w:style>
  <w:style w:type="character" w:styleId="Heading5Char" w:customStyle="1">
    <w:name w:val="Heading 5 Char"/>
    <w:basedOn w:val="DefaultParagraphFont"/>
    <w:link w:val="Heading5"/>
    <w:uiPriority w:val="23"/>
    <w:semiHidden/>
    <w:rsid w:val="00AE2241"/>
    <w:rPr>
      <w:rFonts w:asciiTheme="majorHAnsi" w:hAnsiTheme="majorHAnsi" w:eastAsiaTheme="majorEastAsia" w:cstheme="majorBidi"/>
      <w:color w:val="2F0524" w:themeColor="accent1" w:themeShade="BF"/>
      <w:kern w:val="2"/>
      <w:sz w:val="22"/>
      <w:szCs w:val="22"/>
      <w:lang w:val="en-GB"/>
      <w14:ligatures w14:val="standardContextual"/>
    </w:rPr>
  </w:style>
  <w:style w:type="paragraph" w:styleId="Bullet1" w:customStyle="1">
    <w:name w:val="Bullet 1"/>
    <w:basedOn w:val="BodyText"/>
    <w:uiPriority w:val="1"/>
    <w:qFormat/>
    <w:rsid w:val="00AE2241"/>
    <w:pPr>
      <w:numPr>
        <w:numId w:val="115"/>
      </w:numPr>
    </w:pPr>
  </w:style>
  <w:style w:type="paragraph" w:styleId="Bullet2" w:customStyle="1">
    <w:name w:val="Bullet 2"/>
    <w:basedOn w:val="BodyText"/>
    <w:uiPriority w:val="1"/>
    <w:qFormat/>
    <w:rsid w:val="00AE2241"/>
    <w:pPr>
      <w:numPr>
        <w:numId w:val="116"/>
      </w:numPr>
    </w:pPr>
  </w:style>
  <w:style w:type="paragraph" w:styleId="Bullet3" w:customStyle="1">
    <w:name w:val="Bullet 3"/>
    <w:basedOn w:val="BodyText"/>
    <w:uiPriority w:val="1"/>
    <w:qFormat/>
    <w:rsid w:val="00AE2241"/>
    <w:pPr>
      <w:numPr>
        <w:numId w:val="117"/>
      </w:numPr>
    </w:pPr>
  </w:style>
  <w:style w:type="paragraph" w:styleId="NumberedBullet1" w:customStyle="1">
    <w:name w:val="Numbered Bullet 1"/>
    <w:basedOn w:val="BodyText"/>
    <w:uiPriority w:val="5"/>
    <w:qFormat/>
    <w:rsid w:val="00AE2241"/>
    <w:pPr>
      <w:numPr>
        <w:numId w:val="120"/>
      </w:numPr>
      <w:spacing w:before="60" w:after="60"/>
    </w:pPr>
  </w:style>
  <w:style w:type="paragraph" w:styleId="NumberedBullet2" w:customStyle="1">
    <w:name w:val="Numbered Bullet 2"/>
    <w:basedOn w:val="BodyText"/>
    <w:uiPriority w:val="5"/>
    <w:qFormat/>
    <w:rsid w:val="00AE2241"/>
    <w:pPr>
      <w:numPr>
        <w:ilvl w:val="1"/>
        <w:numId w:val="120"/>
      </w:numPr>
      <w:tabs>
        <w:tab w:val="left" w:pos="709"/>
      </w:tabs>
    </w:pPr>
  </w:style>
  <w:style w:type="paragraph" w:styleId="NumberedBullet3" w:customStyle="1">
    <w:name w:val="Numbered Bullet 3"/>
    <w:basedOn w:val="BodyText"/>
    <w:uiPriority w:val="5"/>
    <w:qFormat/>
    <w:rsid w:val="00AE2241"/>
    <w:pPr>
      <w:numPr>
        <w:ilvl w:val="2"/>
        <w:numId w:val="120"/>
      </w:numPr>
      <w:tabs>
        <w:tab w:val="left" w:pos="1276"/>
      </w:tabs>
    </w:pPr>
  </w:style>
  <w:style w:type="numbering" w:styleId="NumberedBulletsList" w:customStyle="1">
    <w:name w:val="Numbered Bullets List"/>
    <w:uiPriority w:val="99"/>
    <w:rsid w:val="00AB5A91"/>
    <w:pPr>
      <w:numPr>
        <w:numId w:val="11"/>
      </w:numPr>
    </w:pPr>
  </w:style>
  <w:style w:type="paragraph" w:styleId="Indent1" w:customStyle="1">
    <w:name w:val="Indent 1"/>
    <w:basedOn w:val="BodyText"/>
    <w:uiPriority w:val="6"/>
    <w:semiHidden/>
    <w:unhideWhenUsed/>
    <w:qFormat/>
    <w:rsid w:val="00AE2241"/>
    <w:pPr>
      <w:ind w:left="284"/>
    </w:pPr>
  </w:style>
  <w:style w:type="paragraph" w:styleId="Indent2" w:customStyle="1">
    <w:name w:val="Indent 2"/>
    <w:basedOn w:val="BodyText"/>
    <w:uiPriority w:val="6"/>
    <w:semiHidden/>
    <w:unhideWhenUsed/>
    <w:qFormat/>
    <w:rsid w:val="00AE2241"/>
    <w:pPr>
      <w:ind w:left="567"/>
    </w:pPr>
  </w:style>
  <w:style w:type="paragraph" w:styleId="Indent3" w:customStyle="1">
    <w:name w:val="Indent 3"/>
    <w:basedOn w:val="BodyText"/>
    <w:uiPriority w:val="6"/>
    <w:semiHidden/>
    <w:unhideWhenUsed/>
    <w:qFormat/>
    <w:rsid w:val="00AE2241"/>
    <w:pPr>
      <w:ind w:left="851"/>
    </w:pPr>
  </w:style>
  <w:style w:type="paragraph" w:styleId="ShadedHeading" w:customStyle="1">
    <w:name w:val="Shaded Heading"/>
    <w:basedOn w:val="BodyText"/>
    <w:next w:val="ShadedBody"/>
    <w:uiPriority w:val="10"/>
    <w:rsid w:val="00AB5A91"/>
    <w:pPr>
      <w:keepNext/>
      <w:keepLines/>
      <w:pBdr>
        <w:top w:val="single" w:color="3F0731" w:themeColor="accent1" w:sz="2" w:space="2"/>
        <w:left w:val="single" w:color="3F0731" w:themeColor="accent1" w:sz="2" w:space="4"/>
        <w:bottom w:val="single" w:color="3F0731" w:themeColor="accent1" w:sz="2" w:space="2"/>
        <w:right w:val="single" w:color="3F0731" w:themeColor="accent1" w:sz="2" w:space="4"/>
      </w:pBdr>
      <w:shd w:val="clear" w:color="auto" w:fill="3F0731"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styleId="Authors" w:customStyle="1">
    <w:name w:val="Authors"/>
    <w:basedOn w:val="Footer"/>
    <w:link w:val="AuthorsChar"/>
    <w:uiPriority w:val="99"/>
    <w:rsid w:val="00AB5A91"/>
    <w:pPr>
      <w:spacing w:before="60" w:after="60"/>
    </w:pPr>
  </w:style>
  <w:style w:type="character" w:styleId="Heading4Char" w:customStyle="1">
    <w:name w:val="Heading 4 Char"/>
    <w:aliases w:val="Heading 4 (table &amp; chart) Char"/>
    <w:basedOn w:val="DefaultParagraphFont"/>
    <w:link w:val="Heading4"/>
    <w:uiPriority w:val="23"/>
    <w:semiHidden/>
    <w:rsid w:val="00AE2241"/>
    <w:rPr>
      <w:rFonts w:asciiTheme="majorHAnsi" w:hAnsiTheme="majorHAnsi" w:eastAsiaTheme="majorEastAsia" w:cstheme="majorBidi"/>
      <w:b/>
      <w:iCs/>
      <w:color w:val="7A3864" w:themeColor="accent2"/>
      <w:kern w:val="2"/>
      <w:sz w:val="22"/>
      <w:szCs w:val="22"/>
      <w:lang w:val="en-GB"/>
      <w14:ligatures w14:val="standardContextual"/>
    </w:rPr>
  </w:style>
  <w:style w:type="character" w:styleId="Heading6Char" w:customStyle="1">
    <w:name w:val="Heading 6 Char"/>
    <w:basedOn w:val="DefaultParagraphFont"/>
    <w:link w:val="Heading6"/>
    <w:uiPriority w:val="23"/>
    <w:semiHidden/>
    <w:rsid w:val="00AE2241"/>
    <w:rPr>
      <w:rFonts w:asciiTheme="majorHAnsi" w:hAnsiTheme="majorHAnsi" w:eastAsiaTheme="majorEastAsia" w:cstheme="majorBidi"/>
      <w:color w:val="1F0318" w:themeColor="accent1" w:themeShade="7F"/>
      <w:kern w:val="2"/>
      <w:sz w:val="22"/>
      <w:szCs w:val="22"/>
      <w:lang w:val="en-GB"/>
      <w14:ligatures w14:val="standardContextual"/>
    </w:rPr>
  </w:style>
  <w:style w:type="character" w:styleId="Heading7Char" w:customStyle="1">
    <w:name w:val="Heading 7 Char"/>
    <w:basedOn w:val="DefaultParagraphFont"/>
    <w:link w:val="Heading7"/>
    <w:uiPriority w:val="23"/>
    <w:semiHidden/>
    <w:rsid w:val="00AE2241"/>
    <w:rPr>
      <w:rFonts w:asciiTheme="majorHAnsi" w:hAnsiTheme="majorHAnsi" w:eastAsiaTheme="majorEastAsia" w:cstheme="majorBidi"/>
      <w:i/>
      <w:iCs/>
      <w:color w:val="1F0318" w:themeColor="accent1" w:themeShade="7F"/>
      <w:kern w:val="2"/>
      <w:sz w:val="22"/>
      <w:szCs w:val="22"/>
      <w:lang w:val="en-GB"/>
      <w14:ligatures w14:val="standardContextual"/>
    </w:rPr>
  </w:style>
  <w:style w:type="character" w:styleId="Heading8Char" w:customStyle="1">
    <w:name w:val="Heading 8 Char"/>
    <w:basedOn w:val="DefaultParagraphFont"/>
    <w:link w:val="Heading8"/>
    <w:uiPriority w:val="23"/>
    <w:semiHidden/>
    <w:rsid w:val="00AE2241"/>
    <w:rPr>
      <w:rFonts w:asciiTheme="majorHAnsi" w:hAnsiTheme="majorHAnsi" w:eastAsiaTheme="majorEastAsia" w:cstheme="majorBidi"/>
      <w:color w:val="272727" w:themeColor="text1" w:themeTint="D8"/>
      <w:kern w:val="2"/>
      <w:sz w:val="21"/>
      <w:szCs w:val="21"/>
      <w:lang w:val="en-GB"/>
      <w14:ligatures w14:val="standardContextual"/>
    </w:rPr>
  </w:style>
  <w:style w:type="character" w:styleId="Heading9Char" w:customStyle="1">
    <w:name w:val="Heading 9 Char"/>
    <w:basedOn w:val="DefaultParagraphFont"/>
    <w:link w:val="Heading9"/>
    <w:uiPriority w:val="23"/>
    <w:semiHidden/>
    <w:rsid w:val="00AE2241"/>
    <w:rPr>
      <w:rFonts w:asciiTheme="majorHAnsi" w:hAnsiTheme="majorHAnsi" w:eastAsiaTheme="majorEastAsia"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qFormat/>
    <w:rsid w:val="00AE2241"/>
    <w:pPr>
      <w:spacing w:after="0"/>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25"/>
    <w:rsid w:val="00AE2241"/>
    <w:rPr>
      <w:rFonts w:ascii="Poppins" w:hAnsi="Poppins" w:eastAsiaTheme="majorEastAsia" w:cstheme="majorBidi"/>
      <w:spacing w:val="-10"/>
      <w:kern w:val="28"/>
      <w:sz w:val="56"/>
      <w:szCs w:val="56"/>
      <w:lang w:val="en-GB"/>
      <w14:ligatures w14:val="standardContextual"/>
    </w:rPr>
  </w:style>
  <w:style w:type="paragraph" w:styleId="TableRowHeading" w:customStyle="1">
    <w:name w:val="Table Row Heading"/>
    <w:basedOn w:val="TableBody"/>
    <w:uiPriority w:val="7"/>
    <w:qFormat/>
    <w:rsid w:val="00AE2241"/>
    <w:rPr>
      <w:b/>
    </w:rPr>
  </w:style>
  <w:style w:type="character" w:styleId="HighlightAccent4" w:customStyle="1">
    <w:name w:val="Highlight Accent 4"/>
    <w:basedOn w:val="DefaultParagraphFont"/>
    <w:uiPriority w:val="9"/>
    <w:qFormat/>
    <w:rsid w:val="00AE2241"/>
    <w:rPr>
      <w:rFonts w:ascii="Poppins" w:hAnsi="Poppins"/>
      <w:color w:val="000000" w:themeColor="text1"/>
      <w:bdr w:val="none" w:color="auto" w:sz="0" w:space="0"/>
      <w:shd w:val="clear" w:color="auto" w:fill="AEE07E" w:themeFill="accent5" w:themeFillTint="66"/>
    </w:rPr>
  </w:style>
  <w:style w:type="character" w:styleId="HighlightAccent1" w:customStyle="1">
    <w:name w:val="Highlight Accent 1"/>
    <w:basedOn w:val="DefaultParagraphFont"/>
    <w:uiPriority w:val="9"/>
    <w:qFormat/>
    <w:rsid w:val="00AE2241"/>
    <w:rPr>
      <w:rFonts w:ascii="Poppins" w:hAnsi="Poppins"/>
      <w:color w:val="000000" w:themeColor="text1"/>
      <w:bdr w:val="none" w:color="auto" w:sz="0" w:space="0"/>
      <w:shd w:val="clear" w:color="auto" w:fill="ED60CA" w:themeFill="accent1" w:themeFillTint="66"/>
    </w:rPr>
  </w:style>
  <w:style w:type="character" w:styleId="HighlightAccent3" w:customStyle="1">
    <w:name w:val="Highlight Accent 3"/>
    <w:basedOn w:val="DefaultParagraphFont"/>
    <w:uiPriority w:val="9"/>
    <w:qFormat/>
    <w:rsid w:val="00AE2241"/>
    <w:rPr>
      <w:rFonts w:ascii="Poppins" w:hAnsi="Poppins"/>
      <w:color w:val="000000" w:themeColor="text1"/>
      <w:bdr w:val="none" w:color="auto" w:sz="0" w:space="0"/>
      <w:shd w:val="clear" w:color="auto" w:fill="E8A4A1"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qFormat/>
    <w:rsid w:val="00AE2241"/>
    <w:pPr>
      <w:ind w:left="720"/>
      <w:contextualSpacing/>
    </w:pPr>
  </w:style>
  <w:style w:type="paragraph" w:styleId="Heading1Numbered" w:customStyle="1">
    <w:name w:val="Heading 1 Numbered"/>
    <w:basedOn w:val="Heading1"/>
    <w:next w:val="BodyText"/>
    <w:uiPriority w:val="4"/>
    <w:qFormat/>
    <w:rsid w:val="00AE2241"/>
    <w:pPr>
      <w:numPr>
        <w:numId w:val="121"/>
      </w:numPr>
    </w:pPr>
  </w:style>
  <w:style w:type="character" w:styleId="HighlightAccent2" w:customStyle="1">
    <w:name w:val="Highlight Accent 2"/>
    <w:basedOn w:val="DefaultParagraphFont"/>
    <w:uiPriority w:val="9"/>
    <w:qFormat/>
    <w:rsid w:val="00AE2241"/>
    <w:rPr>
      <w:rFonts w:ascii="Poppins" w:hAnsi="Poppins"/>
      <w:color w:val="000000" w:themeColor="text1"/>
      <w:bdr w:val="none" w:color="auto" w:sz="0" w:space="0"/>
      <w:shd w:val="clear" w:color="auto" w:fill="D5A3C4" w:themeFill="accent2" w:themeFillTint="66"/>
    </w:rPr>
  </w:style>
  <w:style w:type="character" w:styleId="BoldItalic" w:customStyle="1">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B27F49"/>
    <w:pPr>
      <w:tabs>
        <w:tab w:val="right" w:leader="dot" w:pos="10194"/>
      </w:tabs>
      <w:spacing w:before="240" w:after="0"/>
    </w:pPr>
    <w:rPr>
      <w:rFonts w:cstheme="minorHAnsi"/>
      <w:noProof/>
      <w:color w:val="3F0731" w:themeColor="text2"/>
      <w:szCs w:val="24"/>
    </w:rPr>
  </w:style>
  <w:style w:type="paragraph" w:styleId="Contents" w:customStyle="1">
    <w:name w:val="Contents"/>
    <w:basedOn w:val="PageTitle"/>
    <w:next w:val="BodyText"/>
    <w:uiPriority w:val="99"/>
    <w:unhideWhenUsed/>
    <w:rsid w:val="00AB5A91"/>
    <w:pPr>
      <w:framePr w:wrap="notBeside" w:hAnchor="text" w:y="710"/>
    </w:pPr>
  </w:style>
  <w:style w:type="paragraph" w:styleId="Dateofpapers" w:customStyle="1">
    <w:name w:val="Date of papers"/>
    <w:basedOn w:val="Footer"/>
    <w:link w:val="DateofpapersChar"/>
    <w:uiPriority w:val="99"/>
    <w:rsid w:val="00AB5A91"/>
    <w:pPr>
      <w:spacing w:before="60" w:after="60"/>
    </w:pPr>
  </w:style>
  <w:style w:type="paragraph" w:styleId="Introtext" w:customStyle="1">
    <w:name w:val="Intro text"/>
    <w:basedOn w:val="Normal"/>
    <w:uiPriority w:val="99"/>
    <w:qFormat/>
    <w:rsid w:val="00AE2241"/>
    <w:rPr>
      <w:color w:val="3F0731" w:themeColor="text2"/>
      <w:sz w:val="24"/>
    </w:rPr>
  </w:style>
  <w:style w:type="paragraph" w:styleId="FrameBody" w:customStyle="1">
    <w:name w:val="Frame Body"/>
    <w:basedOn w:val="FrameHeading"/>
    <w:uiPriority w:val="13"/>
    <w:rsid w:val="00AB5A91"/>
    <w:pPr>
      <w:framePr w:wrap="around"/>
    </w:pPr>
    <w:rPr>
      <w:b w:val="0"/>
      <w:sz w:val="20"/>
    </w:rPr>
  </w:style>
  <w:style w:type="paragraph" w:styleId="BodyText">
    <w:name w:val="Body Text"/>
    <w:link w:val="BodyTextChar"/>
    <w:qFormat/>
    <w:rsid w:val="00AE2241"/>
    <w:rPr>
      <w:rFonts w:ascii="Poppins" w:hAnsi="Poppins"/>
      <w:color w:val="000000" w:themeColor="text1"/>
      <w:lang w:val="en-GB"/>
    </w:rPr>
  </w:style>
  <w:style w:type="character" w:styleId="BodyTextChar" w:customStyle="1">
    <w:name w:val="Body Text Char"/>
    <w:basedOn w:val="DefaultParagraphFont"/>
    <w:link w:val="BodyText"/>
    <w:rsid w:val="00AE2241"/>
    <w:rPr>
      <w:rFonts w:ascii="Poppins" w:hAnsi="Poppins"/>
      <w:color w:val="000000" w:themeColor="text1"/>
      <w:lang w:val="en-GB"/>
    </w:rPr>
  </w:style>
  <w:style w:type="numbering" w:styleId="Bullets" w:customStyle="1">
    <w:name w:val="Bullets"/>
    <w:uiPriority w:val="99"/>
    <w:rsid w:val="00AB5A91"/>
    <w:pPr>
      <w:numPr>
        <w:numId w:val="14"/>
      </w:numPr>
    </w:pPr>
  </w:style>
  <w:style w:type="paragraph" w:styleId="TableTitle" w:customStyle="1">
    <w:name w:val="Table Title"/>
    <w:basedOn w:val="BodyText"/>
    <w:next w:val="BodyText"/>
    <w:uiPriority w:val="6"/>
    <w:qFormat/>
    <w:rsid w:val="00AE2241"/>
    <w:pPr>
      <w:keepNext/>
      <w:keepLines/>
      <w:spacing w:before="120"/>
    </w:pPr>
    <w:rPr>
      <w:rFonts w:cstheme="majorHAnsi"/>
      <w:b/>
      <w:color w:val="3F0731" w:themeColor="text2"/>
    </w:rPr>
  </w:style>
  <w:style w:type="paragraph" w:styleId="ShadedBody" w:customStyle="1">
    <w:name w:val="Shaded Body"/>
    <w:basedOn w:val="ShadedHeading"/>
    <w:uiPriority w:val="11"/>
    <w:rsid w:val="00AB5A91"/>
    <w:pPr>
      <w:keepNext w:val="0"/>
      <w:spacing w:before="0"/>
    </w:pPr>
    <w:rPr>
      <w:sz w:val="20"/>
    </w:rPr>
  </w:style>
  <w:style w:type="paragraph" w:styleId="FrameHeading" w:customStyle="1">
    <w:name w:val="Frame Heading"/>
    <w:basedOn w:val="BodyText"/>
    <w:next w:val="FrameBody"/>
    <w:uiPriority w:val="12"/>
    <w:rsid w:val="00AB5A91"/>
    <w:pPr>
      <w:keepNext/>
      <w:keepLines/>
      <w:framePr w:w="2268" w:hSpace="170" w:wrap="around" w:hAnchor="page" w:vAnchor="text" w:x="8841" w:y="1"/>
      <w:pBdr>
        <w:top w:val="single" w:color="3F0731" w:themeColor="accent1" w:sz="8" w:space="2"/>
        <w:left w:val="single" w:color="3F0731" w:themeColor="accent1" w:sz="8" w:space="3"/>
        <w:bottom w:val="single" w:color="3F0731" w:themeColor="accent1" w:sz="8" w:space="2"/>
        <w:right w:val="single" w:color="3F0731" w:themeColor="accent1" w:sz="8" w:space="3"/>
      </w:pBdr>
      <w:shd w:val="clear" w:color="auto" w:fill="3F0731" w:themeFill="accent1"/>
    </w:pPr>
    <w:rPr>
      <w:b/>
      <w:sz w:val="24"/>
    </w:rPr>
  </w:style>
  <w:style w:type="character" w:styleId="AuthorsChar" w:customStyle="1">
    <w:name w:val="Authors Char"/>
    <w:basedOn w:val="FooterChar"/>
    <w:link w:val="Authors"/>
    <w:uiPriority w:val="99"/>
    <w:rsid w:val="00AB5A91"/>
    <w:rPr>
      <w:noProof/>
      <w:color w:val="6E6E6E"/>
      <w:kern w:val="2"/>
      <w:sz w:val="18"/>
      <w:szCs w:val="22"/>
      <w:lang w:val="en-GB"/>
      <w14:ligatures w14:val="standardContextual"/>
    </w:rPr>
  </w:style>
  <w:style w:type="character" w:styleId="DateofpapersChar" w:customStyle="1">
    <w:name w:val="Date of papers Char"/>
    <w:basedOn w:val="FooterChar"/>
    <w:link w:val="Dateofpapers"/>
    <w:uiPriority w:val="99"/>
    <w:rsid w:val="00AB5A91"/>
    <w:rPr>
      <w:noProof/>
      <w:color w:val="6E6E6E"/>
      <w:kern w:val="2"/>
      <w:sz w:val="18"/>
      <w:szCs w:val="22"/>
      <w:lang w:val="en-GB"/>
      <w14:ligatures w14:val="standardContextual"/>
    </w:rPr>
  </w:style>
  <w:style w:type="paragraph" w:styleId="CVName" w:customStyle="1">
    <w:name w:val="CV Name"/>
    <w:basedOn w:val="BodyText"/>
    <w:uiPriority w:val="99"/>
    <w:qFormat/>
    <w:rsid w:val="00AE2241"/>
    <w:pPr>
      <w:spacing w:before="60" w:after="0"/>
    </w:pPr>
    <w:rPr>
      <w:b/>
      <w:bCs/>
      <w:color w:val="3F0731" w:themeColor="text2"/>
      <w:sz w:val="22"/>
    </w:rPr>
  </w:style>
  <w:style w:type="paragraph" w:styleId="CVlocation" w:customStyle="1">
    <w:name w:val="CV location"/>
    <w:basedOn w:val="BodyText"/>
    <w:uiPriority w:val="99"/>
    <w:rsid w:val="00AB5A91"/>
    <w:pPr>
      <w:spacing w:after="0"/>
    </w:pPr>
    <w:rPr>
      <w:sz w:val="18"/>
    </w:rPr>
  </w:style>
  <w:style w:type="paragraph" w:styleId="CVTitle" w:customStyle="1">
    <w:name w:val="CV Title"/>
    <w:basedOn w:val="BodyText"/>
    <w:uiPriority w:val="99"/>
    <w:qFormat/>
    <w:rsid w:val="00AE2241"/>
    <w:pPr>
      <w:spacing w:after="0"/>
    </w:pPr>
  </w:style>
  <w:style w:type="paragraph" w:styleId="Backcoverdisclaimer" w:customStyle="1">
    <w:name w:val="Back cover disclaimer"/>
    <w:basedOn w:val="Footer"/>
    <w:uiPriority w:val="99"/>
    <w:qFormat/>
    <w:rsid w:val="00AE2241"/>
    <w:pPr>
      <w:tabs>
        <w:tab w:val="clear" w:pos="4513"/>
        <w:tab w:val="clear" w:pos="9026"/>
      </w:tabs>
      <w:spacing w:after="160"/>
    </w:pPr>
    <w:rPr>
      <w:noProof/>
      <w:sz w:val="18"/>
    </w:rPr>
  </w:style>
  <w:style w:type="paragraph" w:styleId="Disclaimertext" w:customStyle="1">
    <w:name w:val="Disclaimer text"/>
    <w:basedOn w:val="Backcoverdisclaimer"/>
    <w:uiPriority w:val="99"/>
    <w:rsid w:val="00AB5A91"/>
  </w:style>
  <w:style w:type="paragraph" w:styleId="SourceNotes" w:customStyle="1">
    <w:name w:val="Source &amp; Notes"/>
    <w:basedOn w:val="BodyText"/>
    <w:uiPriority w:val="99"/>
    <w:qFormat/>
    <w:rsid w:val="00AE224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3F87AA" w:themeColor="followedHyperlink"/>
      <w:u w:val="single"/>
    </w:rPr>
  </w:style>
  <w:style w:type="paragraph" w:styleId="SectionHeading" w:customStyle="1">
    <w:name w:val="Section Heading"/>
    <w:basedOn w:val="DocumentTitle"/>
    <w:uiPriority w:val="99"/>
    <w:rsid w:val="00AB5A91"/>
    <w:pPr>
      <w:framePr w:w="10038" w:wrap="notBeside" w:x="1140" w:y="13885"/>
      <w:ind w:left="1080" w:hanging="720"/>
    </w:pPr>
    <w:rPr>
      <w:color w:val="D43900"/>
      <w:sz w:val="56"/>
      <w:szCs w:val="24"/>
    </w:rPr>
  </w:style>
  <w:style w:type="paragraph" w:styleId="SectionHeader" w:customStyle="1">
    <w:name w:val="Section Header"/>
    <w:basedOn w:val="Normal"/>
    <w:uiPriority w:val="99"/>
    <w:qFormat/>
    <w:rsid w:val="00AE2241"/>
    <w:pPr>
      <w:framePr w:w="10038" w:wrap="notBeside" w:hAnchor="page" w:vAnchor="page" w:x="397" w:y="14053" w:anchorLock="1"/>
      <w:numPr>
        <w:numId w:val="122"/>
      </w:numPr>
      <w:spacing w:after="120" w:line="240" w:lineRule="auto"/>
      <w:ind w:right="306"/>
    </w:pPr>
    <w:rPr>
      <w:b/>
      <w:bCs/>
      <w:color w:val="000000" w:themeColor="text1"/>
      <w:kern w:val="0"/>
      <w:sz w:val="56"/>
      <w:szCs w:val="24"/>
      <w14:ligatures w14:val="none"/>
    </w:rPr>
  </w:style>
  <w:style w:type="paragraph" w:styleId="SectionSubtitle" w:customStyle="1">
    <w:name w:val="Section Subtitle"/>
    <w:basedOn w:val="Normal"/>
    <w:uiPriority w:val="99"/>
    <w:qFormat/>
    <w:rsid w:val="00AE2241"/>
    <w:pPr>
      <w:framePr w:w="10038" w:wrap="notBeside" w:hAnchor="page" w:vAnchor="page" w:x="1140" w:y="13885" w:anchorLock="1"/>
      <w:spacing w:after="120" w:line="240" w:lineRule="auto"/>
      <w:ind w:left="1080" w:right="306" w:hanging="720"/>
    </w:pPr>
    <w:rPr>
      <w:color w:val="636462"/>
      <w:kern w:val="0"/>
      <w:sz w:val="52"/>
      <w14:ligatures w14:val="none"/>
    </w:rPr>
  </w:style>
  <w:style w:type="character" w:styleId="PageNumber">
    <w:name w:val="page number"/>
    <w:basedOn w:val="DefaultParagraphFont"/>
    <w:uiPriority w:val="99"/>
    <w:semiHidden/>
    <w:unhideWhenUsed/>
    <w:rsid w:val="00AB5A91"/>
  </w:style>
  <w:style w:type="paragraph" w:styleId="Shadedheading0" w:customStyle="1">
    <w:name w:val="Shaded heading"/>
    <w:basedOn w:val="SectionHeader"/>
    <w:uiPriority w:val="99"/>
    <w:qFormat/>
    <w:rsid w:val="00AE2241"/>
    <w:pPr>
      <w:framePr w:wrap="notBeside"/>
      <w:numPr>
        <w:numId w:val="0"/>
      </w:numPr>
      <w:ind w:left="284" w:right="259"/>
    </w:pPr>
    <w:rPr>
      <w:sz w:val="28"/>
      <w:szCs w:val="28"/>
    </w:rPr>
  </w:style>
  <w:style w:type="paragraph" w:styleId="AppendixPageTitle" w:customStyle="1">
    <w:name w:val="Appendix Page Title"/>
    <w:basedOn w:val="PageTitle"/>
    <w:next w:val="BodyText"/>
    <w:uiPriority w:val="99"/>
    <w:qFormat/>
    <w:rsid w:val="00AE2241"/>
    <w:pPr>
      <w:pageBreakBefore/>
      <w:framePr w:w="8732" w:wrap="notBeside" w:hAnchor="page" w:vAnchor="page" w:x="1589" w:y="772" w:anchorLock="1"/>
      <w:spacing w:before="240"/>
    </w:pPr>
    <w:rPr>
      <w:noProof w:val="0"/>
      <w:sz w:val="48"/>
    </w:rPr>
  </w:style>
  <w:style w:type="paragraph" w:styleId="CVEmail" w:customStyle="1">
    <w:name w:val="CV Email"/>
    <w:basedOn w:val="BodyText"/>
    <w:uiPriority w:val="99"/>
    <w:qFormat/>
    <w:rsid w:val="00AE2241"/>
    <w:pPr>
      <w:tabs>
        <w:tab w:val="center" w:pos="1438"/>
      </w:tabs>
      <w:spacing w:before="60" w:after="0"/>
    </w:pPr>
    <w:rPr>
      <w:color w:val="3F0731" w:themeColor="text2"/>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eastAsia="Times New Roman" w:cs="Times New Roman"/>
      <w:sz w:val="24"/>
      <w:szCs w:val="24"/>
      <w:lang w:eastAsia="en-GB"/>
    </w:rPr>
  </w:style>
  <w:style w:type="table" w:styleId="NESO" w:customStyle="1">
    <w:name w:val="NESO"/>
    <w:basedOn w:val="TableNormal"/>
    <w:uiPriority w:val="99"/>
    <w:rsid w:val="00B27F49"/>
    <w:pPr>
      <w:spacing w:before="60" w:after="60"/>
    </w:pPr>
    <w:tblPr>
      <w:tblBorders>
        <w:top w:val="single" w:color="FF00FF" w:sz="4" w:space="0"/>
        <w:bottom w:val="single" w:color="FF00FF" w:sz="4" w:space="0"/>
      </w:tblBorders>
      <w:tblCellMar>
        <w:top w:w="28" w:type="dxa"/>
        <w:left w:w="57" w:type="dxa"/>
        <w:bottom w:w="28" w:type="dxa"/>
        <w:right w:w="57" w:type="dxa"/>
      </w:tblCellMar>
    </w:tblPr>
    <w:tcPr>
      <w:shd w:val="clear" w:color="auto" w:fill="auto"/>
    </w:tcPr>
    <w:tblStylePr w:type="firstRow">
      <w:tblPr/>
      <w:tcPr>
        <w:tcBorders>
          <w:top w:val="single" w:color="3F0731" w:themeColor="accent1" w:sz="4" w:space="0"/>
          <w:left w:val="nil"/>
          <w:bottom w:val="single" w:color="3F0731" w:themeColor="accent1" w:sz="8" w:space="0"/>
          <w:right w:val="nil"/>
          <w:insideH w:val="nil"/>
          <w:insideV w:val="nil"/>
          <w:tl2br w:val="nil"/>
          <w:tr2bl w:val="nil"/>
        </w:tcBorders>
        <w:shd w:val="clear" w:color="auto" w:fill="FFFFFF" w:themeFill="background1"/>
      </w:tcPr>
    </w:tblStylePr>
    <w:tblStylePr w:type="lastRow">
      <w:tblPr/>
      <w:tcPr>
        <w:tcBorders>
          <w:top w:val="single" w:color="3F0731" w:themeColor="accent1" w:sz="4" w:space="0"/>
          <w:bottom w:val="single" w:color="3F0731" w:themeColor="accent1" w:sz="4" w:space="0"/>
        </w:tcBorders>
        <w:shd w:val="clear" w:color="auto" w:fill="auto"/>
      </w:tcPr>
    </w:tblStylePr>
  </w:style>
  <w:style w:type="paragraph" w:styleId="Subtitle">
    <w:name w:val="Subtitle"/>
    <w:basedOn w:val="Normal"/>
    <w:next w:val="Normal"/>
    <w:link w:val="SubtitleChar"/>
    <w:uiPriority w:val="25"/>
    <w:qFormat/>
    <w:rsid w:val="00AE22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25"/>
    <w:rsid w:val="00AE2241"/>
    <w:rPr>
      <w:rFonts w:ascii="Poppins" w:hAnsi="Poppin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30"/>
    <w:qFormat/>
    <w:rsid w:val="00AE2241"/>
    <w:pPr>
      <w:spacing w:before="160"/>
      <w:jc w:val="center"/>
    </w:pPr>
    <w:rPr>
      <w:i/>
      <w:iCs/>
      <w:color w:val="404040" w:themeColor="text1" w:themeTint="BF"/>
    </w:rPr>
  </w:style>
  <w:style w:type="character" w:styleId="QuoteChar" w:customStyle="1">
    <w:name w:val="Quote Char"/>
    <w:basedOn w:val="DefaultParagraphFont"/>
    <w:link w:val="Quote"/>
    <w:uiPriority w:val="30"/>
    <w:rsid w:val="00AE2241"/>
    <w:rPr>
      <w:rFonts w:ascii="Poppins" w:hAnsi="Poppins"/>
      <w:i/>
      <w:iCs/>
      <w:color w:val="404040" w:themeColor="text1" w:themeTint="BF"/>
      <w:kern w:val="2"/>
      <w:sz w:val="22"/>
      <w:szCs w:val="22"/>
      <w:lang w:val="en-GB"/>
      <w14:ligatures w14:val="standardContextual"/>
    </w:rPr>
  </w:style>
  <w:style w:type="character" w:styleId="IntenseEmphasis">
    <w:name w:val="Intense Emphasis"/>
    <w:basedOn w:val="DefaultParagraphFont"/>
    <w:uiPriority w:val="28"/>
    <w:qFormat/>
    <w:rsid w:val="00AE2241"/>
    <w:rPr>
      <w:i/>
      <w:iCs/>
      <w:color w:val="2F0524" w:themeColor="accent1" w:themeShade="BF"/>
    </w:rPr>
  </w:style>
  <w:style w:type="character" w:styleId="IntenseReference">
    <w:name w:val="Intense Reference"/>
    <w:basedOn w:val="DefaultParagraphFont"/>
    <w:uiPriority w:val="33"/>
    <w:qFormat/>
    <w:rsid w:val="00AE2241"/>
    <w:rPr>
      <w:b/>
      <w:bCs/>
      <w:smallCaps/>
      <w:color w:val="2F0524" w:themeColor="accent1" w:themeShade="BF"/>
      <w:spacing w:val="5"/>
    </w:rPr>
  </w:style>
  <w:style w:type="paragraph" w:styleId="Caption">
    <w:name w:val="caption"/>
    <w:basedOn w:val="Normal"/>
    <w:next w:val="Normal"/>
    <w:uiPriority w:val="36"/>
    <w:semiHidden/>
    <w:qFormat/>
    <w:rsid w:val="00AE2241"/>
    <w:pPr>
      <w:spacing w:after="200" w:line="240" w:lineRule="auto"/>
    </w:pPr>
    <w:rPr>
      <w:i/>
      <w:iCs/>
      <w:color w:val="3F0731" w:themeColor="text2"/>
      <w:sz w:val="18"/>
      <w:szCs w:val="18"/>
    </w:rPr>
  </w:style>
  <w:style w:type="character" w:styleId="Strong">
    <w:name w:val="Strong"/>
    <w:basedOn w:val="DefaultParagraphFont"/>
    <w:uiPriority w:val="29"/>
    <w:semiHidden/>
    <w:qFormat/>
    <w:rsid w:val="00AE2241"/>
    <w:rPr>
      <w:b/>
      <w:bCs/>
    </w:rPr>
  </w:style>
  <w:style w:type="character" w:styleId="SubtleEmphasis">
    <w:name w:val="Subtle Emphasis"/>
    <w:basedOn w:val="DefaultParagraphFont"/>
    <w:uiPriority w:val="26"/>
    <w:semiHidden/>
    <w:qFormat/>
    <w:rsid w:val="00AE2241"/>
    <w:rPr>
      <w:i/>
      <w:iCs/>
      <w:color w:val="404040" w:themeColor="text1" w:themeTint="BF"/>
    </w:rPr>
  </w:style>
  <w:style w:type="character" w:styleId="SubtleReference">
    <w:name w:val="Subtle Reference"/>
    <w:basedOn w:val="DefaultParagraphFont"/>
    <w:uiPriority w:val="32"/>
    <w:semiHidden/>
    <w:qFormat/>
    <w:rsid w:val="00AE2241"/>
    <w:rPr>
      <w:smallCaps/>
      <w:color w:val="5A5A5A" w:themeColor="text1" w:themeTint="A5"/>
    </w:rPr>
  </w:style>
  <w:style w:type="character" w:styleId="BookTitle">
    <w:name w:val="Book Title"/>
    <w:basedOn w:val="DefaultParagraphFont"/>
    <w:uiPriority w:val="34"/>
    <w:semiHidden/>
    <w:qFormat/>
    <w:rsid w:val="00AE2241"/>
    <w:rPr>
      <w:b/>
      <w:bCs/>
      <w:i/>
      <w:iCs/>
      <w:spacing w:val="5"/>
    </w:rPr>
  </w:style>
  <w:style w:type="table" w:styleId="GridTable4-Accent2">
    <w:name w:val="Grid Table 4 Accent 2"/>
    <w:basedOn w:val="TableNormal"/>
    <w:uiPriority w:val="49"/>
    <w:rsid w:val="00AE2241"/>
    <w:pPr>
      <w:spacing w:after="0"/>
    </w:pPr>
    <w:tblPr>
      <w:tblStyleRowBandSize w:val="1"/>
      <w:tblStyleColBandSize w:val="1"/>
      <w:tblBorders>
        <w:top w:val="single" w:color="C076A7" w:themeColor="accent2" w:themeTint="99" w:sz="4" w:space="0"/>
        <w:left w:val="single" w:color="C076A7" w:themeColor="accent2" w:themeTint="99" w:sz="4" w:space="0"/>
        <w:bottom w:val="single" w:color="C076A7" w:themeColor="accent2" w:themeTint="99" w:sz="4" w:space="0"/>
        <w:right w:val="single" w:color="C076A7" w:themeColor="accent2" w:themeTint="99" w:sz="4" w:space="0"/>
        <w:insideH w:val="single" w:color="C076A7" w:themeColor="accent2" w:themeTint="99" w:sz="4" w:space="0"/>
        <w:insideV w:val="single" w:color="C076A7" w:themeColor="accent2" w:themeTint="99" w:sz="4" w:space="0"/>
      </w:tblBorders>
    </w:tblPr>
    <w:tblStylePr w:type="firstRow">
      <w:rPr>
        <w:b/>
        <w:bCs/>
        <w:color w:val="FFFFFF" w:themeColor="background1"/>
      </w:rPr>
      <w:tblPr/>
      <w:tcPr>
        <w:tcBorders>
          <w:top w:val="single" w:color="7A3864" w:themeColor="accent2" w:sz="4" w:space="0"/>
          <w:left w:val="single" w:color="7A3864" w:themeColor="accent2" w:sz="4" w:space="0"/>
          <w:bottom w:val="single" w:color="7A3864" w:themeColor="accent2" w:sz="4" w:space="0"/>
          <w:right w:val="single" w:color="7A3864" w:themeColor="accent2" w:sz="4" w:space="0"/>
          <w:insideH w:val="nil"/>
          <w:insideV w:val="nil"/>
        </w:tcBorders>
        <w:shd w:val="clear" w:color="auto" w:fill="7A3864" w:themeFill="accent2"/>
      </w:tcPr>
    </w:tblStylePr>
    <w:tblStylePr w:type="lastRow">
      <w:rPr>
        <w:b/>
        <w:bCs/>
      </w:rPr>
      <w:tblPr/>
      <w:tcPr>
        <w:tcBorders>
          <w:top w:val="double" w:color="7A3864" w:themeColor="accent2" w:sz="4" w:space="0"/>
        </w:tcBorders>
      </w:tcPr>
    </w:tblStylePr>
    <w:tblStylePr w:type="firstCol">
      <w:rPr>
        <w:b/>
        <w:bCs/>
      </w:rPr>
    </w:tblStylePr>
    <w:tblStylePr w:type="lastCol">
      <w:rPr>
        <w:b/>
        <w:bCs/>
      </w:rPr>
    </w:tblStylePr>
    <w:tblStylePr w:type="band1Vert">
      <w:tblPr/>
      <w:tcPr>
        <w:shd w:val="clear" w:color="auto" w:fill="EAD1E1" w:themeFill="accent2" w:themeFillTint="33"/>
      </w:tcPr>
    </w:tblStylePr>
    <w:tblStylePr w:type="band1Horz">
      <w:tblPr/>
      <w:tcPr>
        <w:shd w:val="clear" w:color="auto" w:fill="EAD1E1" w:themeFill="accent2" w:themeFillTint="33"/>
      </w:tcPr>
    </w:tblStylePr>
  </w:style>
  <w:style w:type="paragraph" w:styleId="FootnoteText">
    <w:name w:val="footnote text"/>
    <w:basedOn w:val="Normal"/>
    <w:link w:val="FootnoteTextChar"/>
    <w:uiPriority w:val="99"/>
    <w:semiHidden/>
    <w:unhideWhenUsed/>
    <w:rsid w:val="005F174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F174D"/>
    <w:rPr>
      <w:rFonts w:ascii="Poppins" w:hAnsi="Poppins"/>
      <w:kern w:val="2"/>
      <w:lang w:val="en-GB"/>
      <w14:ligatures w14:val="standardContextual"/>
    </w:rPr>
  </w:style>
  <w:style w:type="character" w:styleId="FootnoteReference">
    <w:name w:val="footnote reference"/>
    <w:basedOn w:val="DefaultParagraphFont"/>
    <w:uiPriority w:val="99"/>
    <w:semiHidden/>
    <w:unhideWhenUsed/>
    <w:rsid w:val="005F174D"/>
    <w:rPr>
      <w:vertAlign w:val="superscript"/>
    </w:rPr>
  </w:style>
  <w:style w:type="paragraph" w:styleId="EndnoteText">
    <w:name w:val="endnote text"/>
    <w:basedOn w:val="Normal"/>
    <w:link w:val="EndnoteTextChar"/>
    <w:uiPriority w:val="99"/>
    <w:semiHidden/>
    <w:unhideWhenUsed/>
    <w:rsid w:val="005F174D"/>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F174D"/>
    <w:rPr>
      <w:rFonts w:ascii="Poppins" w:hAnsi="Poppins"/>
      <w:kern w:val="2"/>
      <w:lang w:val="en-GB"/>
      <w14:ligatures w14:val="standardContextual"/>
    </w:rPr>
  </w:style>
  <w:style w:type="character" w:styleId="EndnoteReference">
    <w:name w:val="endnote reference"/>
    <w:basedOn w:val="DefaultParagraphFont"/>
    <w:uiPriority w:val="99"/>
    <w:semiHidden/>
    <w:unhideWhenUsed/>
    <w:rsid w:val="005F174D"/>
    <w:rPr>
      <w:vertAlign w:val="superscript"/>
    </w:rPr>
  </w:style>
  <w:style w:type="table" w:styleId="TableGrid0" w:customStyle="1">
    <w:name w:val="TableGrid"/>
    <w:rsid w:val="00A31299"/>
    <w:pPr>
      <w:spacing w:after="0"/>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eso.energy/document/188141/download"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rchive.uea.ac.uk/~e680/energy/energy_links/electricity/neta_review_aug2001.pdf" TargetMode="External"/><Relationship Id="rId2" Type="http://schemas.openxmlformats.org/officeDocument/2006/relationships/hyperlink" Target="https://www.ofgem.gov.uk/sites/default/files/docs/1999/10/the-new-electricity-trading-arrangements-29-10_0.pdf" TargetMode="External"/><Relationship Id="rId1" Type="http://schemas.openxmlformats.org/officeDocument/2006/relationships/hyperlink" Target="https://www.legislation.gov.uk/uksi/2020/1006/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emen.ojobo\Downloads\738261_NESO%20Word%20Template%20-%20Blank_S2_Oct_24%20(2).dotx" TargetMode="External"/></Relationships>
</file>

<file path=word/theme/theme1.xml><?xml version="1.0" encoding="utf-8"?>
<a:theme xmlns:a="http://schemas.openxmlformats.org/drawingml/2006/main" name="NGESO_2021">
  <a:themeElements>
    <a:clrScheme name="NESO II">
      <a:dk1>
        <a:sysClr val="windowText" lastClr="000000"/>
      </a:dk1>
      <a:lt1>
        <a:sysClr val="window" lastClr="FFFFFF"/>
      </a:lt1>
      <a:dk2>
        <a:srgbClr val="3F0731"/>
      </a:dk2>
      <a:lt2>
        <a:srgbClr val="070E40"/>
      </a:lt2>
      <a:accent1>
        <a:srgbClr val="3F0731"/>
      </a:accent1>
      <a:accent2>
        <a:srgbClr val="7A3864"/>
      </a:accent2>
      <a:accent3>
        <a:srgbClr val="FF00FF"/>
      </a:accent3>
      <a:accent4>
        <a:srgbClr val="070E40"/>
      </a:accent4>
      <a:accent5>
        <a:srgbClr val="385B16"/>
      </a:accent5>
      <a:accent6>
        <a:srgbClr val="B0322B"/>
      </a:accent6>
      <a:hlink>
        <a:srgbClr val="2CB9FF"/>
      </a:hlink>
      <a:folHlink>
        <a:srgbClr val="3F87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E509F166A54A984A42990D050551" ma:contentTypeVersion="17" ma:contentTypeDescription="Create a new document." ma:contentTypeScope="" ma:versionID="ce01abf42f85f9e95635c47ad5907962">
  <xsd:schema xmlns:xsd="http://www.w3.org/2001/XMLSchema" xmlns:xs="http://www.w3.org/2001/XMLSchema" xmlns:p="http://schemas.microsoft.com/office/2006/metadata/properties" xmlns:ns2="3afe989a-4d3b-4626-89cf-eac1f001f51e" xmlns:ns3="33ff9299-9e04-432b-8c07-eedc3ee870c8" xmlns:ns4="cadce026-d35b-4a62-a2ee-1436bb44fb55" targetNamespace="http://schemas.microsoft.com/office/2006/metadata/properties" ma:root="true" ma:fieldsID="e3e2fffabd5c5b10c7b6864a2c049a3b" ns2:_="" ns3:_="" ns4:_="">
    <xsd:import namespace="3afe989a-4d3b-4626-89cf-eac1f001f51e"/>
    <xsd:import namespace="33ff9299-9e04-432b-8c07-eedc3ee870c8"/>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e989a-4d3b-4626-89cf-eac1f001f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ff9299-9e04-432b-8c07-eedc3ee8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16ecd-7675-4625-ba3b-f1c5af9a8220}" ma:internalName="TaxCatchAll" ma:showField="CatchAllData" ma:web="33ff9299-9e04-432b-8c07-eedc3ee87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33ff9299-9e04-432b-8c07-eedc3ee870c8">
      <UserInfo>
        <DisplayName/>
        <AccountId xsi:nil="true"/>
        <AccountType/>
      </UserInfo>
    </SharedWithUsers>
    <lcf76f155ced4ddcb4097134ff3c332f xmlns="3afe989a-4d3b-4626-89cf-eac1f001f5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F943-59B2-4DC3-B0C3-3797BB8FF230}"/>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2c24aed8-7e50-412a-88ed-9c70d948256c"/>
    <ds:schemaRef ds:uri="4f165af4-2b8d-43d3-a1c1-ca40126c3dc2"/>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738261_NESO Word Template - Blank_S2_Oct_24 (2)</ap:Template>
  <ap:Application>Microsoft Word for the web</ap:Application>
  <ap:DocSecurity>0</ap:DocSecurity>
  <ap:ScaleCrop>false</ap:ScaleCrop>
  <ap:Company>Hamilton-Brown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Ejemen Ojobo (NESO)</dc:creator>
  <cp:keywords/>
  <dc:description/>
  <cp:lastModifiedBy>Ejemen Ojobo (NESO)</cp:lastModifiedBy>
  <cp:revision>4</cp:revision>
  <cp:lastPrinted>2020-06-01T14:47:00Z</cp:lastPrinted>
  <dcterms:created xsi:type="dcterms:W3CDTF">2025-02-14T11:13:00Z</dcterms:created>
  <dcterms:modified xsi:type="dcterms:W3CDTF">2025-02-25T14:02:14Z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0x0101005145E509F166A54A984A42990D050551</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