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3D548B" w:rsidP="002766BA" w:rsidRDefault="00DD137C" w14:paraId="32FEDBAE" w14:textId="6126B8D8">
      <w:pPr>
        <w:pStyle w:val="Title"/>
        <w:ind w:left="0"/>
      </w:pPr>
      <w:bookmarkStart w:name="_Hlk188882880" w:id="0"/>
      <w:r>
        <w:rPr>
          <w:color w:val="2E5395"/>
        </w:rPr>
        <w:t xml:space="preserve">Annex 7 – CMP 418 </w:t>
      </w:r>
      <w:r w:rsidR="0086023A">
        <w:rPr>
          <w:color w:val="2E5395"/>
        </w:rPr>
        <w:t>Impact</w:t>
      </w:r>
      <w:r w:rsidR="0086023A">
        <w:rPr>
          <w:color w:val="2E5395"/>
          <w:spacing w:val="-9"/>
        </w:rPr>
        <w:t xml:space="preserve"> </w:t>
      </w:r>
      <w:r w:rsidR="0086023A">
        <w:rPr>
          <w:color w:val="2E5395"/>
        </w:rPr>
        <w:t>on</w:t>
      </w:r>
      <w:r w:rsidR="0086023A">
        <w:rPr>
          <w:color w:val="2E5395"/>
          <w:spacing w:val="-9"/>
        </w:rPr>
        <w:t xml:space="preserve"> </w:t>
      </w:r>
      <w:r w:rsidR="0086023A">
        <w:rPr>
          <w:color w:val="2E5395"/>
          <w:spacing w:val="-2"/>
        </w:rPr>
        <w:t>Consumers</w:t>
      </w:r>
    </w:p>
    <w:p w:rsidR="003D548B" w:rsidRDefault="003D548B" w14:paraId="32FEDBAF" w14:textId="77777777">
      <w:pPr>
        <w:pStyle w:val="BodyText"/>
        <w:spacing w:before="38"/>
        <w:rPr>
          <w:rFonts w:ascii="Calibri Light"/>
          <w:sz w:val="32"/>
        </w:rPr>
      </w:pPr>
    </w:p>
    <w:p w:rsidR="001509B3" w:rsidP="1ED84623" w:rsidRDefault="00A649C7" w14:paraId="5EFD4C34" w14:textId="35CEA904">
      <w:pPr>
        <w:pStyle w:val="BodyText"/>
        <w:spacing w:before="1" w:line="252" w:lineRule="auto"/>
        <w:ind w:right="114"/>
        <w:jc w:val="both"/>
        <w:rPr>
          <w:rFonts w:ascii="Calibri" w:hAnsi="Calibri" w:cs="Calibri" w:asciiTheme="minorAscii" w:hAnsiTheme="minorAscii" w:cstheme="minorAscii"/>
        </w:rPr>
      </w:pPr>
      <w:r w:rsidR="00A649C7">
        <w:rPr/>
        <w:t xml:space="preserve">This annex examines the cost impact of </w:t>
      </w:r>
      <w:r w:rsidRPr="1ED84623" w:rsidR="00A649C7">
        <w:rPr>
          <w:b w:val="1"/>
          <w:bCs w:val="1"/>
        </w:rPr>
        <w:t>CMP418</w:t>
      </w:r>
      <w:r w:rsidR="00A649C7">
        <w:rPr/>
        <w:t xml:space="preserve"> on consumers. </w:t>
      </w:r>
      <w:r w:rsidR="00522053">
        <w:rPr/>
        <w:t xml:space="preserve">As explained in the main FMR, CMP 418 seeks to align the commercial treatment </w:t>
      </w:r>
      <w:r w:rsidR="001509B3">
        <w:rPr/>
        <w:t xml:space="preserve">of </w:t>
      </w:r>
      <w:r w:rsidR="00533898">
        <w:rPr/>
        <w:t xml:space="preserve">DRCE cost with the onshore precedent. </w:t>
      </w:r>
      <w:r w:rsidRPr="1ED84623" w:rsidR="00533898">
        <w:rPr>
          <w:rFonts w:ascii="Calibri" w:hAnsi="Calibri" w:cs="Calibri" w:asciiTheme="minorAscii" w:hAnsiTheme="minorAscii" w:cstheme="minorAscii"/>
        </w:rPr>
        <w:t>The proposed change will shift the recovery of OFTO DRCE costs from the offshore generator</w:t>
      </w:r>
      <w:r w:rsidRPr="1ED84623" w:rsidR="001509B3">
        <w:rPr>
          <w:rFonts w:ascii="Calibri" w:hAnsi="Calibri" w:cs="Calibri" w:asciiTheme="minorAscii" w:hAnsiTheme="minorAscii" w:cstheme="minorAscii"/>
        </w:rPr>
        <w:t xml:space="preserve"> to final consumers. </w:t>
      </w:r>
    </w:p>
    <w:p w:rsidR="001509B3" w:rsidP="00522053" w:rsidRDefault="001509B3" w14:paraId="312DB02F" w14:textId="77777777">
      <w:pPr>
        <w:pStyle w:val="BodyText"/>
        <w:spacing w:before="1" w:line="252" w:lineRule="auto"/>
        <w:ind w:right="114"/>
        <w:jc w:val="both"/>
        <w:rPr>
          <w:rFonts w:asciiTheme="minorHAnsi" w:hAnsiTheme="minorHAnsi" w:cstheme="minorHAnsi"/>
        </w:rPr>
      </w:pPr>
    </w:p>
    <w:p w:rsidR="00875DA4" w:rsidP="008D341F" w:rsidRDefault="00644A3D" w14:paraId="1051CBE4" w14:textId="77777777">
      <w:pPr>
        <w:pStyle w:val="BodyText"/>
        <w:spacing w:before="1" w:line="252" w:lineRule="auto"/>
        <w:ind w:right="114"/>
        <w:jc w:val="both"/>
        <w:rPr>
          <w:rFonts w:asciiTheme="minorHAnsi" w:hAnsiTheme="minorHAnsi" w:cstheme="minorHAnsi"/>
        </w:rPr>
      </w:pPr>
      <w:r>
        <w:rPr>
          <w:rFonts w:asciiTheme="minorHAnsi" w:hAnsiTheme="minorHAnsi" w:cstheme="minorHAnsi"/>
        </w:rPr>
        <w:t xml:space="preserve">Today, </w:t>
      </w:r>
      <w:r w:rsidR="00B87A87">
        <w:rPr>
          <w:rFonts w:asciiTheme="minorHAnsi" w:hAnsiTheme="minorHAnsi" w:cstheme="minorHAnsi"/>
        </w:rPr>
        <w:t xml:space="preserve">at OFTO transaction, </w:t>
      </w:r>
      <w:r>
        <w:rPr>
          <w:rFonts w:asciiTheme="minorHAnsi" w:hAnsiTheme="minorHAnsi" w:cstheme="minorHAnsi"/>
        </w:rPr>
        <w:t xml:space="preserve">the DRCE cost falls into the </w:t>
      </w:r>
      <w:r w:rsidRPr="00876F7B" w:rsidR="00533898">
        <w:rPr>
          <w:rFonts w:asciiTheme="minorHAnsi" w:hAnsiTheme="minorHAnsi" w:cstheme="minorHAnsi"/>
        </w:rPr>
        <w:t>‘’Local Circuit’’ element of offshore TNUoS</w:t>
      </w:r>
      <w:r>
        <w:rPr>
          <w:rFonts w:asciiTheme="minorHAnsi" w:hAnsiTheme="minorHAnsi" w:cstheme="minorHAnsi"/>
        </w:rPr>
        <w:t xml:space="preserve">, which is paid entirely </w:t>
      </w:r>
      <w:r w:rsidR="00B87A87">
        <w:rPr>
          <w:rFonts w:asciiTheme="minorHAnsi" w:hAnsiTheme="minorHAnsi" w:cstheme="minorHAnsi"/>
        </w:rPr>
        <w:t xml:space="preserve">by the offshore generator. The proposal is to move the DRCE cost to ‘’Onshore Substation’’ element of offshore TNUoS, this cost is socialized across TNUoS customers. </w:t>
      </w:r>
      <w:r w:rsidR="008D341F">
        <w:rPr>
          <w:rFonts w:asciiTheme="minorHAnsi" w:hAnsiTheme="minorHAnsi" w:cstheme="minorHAnsi"/>
        </w:rPr>
        <w:t xml:space="preserve">However, for the purpose of CMP 418, we expect that moving the DRCE cost to the onshore substation element of offshore TNUoS is equivalent to moving this cost to final consumers. </w:t>
      </w:r>
    </w:p>
    <w:p w:rsidR="00875DA4" w:rsidP="008D341F" w:rsidRDefault="00875DA4" w14:paraId="17C8CF68" w14:textId="77777777">
      <w:pPr>
        <w:pStyle w:val="BodyText"/>
        <w:spacing w:before="1" w:line="252" w:lineRule="auto"/>
        <w:ind w:right="114"/>
        <w:jc w:val="both"/>
        <w:rPr>
          <w:rFonts w:asciiTheme="minorHAnsi" w:hAnsiTheme="minorHAnsi" w:cstheme="minorHAnsi"/>
        </w:rPr>
      </w:pPr>
    </w:p>
    <w:p w:rsidR="008D341F" w:rsidP="008D341F" w:rsidRDefault="008D341F" w14:paraId="3ECC1C80" w14:textId="2D079AC2">
      <w:pPr>
        <w:pStyle w:val="BodyText"/>
        <w:spacing w:before="1" w:line="252" w:lineRule="auto"/>
        <w:ind w:right="114"/>
        <w:jc w:val="both"/>
      </w:pPr>
      <w:r>
        <w:t xml:space="preserve">It is expected that removing this cost from generators charges will directly impact consumers’ tariff, because, </w:t>
      </w:r>
      <w:r>
        <w:rPr>
          <w:spacing w:val="-4"/>
        </w:rPr>
        <w:t xml:space="preserve"> </w:t>
      </w:r>
      <w:r>
        <w:rPr>
          <w:lang w:val="en-GB"/>
        </w:rPr>
        <w:t>a</w:t>
      </w:r>
      <w:r w:rsidRPr="005F43EB">
        <w:rPr>
          <w:lang w:val="en-GB"/>
        </w:rPr>
        <w:t>s confirmed by the ESO revenue team, charges for unshared offshore circuits (within which lie DRCE costs in appropriate cases, under baseline) will normally, in the case by case assessment that is made by NESO, be classified, for the purpose of EC838/2010 when calculating the generation adjustment charge, as physical assets required for connection (PARC), and therefore should be excluded when calculating how much revenue is being collected from Generators for the purpose of the EU Cap. This means that reductions in the offshore circuit charge for relevant generators, if this mod were approved, would normally,</w:t>
      </w:r>
      <w:r>
        <w:rPr>
          <w:lang w:val="en-GB"/>
        </w:rPr>
        <w:t xml:space="preserve"> </w:t>
      </w:r>
      <w:r w:rsidRPr="005F43EB">
        <w:rPr>
          <w:lang w:val="en-GB"/>
        </w:rPr>
        <w:t>result in an increase the Transmission Demand Residual (TDR), rather than the generation adjustment tariff element.</w:t>
      </w:r>
      <w:r>
        <w:rPr>
          <w:rStyle w:val="FootnoteReference"/>
          <w:lang w:val="en-GB"/>
        </w:rPr>
        <w:footnoteReference w:id="1"/>
      </w:r>
      <w:r>
        <w:t xml:space="preserve"> </w:t>
      </w:r>
    </w:p>
    <w:p w:rsidR="00FC5F45" w:rsidP="008D341F" w:rsidRDefault="00FC5F45" w14:paraId="09A44594" w14:textId="77777777">
      <w:pPr>
        <w:pStyle w:val="BodyText"/>
        <w:spacing w:before="1" w:line="252" w:lineRule="auto"/>
        <w:ind w:right="114"/>
        <w:jc w:val="both"/>
      </w:pPr>
    </w:p>
    <w:p w:rsidR="00FC5F45" w:rsidP="00FC5F45" w:rsidRDefault="00FC5F45" w14:paraId="17A7305A" w14:textId="0F4E9730">
      <w:pPr>
        <w:pStyle w:val="Caption"/>
        <w:keepNext/>
        <w:jc w:val="both"/>
      </w:pPr>
      <w:r>
        <w:t xml:space="preserve">Table </w:t>
      </w:r>
      <w:r>
        <w:fldChar w:fldCharType="begin"/>
      </w:r>
      <w:r>
        <w:instrText> SEQ Table \* ARABIC </w:instrText>
      </w:r>
      <w:r>
        <w:fldChar w:fldCharType="separate"/>
      </w:r>
      <w:r w:rsidR="00C9579A">
        <w:rPr>
          <w:noProof/>
        </w:rPr>
        <w:t>1</w:t>
      </w:r>
      <w:r>
        <w:fldChar w:fldCharType="end"/>
      </w:r>
      <w:r>
        <w:t xml:space="preserve"> OFTO transaction offshore TNUoS cost allocation</w:t>
      </w:r>
    </w:p>
    <w:p w:rsidR="00FC5F45" w:rsidP="00B32367" w:rsidRDefault="00FC5F45" w14:paraId="79D651E3" w14:textId="2E107677">
      <w:pPr>
        <w:pStyle w:val="BodyText"/>
        <w:spacing w:before="1" w:line="252" w:lineRule="auto"/>
        <w:ind w:right="114"/>
        <w:jc w:val="center"/>
      </w:pPr>
      <w:r w:rsidRPr="002A23F2">
        <w:rPr>
          <w:rFonts w:cstheme="minorHAnsi"/>
          <w:noProof/>
        </w:rPr>
        <w:drawing>
          <wp:inline distT="0" distB="0" distL="0" distR="0" wp14:anchorId="489D7697" wp14:editId="4D7536FE">
            <wp:extent cx="3427012" cy="2153156"/>
            <wp:effectExtent l="0" t="0" r="2540" b="0"/>
            <wp:docPr id="529255078" name="Picture 1" descr="A close-up of a li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255078" name="Picture 1" descr="A close-up of a list&#10;&#10;Description automatically generated"/>
                    <pic:cNvPicPr/>
                  </pic:nvPicPr>
                  <pic:blipFill>
                    <a:blip r:embed="rId8"/>
                    <a:stretch>
                      <a:fillRect/>
                    </a:stretch>
                  </pic:blipFill>
                  <pic:spPr>
                    <a:xfrm>
                      <a:off x="0" y="0"/>
                      <a:ext cx="3447455" cy="2166000"/>
                    </a:xfrm>
                    <a:prstGeom prst="rect">
                      <a:avLst/>
                    </a:prstGeom>
                  </pic:spPr>
                </pic:pic>
              </a:graphicData>
            </a:graphic>
          </wp:inline>
        </w:drawing>
      </w:r>
    </w:p>
    <w:p w:rsidR="00B87A87" w:rsidP="00522053" w:rsidRDefault="00B87A87" w14:paraId="2FDE728E" w14:textId="376E2C2C">
      <w:pPr>
        <w:pStyle w:val="BodyText"/>
        <w:spacing w:before="1" w:line="252" w:lineRule="auto"/>
        <w:ind w:right="114"/>
        <w:jc w:val="both"/>
        <w:rPr>
          <w:rFonts w:asciiTheme="minorHAnsi" w:hAnsiTheme="minorHAnsi" w:cstheme="minorHAnsi"/>
        </w:rPr>
      </w:pPr>
    </w:p>
    <w:p w:rsidR="00B87A87" w:rsidP="00522053" w:rsidRDefault="00B87A87" w14:paraId="6603E8B7" w14:textId="77777777">
      <w:pPr>
        <w:pStyle w:val="BodyText"/>
        <w:spacing w:before="1" w:line="252" w:lineRule="auto"/>
        <w:ind w:right="114"/>
        <w:jc w:val="both"/>
        <w:rPr>
          <w:rFonts w:asciiTheme="minorHAnsi" w:hAnsiTheme="minorHAnsi" w:cstheme="minorHAnsi"/>
        </w:rPr>
      </w:pPr>
    </w:p>
    <w:p w:rsidR="00C961F2" w:rsidP="00C961F2" w:rsidRDefault="00C961F2" w14:paraId="7CA2E596" w14:textId="77777777">
      <w:pPr>
        <w:pStyle w:val="BodyText"/>
        <w:spacing w:before="1" w:line="252" w:lineRule="auto"/>
        <w:ind w:right="114"/>
        <w:jc w:val="both"/>
        <w:rPr>
          <w:rFonts w:asciiTheme="minorHAnsi" w:hAnsiTheme="minorHAnsi" w:cstheme="minorHAnsi"/>
        </w:rPr>
      </w:pPr>
      <w:r w:rsidRPr="00C961F2">
        <w:rPr>
          <w:rFonts w:asciiTheme="minorHAnsi" w:hAnsiTheme="minorHAnsi" w:cstheme="minorHAnsi"/>
        </w:rPr>
        <w:t>The graph below illustrates the differences in financial flows for providing dynamic reactive power through DRCE across three scenarios:</w:t>
      </w:r>
    </w:p>
    <w:p w:rsidRPr="00E609B7" w:rsidR="00E609B7" w:rsidP="00C961F2" w:rsidRDefault="001F76E7" w14:paraId="1E0A1A24" w14:textId="1B05B724">
      <w:pPr>
        <w:pStyle w:val="BodyText"/>
        <w:numPr>
          <w:ilvl w:val="0"/>
          <w:numId w:val="8"/>
        </w:numPr>
        <w:spacing w:before="1" w:line="252" w:lineRule="auto"/>
        <w:ind w:right="114"/>
        <w:jc w:val="both"/>
        <w:rPr>
          <w:rFonts w:asciiTheme="minorHAnsi" w:hAnsiTheme="minorHAnsi" w:cstheme="minorHAnsi"/>
        </w:rPr>
      </w:pPr>
      <w:r w:rsidRPr="001F76E7">
        <w:rPr>
          <w:rFonts w:asciiTheme="minorHAnsi" w:hAnsiTheme="minorHAnsi" w:cstheme="minorHAnsi"/>
          <w:b/>
          <w:bCs/>
        </w:rPr>
        <w:t>Onshore Windfarms</w:t>
      </w:r>
      <w:r>
        <w:rPr>
          <w:lang w:val="en-GB"/>
        </w:rPr>
        <w:t>:</w:t>
      </w:r>
      <w:r w:rsidRPr="001F76E7">
        <w:rPr>
          <w:lang w:val="en-GB"/>
        </w:rPr>
        <w:t xml:space="preserve"> </w:t>
      </w:r>
      <w:r w:rsidR="00085F38">
        <w:rPr>
          <w:lang w:val="en-GB"/>
        </w:rPr>
        <w:t>E</w:t>
      </w:r>
      <w:r w:rsidRPr="00522053" w:rsidR="00522053">
        <w:rPr>
          <w:lang w:val="en-GB"/>
        </w:rPr>
        <w:t>nd consumers fund the reactive power service provided by onshore windfarms through BSUoS, which funds the ORPS payments.</w:t>
      </w:r>
    </w:p>
    <w:p w:rsidRPr="00E609B7" w:rsidR="00E609B7" w:rsidP="00E609B7" w:rsidRDefault="001F76E7" w14:paraId="16B50144" w14:textId="7DD59FA1">
      <w:pPr>
        <w:pStyle w:val="BodyText"/>
        <w:numPr>
          <w:ilvl w:val="0"/>
          <w:numId w:val="8"/>
        </w:numPr>
        <w:spacing w:before="1" w:line="252" w:lineRule="auto"/>
        <w:ind w:right="114"/>
        <w:jc w:val="both"/>
        <w:rPr>
          <w:rFonts w:asciiTheme="minorHAnsi" w:hAnsiTheme="minorHAnsi" w:cstheme="minorHAnsi"/>
        </w:rPr>
      </w:pPr>
      <w:r w:rsidRPr="001F76E7">
        <w:rPr>
          <w:b/>
          <w:bCs/>
        </w:rPr>
        <w:t>Current Offshore Windfarms</w:t>
      </w:r>
      <w:r>
        <w:t xml:space="preserve">: </w:t>
      </w:r>
      <w:r w:rsidR="00085F38">
        <w:t>A</w:t>
      </w:r>
      <w:r w:rsidRPr="00522053" w:rsidR="00522053">
        <w:rPr>
          <w:lang w:val="en-GB"/>
        </w:rPr>
        <w:t>t OFTO transaction</w:t>
      </w:r>
      <w:r w:rsidR="00085F38">
        <w:rPr>
          <w:lang w:val="en-GB"/>
        </w:rPr>
        <w:t>,</w:t>
      </w:r>
      <w:r w:rsidRPr="00522053" w:rsidR="00522053">
        <w:rPr>
          <w:lang w:val="en-GB"/>
        </w:rPr>
        <w:t xml:space="preserve"> the cost of the DRCE falls in the generator’s offshore TNUoS local circuit tariff</w:t>
      </w:r>
      <w:r w:rsidR="00085F38">
        <w:rPr>
          <w:lang w:val="en-GB"/>
        </w:rPr>
        <w:t>, funded solely by the offshore generator</w:t>
      </w:r>
    </w:p>
    <w:p w:rsidRPr="00644A3D" w:rsidR="00522053" w:rsidP="00E609B7" w:rsidRDefault="00085F38" w14:paraId="05AB4A12" w14:textId="24D40F0C">
      <w:pPr>
        <w:pStyle w:val="BodyText"/>
        <w:numPr>
          <w:ilvl w:val="0"/>
          <w:numId w:val="8"/>
        </w:numPr>
        <w:spacing w:before="1" w:line="252" w:lineRule="auto"/>
        <w:ind w:right="114"/>
        <w:jc w:val="both"/>
        <w:rPr>
          <w:rFonts w:asciiTheme="minorHAnsi" w:hAnsiTheme="minorHAnsi" w:cstheme="minorHAnsi"/>
        </w:rPr>
      </w:pPr>
      <w:r w:rsidRPr="00085F38">
        <w:rPr>
          <w:b/>
          <w:bCs/>
          <w:lang w:val="en-GB"/>
        </w:rPr>
        <w:t>Proposed Solution (CMP 418)</w:t>
      </w:r>
      <w:r>
        <w:rPr>
          <w:lang w:val="en-GB"/>
        </w:rPr>
        <w:t>: T</w:t>
      </w:r>
      <w:r w:rsidR="00E609B7">
        <w:rPr>
          <w:lang w:val="en-GB"/>
        </w:rPr>
        <w:t xml:space="preserve">he </w:t>
      </w:r>
      <w:r>
        <w:rPr>
          <w:lang w:val="en-GB"/>
        </w:rPr>
        <w:t xml:space="preserve">DRCE </w:t>
      </w:r>
      <w:r w:rsidR="00E609B7">
        <w:rPr>
          <w:lang w:val="en-GB"/>
        </w:rPr>
        <w:t>cost is moved to the onshore substation tariff, and is expected to be recovered from the Transmission Demand Residual, which is funded by end consumers</w:t>
      </w:r>
    </w:p>
    <w:p w:rsidR="00522053" w:rsidP="00571C6B" w:rsidRDefault="00522053" w14:paraId="46DB9DCA" w14:textId="174538CF">
      <w:pPr>
        <w:pStyle w:val="BodyText"/>
        <w:spacing w:before="1" w:line="252" w:lineRule="auto"/>
        <w:ind w:right="114"/>
        <w:jc w:val="both"/>
      </w:pPr>
    </w:p>
    <w:p w:rsidR="00522053" w:rsidP="00571C6B" w:rsidRDefault="00522053" w14:paraId="48240AB7" w14:textId="77777777">
      <w:pPr>
        <w:pStyle w:val="BodyText"/>
        <w:spacing w:before="1" w:line="252" w:lineRule="auto"/>
        <w:ind w:right="114"/>
        <w:jc w:val="both"/>
      </w:pPr>
    </w:p>
    <w:p w:rsidR="00522053" w:rsidP="00571C6B" w:rsidRDefault="00522053" w14:paraId="2A4212A6" w14:textId="77777777">
      <w:pPr>
        <w:pStyle w:val="BodyText"/>
        <w:spacing w:before="1" w:line="252" w:lineRule="auto"/>
        <w:ind w:right="114"/>
        <w:jc w:val="both"/>
      </w:pPr>
    </w:p>
    <w:p w:rsidR="007C2C07" w:rsidP="007C2C07" w:rsidRDefault="007C2C07" w14:paraId="1235540B" w14:textId="1FC0FDFD">
      <w:pPr>
        <w:pStyle w:val="Caption"/>
        <w:keepNext/>
        <w:jc w:val="both"/>
      </w:pPr>
      <w:r>
        <w:t xml:space="preserve">Figure </w:t>
      </w:r>
      <w:r>
        <w:fldChar w:fldCharType="begin"/>
      </w:r>
      <w:r>
        <w:instrText> SEQ Figure \* ARABIC </w:instrText>
      </w:r>
      <w:r>
        <w:fldChar w:fldCharType="separate"/>
      </w:r>
      <w:r w:rsidR="00F3676B">
        <w:rPr>
          <w:noProof/>
        </w:rPr>
        <w:t>1</w:t>
      </w:r>
      <w:r>
        <w:fldChar w:fldCharType="end"/>
      </w:r>
      <w:r>
        <w:t xml:space="preserve"> </w:t>
      </w:r>
      <w:r w:rsidRPr="00CA5E0C">
        <w:t>DRCE cost financial flows</w:t>
      </w:r>
    </w:p>
    <w:p w:rsidR="007C2C07" w:rsidP="00B32367" w:rsidRDefault="00F3676B" w14:paraId="6D4FBF78" w14:textId="0701005C">
      <w:pPr>
        <w:pStyle w:val="BodyText"/>
        <w:keepNext/>
        <w:spacing w:before="1" w:line="252" w:lineRule="auto"/>
        <w:ind w:right="114"/>
        <w:jc w:val="center"/>
      </w:pPr>
      <w:r w:rsidRPr="00F3676B">
        <w:rPr>
          <w:noProof/>
        </w:rPr>
        <w:drawing>
          <wp:inline distT="0" distB="0" distL="0" distR="0" wp14:anchorId="74ADE3D1" wp14:editId="588EE812">
            <wp:extent cx="4405022" cy="2428239"/>
            <wp:effectExtent l="0" t="0" r="0" b="0"/>
            <wp:docPr id="77195586" name="Picture 1" descr="A diagram of a wind fa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95586" name="Picture 1" descr="A diagram of a wind farm&#10;&#10;Description automatically generated"/>
                    <pic:cNvPicPr/>
                  </pic:nvPicPr>
                  <pic:blipFill>
                    <a:blip r:embed="rId9"/>
                    <a:stretch>
                      <a:fillRect/>
                    </a:stretch>
                  </pic:blipFill>
                  <pic:spPr>
                    <a:xfrm>
                      <a:off x="0" y="0"/>
                      <a:ext cx="4411473" cy="2431795"/>
                    </a:xfrm>
                    <a:prstGeom prst="rect">
                      <a:avLst/>
                    </a:prstGeom>
                  </pic:spPr>
                </pic:pic>
              </a:graphicData>
            </a:graphic>
          </wp:inline>
        </w:drawing>
      </w:r>
    </w:p>
    <w:p w:rsidR="00FD4F4A" w:rsidP="00571C6B" w:rsidRDefault="00FD4F4A" w14:paraId="322B4FF0" w14:textId="77777777">
      <w:pPr>
        <w:pStyle w:val="BodyText"/>
        <w:spacing w:before="1" w:line="252" w:lineRule="auto"/>
        <w:ind w:right="114"/>
        <w:jc w:val="both"/>
      </w:pPr>
    </w:p>
    <w:p w:rsidR="00641B17" w:rsidP="00571C6B" w:rsidRDefault="00641B17" w14:paraId="3F5DEF9F" w14:textId="77777777">
      <w:pPr>
        <w:pStyle w:val="BodyText"/>
        <w:spacing w:before="1" w:line="252" w:lineRule="auto"/>
        <w:ind w:right="114"/>
        <w:jc w:val="both"/>
      </w:pPr>
    </w:p>
    <w:p w:rsidR="00DB715B" w:rsidP="00571C6B" w:rsidRDefault="00DB715B" w14:paraId="223964A1" w14:textId="77777777">
      <w:pPr>
        <w:pStyle w:val="BodyText"/>
        <w:spacing w:before="114" w:line="252" w:lineRule="auto"/>
        <w:ind w:right="114"/>
        <w:jc w:val="both"/>
      </w:pPr>
    </w:p>
    <w:p w:rsidR="00FD4F4A" w:rsidP="00CA51C0" w:rsidRDefault="00CA51C0" w14:paraId="7746EDB4" w14:textId="4CE2D4B5">
      <w:pPr>
        <w:pStyle w:val="BodyText"/>
        <w:spacing w:before="145" w:line="252" w:lineRule="auto"/>
        <w:ind w:right="229"/>
        <w:jc w:val="both"/>
        <w:rPr>
          <w:b/>
          <w:bCs/>
        </w:rPr>
      </w:pPr>
      <w:r w:rsidRPr="002766BA">
        <w:rPr>
          <w:b/>
          <w:bCs/>
        </w:rPr>
        <w:t>Estimated Impact:</w:t>
      </w:r>
    </w:p>
    <w:p w:rsidRPr="002766BA" w:rsidR="00FD4F4A" w:rsidP="00CA51C0" w:rsidRDefault="00FD4F4A" w14:paraId="6A100CCF" w14:textId="77777777">
      <w:pPr>
        <w:pStyle w:val="BodyText"/>
        <w:spacing w:before="145" w:line="252" w:lineRule="auto"/>
        <w:ind w:right="229"/>
        <w:jc w:val="both"/>
        <w:rPr>
          <w:b/>
          <w:bCs/>
        </w:rPr>
      </w:pPr>
    </w:p>
    <w:p w:rsidR="00D50CBE" w:rsidP="00D50CBE" w:rsidRDefault="00D50CBE" w14:paraId="2E14B76A" w14:textId="369573C3">
      <w:pPr>
        <w:pStyle w:val="BodyText"/>
        <w:spacing w:before="1" w:line="252" w:lineRule="auto"/>
        <w:ind w:right="114"/>
        <w:jc w:val="both"/>
      </w:pPr>
      <w:r>
        <w:t>T</w:t>
      </w:r>
      <w:r w:rsidRPr="00A649C7">
        <w:t>o assess th</w:t>
      </w:r>
      <w:r>
        <w:t>e cost impact of CMP 418</w:t>
      </w:r>
      <w:r w:rsidRPr="00A649C7">
        <w:t xml:space="preserve">, we first calculated the portion of costs related to </w:t>
      </w:r>
      <w:r w:rsidRPr="00A649C7">
        <w:rPr>
          <w:b/>
          <w:bCs/>
        </w:rPr>
        <w:t>Dynamic Reactive Compensation Equipment (DRCE)</w:t>
      </w:r>
      <w:r w:rsidRPr="00A649C7">
        <w:t xml:space="preserve"> that is currently recovered from generators through the </w:t>
      </w:r>
      <w:r w:rsidRPr="00A649C7">
        <w:rPr>
          <w:b/>
          <w:bCs/>
        </w:rPr>
        <w:t>offshore local circuit tariff</w:t>
      </w:r>
      <w:r w:rsidRPr="00A649C7">
        <w:t>.</w:t>
      </w:r>
      <w:r>
        <w:t xml:space="preserve"> </w:t>
      </w:r>
    </w:p>
    <w:p w:rsidR="00DB715B" w:rsidP="00571C6B" w:rsidRDefault="00932C03" w14:paraId="4AB66A28" w14:textId="3A6B6011">
      <w:pPr>
        <w:pStyle w:val="BodyText"/>
        <w:spacing w:before="114" w:line="252" w:lineRule="auto"/>
        <w:ind w:right="114"/>
        <w:jc w:val="both"/>
      </w:pPr>
      <w:r w:rsidRPr="00932C03">
        <w:t xml:space="preserve">To estimate the impact of </w:t>
      </w:r>
      <w:r w:rsidRPr="00932C03">
        <w:rPr>
          <w:b/>
          <w:bCs/>
        </w:rPr>
        <w:t>CMP 418</w:t>
      </w:r>
      <w:r w:rsidRPr="00932C03">
        <w:t xml:space="preserve">, we first determined the number of </w:t>
      </w:r>
      <w:r w:rsidRPr="00932C03">
        <w:rPr>
          <w:b/>
          <w:bCs/>
        </w:rPr>
        <w:t>Static Var Compensators (SVCs)</w:t>
      </w:r>
      <w:r w:rsidRPr="00932C03">
        <w:t xml:space="preserve"> required to meet offshore wind deployment targets through 2050. Next, we calculated the portion of the </w:t>
      </w:r>
      <w:r w:rsidRPr="00932C03">
        <w:rPr>
          <w:b/>
          <w:bCs/>
        </w:rPr>
        <w:t>Offshore Transmission Owner’s (OFTO)</w:t>
      </w:r>
      <w:r w:rsidRPr="00932C03">
        <w:t xml:space="preserve"> regulated revenue attributable specifically to </w:t>
      </w:r>
      <w:r w:rsidRPr="00932C03">
        <w:rPr>
          <w:b/>
          <w:bCs/>
        </w:rPr>
        <w:t>Dynamic Reactive Compensation Equipment (DRCE)</w:t>
      </w:r>
      <w:r w:rsidRPr="00932C03">
        <w:t xml:space="preserve">. This amount represents the cost that will no longer be recovered from generators and is instead expected to be recovered from </w:t>
      </w:r>
      <w:r w:rsidRPr="00932C03">
        <w:rPr>
          <w:b/>
          <w:bCs/>
        </w:rPr>
        <w:t>final demand</w:t>
      </w:r>
      <w:r>
        <w:t>, and it includes both the CAPEX and OPEX element of the SVC cost.</w:t>
      </w:r>
    </w:p>
    <w:p w:rsidR="005B1D27" w:rsidP="005B1D27" w:rsidRDefault="005B1D27" w14:paraId="3D7D38ED" w14:textId="77777777">
      <w:pPr>
        <w:pStyle w:val="BodyText"/>
        <w:spacing w:before="110" w:line="252" w:lineRule="auto"/>
        <w:ind w:right="114"/>
        <w:jc w:val="both"/>
      </w:pPr>
      <w:r>
        <w:rPr>
          <w:noProof/>
        </w:rPr>
        <mc:AlternateContent>
          <mc:Choice Requires="wps">
            <w:drawing>
              <wp:anchor distT="0" distB="0" distL="0" distR="0" simplePos="0" relativeHeight="487591936" behindDoc="1" locked="0" layoutInCell="1" allowOverlap="1" wp14:anchorId="2A92D15D" wp14:editId="5D7698A7">
                <wp:simplePos x="0" y="0"/>
                <wp:positionH relativeFrom="page">
                  <wp:posOffset>1870201</wp:posOffset>
                </wp:positionH>
                <wp:positionV relativeFrom="paragraph">
                  <wp:posOffset>314852</wp:posOffset>
                </wp:positionV>
                <wp:extent cx="22860" cy="88900"/>
                <wp:effectExtent l="0" t="0" r="0" b="0"/>
                <wp:wrapNone/>
                <wp:docPr id="509735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 cy="88900"/>
                        </a:xfrm>
                        <a:prstGeom prst="rect">
                          <a:avLst/>
                        </a:prstGeom>
                      </wps:spPr>
                      <wps:txbx>
                        <w:txbxContent>
                          <w:p w:rsidR="005B1D27" w:rsidP="005B1D27" w:rsidRDefault="005B1D27" w14:paraId="4F5FE7F2" w14:textId="77777777">
                            <w:pPr>
                              <w:spacing w:line="139" w:lineRule="exact"/>
                              <w:rPr>
                                <w:sz w:val="14"/>
                              </w:rPr>
                            </w:pPr>
                            <w:hyperlink w:history="1" w:anchor="_bookmark2">
                              <w:r>
                                <w:rPr>
                                  <w:spacing w:val="-10"/>
                                  <w:sz w:val="14"/>
                                </w:rPr>
                                <w:t>.</w:t>
                              </w:r>
                            </w:hyperlink>
                          </w:p>
                        </w:txbxContent>
                      </wps:txbx>
                      <wps:bodyPr wrap="square" lIns="0" tIns="0" rIns="0" bIns="0" rtlCol="0">
                        <a:noAutofit/>
                      </wps:bodyPr>
                    </wps:wsp>
                  </a:graphicData>
                </a:graphic>
              </wp:anchor>
            </w:drawing>
          </mc:Choice>
          <mc:Fallback>
            <w:pict w14:anchorId="5A3173CF">
              <v:shapetype id="_x0000_t202" coordsize="21600,21600" o:spt="202" path="m,l,21600r21600,l21600,xe" w14:anchorId="2A92D15D">
                <v:stroke joinstyle="miter"/>
                <v:path gradientshapeok="t" o:connecttype="rect"/>
              </v:shapetype>
              <v:shape id="Textbox 1" style="position:absolute;left:0;text-align:left;margin-left:147.25pt;margin-top:24.8pt;width:1.8pt;height:7pt;z-index:-15724544;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">
                <v:textbox inset="0,0,0,0">
                  <w:txbxContent>
                    <w:p w:rsidR="005B1D27" w:rsidP="005B1D27" w:rsidRDefault="005B1D27" w14:paraId="02614873" w14:textId="77777777">
                      <w:pPr>
                        <w:spacing w:line="139" w:lineRule="exact"/>
                        <w:rPr>
                          <w:sz w:val="14"/>
                        </w:rPr>
                      </w:pPr>
                      <w:hyperlink w:history="1" w:anchor="_bookmark2">
                        <w:r>
                          <w:rPr>
                            <w:spacing w:val="-10"/>
                            <w:sz w:val="14"/>
                          </w:rPr>
                          <w:t>.</w:t>
                        </w:r>
                      </w:hyperlink>
                    </w:p>
                  </w:txbxContent>
                </v:textbox>
                <w10:wrap anchorx="page"/>
              </v:shape>
            </w:pict>
          </mc:Fallback>
        </mc:AlternateContent>
      </w:r>
      <w:r>
        <w:t>The UK has set an ambitious target of reaching 43-50 GW of offshore wind capacity by 2030</w:t>
      </w:r>
      <w:hyperlink w:history="1" w:anchor="_bookmark1">
        <w:r>
          <w:rPr>
            <w:vertAlign w:val="superscript"/>
          </w:rPr>
          <w:t>2</w:t>
        </w:r>
        <w:r>
          <w:t>,</w:t>
        </w:r>
      </w:hyperlink>
      <w:r>
        <w:t xml:space="preserve"> and up to 125GW</w:t>
      </w:r>
      <w:r>
        <w:rPr>
          <w:spacing w:val="-4"/>
        </w:rPr>
        <w:t xml:space="preserve"> </w:t>
      </w:r>
      <w:r>
        <w:t>by 2050</w:t>
      </w:r>
      <w:hyperlink w:history="1" w:anchor="_bookmark2">
        <w:r>
          <w:rPr>
            <w:vertAlign w:val="superscript"/>
          </w:rPr>
          <w:t>3</w:t>
        </w:r>
      </w:hyperlink>
      <w:r>
        <w:rPr>
          <w:spacing w:val="35"/>
        </w:rPr>
        <w:t xml:space="preserve"> </w:t>
      </w:r>
      <w:r>
        <w:t>As of</w:t>
      </w:r>
      <w:r>
        <w:rPr>
          <w:spacing w:val="-1"/>
        </w:rPr>
        <w:t xml:space="preserve"> </w:t>
      </w:r>
      <w:r>
        <w:t>December</w:t>
      </w:r>
      <w:r>
        <w:rPr>
          <w:spacing w:val="-1"/>
        </w:rPr>
        <w:t xml:space="preserve"> </w:t>
      </w:r>
      <w:r>
        <w:t>2024, the</w:t>
      </w:r>
      <w:r>
        <w:rPr>
          <w:spacing w:val="-1"/>
        </w:rPr>
        <w:t xml:space="preserve"> </w:t>
      </w:r>
      <w:r>
        <w:t>UK has</w:t>
      </w:r>
      <w:r>
        <w:rPr>
          <w:spacing w:val="-1"/>
        </w:rPr>
        <w:t xml:space="preserve"> </w:t>
      </w:r>
      <w:r>
        <w:t>approximately 15 GW</w:t>
      </w:r>
      <w:hyperlink w:history="1" w:anchor="_bookmark3">
        <w:r>
          <w:rPr>
            <w:vertAlign w:val="superscript"/>
          </w:rPr>
          <w:t>4</w:t>
        </w:r>
      </w:hyperlink>
      <w:r>
        <w:rPr>
          <w:spacing w:val="-13"/>
        </w:rPr>
        <w:t xml:space="preserve"> </w:t>
      </w:r>
      <w:r>
        <w:t>of offshore</w:t>
      </w:r>
      <w:r>
        <w:rPr>
          <w:spacing w:val="-1"/>
        </w:rPr>
        <w:t xml:space="preserve"> </w:t>
      </w:r>
      <w:r>
        <w:t>wind capacity, which</w:t>
      </w:r>
      <w:r>
        <w:rPr>
          <w:spacing w:val="-3"/>
        </w:rPr>
        <w:t xml:space="preserve"> </w:t>
      </w:r>
      <w:r>
        <w:t>would</w:t>
      </w:r>
      <w:r>
        <w:rPr>
          <w:spacing w:val="-3"/>
        </w:rPr>
        <w:t xml:space="preserve"> </w:t>
      </w:r>
      <w:r>
        <w:t>mean</w:t>
      </w:r>
      <w:r>
        <w:rPr>
          <w:spacing w:val="-1"/>
        </w:rPr>
        <w:t xml:space="preserve"> </w:t>
      </w:r>
      <w:r>
        <w:t>28</w:t>
      </w:r>
      <w:r>
        <w:rPr>
          <w:spacing w:val="-1"/>
        </w:rPr>
        <w:t xml:space="preserve"> </w:t>
      </w:r>
      <w:r>
        <w:t>GW</w:t>
      </w:r>
      <w:r>
        <w:rPr>
          <w:spacing w:val="-1"/>
        </w:rPr>
        <w:t xml:space="preserve"> </w:t>
      </w:r>
      <w:r>
        <w:t>is</w:t>
      </w:r>
      <w:r>
        <w:rPr>
          <w:spacing w:val="-1"/>
        </w:rPr>
        <w:t xml:space="preserve"> </w:t>
      </w:r>
      <w:r>
        <w:t>required</w:t>
      </w:r>
      <w:r>
        <w:rPr>
          <w:spacing w:val="-2"/>
        </w:rPr>
        <w:t xml:space="preserve"> </w:t>
      </w:r>
      <w:r>
        <w:t>in</w:t>
      </w:r>
      <w:r>
        <w:rPr>
          <w:spacing w:val="-1"/>
        </w:rPr>
        <w:t xml:space="preserve"> </w:t>
      </w:r>
      <w:r>
        <w:t>the</w:t>
      </w:r>
      <w:r>
        <w:rPr>
          <w:spacing w:val="-4"/>
        </w:rPr>
        <w:t xml:space="preserve"> </w:t>
      </w:r>
      <w:r>
        <w:t>6</w:t>
      </w:r>
      <w:r>
        <w:rPr>
          <w:spacing w:val="-2"/>
        </w:rPr>
        <w:t xml:space="preserve"> </w:t>
      </w:r>
      <w:r>
        <w:t>years</w:t>
      </w:r>
      <w:r>
        <w:rPr>
          <w:spacing w:val="-4"/>
        </w:rPr>
        <w:t xml:space="preserve"> </w:t>
      </w:r>
      <w:r>
        <w:t>from</w:t>
      </w:r>
      <w:r>
        <w:rPr>
          <w:spacing w:val="-3"/>
        </w:rPr>
        <w:t xml:space="preserve"> </w:t>
      </w:r>
      <w:r>
        <w:t>2025</w:t>
      </w:r>
      <w:r>
        <w:rPr>
          <w:spacing w:val="-1"/>
        </w:rPr>
        <w:t xml:space="preserve"> </w:t>
      </w:r>
      <w:r>
        <w:t>to</w:t>
      </w:r>
      <w:r>
        <w:rPr>
          <w:spacing w:val="-2"/>
        </w:rPr>
        <w:t xml:space="preserve"> </w:t>
      </w:r>
      <w:r>
        <w:t>2030.</w:t>
      </w:r>
      <w:r>
        <w:rPr>
          <w:spacing w:val="-4"/>
        </w:rPr>
        <w:t xml:space="preserve"> </w:t>
      </w:r>
      <w:r>
        <w:t>To</w:t>
      </w:r>
      <w:r>
        <w:rPr>
          <w:spacing w:val="-2"/>
        </w:rPr>
        <w:t xml:space="preserve"> </w:t>
      </w:r>
      <w:r>
        <w:t>meet</w:t>
      </w:r>
      <w:r>
        <w:rPr>
          <w:spacing w:val="-5"/>
        </w:rPr>
        <w:t xml:space="preserve"> </w:t>
      </w:r>
      <w:r>
        <w:t>the</w:t>
      </w:r>
      <w:r>
        <w:rPr>
          <w:spacing w:val="-1"/>
        </w:rPr>
        <w:t xml:space="preserve"> </w:t>
      </w:r>
      <w:r>
        <w:t>2030</w:t>
      </w:r>
      <w:r>
        <w:rPr>
          <w:spacing w:val="-1"/>
        </w:rPr>
        <w:t xml:space="preserve"> </w:t>
      </w:r>
      <w:r>
        <w:t>target,</w:t>
      </w:r>
      <w:r>
        <w:rPr>
          <w:spacing w:val="-1"/>
        </w:rPr>
        <w:t xml:space="preserve"> </w:t>
      </w:r>
      <w:r>
        <w:t>it</w:t>
      </w:r>
      <w:r>
        <w:rPr>
          <w:spacing w:val="-1"/>
        </w:rPr>
        <w:t xml:space="preserve"> </w:t>
      </w:r>
      <w:r>
        <w:t>is necessary</w:t>
      </w:r>
      <w:r>
        <w:rPr>
          <w:spacing w:val="-8"/>
        </w:rPr>
        <w:t xml:space="preserve"> </w:t>
      </w:r>
      <w:r>
        <w:t>to</w:t>
      </w:r>
      <w:r>
        <w:rPr>
          <w:spacing w:val="-8"/>
        </w:rPr>
        <w:t xml:space="preserve"> </w:t>
      </w:r>
      <w:r>
        <w:t>add</w:t>
      </w:r>
      <w:r>
        <w:rPr>
          <w:spacing w:val="-8"/>
        </w:rPr>
        <w:t xml:space="preserve"> </w:t>
      </w:r>
      <w:r>
        <w:t>approximately</w:t>
      </w:r>
      <w:r>
        <w:rPr>
          <w:spacing w:val="-8"/>
        </w:rPr>
        <w:t xml:space="preserve"> </w:t>
      </w:r>
      <w:r>
        <w:rPr>
          <w:b/>
          <w:bCs/>
        </w:rPr>
        <w:t>4</w:t>
      </w:r>
      <w:r w:rsidRPr="003361B3">
        <w:rPr>
          <w:b/>
          <w:bCs/>
        </w:rPr>
        <w:t>.</w:t>
      </w:r>
      <w:r>
        <w:rPr>
          <w:b/>
          <w:bCs/>
        </w:rPr>
        <w:t>67</w:t>
      </w:r>
      <w:r w:rsidRPr="003361B3">
        <w:rPr>
          <w:b/>
          <w:bCs/>
          <w:spacing w:val="-9"/>
        </w:rPr>
        <w:t xml:space="preserve"> </w:t>
      </w:r>
      <w:r w:rsidRPr="003361B3">
        <w:rPr>
          <w:b/>
          <w:bCs/>
        </w:rPr>
        <w:t>GW</w:t>
      </w:r>
      <w:r w:rsidRPr="003361B3">
        <w:rPr>
          <w:b/>
          <w:bCs/>
          <w:spacing w:val="-9"/>
        </w:rPr>
        <w:t xml:space="preserve"> </w:t>
      </w:r>
      <w:r w:rsidRPr="003361B3">
        <w:rPr>
          <w:b/>
          <w:bCs/>
        </w:rPr>
        <w:t>per</w:t>
      </w:r>
      <w:r w:rsidRPr="003361B3">
        <w:rPr>
          <w:b/>
          <w:bCs/>
          <w:spacing w:val="-9"/>
        </w:rPr>
        <w:t xml:space="preserve"> </w:t>
      </w:r>
      <w:r w:rsidRPr="003361B3">
        <w:rPr>
          <w:b/>
          <w:bCs/>
        </w:rPr>
        <w:t>year</w:t>
      </w:r>
      <w:r>
        <w:t>,</w:t>
      </w:r>
      <w:r>
        <w:rPr>
          <w:spacing w:val="-9"/>
        </w:rPr>
        <w:t xml:space="preserve"> </w:t>
      </w:r>
      <w:r>
        <w:t>while</w:t>
      </w:r>
      <w:r>
        <w:rPr>
          <w:spacing w:val="-7"/>
        </w:rPr>
        <w:t xml:space="preserve"> </w:t>
      </w:r>
      <w:r>
        <w:t>approximately</w:t>
      </w:r>
      <w:r>
        <w:rPr>
          <w:spacing w:val="-8"/>
        </w:rPr>
        <w:t xml:space="preserve"> </w:t>
      </w:r>
      <w:r>
        <w:rPr>
          <w:b/>
          <w:bCs/>
        </w:rPr>
        <w:t>4</w:t>
      </w:r>
      <w:r w:rsidRPr="003361B3">
        <w:rPr>
          <w:b/>
          <w:bCs/>
        </w:rPr>
        <w:t>.</w:t>
      </w:r>
      <w:r>
        <w:rPr>
          <w:b/>
          <w:bCs/>
        </w:rPr>
        <w:t>1</w:t>
      </w:r>
      <w:r w:rsidRPr="003361B3">
        <w:rPr>
          <w:b/>
          <w:bCs/>
          <w:spacing w:val="-7"/>
        </w:rPr>
        <w:t xml:space="preserve"> </w:t>
      </w:r>
      <w:r w:rsidRPr="003361B3">
        <w:rPr>
          <w:b/>
          <w:bCs/>
        </w:rPr>
        <w:t>GW</w:t>
      </w:r>
      <w:r w:rsidRPr="003361B3">
        <w:rPr>
          <w:b/>
          <w:bCs/>
          <w:spacing w:val="-9"/>
        </w:rPr>
        <w:t xml:space="preserve"> </w:t>
      </w:r>
      <w:r w:rsidRPr="003361B3">
        <w:rPr>
          <w:b/>
          <w:bCs/>
        </w:rPr>
        <w:t>additionally</w:t>
      </w:r>
      <w:r w:rsidRPr="003361B3">
        <w:rPr>
          <w:b/>
          <w:bCs/>
          <w:spacing w:val="-8"/>
        </w:rPr>
        <w:t xml:space="preserve"> </w:t>
      </w:r>
      <w:r w:rsidRPr="003361B3">
        <w:rPr>
          <w:b/>
          <w:bCs/>
        </w:rPr>
        <w:t>capacity is required annually from 2030 onwards to meet the 2050 target</w:t>
      </w:r>
      <w:r>
        <w:t xml:space="preserve">. </w:t>
      </w:r>
    </w:p>
    <w:p w:rsidR="005B1D27" w:rsidP="005B1D27" w:rsidRDefault="005B1D27" w14:paraId="12011A70" w14:textId="29CB1D87">
      <w:pPr>
        <w:pStyle w:val="BodyText"/>
        <w:spacing w:before="110" w:line="252" w:lineRule="auto"/>
        <w:ind w:right="114"/>
        <w:jc w:val="both"/>
      </w:pPr>
      <w:r>
        <w:t>The number of DRCEs required to support this new offshore wind capacity has been estimated by considering Static Var Compensators specifically (the most commonly used kind of DRCE, as defined in Annex 6).</w:t>
      </w:r>
    </w:p>
    <w:p w:rsidR="003D548B" w:rsidRDefault="0086023A" w14:paraId="32FEDBB7" w14:textId="666C630E">
      <w:pPr>
        <w:pStyle w:val="BodyText"/>
        <w:spacing w:before="243"/>
        <w:rPr>
          <w:sz w:val="20"/>
        </w:rPr>
      </w:pPr>
      <w:r>
        <w:rPr>
          <w:noProof/>
        </w:rPr>
        <mc:AlternateContent>
          <mc:Choice Requires="wps">
            <w:drawing>
              <wp:anchor distT="0" distB="0" distL="0" distR="0" simplePos="0" relativeHeight="251659264" behindDoc="1" locked="0" layoutInCell="1" allowOverlap="1" wp14:anchorId="32FEDC63" wp14:editId="32FEDC64">
                <wp:simplePos x="0" y="0"/>
                <wp:positionH relativeFrom="page">
                  <wp:posOffset>914704</wp:posOffset>
                </wp:positionH>
                <wp:positionV relativeFrom="paragraph">
                  <wp:posOffset>324792</wp:posOffset>
                </wp:positionV>
                <wp:extent cx="1829435"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w14:anchorId="2A3478B4">
              <v:shape id="Graphic 2" style="position:absolute;margin-left:1in;margin-top:25.55pt;width:144.0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4,l,,,9144r1829054,l182905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" w14:anchorId="15953B12">
                <v:path arrowok="t"/>
                <w10:wrap type="topAndBottom" anchorx="page"/>
              </v:shape>
            </w:pict>
          </mc:Fallback>
        </mc:AlternateContent>
      </w:r>
    </w:p>
    <w:p w:rsidR="003D548B" w:rsidRDefault="0086023A" w14:paraId="32FEDBB8" w14:textId="170A2D8B">
      <w:pPr>
        <w:spacing w:before="102"/>
        <w:ind w:left="100"/>
        <w:rPr>
          <w:sz w:val="20"/>
        </w:rPr>
      </w:pPr>
      <w:bookmarkStart w:name="_bookmark0" w:id="1"/>
      <w:bookmarkEnd w:id="1"/>
      <w:r>
        <w:rPr>
          <w:sz w:val="20"/>
          <w:vertAlign w:val="superscript"/>
        </w:rPr>
        <w:t>1</w:t>
      </w:r>
      <w:r>
        <w:rPr>
          <w:spacing w:val="-5"/>
          <w:sz w:val="20"/>
        </w:rPr>
        <w:t xml:space="preserve"> </w:t>
      </w:r>
      <w:r>
        <w:rPr>
          <w:sz w:val="20"/>
        </w:rPr>
        <w:t>Confirmed</w:t>
      </w:r>
      <w:r>
        <w:rPr>
          <w:spacing w:val="-4"/>
          <w:sz w:val="20"/>
        </w:rPr>
        <w:t xml:space="preserve"> </w:t>
      </w:r>
      <w:r>
        <w:rPr>
          <w:sz w:val="20"/>
        </w:rPr>
        <w:t>by</w:t>
      </w:r>
      <w:r>
        <w:rPr>
          <w:spacing w:val="-4"/>
          <w:sz w:val="20"/>
        </w:rPr>
        <w:t xml:space="preserve"> </w:t>
      </w:r>
      <w:r>
        <w:rPr>
          <w:sz w:val="20"/>
        </w:rPr>
        <w:t>ESO</w:t>
      </w:r>
      <w:r>
        <w:rPr>
          <w:spacing w:val="-4"/>
          <w:sz w:val="20"/>
        </w:rPr>
        <w:t xml:space="preserve"> </w:t>
      </w:r>
      <w:r>
        <w:rPr>
          <w:sz w:val="20"/>
        </w:rPr>
        <w:t>Revenue</w:t>
      </w:r>
      <w:r>
        <w:rPr>
          <w:spacing w:val="-5"/>
          <w:sz w:val="20"/>
        </w:rPr>
        <w:t xml:space="preserve"> </w:t>
      </w:r>
      <w:r>
        <w:rPr>
          <w:sz w:val="20"/>
        </w:rPr>
        <w:t>Team</w:t>
      </w:r>
      <w:r>
        <w:rPr>
          <w:spacing w:val="-5"/>
          <w:sz w:val="20"/>
        </w:rPr>
        <w:t xml:space="preserve"> </w:t>
      </w:r>
      <w:r>
        <w:rPr>
          <w:sz w:val="20"/>
        </w:rPr>
        <w:t>in</w:t>
      </w:r>
      <w:r>
        <w:rPr>
          <w:spacing w:val="-4"/>
          <w:sz w:val="20"/>
        </w:rPr>
        <w:t xml:space="preserve"> </w:t>
      </w:r>
      <w:r>
        <w:rPr>
          <w:sz w:val="20"/>
        </w:rPr>
        <w:t>email</w:t>
      </w:r>
      <w:r>
        <w:rPr>
          <w:spacing w:val="-3"/>
          <w:sz w:val="20"/>
        </w:rPr>
        <w:t xml:space="preserve"> </w:t>
      </w:r>
      <w:r>
        <w:rPr>
          <w:sz w:val="20"/>
        </w:rPr>
        <w:t>to</w:t>
      </w:r>
      <w:r>
        <w:rPr>
          <w:spacing w:val="-2"/>
          <w:sz w:val="20"/>
        </w:rPr>
        <w:t xml:space="preserve"> </w:t>
      </w:r>
      <w:r>
        <w:rPr>
          <w:sz w:val="20"/>
        </w:rPr>
        <w:t>CMP</w:t>
      </w:r>
      <w:r>
        <w:rPr>
          <w:spacing w:val="-4"/>
          <w:sz w:val="20"/>
        </w:rPr>
        <w:t xml:space="preserve"> </w:t>
      </w:r>
      <w:r>
        <w:rPr>
          <w:sz w:val="20"/>
        </w:rPr>
        <w:t>418</w:t>
      </w:r>
      <w:r>
        <w:rPr>
          <w:spacing w:val="-4"/>
          <w:sz w:val="20"/>
        </w:rPr>
        <w:t xml:space="preserve"> </w:t>
      </w:r>
      <w:r>
        <w:rPr>
          <w:sz w:val="20"/>
        </w:rPr>
        <w:t>WG,</w:t>
      </w:r>
      <w:r>
        <w:rPr>
          <w:spacing w:val="-2"/>
          <w:sz w:val="20"/>
        </w:rPr>
        <w:t xml:space="preserve"> </w:t>
      </w:r>
      <w:r>
        <w:rPr>
          <w:sz w:val="20"/>
        </w:rPr>
        <w:t>available</w:t>
      </w:r>
      <w:r>
        <w:rPr>
          <w:spacing w:val="-6"/>
          <w:sz w:val="20"/>
        </w:rPr>
        <w:t xml:space="preserve"> </w:t>
      </w:r>
      <w:r>
        <w:rPr>
          <w:sz w:val="20"/>
        </w:rPr>
        <w:t>upon</w:t>
      </w:r>
      <w:r>
        <w:rPr>
          <w:spacing w:val="-4"/>
          <w:sz w:val="20"/>
        </w:rPr>
        <w:t xml:space="preserve"> </w:t>
      </w:r>
      <w:r>
        <w:rPr>
          <w:spacing w:val="-2"/>
          <w:sz w:val="20"/>
        </w:rPr>
        <w:t>request</w:t>
      </w:r>
      <w:r w:rsidR="00925F91">
        <w:rPr>
          <w:spacing w:val="-2"/>
          <w:sz w:val="20"/>
        </w:rPr>
        <w:t xml:space="preserve">. </w:t>
      </w:r>
      <w:r w:rsidRPr="00925F91" w:rsidR="00925F91">
        <w:rPr>
          <w:spacing w:val="-2"/>
          <w:sz w:val="20"/>
        </w:rPr>
        <w:t>NESO guidance note on the identification of PARC can be found at download</w:t>
      </w:r>
    </w:p>
    <w:p w:rsidR="003D548B" w:rsidRDefault="0086023A" w14:paraId="32FEDBB9" w14:textId="55ACF8CF">
      <w:pPr>
        <w:spacing w:before="1"/>
        <w:ind w:left="100"/>
        <w:rPr>
          <w:sz w:val="20"/>
        </w:rPr>
      </w:pPr>
      <w:bookmarkStart w:name="_bookmark1" w:id="2"/>
      <w:bookmarkEnd w:id="2"/>
      <w:r>
        <w:rPr>
          <w:sz w:val="20"/>
          <w:vertAlign w:val="superscript"/>
        </w:rPr>
        <w:t>2</w:t>
      </w:r>
      <w:r>
        <w:rPr>
          <w:spacing w:val="-8"/>
          <w:sz w:val="20"/>
        </w:rPr>
        <w:t xml:space="preserve"> </w:t>
      </w:r>
      <w:r w:rsidRPr="005D3261" w:rsidR="005D3261">
        <w:rPr>
          <w:spacing w:val="-8"/>
          <w:sz w:val="20"/>
        </w:rPr>
        <w:t>Clean Power Action Plan announced on 13 December 2024</w:t>
      </w:r>
    </w:p>
    <w:p w:rsidR="003D548B" w:rsidRDefault="0086023A" w14:paraId="32FEDBBA" w14:textId="77777777">
      <w:pPr>
        <w:spacing w:line="243" w:lineRule="exact"/>
        <w:ind w:left="100"/>
        <w:rPr>
          <w:sz w:val="20"/>
        </w:rPr>
      </w:pPr>
      <w:bookmarkStart w:name="_bookmark2" w:id="3"/>
      <w:bookmarkEnd w:id="3"/>
      <w:r>
        <w:rPr>
          <w:sz w:val="20"/>
          <w:vertAlign w:val="superscript"/>
        </w:rPr>
        <w:t>3</w:t>
      </w:r>
      <w:r>
        <w:rPr>
          <w:spacing w:val="-6"/>
          <w:sz w:val="20"/>
        </w:rPr>
        <w:t xml:space="preserve"> </w:t>
      </w:r>
      <w:r>
        <w:rPr>
          <w:sz w:val="20"/>
        </w:rPr>
        <w:t>Climate</w:t>
      </w:r>
      <w:r>
        <w:rPr>
          <w:spacing w:val="-4"/>
          <w:sz w:val="20"/>
        </w:rPr>
        <w:t xml:space="preserve"> </w:t>
      </w:r>
      <w:r>
        <w:rPr>
          <w:sz w:val="20"/>
        </w:rPr>
        <w:t>Change</w:t>
      </w:r>
      <w:r>
        <w:rPr>
          <w:spacing w:val="-6"/>
          <w:sz w:val="20"/>
        </w:rPr>
        <w:t xml:space="preserve"> </w:t>
      </w:r>
      <w:r>
        <w:rPr>
          <w:sz w:val="20"/>
        </w:rPr>
        <w:t>Committee</w:t>
      </w:r>
      <w:r>
        <w:rPr>
          <w:spacing w:val="-6"/>
          <w:sz w:val="20"/>
        </w:rPr>
        <w:t xml:space="preserve"> </w:t>
      </w:r>
      <w:r>
        <w:rPr>
          <w:sz w:val="20"/>
        </w:rPr>
        <w:t>(2020),</w:t>
      </w:r>
      <w:r>
        <w:rPr>
          <w:spacing w:val="-5"/>
          <w:sz w:val="20"/>
        </w:rPr>
        <w:t xml:space="preserve"> </w:t>
      </w:r>
      <w:r>
        <w:rPr>
          <w:sz w:val="20"/>
        </w:rPr>
        <w:t>‘The</w:t>
      </w:r>
      <w:r>
        <w:rPr>
          <w:spacing w:val="-5"/>
          <w:sz w:val="20"/>
        </w:rPr>
        <w:t xml:space="preserve"> </w:t>
      </w:r>
      <w:r>
        <w:rPr>
          <w:sz w:val="20"/>
        </w:rPr>
        <w:t>Sixth</w:t>
      </w:r>
      <w:r>
        <w:rPr>
          <w:spacing w:val="-5"/>
          <w:sz w:val="20"/>
        </w:rPr>
        <w:t xml:space="preserve"> </w:t>
      </w:r>
      <w:r>
        <w:rPr>
          <w:sz w:val="20"/>
        </w:rPr>
        <w:t>Carbon</w:t>
      </w:r>
      <w:r>
        <w:rPr>
          <w:spacing w:val="-5"/>
          <w:sz w:val="20"/>
        </w:rPr>
        <w:t xml:space="preserve"> </w:t>
      </w:r>
      <w:r>
        <w:rPr>
          <w:sz w:val="20"/>
        </w:rPr>
        <w:t>Budget:</w:t>
      </w:r>
      <w:r>
        <w:rPr>
          <w:spacing w:val="-5"/>
          <w:sz w:val="20"/>
        </w:rPr>
        <w:t xml:space="preserve"> </w:t>
      </w:r>
      <w:r>
        <w:rPr>
          <w:sz w:val="20"/>
        </w:rPr>
        <w:t>The</w:t>
      </w:r>
      <w:r>
        <w:rPr>
          <w:spacing w:val="-3"/>
          <w:sz w:val="20"/>
        </w:rPr>
        <w:t xml:space="preserve"> </w:t>
      </w:r>
      <w:r>
        <w:rPr>
          <w:sz w:val="20"/>
        </w:rPr>
        <w:t>UK’s</w:t>
      </w:r>
      <w:r>
        <w:rPr>
          <w:spacing w:val="-4"/>
          <w:sz w:val="20"/>
        </w:rPr>
        <w:t xml:space="preserve"> </w:t>
      </w:r>
      <w:r>
        <w:rPr>
          <w:sz w:val="20"/>
        </w:rPr>
        <w:t>path</w:t>
      </w:r>
      <w:r>
        <w:rPr>
          <w:spacing w:val="-5"/>
          <w:sz w:val="20"/>
        </w:rPr>
        <w:t xml:space="preserve"> </w:t>
      </w:r>
      <w:r>
        <w:rPr>
          <w:sz w:val="20"/>
        </w:rPr>
        <w:t>to</w:t>
      </w:r>
      <w:r>
        <w:rPr>
          <w:spacing w:val="-4"/>
          <w:sz w:val="20"/>
        </w:rPr>
        <w:t xml:space="preserve"> </w:t>
      </w:r>
      <w:r>
        <w:rPr>
          <w:sz w:val="20"/>
        </w:rPr>
        <w:t>Net</w:t>
      </w:r>
      <w:r>
        <w:rPr>
          <w:spacing w:val="-5"/>
          <w:sz w:val="20"/>
        </w:rPr>
        <w:t xml:space="preserve"> </w:t>
      </w:r>
      <w:r>
        <w:rPr>
          <w:spacing w:val="-2"/>
          <w:sz w:val="20"/>
        </w:rPr>
        <w:t>Zero’</w:t>
      </w:r>
    </w:p>
    <w:p w:rsidR="003D548B" w:rsidRDefault="0086023A" w14:paraId="32FEDBBB" w14:textId="67D20738">
      <w:pPr>
        <w:spacing w:line="243" w:lineRule="exact"/>
        <w:ind w:left="100"/>
        <w:rPr>
          <w:sz w:val="20"/>
        </w:rPr>
      </w:pPr>
      <w:bookmarkStart w:name="_bookmark3" w:id="4"/>
      <w:bookmarkEnd w:id="4"/>
      <w:r>
        <w:rPr>
          <w:sz w:val="20"/>
          <w:vertAlign w:val="superscript"/>
        </w:rPr>
        <w:t>4</w:t>
      </w:r>
      <w:r>
        <w:rPr>
          <w:spacing w:val="-8"/>
          <w:sz w:val="20"/>
        </w:rPr>
        <w:t xml:space="preserve"> </w:t>
      </w:r>
      <w:r>
        <w:rPr>
          <w:sz w:val="20"/>
        </w:rPr>
        <w:t>Wind</w:t>
      </w:r>
      <w:r>
        <w:rPr>
          <w:spacing w:val="-6"/>
          <w:sz w:val="20"/>
        </w:rPr>
        <w:t xml:space="preserve"> </w:t>
      </w:r>
      <w:r>
        <w:rPr>
          <w:sz w:val="20"/>
        </w:rPr>
        <w:t>Energy</w:t>
      </w:r>
      <w:r>
        <w:rPr>
          <w:spacing w:val="-7"/>
          <w:sz w:val="20"/>
        </w:rPr>
        <w:t xml:space="preserve"> </w:t>
      </w:r>
      <w:r>
        <w:rPr>
          <w:sz w:val="20"/>
        </w:rPr>
        <w:t>Statistic,</w:t>
      </w:r>
      <w:r>
        <w:rPr>
          <w:spacing w:val="-6"/>
          <w:sz w:val="20"/>
        </w:rPr>
        <w:t xml:space="preserve"> </w:t>
      </w:r>
      <w:r w:rsidR="003A1B64">
        <w:rPr>
          <w:sz w:val="20"/>
        </w:rPr>
        <w:t>R</w:t>
      </w:r>
      <w:r>
        <w:rPr>
          <w:sz w:val="20"/>
        </w:rPr>
        <w:t>enewable</w:t>
      </w:r>
      <w:r>
        <w:rPr>
          <w:spacing w:val="-9"/>
          <w:sz w:val="20"/>
        </w:rPr>
        <w:t xml:space="preserve"> </w:t>
      </w:r>
      <w:r>
        <w:rPr>
          <w:spacing w:val="-5"/>
          <w:sz w:val="20"/>
        </w:rPr>
        <w:t>UK</w:t>
      </w:r>
    </w:p>
    <w:p w:rsidR="003D548B" w:rsidRDefault="0086023A" w14:paraId="32FEDBBC" w14:textId="77777777">
      <w:pPr>
        <w:spacing w:before="1"/>
        <w:ind w:left="100"/>
        <w:rPr>
          <w:sz w:val="20"/>
        </w:rPr>
      </w:pPr>
      <w:bookmarkStart w:name="_bookmark4" w:id="5"/>
      <w:bookmarkEnd w:id="5"/>
      <w:r>
        <w:rPr>
          <w:sz w:val="20"/>
          <w:vertAlign w:val="superscript"/>
        </w:rPr>
        <w:t>5</w:t>
      </w:r>
      <w:r>
        <w:rPr>
          <w:spacing w:val="-5"/>
          <w:sz w:val="20"/>
        </w:rPr>
        <w:t xml:space="preserve"> </w:t>
      </w:r>
      <w:r>
        <w:rPr>
          <w:sz w:val="20"/>
        </w:rPr>
        <w:t>ETYS</w:t>
      </w:r>
      <w:r>
        <w:rPr>
          <w:spacing w:val="-5"/>
          <w:sz w:val="20"/>
        </w:rPr>
        <w:t xml:space="preserve"> </w:t>
      </w:r>
      <w:r>
        <w:rPr>
          <w:sz w:val="20"/>
        </w:rPr>
        <w:t>2015</w:t>
      </w:r>
      <w:r>
        <w:rPr>
          <w:spacing w:val="-4"/>
          <w:sz w:val="20"/>
        </w:rPr>
        <w:t xml:space="preserve"> </w:t>
      </w:r>
      <w:r>
        <w:rPr>
          <w:sz w:val="20"/>
        </w:rPr>
        <w:t>-</w:t>
      </w:r>
      <w:r>
        <w:rPr>
          <w:spacing w:val="-4"/>
          <w:sz w:val="20"/>
        </w:rPr>
        <w:t xml:space="preserve"> </w:t>
      </w:r>
      <w:r>
        <w:rPr>
          <w:sz w:val="20"/>
        </w:rPr>
        <w:t>Appendix</w:t>
      </w:r>
      <w:r>
        <w:rPr>
          <w:spacing w:val="-5"/>
          <w:sz w:val="20"/>
        </w:rPr>
        <w:t xml:space="preserve"> </w:t>
      </w:r>
      <w:r>
        <w:rPr>
          <w:sz w:val="20"/>
        </w:rPr>
        <w:t>E,</w:t>
      </w:r>
      <w:r>
        <w:rPr>
          <w:spacing w:val="-4"/>
          <w:sz w:val="20"/>
        </w:rPr>
        <w:t xml:space="preserve"> 2015</w:t>
      </w:r>
    </w:p>
    <w:p w:rsidR="00CD2FD7" w:rsidP="00CD2FD7" w:rsidRDefault="0086023A" w14:paraId="01692D70" w14:textId="77777777">
      <w:pPr>
        <w:spacing w:before="1"/>
        <w:ind w:left="100"/>
        <w:rPr>
          <w:sz w:val="20"/>
        </w:rPr>
      </w:pPr>
      <w:bookmarkStart w:name="_bookmark5" w:id="6"/>
      <w:bookmarkEnd w:id="6"/>
      <w:r>
        <w:rPr>
          <w:sz w:val="20"/>
          <w:vertAlign w:val="superscript"/>
        </w:rPr>
        <w:t>6</w:t>
      </w:r>
      <w:r>
        <w:rPr>
          <w:spacing w:val="-7"/>
          <w:sz w:val="20"/>
        </w:rPr>
        <w:t xml:space="preserve"> </w:t>
      </w:r>
      <w:r>
        <w:rPr>
          <w:sz w:val="20"/>
        </w:rPr>
        <w:t>Bank</w:t>
      </w:r>
      <w:r>
        <w:rPr>
          <w:spacing w:val="-5"/>
          <w:sz w:val="20"/>
        </w:rPr>
        <w:t xml:space="preserve"> </w:t>
      </w:r>
      <w:r>
        <w:rPr>
          <w:sz w:val="20"/>
        </w:rPr>
        <w:t>of</w:t>
      </w:r>
      <w:r>
        <w:rPr>
          <w:spacing w:val="-7"/>
          <w:sz w:val="20"/>
        </w:rPr>
        <w:t xml:space="preserve"> </w:t>
      </w:r>
      <w:r>
        <w:rPr>
          <w:sz w:val="20"/>
        </w:rPr>
        <w:t>England</w:t>
      </w:r>
      <w:r>
        <w:rPr>
          <w:spacing w:val="-6"/>
          <w:sz w:val="20"/>
        </w:rPr>
        <w:t xml:space="preserve"> </w:t>
      </w:r>
      <w:r>
        <w:rPr>
          <w:sz w:val="20"/>
        </w:rPr>
        <w:t>Inflation</w:t>
      </w:r>
      <w:r>
        <w:rPr>
          <w:spacing w:val="-5"/>
          <w:sz w:val="20"/>
        </w:rPr>
        <w:t xml:space="preserve"> </w:t>
      </w:r>
      <w:r>
        <w:rPr>
          <w:spacing w:val="-2"/>
          <w:sz w:val="20"/>
        </w:rPr>
        <w:t>Calculator</w:t>
      </w:r>
    </w:p>
    <w:p w:rsidRPr="00CD2FD7" w:rsidR="008D4DFC" w:rsidP="00CD2FD7" w:rsidRDefault="008D4DFC" w14:paraId="2D366FE2" w14:textId="6172851A">
      <w:pPr>
        <w:spacing w:before="1"/>
        <w:ind w:left="100"/>
        <w:rPr>
          <w:sz w:val="20"/>
        </w:rPr>
      </w:pPr>
      <w:r>
        <w:rPr>
          <w:sz w:val="20"/>
          <w:vertAlign w:val="superscript"/>
        </w:rPr>
        <w:t>7</w:t>
      </w:r>
      <w:r>
        <w:rPr>
          <w:spacing w:val="-7"/>
          <w:sz w:val="20"/>
        </w:rPr>
        <w:t xml:space="preserve"> </w:t>
      </w:r>
      <w:r>
        <w:rPr>
          <w:sz w:val="20"/>
        </w:rPr>
        <w:t>Aurora</w:t>
      </w:r>
      <w:r>
        <w:rPr>
          <w:spacing w:val="-6"/>
          <w:sz w:val="20"/>
        </w:rPr>
        <w:t xml:space="preserve"> </w:t>
      </w:r>
      <w:r>
        <w:rPr>
          <w:sz w:val="20"/>
        </w:rPr>
        <w:t>Energy</w:t>
      </w:r>
      <w:r>
        <w:rPr>
          <w:spacing w:val="-6"/>
          <w:sz w:val="20"/>
        </w:rPr>
        <w:t xml:space="preserve"> </w:t>
      </w:r>
      <w:r>
        <w:rPr>
          <w:sz w:val="20"/>
        </w:rPr>
        <w:t>Research,</w:t>
      </w:r>
      <w:r>
        <w:rPr>
          <w:spacing w:val="-6"/>
          <w:sz w:val="20"/>
        </w:rPr>
        <w:t xml:space="preserve"> </w:t>
      </w:r>
      <w:r>
        <w:rPr>
          <w:sz w:val="20"/>
        </w:rPr>
        <w:t>2022</w:t>
      </w:r>
      <w:r>
        <w:rPr>
          <w:spacing w:val="-7"/>
          <w:sz w:val="20"/>
        </w:rPr>
        <w:t xml:space="preserve"> </w:t>
      </w:r>
      <w:r>
        <w:rPr>
          <w:sz w:val="20"/>
        </w:rPr>
        <w:t>Moray</w:t>
      </w:r>
      <w:r>
        <w:rPr>
          <w:spacing w:val="-6"/>
          <w:sz w:val="20"/>
        </w:rPr>
        <w:t xml:space="preserve"> </w:t>
      </w:r>
      <w:r>
        <w:rPr>
          <w:sz w:val="20"/>
        </w:rPr>
        <w:t>West</w:t>
      </w:r>
      <w:r>
        <w:rPr>
          <w:spacing w:val="-6"/>
          <w:sz w:val="20"/>
        </w:rPr>
        <w:t xml:space="preserve"> </w:t>
      </w:r>
      <w:r>
        <w:rPr>
          <w:sz w:val="20"/>
        </w:rPr>
        <w:t>Report.</w:t>
      </w:r>
      <w:r>
        <w:rPr>
          <w:spacing w:val="-6"/>
          <w:sz w:val="20"/>
        </w:rPr>
        <w:t xml:space="preserve"> </w:t>
      </w:r>
      <w:r>
        <w:rPr>
          <w:sz w:val="20"/>
        </w:rPr>
        <w:t>Available</w:t>
      </w:r>
      <w:r>
        <w:rPr>
          <w:spacing w:val="-8"/>
          <w:sz w:val="20"/>
        </w:rPr>
        <w:t xml:space="preserve"> </w:t>
      </w:r>
      <w:r>
        <w:rPr>
          <w:sz w:val="20"/>
        </w:rPr>
        <w:t>upon</w:t>
      </w:r>
      <w:r>
        <w:rPr>
          <w:spacing w:val="-6"/>
          <w:sz w:val="20"/>
        </w:rPr>
        <w:t xml:space="preserve"> </w:t>
      </w:r>
      <w:r>
        <w:rPr>
          <w:sz w:val="20"/>
        </w:rPr>
        <w:t>request</w:t>
      </w:r>
      <w:r>
        <w:rPr>
          <w:spacing w:val="-6"/>
          <w:sz w:val="20"/>
        </w:rPr>
        <w:t xml:space="preserve"> </w:t>
      </w:r>
      <w:r>
        <w:rPr>
          <w:sz w:val="20"/>
        </w:rPr>
        <w:t>on</w:t>
      </w:r>
      <w:r>
        <w:rPr>
          <w:spacing w:val="-6"/>
          <w:sz w:val="20"/>
        </w:rPr>
        <w:t xml:space="preserve"> </w:t>
      </w:r>
      <w:r>
        <w:rPr>
          <w:sz w:val="20"/>
        </w:rPr>
        <w:t>a</w:t>
      </w:r>
      <w:r>
        <w:rPr>
          <w:spacing w:val="-6"/>
          <w:sz w:val="20"/>
        </w:rPr>
        <w:t xml:space="preserve"> </w:t>
      </w:r>
      <w:r>
        <w:rPr>
          <w:sz w:val="20"/>
        </w:rPr>
        <w:t>confidential</w:t>
      </w:r>
      <w:r>
        <w:rPr>
          <w:spacing w:val="-6"/>
          <w:sz w:val="20"/>
        </w:rPr>
        <w:t xml:space="preserve"> </w:t>
      </w:r>
      <w:r>
        <w:rPr>
          <w:spacing w:val="-2"/>
          <w:sz w:val="20"/>
        </w:rPr>
        <w:t>basis</w:t>
      </w:r>
    </w:p>
    <w:p w:rsidR="008D4DFC" w:rsidRDefault="008D4DFC" w14:paraId="32FEDBBE" w14:textId="77777777">
      <w:pPr>
        <w:rPr>
          <w:sz w:val="20"/>
        </w:rPr>
        <w:sectPr w:rsidR="008D4DFC">
          <w:type w:val="continuous"/>
          <w:pgSz w:w="11910" w:h="16840" w:orient="portrait"/>
          <w:pgMar w:top="1640" w:right="1320" w:bottom="280" w:left="1340" w:header="720" w:footer="720" w:gutter="0"/>
          <w:cols w:space="720"/>
        </w:sectPr>
      </w:pPr>
    </w:p>
    <w:p w:rsidRPr="00851104" w:rsidR="009F535F" w:rsidP="009F535F" w:rsidRDefault="009F535F" w14:paraId="5E10B1F6" w14:textId="0A2926E4">
      <w:pPr>
        <w:pStyle w:val="BodyText"/>
        <w:spacing w:before="243"/>
        <w:rPr>
          <w:b/>
          <w:bCs/>
        </w:rPr>
      </w:pPr>
      <w:r w:rsidRPr="00851104">
        <w:rPr>
          <w:b/>
          <w:bCs/>
        </w:rPr>
        <w:t>SVC Cost Estimates</w:t>
      </w:r>
    </w:p>
    <w:p w:rsidR="00EB5287" w:rsidP="009F535F" w:rsidRDefault="009F535F" w14:paraId="717C5265" w14:textId="77777777">
      <w:pPr>
        <w:pStyle w:val="BodyText"/>
        <w:numPr>
          <w:ilvl w:val="0"/>
          <w:numId w:val="4"/>
        </w:numPr>
        <w:spacing w:before="243"/>
      </w:pPr>
      <w:bookmarkStart w:name="_Hlk188883060" w:id="7"/>
      <w:r w:rsidRPr="00851104">
        <w:t xml:space="preserve">Each SVC (100 MVar) costs approximately </w:t>
      </w:r>
      <w:r w:rsidRPr="00851104">
        <w:rPr>
          <w:b/>
          <w:bCs/>
        </w:rPr>
        <w:t>£17.9 million</w:t>
      </w:r>
      <w:r w:rsidRPr="00851104">
        <w:t xml:space="preserve"> and can support </w:t>
      </w:r>
      <w:r w:rsidRPr="00851104">
        <w:rPr>
          <w:b/>
          <w:bCs/>
        </w:rPr>
        <w:t>300 MW</w:t>
      </w:r>
      <w:r w:rsidRPr="00851104">
        <w:t xml:space="preserve"> of offshore wind capacity. This corresponds to a cost of </w:t>
      </w:r>
      <w:r w:rsidRPr="00851104">
        <w:rPr>
          <w:b/>
          <w:bCs/>
        </w:rPr>
        <w:t>£59,667 per MW</w:t>
      </w:r>
      <w:r w:rsidRPr="00851104">
        <w:t>.</w:t>
      </w:r>
    </w:p>
    <w:p w:rsidR="00EB5287" w:rsidP="009F535F" w:rsidRDefault="00EB5287" w14:paraId="392FEB39" w14:textId="745F468E">
      <w:pPr>
        <w:pStyle w:val="BodyText"/>
        <w:numPr>
          <w:ilvl w:val="0"/>
          <w:numId w:val="4"/>
        </w:numPr>
        <w:spacing w:before="243"/>
      </w:pPr>
      <w:r w:rsidRPr="00EB5287">
        <w:t xml:space="preserve">This cost estimate is based on mid-range figures from </w:t>
      </w:r>
      <w:r w:rsidRPr="00EB5287">
        <w:rPr>
          <w:b/>
          <w:bCs/>
        </w:rPr>
        <w:t xml:space="preserve">ETYS 2015 </w:t>
      </w:r>
      <w:r w:rsidRPr="00EB5287">
        <w:t>and adjusted for inflation to pre-COVID 2020 prices.</w:t>
      </w:r>
    </w:p>
    <w:p w:rsidR="00AE1639" w:rsidP="00025AC2" w:rsidRDefault="00AE1639" w14:paraId="351BC8A4" w14:textId="77777777">
      <w:pPr>
        <w:pStyle w:val="BodyText"/>
        <w:spacing w:before="41" w:line="252" w:lineRule="auto"/>
      </w:pPr>
    </w:p>
    <w:p w:rsidRPr="008133E3" w:rsidR="00025AC2" w:rsidP="008133E3" w:rsidRDefault="008133E3" w14:paraId="1C512DAC" w14:textId="3E897AF7">
      <w:pPr>
        <w:pStyle w:val="BodyText"/>
        <w:spacing w:before="243"/>
        <w:rPr>
          <w:b/>
          <w:bCs/>
        </w:rPr>
      </w:pPr>
      <w:r w:rsidRPr="008133E3">
        <w:rPr>
          <w:b/>
          <w:bCs/>
        </w:rPr>
        <w:t>Using TRS/FTV Ratio to Calculate SVC Share of OFTO Revenue</w:t>
      </w:r>
    </w:p>
    <w:p w:rsidR="008133E3" w:rsidP="00025AC2" w:rsidRDefault="008133E3" w14:paraId="7D136C76" w14:textId="77777777">
      <w:pPr>
        <w:pStyle w:val="BodyText"/>
        <w:spacing w:before="41" w:line="252" w:lineRule="auto"/>
      </w:pPr>
    </w:p>
    <w:p w:rsidR="00025AC2" w:rsidP="008133E3" w:rsidRDefault="00DB715B" w14:paraId="1D070AEE" w14:textId="00F84F52">
      <w:pPr>
        <w:pStyle w:val="BodyText"/>
        <w:spacing w:before="41" w:line="252" w:lineRule="auto"/>
        <w:rPr>
          <w:spacing w:val="22"/>
        </w:rPr>
      </w:pPr>
      <w:r w:rsidRPr="008133E3">
        <w:t>To</w:t>
      </w:r>
      <w:r w:rsidRPr="008133E3" w:rsidR="00025AC2">
        <w:t xml:space="preserve"> calculate the amount that would</w:t>
      </w:r>
      <w:r w:rsidRPr="008133E3" w:rsidR="00025AC2">
        <w:rPr>
          <w:spacing w:val="-1"/>
        </w:rPr>
        <w:t xml:space="preserve"> </w:t>
      </w:r>
      <w:r w:rsidRPr="008133E3" w:rsidR="00025AC2">
        <w:t>need to be recovered from TDR, the TRS/Final Transfer Value (FTV) ratio was used to derive the TRS impact. The TRS/FTV ratio is a useful figure to compare the annual amount paid to OFTOs relative to the total offshore transmission CAPEX across Projects, and it helps us calculate the amount of SVC that falls into the circuit tariff compared to the total</w:t>
      </w:r>
      <w:r w:rsidR="00C33465">
        <w:t xml:space="preserve"> TNUoS</w:t>
      </w:r>
      <w:r w:rsidRPr="008133E3" w:rsidR="00025AC2">
        <w:t xml:space="preserve"> value paid to the OFTOs.</w:t>
      </w:r>
    </w:p>
    <w:p w:rsidR="00025AC2" w:rsidRDefault="00025AC2" w14:paraId="1EABB0A6" w14:textId="77777777">
      <w:pPr>
        <w:pStyle w:val="BodyText"/>
        <w:spacing w:before="41" w:line="252" w:lineRule="auto"/>
        <w:ind w:left="100"/>
        <w:rPr>
          <w:spacing w:val="22"/>
        </w:rPr>
      </w:pPr>
    </w:p>
    <w:p w:rsidRPr="007F28AC" w:rsidR="007F28AC" w:rsidP="007F28AC" w:rsidRDefault="007F28AC" w14:paraId="35A201E6" w14:textId="77777777">
      <w:pPr>
        <w:pStyle w:val="BodyText"/>
        <w:numPr>
          <w:ilvl w:val="0"/>
          <w:numId w:val="1"/>
        </w:numPr>
        <w:spacing w:before="41" w:line="252" w:lineRule="auto"/>
      </w:pPr>
      <w:r w:rsidRPr="007F28AC">
        <w:rPr>
          <w:b/>
          <w:bCs/>
        </w:rPr>
        <w:t>TRS (Tender Revenue Stream):</w:t>
      </w:r>
    </w:p>
    <w:p w:rsidRPr="007F28AC" w:rsidR="007F28AC" w:rsidP="007F28AC" w:rsidRDefault="007F28AC" w14:paraId="232F9A8A" w14:textId="0AE3EA45">
      <w:pPr>
        <w:pStyle w:val="BodyText"/>
        <w:numPr>
          <w:ilvl w:val="1"/>
          <w:numId w:val="1"/>
        </w:numPr>
        <w:spacing w:before="41" w:line="252" w:lineRule="auto"/>
      </w:pPr>
      <w:r w:rsidRPr="007F28AC">
        <w:t>The revenue that an OFTO bidder proposes to collect annually over the operational period</w:t>
      </w:r>
      <w:r w:rsidR="006A148C">
        <w:t>.</w:t>
      </w:r>
    </w:p>
    <w:p w:rsidRPr="007F28AC" w:rsidR="007F28AC" w:rsidP="007F28AC" w:rsidRDefault="007F28AC" w14:paraId="74486CA2" w14:textId="77777777">
      <w:pPr>
        <w:pStyle w:val="BodyText"/>
        <w:numPr>
          <w:ilvl w:val="1"/>
          <w:numId w:val="1"/>
        </w:numPr>
        <w:spacing w:before="41" w:line="252" w:lineRule="auto"/>
      </w:pPr>
      <w:r w:rsidRPr="007F28AC">
        <w:t>This is determined through a competitive tender process and represents the cost to the system for the OFTO’s ownership and operation of the transmission assets.</w:t>
      </w:r>
    </w:p>
    <w:p w:rsidRPr="007F28AC" w:rsidR="007F28AC" w:rsidP="007F28AC" w:rsidRDefault="007F28AC" w14:paraId="197C6E27" w14:textId="77777777">
      <w:pPr>
        <w:pStyle w:val="BodyText"/>
        <w:numPr>
          <w:ilvl w:val="0"/>
          <w:numId w:val="1"/>
        </w:numPr>
        <w:spacing w:before="41" w:line="252" w:lineRule="auto"/>
      </w:pPr>
      <w:r w:rsidRPr="007F28AC">
        <w:rPr>
          <w:b/>
          <w:bCs/>
        </w:rPr>
        <w:t>FTV (Final Transfer Value):</w:t>
      </w:r>
    </w:p>
    <w:p w:rsidRPr="007F28AC" w:rsidR="007F28AC" w:rsidP="007F28AC" w:rsidRDefault="007F28AC" w14:paraId="559A85D7" w14:textId="77777777">
      <w:pPr>
        <w:pStyle w:val="BodyText"/>
        <w:numPr>
          <w:ilvl w:val="1"/>
          <w:numId w:val="1"/>
        </w:numPr>
        <w:spacing w:before="41" w:line="252" w:lineRule="auto"/>
      </w:pPr>
      <w:r w:rsidRPr="007F28AC">
        <w:t>The agreed-upon cost or valuation of the transmission assets being transferred to the OFTO from the developer.</w:t>
      </w:r>
    </w:p>
    <w:p w:rsidRPr="007F28AC" w:rsidR="007F28AC" w:rsidP="007F28AC" w:rsidRDefault="007F28AC" w14:paraId="240D615F" w14:textId="78F32089">
      <w:pPr>
        <w:pStyle w:val="BodyText"/>
        <w:numPr>
          <w:ilvl w:val="1"/>
          <w:numId w:val="1"/>
        </w:numPr>
        <w:spacing w:before="41" w:line="252" w:lineRule="auto"/>
      </w:pPr>
      <w:r w:rsidRPr="007F28AC">
        <w:t>This value is determined by Ofgem based on the efficient costs incurred during the development and construction of the transmission assets.</w:t>
      </w:r>
    </w:p>
    <w:p w:rsidR="008133E3" w:rsidP="007F28AC" w:rsidRDefault="007F28AC" w14:paraId="56B7AD7F" w14:textId="77777777">
      <w:pPr>
        <w:pStyle w:val="BodyText"/>
        <w:numPr>
          <w:ilvl w:val="0"/>
          <w:numId w:val="1"/>
        </w:numPr>
        <w:spacing w:before="41" w:line="252" w:lineRule="auto"/>
        <w:rPr>
          <w:b/>
          <w:bCs/>
        </w:rPr>
      </w:pPr>
      <w:r w:rsidRPr="007F28AC">
        <w:rPr>
          <w:b/>
          <w:bCs/>
        </w:rPr>
        <w:t>The TRS/FTV Ratio:</w:t>
      </w:r>
      <w:r>
        <w:rPr>
          <w:b/>
          <w:bCs/>
        </w:rPr>
        <w:t xml:space="preserve"> </w:t>
      </w:r>
    </w:p>
    <w:p w:rsidR="00BA10E4" w:rsidP="008133E3" w:rsidRDefault="00BA10E4" w14:paraId="49A464CD" w14:textId="3230603C">
      <w:pPr>
        <w:pStyle w:val="BodyText"/>
        <w:numPr>
          <w:ilvl w:val="1"/>
          <w:numId w:val="1"/>
        </w:numPr>
        <w:spacing w:before="41" w:line="252" w:lineRule="auto"/>
      </w:pPr>
      <w:r w:rsidRPr="008133E3">
        <w:t xml:space="preserve">The TRS/FTV ratio is a useful figure to compare the annual amount paid to OFTOs relative to the total offshore transmission CAPEX across Projects, and it helps us calculate the amount of SVC that falls into the circuit tariff compared to the total </w:t>
      </w:r>
      <w:r w:rsidR="00673B40">
        <w:t xml:space="preserve">TNUoS </w:t>
      </w:r>
      <w:r w:rsidRPr="008133E3">
        <w:t>value paid to the OFTOs.</w:t>
      </w:r>
    </w:p>
    <w:p w:rsidR="008133E3" w:rsidP="008133E3" w:rsidRDefault="007F28AC" w14:paraId="72B46059" w14:textId="769B94B2">
      <w:pPr>
        <w:pStyle w:val="BodyText"/>
        <w:numPr>
          <w:ilvl w:val="1"/>
          <w:numId w:val="1"/>
        </w:numPr>
        <w:spacing w:before="41" w:line="252" w:lineRule="auto"/>
      </w:pPr>
      <w:r w:rsidRPr="007F28AC">
        <w:t xml:space="preserve">The TRS/FTV ratio measures the relationship between the annual revenue requested by the OFTO (TRS) and the total cost of the assets being transferred (FTV). </w:t>
      </w:r>
    </w:p>
    <w:p w:rsidR="003D548B" w:rsidP="008133E3" w:rsidRDefault="0086023A" w14:paraId="32FEDBBF" w14:textId="54C3B2EF">
      <w:pPr>
        <w:pStyle w:val="BodyText"/>
        <w:numPr>
          <w:ilvl w:val="1"/>
          <w:numId w:val="1"/>
        </w:numPr>
        <w:spacing w:before="41" w:line="252" w:lineRule="auto"/>
      </w:pPr>
      <w:r>
        <w:t>An</w:t>
      </w:r>
      <w:r w:rsidRPr="008133E3">
        <w:rPr>
          <w:spacing w:val="21"/>
        </w:rPr>
        <w:t xml:space="preserve"> </w:t>
      </w:r>
      <w:r>
        <w:t>analysis</w:t>
      </w:r>
      <w:r w:rsidRPr="008133E3">
        <w:rPr>
          <w:spacing w:val="20"/>
        </w:rPr>
        <w:t xml:space="preserve"> </w:t>
      </w:r>
      <w:r>
        <w:t>of</w:t>
      </w:r>
      <w:r w:rsidRPr="008133E3">
        <w:rPr>
          <w:spacing w:val="22"/>
        </w:rPr>
        <w:t xml:space="preserve"> </w:t>
      </w:r>
      <w:r>
        <w:t>all</w:t>
      </w:r>
      <w:r w:rsidRPr="008133E3">
        <w:rPr>
          <w:spacing w:val="19"/>
        </w:rPr>
        <w:t xml:space="preserve"> </w:t>
      </w:r>
      <w:r>
        <w:t>TRS</w:t>
      </w:r>
      <w:r w:rsidRPr="008133E3">
        <w:rPr>
          <w:spacing w:val="22"/>
        </w:rPr>
        <w:t xml:space="preserve"> </w:t>
      </w:r>
      <w:r>
        <w:t>data</w:t>
      </w:r>
      <w:r w:rsidRPr="008133E3">
        <w:rPr>
          <w:spacing w:val="22"/>
        </w:rPr>
        <w:t xml:space="preserve"> </w:t>
      </w:r>
      <w:r>
        <w:t>available</w:t>
      </w:r>
      <w:r w:rsidRPr="008133E3">
        <w:rPr>
          <w:spacing w:val="22"/>
        </w:rPr>
        <w:t xml:space="preserve"> </w:t>
      </w:r>
      <w:r>
        <w:t>for</w:t>
      </w:r>
      <w:r w:rsidRPr="008133E3">
        <w:rPr>
          <w:spacing w:val="22"/>
        </w:rPr>
        <w:t xml:space="preserve"> </w:t>
      </w:r>
      <w:r>
        <w:t>wind</w:t>
      </w:r>
      <w:r w:rsidRPr="008133E3">
        <w:rPr>
          <w:spacing w:val="21"/>
        </w:rPr>
        <w:t xml:space="preserve"> </w:t>
      </w:r>
      <w:r>
        <w:t>OFTOs</w:t>
      </w:r>
      <w:r w:rsidRPr="008133E3">
        <w:rPr>
          <w:spacing w:val="22"/>
        </w:rPr>
        <w:t xml:space="preserve"> </w:t>
      </w:r>
      <w:r>
        <w:t>between</w:t>
      </w:r>
      <w:r w:rsidRPr="008133E3">
        <w:rPr>
          <w:spacing w:val="22"/>
        </w:rPr>
        <w:t xml:space="preserve"> </w:t>
      </w:r>
      <w:r>
        <w:t>2011</w:t>
      </w:r>
      <w:r w:rsidRPr="008133E3">
        <w:rPr>
          <w:spacing w:val="22"/>
        </w:rPr>
        <w:t xml:space="preserve"> </w:t>
      </w:r>
      <w:r>
        <w:t>and</w:t>
      </w:r>
      <w:r w:rsidRPr="008133E3">
        <w:rPr>
          <w:spacing w:val="21"/>
        </w:rPr>
        <w:t xml:space="preserve"> </w:t>
      </w:r>
      <w:r>
        <w:t>2021</w:t>
      </w:r>
      <w:r w:rsidRPr="008133E3">
        <w:rPr>
          <w:spacing w:val="22"/>
        </w:rPr>
        <w:t xml:space="preserve"> </w:t>
      </w:r>
      <w:r>
        <w:t>indicates</w:t>
      </w:r>
      <w:r w:rsidRPr="008133E3">
        <w:rPr>
          <w:spacing w:val="22"/>
        </w:rPr>
        <w:t xml:space="preserve"> </w:t>
      </w:r>
      <w:r>
        <w:t>a stabilisation of TRS/FTV ratio at 4% from Tender Round 6 onwards</w:t>
      </w:r>
      <w:hyperlink w:history="1" w:anchor="_bookmark6">
        <w:r w:rsidRPr="008133E3" w:rsidR="003D548B">
          <w:rPr>
            <w:vertAlign w:val="superscript"/>
          </w:rPr>
          <w:t>7</w:t>
        </w:r>
        <w:r w:rsidR="003D548B">
          <w:t>.</w:t>
        </w:r>
      </w:hyperlink>
    </w:p>
    <w:bookmarkEnd w:id="7"/>
    <w:p w:rsidR="008133E3" w:rsidP="008133E3" w:rsidRDefault="008133E3" w14:paraId="37AB0F72" w14:textId="77777777">
      <w:pPr>
        <w:pStyle w:val="BodyText"/>
        <w:spacing w:before="41" w:line="252" w:lineRule="auto"/>
        <w:ind w:left="1440"/>
      </w:pPr>
    </w:p>
    <w:p w:rsidR="003D548B" w:rsidRDefault="003D548B" w14:paraId="0D2EF684" w14:textId="77777777">
      <w:pPr>
        <w:spacing w:line="252" w:lineRule="auto"/>
      </w:pPr>
    </w:p>
    <w:p w:rsidR="008133E3" w:rsidP="005B1D27" w:rsidRDefault="008133E3" w14:paraId="0D2D6393" w14:textId="46CE7B9E">
      <w:pPr>
        <w:sectPr w:rsidR="008133E3">
          <w:pgSz w:w="11910" w:h="16840" w:orient="portrait"/>
          <w:pgMar w:top="1380" w:right="1320" w:bottom="280" w:left="1340" w:header="720" w:footer="720" w:gutter="0"/>
          <w:cols w:space="720"/>
        </w:sectPr>
      </w:pPr>
    </w:p>
    <w:p w:rsidR="003D548B" w:rsidRDefault="0086023A" w14:paraId="32FEDBC1" w14:textId="77777777">
      <w:pPr>
        <w:spacing w:before="257"/>
        <w:ind w:left="1696"/>
        <w:rPr>
          <w:rFonts w:ascii="Cambria Math" w:eastAsia="Cambria Math"/>
        </w:rPr>
      </w:pPr>
      <w:bookmarkStart w:name="_Hlk188883112" w:id="8"/>
      <w:bookmarkStart w:name="_Hlk188882989" w:id="9"/>
      <w:r>
        <w:rPr>
          <w:rFonts w:ascii="Cambria Math" w:eastAsia="Cambria Math"/>
        </w:rPr>
        <w:t>𝑇𝑅𝑆</w:t>
      </w:r>
      <w:r>
        <w:rPr>
          <w:rFonts w:ascii="Cambria Math" w:eastAsia="Cambria Math"/>
          <w:spacing w:val="-1"/>
        </w:rPr>
        <w:t xml:space="preserve"> </w:t>
      </w:r>
      <w:r>
        <w:rPr>
          <w:rFonts w:ascii="Cambria Math" w:eastAsia="Cambria Math"/>
        </w:rPr>
        <w:t>𝐼𝑚𝑝𝑎𝑐𝑡</w:t>
      </w:r>
      <w:r>
        <w:rPr>
          <w:rFonts w:ascii="Cambria Math" w:eastAsia="Cambria Math"/>
          <w:spacing w:val="63"/>
        </w:rPr>
        <w:t xml:space="preserve"> </w:t>
      </w:r>
      <w:r>
        <w:rPr>
          <w:rFonts w:ascii="Cambria Math" w:eastAsia="Cambria Math"/>
          <w:spacing w:val="-10"/>
        </w:rPr>
        <w:t>=</w:t>
      </w:r>
    </w:p>
    <w:p w:rsidR="003D548B" w:rsidRDefault="0086023A" w14:paraId="32FEDBC2" w14:textId="77777777">
      <w:pPr>
        <w:spacing w:before="89"/>
        <w:ind w:left="30"/>
        <w:rPr>
          <w:rFonts w:ascii="Cambria Math" w:eastAsia="Cambria Math"/>
        </w:rPr>
      </w:pPr>
      <w:r>
        <w:br w:type="column"/>
      </w:r>
      <w:r>
        <w:rPr>
          <w:rFonts w:ascii="Cambria Math" w:eastAsia="Cambria Math"/>
          <w:spacing w:val="-5"/>
        </w:rPr>
        <w:t>𝑇𝑅𝑆</w:t>
      </w:r>
    </w:p>
    <w:p w:rsidR="003D548B" w:rsidRDefault="003D548B" w14:paraId="32FEDBC3" w14:textId="77777777">
      <w:pPr>
        <w:pStyle w:val="BodyText"/>
        <w:spacing w:before="3"/>
        <w:rPr>
          <w:rFonts w:ascii="Cambria Math"/>
          <w:sz w:val="4"/>
        </w:rPr>
      </w:pPr>
    </w:p>
    <w:p w:rsidR="003D548B" w:rsidRDefault="0086023A" w14:paraId="32FEDBC4" w14:textId="77777777">
      <w:pPr>
        <w:pStyle w:val="BodyText"/>
        <w:spacing w:line="20" w:lineRule="exact"/>
        <w:ind w:left="20" w:right="-72"/>
        <w:rPr>
          <w:rFonts w:ascii="Cambria Math"/>
          <w:sz w:val="2"/>
        </w:rPr>
      </w:pPr>
      <w:r>
        <w:rPr>
          <w:rFonts w:ascii="Cambria Math"/>
          <w:noProof/>
          <w:sz w:val="2"/>
        </w:rPr>
        <mc:AlternateContent>
          <mc:Choice Requires="wpg">
            <w:drawing>
              <wp:inline distT="0" distB="0" distL="0" distR="0" wp14:anchorId="32FEDC65" wp14:editId="32FEDC66">
                <wp:extent cx="260985" cy="952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985" cy="9525"/>
                          <a:chOff x="0" y="0"/>
                          <a:chExt cx="260985" cy="9525"/>
                        </a:xfrm>
                      </wpg:grpSpPr>
                      <wps:wsp>
                        <wps:cNvPr id="4" name="Graphic 4"/>
                        <wps:cNvSpPr/>
                        <wps:spPr>
                          <a:xfrm>
                            <a:off x="0" y="0"/>
                            <a:ext cx="260985" cy="9525"/>
                          </a:xfrm>
                          <a:custGeom>
                            <a:avLst/>
                            <a:gdLst/>
                            <a:ahLst/>
                            <a:cxnLst/>
                            <a:rect l="l" t="t" r="r" b="b"/>
                            <a:pathLst>
                              <a:path w="260985" h="9525">
                                <a:moveTo>
                                  <a:pt x="260604" y="0"/>
                                </a:moveTo>
                                <a:lnTo>
                                  <a:pt x="0" y="0"/>
                                </a:lnTo>
                                <a:lnTo>
                                  <a:pt x="0" y="9144"/>
                                </a:lnTo>
                                <a:lnTo>
                                  <a:pt x="260604" y="9144"/>
                                </a:lnTo>
                                <a:lnTo>
                                  <a:pt x="26060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w14:anchorId="450424AF">
              <v:group id="Group 3" style="width:20.55pt;height:.75pt;mso-position-horizontal-relative:char;mso-position-vertical-relative:line" coordsize="260985,9525" o:spid="_x0000_s1026" w14:anchorId="6A9526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">
                <v:shape id="Graphic 4" style="position:absolute;width:260985;height:9525;visibility:visible;mso-wrap-style:square;v-text-anchor:top" coordsize="260985,9525" o:spid="_x0000_s1027" fillcolor="black" stroked="f" path="m260604,l,,,9144r260604,l26060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">
                  <v:path arrowok="t"/>
                </v:shape>
                <w10:anchorlock/>
              </v:group>
            </w:pict>
          </mc:Fallback>
        </mc:AlternateContent>
      </w:r>
    </w:p>
    <w:p w:rsidR="003D548B" w:rsidRDefault="0086023A" w14:paraId="32FEDBC5" w14:textId="77777777">
      <w:pPr>
        <w:ind w:left="20"/>
        <w:rPr>
          <w:rFonts w:ascii="Cambria Math" w:eastAsia="Cambria Math"/>
        </w:rPr>
      </w:pPr>
      <w:r>
        <w:rPr>
          <w:rFonts w:ascii="Cambria Math" w:eastAsia="Cambria Math"/>
          <w:spacing w:val="-5"/>
        </w:rPr>
        <w:t>𝐹𝑇𝑉</w:t>
      </w:r>
    </w:p>
    <w:p w:rsidR="003D548B" w:rsidRDefault="0086023A" w14:paraId="32FEDBC6" w14:textId="337D35AC">
      <w:pPr>
        <w:spacing w:before="257"/>
        <w:ind w:left="2"/>
        <w:rPr>
          <w:rFonts w:ascii="Cambria Math" w:hAnsi="Cambria Math" w:eastAsia="Cambria Math"/>
        </w:rPr>
      </w:pPr>
      <w:r>
        <w:br w:type="column"/>
      </w:r>
      <w:r>
        <w:rPr>
          <w:rFonts w:ascii="Cambria Math" w:hAnsi="Cambria Math" w:eastAsia="Cambria Math"/>
        </w:rPr>
        <w:t>𝑅𝑎𝑡𝑖𝑜</w:t>
      </w:r>
      <w:r>
        <w:rPr>
          <w:rFonts w:ascii="Cambria Math" w:hAnsi="Cambria Math" w:eastAsia="Cambria Math"/>
          <w:spacing w:val="51"/>
        </w:rPr>
        <w:t xml:space="preserve"> </w:t>
      </w:r>
      <w:r>
        <w:rPr>
          <w:rFonts w:ascii="Cambria Math" w:hAnsi="Cambria Math" w:eastAsia="Cambria Math"/>
        </w:rPr>
        <w:t>×</w:t>
      </w:r>
      <w:r>
        <w:rPr>
          <w:rFonts w:ascii="Cambria Math" w:hAnsi="Cambria Math" w:eastAsia="Cambria Math"/>
          <w:spacing w:val="-4"/>
        </w:rPr>
        <w:t xml:space="preserve"> </w:t>
      </w:r>
      <w:r>
        <w:rPr>
          <w:rFonts w:ascii="Cambria Math" w:hAnsi="Cambria Math" w:eastAsia="Cambria Math"/>
        </w:rPr>
        <w:t>(𝑂𝑊</w:t>
      </w:r>
      <w:r>
        <w:rPr>
          <w:rFonts w:ascii="Cambria Math" w:hAnsi="Cambria Math" w:eastAsia="Cambria Math"/>
          <w:spacing w:val="8"/>
        </w:rPr>
        <w:t xml:space="preserve"> </w:t>
      </w:r>
      <w:r>
        <w:rPr>
          <w:rFonts w:ascii="Cambria Math" w:hAnsi="Cambria Math" w:eastAsia="Cambria Math"/>
        </w:rPr>
        <w:t>𝑀𝑊</w:t>
      </w:r>
      <w:r w:rsidR="006E18E7">
        <w:rPr>
          <w:rFonts w:ascii="Cambria Math" w:hAnsi="Cambria Math" w:eastAsia="Cambria Math"/>
        </w:rPr>
        <w:t xml:space="preserve"> pa</w:t>
      </w:r>
      <w:r>
        <w:rPr>
          <w:rFonts w:ascii="Cambria Math" w:hAnsi="Cambria Math" w:eastAsia="Cambria Math"/>
          <w:spacing w:val="7"/>
        </w:rPr>
        <w:t xml:space="preserve"> </w:t>
      </w:r>
      <w:r>
        <w:rPr>
          <w:rFonts w:ascii="Cambria Math" w:hAnsi="Cambria Math" w:eastAsia="Cambria Math"/>
        </w:rPr>
        <w:t>𝑥</w:t>
      </w:r>
      <w:r>
        <w:rPr>
          <w:rFonts w:ascii="Cambria Math" w:hAnsi="Cambria Math" w:eastAsia="Cambria Math"/>
          <w:spacing w:val="6"/>
        </w:rPr>
        <w:t xml:space="preserve"> </w:t>
      </w:r>
      <w:r>
        <w:rPr>
          <w:rFonts w:ascii="Cambria Math" w:hAnsi="Cambria Math" w:eastAsia="Cambria Math"/>
          <w:spacing w:val="-5"/>
        </w:rPr>
        <w:t>𝑆𝑉𝐶</w:t>
      </w:r>
    </w:p>
    <w:p w:rsidR="003D548B" w:rsidRDefault="0086023A" w14:paraId="32FEDBC7" w14:textId="77777777">
      <w:pPr>
        <w:spacing w:before="89" w:line="213" w:lineRule="exact"/>
        <w:ind w:right="2300"/>
        <w:jc w:val="center"/>
        <w:rPr>
          <w:rFonts w:ascii="Cambria Math" w:hAnsi="Cambria Math"/>
        </w:rPr>
      </w:pPr>
      <w:r>
        <w:br w:type="column"/>
      </w:r>
      <w:r>
        <w:rPr>
          <w:rFonts w:ascii="Cambria Math" w:hAnsi="Cambria Math"/>
          <w:spacing w:val="-10"/>
        </w:rPr>
        <w:t>£</w:t>
      </w:r>
    </w:p>
    <w:bookmarkEnd w:id="8"/>
    <w:p w:rsidR="003D548B" w:rsidRDefault="0086023A" w14:paraId="32FEDBC8" w14:textId="77777777">
      <w:pPr>
        <w:spacing w:line="158" w:lineRule="exact"/>
        <w:ind w:left="423"/>
        <w:rPr>
          <w:rFonts w:ascii="Cambria Math" w:eastAsia="Cambria Math"/>
        </w:rPr>
      </w:pPr>
      <w:r>
        <w:rPr>
          <w:noProof/>
        </w:rPr>
        <mc:AlternateContent>
          <mc:Choice Requires="wps">
            <w:drawing>
              <wp:anchor distT="0" distB="0" distL="0" distR="0" simplePos="0" relativeHeight="251656704" behindDoc="0" locked="0" layoutInCell="1" allowOverlap="1" wp14:anchorId="32FEDC67" wp14:editId="32FEDC68">
                <wp:simplePos x="0" y="0"/>
                <wp:positionH relativeFrom="page">
                  <wp:posOffset>5016372</wp:posOffset>
                </wp:positionH>
                <wp:positionV relativeFrom="paragraph">
                  <wp:posOffset>60372</wp:posOffset>
                </wp:positionV>
                <wp:extent cx="242570" cy="952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570" cy="9525"/>
                        </a:xfrm>
                        <a:custGeom>
                          <a:avLst/>
                          <a:gdLst/>
                          <a:ahLst/>
                          <a:cxnLst/>
                          <a:rect l="l" t="t" r="r" b="b"/>
                          <a:pathLst>
                            <a:path w="242570" h="9525">
                              <a:moveTo>
                                <a:pt x="242315" y="0"/>
                              </a:moveTo>
                              <a:lnTo>
                                <a:pt x="0" y="0"/>
                              </a:lnTo>
                              <a:lnTo>
                                <a:pt x="0" y="9144"/>
                              </a:lnTo>
                              <a:lnTo>
                                <a:pt x="242315" y="9144"/>
                              </a:lnTo>
                              <a:lnTo>
                                <a:pt x="2423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w14:anchorId="73E719DF">
              <v:shape id="Graphic 5" style="position:absolute;margin-left:395pt;margin-top:4.75pt;width:19.1pt;height:.75pt;z-index:251656704;visibility:visible;mso-wrap-style:square;mso-wrap-distance-left:0;mso-wrap-distance-top:0;mso-wrap-distance-right:0;mso-wrap-distance-bottom:0;mso-position-horizontal:absolute;mso-position-horizontal-relative:page;mso-position-vertical:absolute;mso-position-vertical-relative:text;v-text-anchor:top" coordsize="242570,9525" o:spid="_x0000_s1026" fillcolor="black" stroked="f" path="m242315,l,,,9144r242315,l24231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" w14:anchorId="21A918A5">
                <v:path arrowok="t"/>
                <w10:wrap anchorx="page"/>
              </v:shape>
            </w:pict>
          </mc:Fallback>
        </mc:AlternateContent>
      </w:r>
      <w:r>
        <w:rPr>
          <w:rFonts w:ascii="Cambria Math" w:eastAsia="Cambria Math"/>
        </w:rPr>
        <w:t>𝑐𝑜𝑠𝑡</w:t>
      </w:r>
      <w:r>
        <w:rPr>
          <w:rFonts w:ascii="Cambria Math" w:eastAsia="Cambria Math"/>
          <w:spacing w:val="3"/>
        </w:rPr>
        <w:t xml:space="preserve"> </w:t>
      </w:r>
      <w:r>
        <w:rPr>
          <w:rFonts w:ascii="Cambria Math" w:eastAsia="Cambria Math"/>
          <w:spacing w:val="-10"/>
        </w:rPr>
        <w:t>)</w:t>
      </w:r>
    </w:p>
    <w:p w:rsidR="003D548B" w:rsidRDefault="0086023A" w14:paraId="32FEDBC9" w14:textId="77777777">
      <w:pPr>
        <w:pStyle w:val="BodyText"/>
        <w:spacing w:line="203" w:lineRule="exact"/>
        <w:ind w:right="2297"/>
        <w:jc w:val="center"/>
        <w:rPr>
          <w:rFonts w:ascii="Cambria Math"/>
        </w:rPr>
      </w:pPr>
      <w:r>
        <w:rPr>
          <w:rFonts w:ascii="Cambria Math"/>
          <w:spacing w:val="-5"/>
        </w:rPr>
        <w:t>MW</w:t>
      </w:r>
    </w:p>
    <w:p w:rsidR="003D548B" w:rsidRDefault="003D548B" w14:paraId="32FEDBCA" w14:textId="77777777">
      <w:pPr>
        <w:spacing w:line="203" w:lineRule="exact"/>
        <w:jc w:val="center"/>
        <w:rPr>
          <w:rFonts w:ascii="Cambria Math"/>
        </w:rPr>
        <w:sectPr w:rsidR="003D548B">
          <w:type w:val="continuous"/>
          <w:pgSz w:w="11910" w:h="16840" w:orient="portrait"/>
          <w:pgMar w:top="1640" w:right="1320" w:bottom="280" w:left="1340" w:header="720" w:footer="720" w:gutter="0"/>
          <w:cols w:equalWidth="0" w:space="720" w:num="4">
            <w:col w:w="3118" w:space="40"/>
            <w:col w:w="425" w:space="39"/>
            <w:col w:w="2895" w:space="39"/>
            <w:col w:w="2694"/>
          </w:cols>
        </w:sectPr>
      </w:pPr>
    </w:p>
    <w:p w:rsidR="003D548B" w:rsidRDefault="0086023A" w14:paraId="32FEDBCB" w14:textId="157A97A0">
      <w:pPr>
        <w:pStyle w:val="BodyText"/>
        <w:spacing w:before="72"/>
        <w:ind w:right="11"/>
        <w:jc w:val="center"/>
        <w:rPr>
          <w:rFonts w:ascii="Cambria Math" w:hAnsi="Cambria Math" w:eastAsia="Cambria Math"/>
        </w:rPr>
      </w:pPr>
      <w:r>
        <w:rPr>
          <w:rFonts w:ascii="Cambria Math" w:hAnsi="Cambria Math" w:eastAsia="Cambria Math"/>
        </w:rPr>
        <w:t>𝑃𝑟𝑒</w:t>
      </w:r>
      <w:r>
        <w:rPr>
          <w:rFonts w:ascii="Cambria Math" w:hAnsi="Cambria Math" w:eastAsia="Cambria Math"/>
          <w:spacing w:val="2"/>
        </w:rPr>
        <w:t xml:space="preserve"> </w:t>
      </w:r>
      <w:r>
        <w:rPr>
          <w:rFonts w:ascii="Cambria Math" w:hAnsi="Cambria Math" w:eastAsia="Cambria Math"/>
        </w:rPr>
        <w:t>2030</w:t>
      </w:r>
      <w:r>
        <w:rPr>
          <w:rFonts w:ascii="Cambria Math" w:hAnsi="Cambria Math" w:eastAsia="Cambria Math"/>
          <w:spacing w:val="-1"/>
        </w:rPr>
        <w:t xml:space="preserve"> </w:t>
      </w:r>
      <w:r>
        <w:rPr>
          <w:rFonts w:ascii="Cambria Math" w:hAnsi="Cambria Math" w:eastAsia="Cambria Math"/>
        </w:rPr>
        <w:t>𝑇𝑅𝑆</w:t>
      </w:r>
      <w:r>
        <w:rPr>
          <w:rFonts w:ascii="Cambria Math" w:hAnsi="Cambria Math" w:eastAsia="Cambria Math"/>
          <w:spacing w:val="2"/>
        </w:rPr>
        <w:t xml:space="preserve"> </w:t>
      </w:r>
      <w:r>
        <w:rPr>
          <w:rFonts w:ascii="Cambria Math" w:hAnsi="Cambria Math" w:eastAsia="Cambria Math"/>
        </w:rPr>
        <w:t>𝐼𝑚𝑝𝑎𝑐𝑡</w:t>
      </w:r>
      <w:r>
        <w:rPr>
          <w:rFonts w:ascii="Cambria Math" w:hAnsi="Cambria Math" w:eastAsia="Cambria Math"/>
          <w:spacing w:val="56"/>
        </w:rPr>
        <w:t xml:space="preserve"> </w:t>
      </w:r>
      <w:r>
        <w:rPr>
          <w:rFonts w:ascii="Cambria Math" w:hAnsi="Cambria Math" w:eastAsia="Cambria Math"/>
        </w:rPr>
        <w:t>=</w:t>
      </w:r>
      <w:r>
        <w:rPr>
          <w:rFonts w:ascii="Cambria Math" w:hAnsi="Cambria Math" w:eastAsia="Cambria Math"/>
          <w:spacing w:val="12"/>
        </w:rPr>
        <w:t xml:space="preserve"> </w:t>
      </w:r>
      <w:r>
        <w:rPr>
          <w:rFonts w:ascii="Cambria Math" w:hAnsi="Cambria Math" w:eastAsia="Cambria Math"/>
        </w:rPr>
        <w:t>4%</w:t>
      </w:r>
      <w:r>
        <w:rPr>
          <w:rFonts w:ascii="Cambria Math" w:hAnsi="Cambria Math" w:eastAsia="Cambria Math"/>
          <w:spacing w:val="46"/>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rPr>
        <w:t>(</w:t>
      </w:r>
      <w:r w:rsidR="005D0E0A">
        <w:rPr>
          <w:rFonts w:ascii="Cambria Math" w:hAnsi="Cambria Math" w:eastAsia="Cambria Math"/>
        </w:rPr>
        <w:t>4667</w:t>
      </w:r>
      <w:r>
        <w:rPr>
          <w:rFonts w:ascii="Cambria Math" w:hAnsi="Cambria Math" w:eastAsia="Cambria Math"/>
          <w:spacing w:val="-1"/>
        </w:rPr>
        <w:t xml:space="preserve"> </w:t>
      </w:r>
      <w:r>
        <w:rPr>
          <w:rFonts w:ascii="Cambria Math" w:hAnsi="Cambria Math" w:eastAsia="Cambria Math"/>
        </w:rPr>
        <w:t>𝑥</w:t>
      </w:r>
      <w:r>
        <w:rPr>
          <w:rFonts w:ascii="Cambria Math" w:hAnsi="Cambria Math" w:eastAsia="Cambria Math"/>
          <w:spacing w:val="50"/>
        </w:rPr>
        <w:t xml:space="preserve"> </w:t>
      </w:r>
      <w:r>
        <w:rPr>
          <w:rFonts w:ascii="Cambria Math" w:hAnsi="Cambria Math" w:eastAsia="Cambria Math"/>
        </w:rPr>
        <w:t>× 59,667)</w:t>
      </w:r>
      <w:r>
        <w:rPr>
          <w:rFonts w:ascii="Cambria Math" w:hAnsi="Cambria Math" w:eastAsia="Cambria Math"/>
          <w:spacing w:val="77"/>
          <w:w w:val="150"/>
        </w:rPr>
        <w:t xml:space="preserve"> </w:t>
      </w:r>
      <w:r>
        <w:rPr>
          <w:rFonts w:ascii="Cambria Math" w:hAnsi="Cambria Math" w:eastAsia="Cambria Math"/>
        </w:rPr>
        <w:t>=</w:t>
      </w:r>
      <w:r>
        <w:rPr>
          <w:rFonts w:ascii="Cambria Math" w:hAnsi="Cambria Math" w:eastAsia="Cambria Math"/>
          <w:spacing w:val="11"/>
        </w:rPr>
        <w:t xml:space="preserve"> </w:t>
      </w:r>
      <w:r>
        <w:rPr>
          <w:rFonts w:ascii="Cambria Math" w:hAnsi="Cambria Math" w:eastAsia="Cambria Math"/>
          <w:spacing w:val="-2"/>
        </w:rPr>
        <w:t>£1</w:t>
      </w:r>
      <w:r w:rsidR="0065723D">
        <w:rPr>
          <w:rFonts w:ascii="Cambria Math" w:hAnsi="Cambria Math" w:eastAsia="Cambria Math"/>
          <w:spacing w:val="-2"/>
        </w:rPr>
        <w:t>1</w:t>
      </w:r>
      <w:r>
        <w:rPr>
          <w:rFonts w:ascii="Cambria Math" w:hAnsi="Cambria Math" w:eastAsia="Cambria Math"/>
          <w:spacing w:val="-2"/>
        </w:rPr>
        <w:t>.</w:t>
      </w:r>
      <w:r w:rsidR="0065723D">
        <w:rPr>
          <w:rFonts w:ascii="Cambria Math" w:hAnsi="Cambria Math" w:eastAsia="Cambria Math"/>
          <w:spacing w:val="-2"/>
        </w:rPr>
        <w:t>14</w:t>
      </w:r>
      <w:r>
        <w:rPr>
          <w:rFonts w:ascii="Cambria Math" w:hAnsi="Cambria Math" w:eastAsia="Cambria Math"/>
          <w:spacing w:val="-2"/>
        </w:rPr>
        <w:t>m</w:t>
      </w:r>
      <w:r w:rsidR="00E24912">
        <w:rPr>
          <w:rFonts w:ascii="Cambria Math" w:hAnsi="Cambria Math" w:eastAsia="Cambria Math"/>
          <w:spacing w:val="-2"/>
        </w:rPr>
        <w:t xml:space="preserve"> per annum</w:t>
      </w:r>
    </w:p>
    <w:p w:rsidR="003D548B" w:rsidRDefault="0086023A" w14:paraId="32FEDBCC" w14:textId="73756FDF">
      <w:pPr>
        <w:pStyle w:val="BodyText"/>
        <w:spacing w:before="131"/>
        <w:ind w:right="14"/>
        <w:jc w:val="center"/>
        <w:rPr>
          <w:rFonts w:ascii="Cambria Math" w:hAnsi="Cambria Math" w:eastAsia="Cambria Math"/>
          <w:spacing w:val="-2"/>
        </w:rPr>
      </w:pPr>
      <w:r>
        <w:rPr>
          <w:rFonts w:ascii="Cambria Math" w:hAnsi="Cambria Math" w:eastAsia="Cambria Math"/>
        </w:rPr>
        <w:t>𝑃𝑜𝑠𝑡</w:t>
      </w:r>
      <w:r>
        <w:rPr>
          <w:rFonts w:ascii="Cambria Math" w:hAnsi="Cambria Math" w:eastAsia="Cambria Math"/>
          <w:spacing w:val="4"/>
        </w:rPr>
        <w:t xml:space="preserve"> </w:t>
      </w:r>
      <w:r>
        <w:rPr>
          <w:rFonts w:ascii="Cambria Math" w:hAnsi="Cambria Math" w:eastAsia="Cambria Math"/>
        </w:rPr>
        <w:t>2030</w:t>
      </w:r>
      <w:r>
        <w:rPr>
          <w:rFonts w:ascii="Cambria Math" w:hAnsi="Cambria Math" w:eastAsia="Cambria Math"/>
          <w:spacing w:val="-2"/>
        </w:rPr>
        <w:t xml:space="preserve"> </w:t>
      </w:r>
      <w:r>
        <w:rPr>
          <w:rFonts w:ascii="Cambria Math" w:hAnsi="Cambria Math" w:eastAsia="Cambria Math"/>
        </w:rPr>
        <w:t>𝑇𝑅𝑆</w:t>
      </w:r>
      <w:r>
        <w:rPr>
          <w:rFonts w:ascii="Cambria Math" w:hAnsi="Cambria Math" w:eastAsia="Cambria Math"/>
          <w:spacing w:val="1"/>
        </w:rPr>
        <w:t xml:space="preserve"> </w:t>
      </w:r>
      <w:r>
        <w:rPr>
          <w:rFonts w:ascii="Cambria Math" w:hAnsi="Cambria Math" w:eastAsia="Cambria Math"/>
        </w:rPr>
        <w:t>𝐼𝑚𝑝𝑎𝑐𝑡</w:t>
      </w:r>
      <w:r>
        <w:rPr>
          <w:rFonts w:ascii="Cambria Math" w:hAnsi="Cambria Math" w:eastAsia="Cambria Math"/>
          <w:spacing w:val="56"/>
        </w:rPr>
        <w:t xml:space="preserve"> </w:t>
      </w:r>
      <w:r>
        <w:rPr>
          <w:rFonts w:ascii="Cambria Math" w:hAnsi="Cambria Math" w:eastAsia="Cambria Math"/>
        </w:rPr>
        <w:t>=</w:t>
      </w:r>
      <w:r>
        <w:rPr>
          <w:rFonts w:ascii="Cambria Math" w:hAnsi="Cambria Math" w:eastAsia="Cambria Math"/>
          <w:spacing w:val="12"/>
        </w:rPr>
        <w:t xml:space="preserve"> </w:t>
      </w:r>
      <w:r>
        <w:rPr>
          <w:rFonts w:ascii="Cambria Math" w:hAnsi="Cambria Math" w:eastAsia="Cambria Math"/>
        </w:rPr>
        <w:t>4%</w:t>
      </w:r>
      <w:r>
        <w:rPr>
          <w:rFonts w:ascii="Cambria Math" w:hAnsi="Cambria Math" w:eastAsia="Cambria Math"/>
          <w:spacing w:val="43"/>
        </w:rPr>
        <w:t xml:space="preserve"> </w:t>
      </w:r>
      <w:r>
        <w:rPr>
          <w:rFonts w:ascii="Cambria Math" w:hAnsi="Cambria Math" w:eastAsia="Cambria Math"/>
        </w:rPr>
        <w:t>× (</w:t>
      </w:r>
      <w:r w:rsidR="005D0E0A">
        <w:rPr>
          <w:rFonts w:ascii="Cambria Math" w:hAnsi="Cambria Math" w:eastAsia="Cambria Math"/>
        </w:rPr>
        <w:t>4100</w:t>
      </w:r>
      <w:r>
        <w:rPr>
          <w:rFonts w:ascii="Cambria Math" w:hAnsi="Cambria Math" w:eastAsia="Cambria Math"/>
          <w:spacing w:val="-2"/>
        </w:rPr>
        <w:t xml:space="preserve"> </w:t>
      </w:r>
      <w:r>
        <w:rPr>
          <w:rFonts w:ascii="Cambria Math" w:hAnsi="Cambria Math" w:eastAsia="Cambria Math"/>
        </w:rPr>
        <w:t>𝑥</w:t>
      </w:r>
      <w:r>
        <w:rPr>
          <w:rFonts w:ascii="Cambria Math" w:hAnsi="Cambria Math" w:eastAsia="Cambria Math"/>
          <w:spacing w:val="53"/>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rPr>
        <w:t>59,667)</w:t>
      </w:r>
      <w:r>
        <w:rPr>
          <w:rFonts w:ascii="Cambria Math" w:hAnsi="Cambria Math" w:eastAsia="Cambria Math"/>
          <w:spacing w:val="28"/>
        </w:rPr>
        <w:t xml:space="preserve">  </w:t>
      </w:r>
      <w:r>
        <w:rPr>
          <w:rFonts w:ascii="Cambria Math" w:hAnsi="Cambria Math" w:eastAsia="Cambria Math"/>
        </w:rPr>
        <w:t>=</w:t>
      </w:r>
      <w:r>
        <w:rPr>
          <w:rFonts w:ascii="Cambria Math" w:hAnsi="Cambria Math" w:eastAsia="Cambria Math"/>
          <w:spacing w:val="11"/>
        </w:rPr>
        <w:t xml:space="preserve"> </w:t>
      </w:r>
      <w:r>
        <w:rPr>
          <w:rFonts w:ascii="Cambria Math" w:hAnsi="Cambria Math" w:eastAsia="Cambria Math"/>
          <w:spacing w:val="-2"/>
        </w:rPr>
        <w:t>£</w:t>
      </w:r>
      <w:r w:rsidR="0065723D">
        <w:rPr>
          <w:rFonts w:ascii="Cambria Math" w:hAnsi="Cambria Math" w:eastAsia="Cambria Math"/>
          <w:spacing w:val="-2"/>
        </w:rPr>
        <w:t>9.78</w:t>
      </w:r>
      <w:r>
        <w:rPr>
          <w:rFonts w:ascii="Cambria Math" w:hAnsi="Cambria Math" w:eastAsia="Cambria Math"/>
          <w:spacing w:val="-2"/>
        </w:rPr>
        <w:t>m</w:t>
      </w:r>
      <w:r w:rsidR="00E24912">
        <w:rPr>
          <w:rFonts w:ascii="Cambria Math" w:hAnsi="Cambria Math" w:eastAsia="Cambria Math"/>
          <w:spacing w:val="-2"/>
        </w:rPr>
        <w:t xml:space="preserve"> per annum</w:t>
      </w:r>
    </w:p>
    <w:bookmarkEnd w:id="9"/>
    <w:p w:rsidR="001D744A" w:rsidP="00775F24" w:rsidRDefault="001D744A" w14:paraId="66935BFE" w14:textId="77777777">
      <w:pPr>
        <w:pStyle w:val="BodyText"/>
        <w:spacing w:before="131"/>
        <w:ind w:right="14"/>
        <w:rPr>
          <w:rFonts w:ascii="Cambria Math" w:hAnsi="Cambria Math" w:eastAsia="Cambria Math"/>
          <w:spacing w:val="-2"/>
        </w:rPr>
      </w:pPr>
    </w:p>
    <w:p w:rsidR="00510865" w:rsidP="001D744A" w:rsidRDefault="001D744A" w14:paraId="69C12E25" w14:textId="4099CE1C">
      <w:pPr>
        <w:pStyle w:val="BodyText"/>
        <w:spacing w:before="131"/>
        <w:ind w:right="14"/>
      </w:pPr>
      <w:r w:rsidRPr="00775F24">
        <w:t>In the following table</w:t>
      </w:r>
      <w:r w:rsidR="00C9579A">
        <w:t xml:space="preserve"> 2</w:t>
      </w:r>
      <w:r w:rsidR="00510865">
        <w:t xml:space="preserve">: </w:t>
      </w:r>
    </w:p>
    <w:p w:rsidR="00510865" w:rsidP="00510865" w:rsidRDefault="001D744A" w14:paraId="34CF77DA" w14:textId="495C500E">
      <w:pPr>
        <w:pStyle w:val="BodyText"/>
        <w:numPr>
          <w:ilvl w:val="0"/>
          <w:numId w:val="2"/>
        </w:numPr>
        <w:spacing w:before="131"/>
        <w:ind w:right="14"/>
      </w:pPr>
      <w:r w:rsidRPr="00775F24">
        <w:t xml:space="preserve">the </w:t>
      </w:r>
      <w:r w:rsidR="00D35487">
        <w:t>‘</w:t>
      </w:r>
      <w:r w:rsidRPr="00510865" w:rsidR="00D35487">
        <w:rPr>
          <w:b/>
          <w:bCs/>
        </w:rPr>
        <w:t>’</w:t>
      </w:r>
      <w:r w:rsidRPr="00510865">
        <w:rPr>
          <w:b/>
          <w:bCs/>
        </w:rPr>
        <w:t>Cum</w:t>
      </w:r>
      <w:r w:rsidRPr="00510865" w:rsidR="00D35487">
        <w:rPr>
          <w:b/>
          <w:bCs/>
        </w:rPr>
        <w:t>. OW</w:t>
      </w:r>
      <w:r w:rsidRPr="00510865">
        <w:rPr>
          <w:b/>
          <w:bCs/>
        </w:rPr>
        <w:t xml:space="preserve"> </w:t>
      </w:r>
      <w:r w:rsidRPr="00510865" w:rsidR="00D35487">
        <w:rPr>
          <w:b/>
          <w:bCs/>
        </w:rPr>
        <w:t>(MW)</w:t>
      </w:r>
      <w:r w:rsidR="00D35487">
        <w:t>’</w:t>
      </w:r>
      <w:r w:rsidR="00510865">
        <w:t>’ column</w:t>
      </w:r>
      <w:r w:rsidR="00D60BED">
        <w:t xml:space="preserve"> repre</w:t>
      </w:r>
      <w:r w:rsidR="00510865">
        <w:t xml:space="preserve">sents the Cumulative Offshore Wind MW expected to be delivered by 2050. </w:t>
      </w:r>
    </w:p>
    <w:p w:rsidR="00510865" w:rsidP="0005619C" w:rsidRDefault="00510865" w14:paraId="177F967F" w14:textId="0D95C4A5">
      <w:pPr>
        <w:pStyle w:val="BodyText"/>
        <w:numPr>
          <w:ilvl w:val="0"/>
          <w:numId w:val="2"/>
        </w:numPr>
        <w:spacing w:before="131"/>
        <w:ind w:right="14"/>
      </w:pPr>
      <w:r>
        <w:t xml:space="preserve">The </w:t>
      </w:r>
      <w:r w:rsidR="0005619C">
        <w:t>‘</w:t>
      </w:r>
      <w:r w:rsidRPr="0005619C" w:rsidR="0005619C">
        <w:rPr>
          <w:b/>
          <w:bCs/>
        </w:rPr>
        <w:t>’Cum SVC Cost</w:t>
      </w:r>
      <w:r w:rsidRPr="0005619C" w:rsidR="0005619C">
        <w:t>’’</w:t>
      </w:r>
      <w:r w:rsidR="0005619C">
        <w:t xml:space="preserve"> column represents the Cumulative cost of SVC expected to be deployed</w:t>
      </w:r>
      <w:r w:rsidR="00DE508E">
        <w:t xml:space="preserve"> in relation to the offshore wind MW,</w:t>
      </w:r>
    </w:p>
    <w:p w:rsidR="00DE508E" w:rsidP="0005619C" w:rsidRDefault="00DE508E" w14:paraId="7F7BC88A" w14:textId="2BBAE716">
      <w:pPr>
        <w:pStyle w:val="BodyText"/>
        <w:numPr>
          <w:ilvl w:val="0"/>
          <w:numId w:val="2"/>
        </w:numPr>
        <w:spacing w:before="131"/>
        <w:ind w:right="14"/>
      </w:pPr>
      <w:r>
        <w:t>The ‘’</w:t>
      </w:r>
      <w:r w:rsidRPr="00DE508E">
        <w:rPr>
          <w:b/>
          <w:bCs/>
        </w:rPr>
        <w:t>TRS Impact</w:t>
      </w:r>
      <w:r w:rsidRPr="0023223D">
        <w:t>’’ represents the £</w:t>
      </w:r>
      <w:r w:rsidRPr="0023223D" w:rsidR="00DE5661">
        <w:t xml:space="preserve"> cost </w:t>
      </w:r>
      <w:r w:rsidRPr="0023223D" w:rsidR="00F84DCD">
        <w:t>in the TRS that is specific to the SVC, and it represents the amount that is expected to impact consumers via the TDR</w:t>
      </w:r>
      <w:r w:rsidR="0023223D">
        <w:t>.</w:t>
      </w:r>
    </w:p>
    <w:p w:rsidR="00025AC2" w:rsidRDefault="00025AC2" w14:paraId="048FD69A" w14:textId="77777777">
      <w:pPr>
        <w:pStyle w:val="BodyText"/>
        <w:rPr>
          <w:rFonts w:ascii="Cambria Math"/>
          <w:sz w:val="20"/>
        </w:rPr>
      </w:pPr>
    </w:p>
    <w:bookmarkStart w:name="_Hlk188882956" w:displacedByCustomXml="next" w:id="10"/>
    <w:sdt>
      <w:sdtPr>
        <w:rPr>
          <w:i/>
          <w:iCs/>
          <w:color w:val="1F497D" w:themeColor="text2"/>
          <w:sz w:val="18"/>
          <w:szCs w:val="18"/>
        </w:rPr>
        <w:alias w:val="Title"/>
        <w:tag w:val=""/>
        <w:id w:val="-2052997168"/>
        <w:placeholder>
          <w:docPart w:val="3CABFF02485B46A990BC8582BDBBE699"/>
        </w:placeholder>
        <w:dataBinding w:prefixMappings="xmlns:ns0='http://purl.org/dc/elements/1.1/' xmlns:ns1='http://schemas.openxmlformats.org/package/2006/metadata/core-properties' " w:xpath="/ns1:coreProperties[1]/ns0:title[1]" w:storeItemID="{6C3C8BC8-F283-45AE-878A-BAB7291924A1}"/>
        <w:text/>
      </w:sdtPr>
      <w:sdtContent>
        <w:p w:rsidRPr="00C9579A" w:rsidR="003D548B" w:rsidRDefault="00C9579A" w14:paraId="32FEDBCF" w14:textId="070620D9">
          <w:pPr>
            <w:pStyle w:val="BodyText"/>
            <w:spacing w:before="229"/>
            <w:rPr>
              <w:rFonts w:ascii="Cambria Math"/>
              <w:color w:val="17365D" w:themeColor="text2" w:themeShade="BF"/>
              <w:sz w:val="20"/>
            </w:rPr>
          </w:pPr>
          <w:r>
            <w:rPr>
              <w:i/>
              <w:iCs/>
              <w:color w:val="1F497D" w:themeColor="text2"/>
              <w:sz w:val="18"/>
              <w:szCs w:val="18"/>
            </w:rPr>
            <w:t xml:space="preserve">Table </w:t>
          </w:r>
          <w:r w:rsidR="003C06E6">
            <w:rPr>
              <w:i/>
              <w:iCs/>
              <w:color w:val="1F497D" w:themeColor="text2"/>
              <w:sz w:val="18"/>
              <w:szCs w:val="18"/>
            </w:rPr>
            <w:t>2</w:t>
          </w:r>
          <w:r w:rsidRPr="00C9579A">
            <w:rPr>
              <w:i/>
              <w:iCs/>
              <w:color w:val="1F497D" w:themeColor="text2"/>
              <w:sz w:val="18"/>
              <w:szCs w:val="18"/>
            </w:rPr>
            <w:t xml:space="preserve"> </w:t>
          </w:r>
          <w:r>
            <w:rPr>
              <w:i/>
              <w:iCs/>
              <w:color w:val="1F497D" w:themeColor="text2"/>
              <w:sz w:val="18"/>
              <w:szCs w:val="18"/>
            </w:rPr>
            <w:t>Estimated TRS impact of CMP 418</w:t>
          </w:r>
        </w:p>
      </w:sdtContent>
    </w:sdt>
    <w:bookmarkEnd w:displacedByCustomXml="prev" w:id="10"/>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59"/>
        <w:gridCol w:w="1680"/>
        <w:gridCol w:w="1840"/>
        <w:gridCol w:w="1975"/>
      </w:tblGrid>
      <w:tr w:rsidR="00C9579A" w:rsidTr="007D5BA8" w14:paraId="32FEDBD4" w14:textId="77777777">
        <w:trPr>
          <w:trHeight w:val="522"/>
          <w:jc w:val="center"/>
        </w:trPr>
        <w:tc>
          <w:tcPr>
            <w:tcW w:w="1159" w:type="dxa"/>
          </w:tcPr>
          <w:p w:rsidR="00C9579A" w:rsidRDefault="00C9579A" w14:paraId="32FEDBD0" w14:textId="77777777">
            <w:pPr>
              <w:pStyle w:val="TableParagraph"/>
              <w:spacing w:before="0"/>
              <w:ind w:left="0"/>
              <w:rPr>
                <w:rFonts w:ascii="Times New Roman"/>
                <w:sz w:val="20"/>
              </w:rPr>
            </w:pPr>
          </w:p>
        </w:tc>
        <w:tc>
          <w:tcPr>
            <w:tcW w:w="1680" w:type="dxa"/>
          </w:tcPr>
          <w:p w:rsidR="00C9579A" w:rsidP="00535608" w:rsidRDefault="00C9579A" w14:paraId="32FEDBD1" w14:textId="77777777">
            <w:pPr>
              <w:pStyle w:val="TableParagraph"/>
              <w:spacing w:before="121"/>
              <w:jc w:val="center"/>
              <w:rPr>
                <w:b/>
              </w:rPr>
            </w:pPr>
            <w:r>
              <w:rPr>
                <w:b/>
              </w:rPr>
              <w:t>Cum.</w:t>
            </w:r>
            <w:r>
              <w:rPr>
                <w:b/>
                <w:spacing w:val="-5"/>
              </w:rPr>
              <w:t xml:space="preserve"> </w:t>
            </w:r>
            <w:r>
              <w:rPr>
                <w:b/>
              </w:rPr>
              <w:t>OW</w:t>
            </w:r>
            <w:r>
              <w:rPr>
                <w:b/>
                <w:spacing w:val="-4"/>
              </w:rPr>
              <w:t xml:space="preserve"> (MW)</w:t>
            </w:r>
          </w:p>
        </w:tc>
        <w:tc>
          <w:tcPr>
            <w:tcW w:w="1840" w:type="dxa"/>
          </w:tcPr>
          <w:p w:rsidR="00C9579A" w:rsidP="00535608" w:rsidRDefault="00C9579A" w14:paraId="32FEDBD2" w14:textId="02D0E319">
            <w:pPr>
              <w:pStyle w:val="TableParagraph"/>
              <w:spacing w:before="121"/>
              <w:ind w:left="113"/>
              <w:jc w:val="center"/>
              <w:rPr>
                <w:b/>
              </w:rPr>
            </w:pPr>
            <w:r>
              <w:rPr>
                <w:b/>
              </w:rPr>
              <w:t>Cum.</w:t>
            </w:r>
            <w:r>
              <w:rPr>
                <w:b/>
                <w:spacing w:val="-9"/>
              </w:rPr>
              <w:t xml:space="preserve"> </w:t>
            </w:r>
            <w:r>
              <w:rPr>
                <w:b/>
              </w:rPr>
              <w:t>SVC</w:t>
            </w:r>
            <w:r>
              <w:rPr>
                <w:b/>
                <w:spacing w:val="-7"/>
              </w:rPr>
              <w:t xml:space="preserve"> </w:t>
            </w:r>
            <w:r>
              <w:rPr>
                <w:b/>
              </w:rPr>
              <w:t>Cost</w:t>
            </w:r>
            <w:r>
              <w:rPr>
                <w:b/>
                <w:spacing w:val="-6"/>
              </w:rPr>
              <w:t xml:space="preserve"> </w:t>
            </w:r>
            <w:r>
              <w:rPr>
                <w:b/>
                <w:spacing w:val="-5"/>
              </w:rPr>
              <w:t>(£)</w:t>
            </w:r>
          </w:p>
        </w:tc>
        <w:tc>
          <w:tcPr>
            <w:tcW w:w="1975" w:type="dxa"/>
          </w:tcPr>
          <w:p w:rsidR="00C9579A" w:rsidP="00535608" w:rsidRDefault="00C9579A" w14:paraId="32FEDBD3" w14:textId="77777777">
            <w:pPr>
              <w:pStyle w:val="TableParagraph"/>
              <w:spacing w:before="121"/>
              <w:ind w:left="114"/>
              <w:jc w:val="center"/>
              <w:rPr>
                <w:b/>
              </w:rPr>
            </w:pPr>
            <w:r>
              <w:rPr>
                <w:b/>
              </w:rPr>
              <w:t>TRS</w:t>
            </w:r>
            <w:r>
              <w:rPr>
                <w:b/>
                <w:spacing w:val="-9"/>
              </w:rPr>
              <w:t xml:space="preserve"> </w:t>
            </w:r>
            <w:r>
              <w:rPr>
                <w:b/>
              </w:rPr>
              <w:t>Impact</w:t>
            </w:r>
            <w:r>
              <w:rPr>
                <w:b/>
                <w:spacing w:val="-5"/>
              </w:rPr>
              <w:t xml:space="preserve"> (£)</w:t>
            </w:r>
          </w:p>
        </w:tc>
      </w:tr>
      <w:tr w:rsidR="00C9579A" w:rsidTr="007D5BA8" w14:paraId="32FEDBD9" w14:textId="77777777">
        <w:trPr>
          <w:trHeight w:val="520"/>
          <w:jc w:val="center"/>
        </w:trPr>
        <w:tc>
          <w:tcPr>
            <w:tcW w:w="1159" w:type="dxa"/>
          </w:tcPr>
          <w:p w:rsidR="00C9579A" w:rsidP="003E0159" w:rsidRDefault="00C9579A" w14:paraId="32FEDBD5" w14:textId="77777777">
            <w:pPr>
              <w:pStyle w:val="TableParagraph"/>
              <w:rPr>
                <w:b/>
              </w:rPr>
            </w:pPr>
            <w:r>
              <w:rPr>
                <w:b/>
                <w:spacing w:val="-4"/>
              </w:rPr>
              <w:t>2025</w:t>
            </w:r>
          </w:p>
        </w:tc>
        <w:tc>
          <w:tcPr>
            <w:tcW w:w="1680" w:type="dxa"/>
            <w:vAlign w:val="bottom"/>
          </w:tcPr>
          <w:p w:rsidR="00C9579A" w:rsidP="00535608" w:rsidRDefault="00C9579A" w14:paraId="32FEDBD6" w14:textId="7B51A2A3">
            <w:pPr>
              <w:pStyle w:val="TableParagraph"/>
              <w:jc w:val="center"/>
            </w:pPr>
            <w:r>
              <w:rPr>
                <w:color w:val="000000"/>
              </w:rPr>
              <w:t>19,667</w:t>
            </w:r>
          </w:p>
        </w:tc>
        <w:tc>
          <w:tcPr>
            <w:tcW w:w="1840" w:type="dxa"/>
            <w:vAlign w:val="bottom"/>
          </w:tcPr>
          <w:p w:rsidR="00C9579A" w:rsidP="00535608" w:rsidRDefault="00C9579A" w14:paraId="32FEDBD7" w14:textId="2CA958BA">
            <w:pPr>
              <w:pStyle w:val="TableParagraph"/>
              <w:ind w:left="113"/>
              <w:jc w:val="center"/>
            </w:pPr>
            <w:r>
              <w:rPr>
                <w:color w:val="000000"/>
              </w:rPr>
              <w:t>1,173,444,444</w:t>
            </w:r>
          </w:p>
        </w:tc>
        <w:tc>
          <w:tcPr>
            <w:tcW w:w="1975" w:type="dxa"/>
            <w:vAlign w:val="bottom"/>
          </w:tcPr>
          <w:p w:rsidR="00C9579A" w:rsidP="00535608" w:rsidRDefault="00C9579A" w14:paraId="32FEDBD8" w14:textId="7B45293C">
            <w:pPr>
              <w:pStyle w:val="TableParagraph"/>
              <w:ind w:left="114"/>
              <w:jc w:val="center"/>
            </w:pPr>
            <w:r>
              <w:rPr>
                <w:color w:val="000000"/>
              </w:rPr>
              <w:t>46,937,778</w:t>
            </w:r>
          </w:p>
        </w:tc>
      </w:tr>
      <w:tr w:rsidR="00C9579A" w:rsidTr="007D5BA8" w14:paraId="32FEDBDE" w14:textId="77777777">
        <w:trPr>
          <w:trHeight w:val="521"/>
          <w:jc w:val="center"/>
        </w:trPr>
        <w:tc>
          <w:tcPr>
            <w:tcW w:w="1159" w:type="dxa"/>
          </w:tcPr>
          <w:p w:rsidR="00C9579A" w:rsidP="003E0159" w:rsidRDefault="00C9579A" w14:paraId="32FEDBDA" w14:textId="77777777">
            <w:pPr>
              <w:pStyle w:val="TableParagraph"/>
              <w:spacing w:before="117"/>
              <w:rPr>
                <w:b/>
              </w:rPr>
            </w:pPr>
            <w:r>
              <w:rPr>
                <w:b/>
                <w:spacing w:val="-4"/>
              </w:rPr>
              <w:t>2026</w:t>
            </w:r>
          </w:p>
        </w:tc>
        <w:tc>
          <w:tcPr>
            <w:tcW w:w="1680" w:type="dxa"/>
            <w:vAlign w:val="bottom"/>
          </w:tcPr>
          <w:p w:rsidR="00C9579A" w:rsidP="00535608" w:rsidRDefault="00C9579A" w14:paraId="32FEDBDB" w14:textId="274BE9D2">
            <w:pPr>
              <w:pStyle w:val="TableParagraph"/>
              <w:spacing w:before="117"/>
              <w:jc w:val="center"/>
            </w:pPr>
            <w:r>
              <w:rPr>
                <w:color w:val="000000"/>
              </w:rPr>
              <w:t>24,333</w:t>
            </w:r>
          </w:p>
        </w:tc>
        <w:tc>
          <w:tcPr>
            <w:tcW w:w="1840" w:type="dxa"/>
            <w:vAlign w:val="bottom"/>
          </w:tcPr>
          <w:p w:rsidR="00C9579A" w:rsidP="00535608" w:rsidRDefault="00C9579A" w14:paraId="32FEDBDC" w14:textId="4199CE58">
            <w:pPr>
              <w:pStyle w:val="TableParagraph"/>
              <w:spacing w:before="117"/>
              <w:ind w:left="113"/>
              <w:jc w:val="center"/>
            </w:pPr>
            <w:r>
              <w:rPr>
                <w:color w:val="000000"/>
              </w:rPr>
              <w:t>1,451,888,889</w:t>
            </w:r>
          </w:p>
        </w:tc>
        <w:tc>
          <w:tcPr>
            <w:tcW w:w="1975" w:type="dxa"/>
            <w:vAlign w:val="bottom"/>
          </w:tcPr>
          <w:p w:rsidR="00C9579A" w:rsidP="00535608" w:rsidRDefault="00C9579A" w14:paraId="32FEDBDD" w14:textId="470E2BAA">
            <w:pPr>
              <w:pStyle w:val="TableParagraph"/>
              <w:spacing w:before="117"/>
              <w:ind w:left="114"/>
              <w:jc w:val="center"/>
            </w:pPr>
            <w:r>
              <w:rPr>
                <w:color w:val="000000"/>
              </w:rPr>
              <w:t>58,075,556</w:t>
            </w:r>
          </w:p>
        </w:tc>
      </w:tr>
      <w:tr w:rsidR="00C9579A" w:rsidTr="007D5BA8" w14:paraId="32FEDBE3" w14:textId="77777777">
        <w:trPr>
          <w:trHeight w:val="520"/>
          <w:jc w:val="center"/>
        </w:trPr>
        <w:tc>
          <w:tcPr>
            <w:tcW w:w="1159" w:type="dxa"/>
          </w:tcPr>
          <w:p w:rsidR="00C9579A" w:rsidP="003E0159" w:rsidRDefault="00C9579A" w14:paraId="32FEDBDF" w14:textId="77777777">
            <w:pPr>
              <w:pStyle w:val="TableParagraph"/>
              <w:rPr>
                <w:b/>
              </w:rPr>
            </w:pPr>
            <w:r>
              <w:rPr>
                <w:b/>
                <w:spacing w:val="-4"/>
              </w:rPr>
              <w:t>2027</w:t>
            </w:r>
          </w:p>
        </w:tc>
        <w:tc>
          <w:tcPr>
            <w:tcW w:w="1680" w:type="dxa"/>
            <w:vAlign w:val="bottom"/>
          </w:tcPr>
          <w:p w:rsidR="00C9579A" w:rsidP="00535608" w:rsidRDefault="00C9579A" w14:paraId="32FEDBE0" w14:textId="05AE00D6">
            <w:pPr>
              <w:pStyle w:val="TableParagraph"/>
              <w:jc w:val="center"/>
            </w:pPr>
            <w:r>
              <w:rPr>
                <w:color w:val="000000"/>
              </w:rPr>
              <w:t>29,000</w:t>
            </w:r>
          </w:p>
        </w:tc>
        <w:tc>
          <w:tcPr>
            <w:tcW w:w="1840" w:type="dxa"/>
            <w:vAlign w:val="bottom"/>
          </w:tcPr>
          <w:p w:rsidR="00C9579A" w:rsidP="00535608" w:rsidRDefault="00C9579A" w14:paraId="32FEDBE1" w14:textId="13064BE8">
            <w:pPr>
              <w:pStyle w:val="TableParagraph"/>
              <w:ind w:left="113"/>
              <w:jc w:val="center"/>
            </w:pPr>
            <w:r>
              <w:rPr>
                <w:color w:val="000000"/>
              </w:rPr>
              <w:t>1,730,333,333</w:t>
            </w:r>
          </w:p>
        </w:tc>
        <w:tc>
          <w:tcPr>
            <w:tcW w:w="1975" w:type="dxa"/>
            <w:vAlign w:val="bottom"/>
          </w:tcPr>
          <w:p w:rsidR="00C9579A" w:rsidP="00535608" w:rsidRDefault="00C9579A" w14:paraId="32FEDBE2" w14:textId="0CEC933B">
            <w:pPr>
              <w:pStyle w:val="TableParagraph"/>
              <w:ind w:left="114"/>
              <w:jc w:val="center"/>
            </w:pPr>
            <w:r>
              <w:rPr>
                <w:color w:val="000000"/>
              </w:rPr>
              <w:t>69,213,333</w:t>
            </w:r>
          </w:p>
        </w:tc>
      </w:tr>
      <w:tr w:rsidR="00C9579A" w:rsidTr="007D5BA8" w14:paraId="32FEDBE8" w14:textId="77777777">
        <w:trPr>
          <w:trHeight w:val="518"/>
          <w:jc w:val="center"/>
        </w:trPr>
        <w:tc>
          <w:tcPr>
            <w:tcW w:w="1159" w:type="dxa"/>
          </w:tcPr>
          <w:p w:rsidR="00C9579A" w:rsidP="003E0159" w:rsidRDefault="00C9579A" w14:paraId="32FEDBE4" w14:textId="77777777">
            <w:pPr>
              <w:pStyle w:val="TableParagraph"/>
              <w:rPr>
                <w:b/>
              </w:rPr>
            </w:pPr>
            <w:r>
              <w:rPr>
                <w:b/>
                <w:spacing w:val="-4"/>
              </w:rPr>
              <w:t>2028</w:t>
            </w:r>
          </w:p>
        </w:tc>
        <w:tc>
          <w:tcPr>
            <w:tcW w:w="1680" w:type="dxa"/>
            <w:vAlign w:val="bottom"/>
          </w:tcPr>
          <w:p w:rsidR="00C9579A" w:rsidP="00535608" w:rsidRDefault="00C9579A" w14:paraId="32FEDBE5" w14:textId="6AD90730">
            <w:pPr>
              <w:pStyle w:val="TableParagraph"/>
              <w:jc w:val="center"/>
            </w:pPr>
            <w:r>
              <w:rPr>
                <w:color w:val="000000"/>
              </w:rPr>
              <w:t>33,667</w:t>
            </w:r>
          </w:p>
        </w:tc>
        <w:tc>
          <w:tcPr>
            <w:tcW w:w="1840" w:type="dxa"/>
            <w:vAlign w:val="bottom"/>
          </w:tcPr>
          <w:p w:rsidR="00C9579A" w:rsidP="00535608" w:rsidRDefault="00C9579A" w14:paraId="32FEDBE6" w14:textId="139B288B">
            <w:pPr>
              <w:pStyle w:val="TableParagraph"/>
              <w:ind w:left="113"/>
              <w:jc w:val="center"/>
            </w:pPr>
            <w:r>
              <w:rPr>
                <w:color w:val="000000"/>
              </w:rPr>
              <w:t>2,008,777,778</w:t>
            </w:r>
          </w:p>
        </w:tc>
        <w:tc>
          <w:tcPr>
            <w:tcW w:w="1975" w:type="dxa"/>
            <w:vAlign w:val="bottom"/>
          </w:tcPr>
          <w:p w:rsidR="00C9579A" w:rsidP="00535608" w:rsidRDefault="00C9579A" w14:paraId="32FEDBE7" w14:textId="44B7FAEA">
            <w:pPr>
              <w:pStyle w:val="TableParagraph"/>
              <w:ind w:left="114"/>
              <w:jc w:val="center"/>
            </w:pPr>
            <w:r>
              <w:rPr>
                <w:color w:val="000000"/>
              </w:rPr>
              <w:t>80,351,111</w:t>
            </w:r>
          </w:p>
        </w:tc>
      </w:tr>
      <w:tr w:rsidR="00C9579A" w:rsidTr="007D5BA8" w14:paraId="32FEDBED" w14:textId="77777777">
        <w:trPr>
          <w:trHeight w:val="522"/>
          <w:jc w:val="center"/>
        </w:trPr>
        <w:tc>
          <w:tcPr>
            <w:tcW w:w="1159" w:type="dxa"/>
          </w:tcPr>
          <w:p w:rsidR="00C9579A" w:rsidP="003E0159" w:rsidRDefault="00C9579A" w14:paraId="32FEDBE9" w14:textId="77777777">
            <w:pPr>
              <w:pStyle w:val="TableParagraph"/>
              <w:spacing w:before="121"/>
              <w:rPr>
                <w:b/>
              </w:rPr>
            </w:pPr>
            <w:r>
              <w:rPr>
                <w:b/>
                <w:spacing w:val="-4"/>
              </w:rPr>
              <w:t>2029</w:t>
            </w:r>
          </w:p>
        </w:tc>
        <w:tc>
          <w:tcPr>
            <w:tcW w:w="1680" w:type="dxa"/>
            <w:vAlign w:val="bottom"/>
          </w:tcPr>
          <w:p w:rsidR="00C9579A" w:rsidP="00535608" w:rsidRDefault="00C9579A" w14:paraId="32FEDBEA" w14:textId="6121B67A">
            <w:pPr>
              <w:pStyle w:val="TableParagraph"/>
              <w:spacing w:before="121"/>
              <w:jc w:val="center"/>
            </w:pPr>
            <w:r>
              <w:rPr>
                <w:color w:val="000000"/>
              </w:rPr>
              <w:t>38,333</w:t>
            </w:r>
          </w:p>
        </w:tc>
        <w:tc>
          <w:tcPr>
            <w:tcW w:w="1840" w:type="dxa"/>
            <w:vAlign w:val="bottom"/>
          </w:tcPr>
          <w:p w:rsidR="00C9579A" w:rsidP="00535608" w:rsidRDefault="00C9579A" w14:paraId="32FEDBEB" w14:textId="3DE6658A">
            <w:pPr>
              <w:pStyle w:val="TableParagraph"/>
              <w:spacing w:before="121"/>
              <w:ind w:left="113"/>
              <w:jc w:val="center"/>
            </w:pPr>
            <w:r>
              <w:rPr>
                <w:color w:val="000000"/>
              </w:rPr>
              <w:t>2,287,222,222</w:t>
            </w:r>
          </w:p>
        </w:tc>
        <w:tc>
          <w:tcPr>
            <w:tcW w:w="1975" w:type="dxa"/>
            <w:vAlign w:val="bottom"/>
          </w:tcPr>
          <w:p w:rsidR="00C9579A" w:rsidP="00535608" w:rsidRDefault="00C9579A" w14:paraId="32FEDBEC" w14:textId="0743DF8D">
            <w:pPr>
              <w:pStyle w:val="TableParagraph"/>
              <w:spacing w:before="121"/>
              <w:ind w:left="114"/>
              <w:jc w:val="center"/>
            </w:pPr>
            <w:r>
              <w:rPr>
                <w:color w:val="000000"/>
              </w:rPr>
              <w:t>91,488,889</w:t>
            </w:r>
          </w:p>
        </w:tc>
      </w:tr>
      <w:tr w:rsidR="00C9579A" w:rsidTr="007D5BA8" w14:paraId="32FEDBF2" w14:textId="77777777">
        <w:trPr>
          <w:trHeight w:val="520"/>
          <w:jc w:val="center"/>
        </w:trPr>
        <w:tc>
          <w:tcPr>
            <w:tcW w:w="1159" w:type="dxa"/>
          </w:tcPr>
          <w:p w:rsidR="00C9579A" w:rsidP="003E0159" w:rsidRDefault="00C9579A" w14:paraId="32FEDBEE" w14:textId="77777777">
            <w:pPr>
              <w:pStyle w:val="TableParagraph"/>
              <w:rPr>
                <w:b/>
              </w:rPr>
            </w:pPr>
            <w:r>
              <w:rPr>
                <w:b/>
                <w:spacing w:val="-4"/>
              </w:rPr>
              <w:t>2030</w:t>
            </w:r>
          </w:p>
        </w:tc>
        <w:tc>
          <w:tcPr>
            <w:tcW w:w="1680" w:type="dxa"/>
            <w:vAlign w:val="bottom"/>
          </w:tcPr>
          <w:p w:rsidR="00C9579A" w:rsidP="00535608" w:rsidRDefault="00C9579A" w14:paraId="32FEDBEF" w14:textId="51E3D29A">
            <w:pPr>
              <w:pStyle w:val="TableParagraph"/>
              <w:jc w:val="center"/>
            </w:pPr>
            <w:r>
              <w:rPr>
                <w:color w:val="000000"/>
              </w:rPr>
              <w:t>43,000</w:t>
            </w:r>
          </w:p>
        </w:tc>
        <w:tc>
          <w:tcPr>
            <w:tcW w:w="1840" w:type="dxa"/>
            <w:vAlign w:val="bottom"/>
          </w:tcPr>
          <w:p w:rsidR="00C9579A" w:rsidP="00535608" w:rsidRDefault="00C9579A" w14:paraId="32FEDBF0" w14:textId="7AC15E14">
            <w:pPr>
              <w:pStyle w:val="TableParagraph"/>
              <w:ind w:left="113"/>
              <w:jc w:val="center"/>
            </w:pPr>
            <w:r>
              <w:rPr>
                <w:color w:val="000000"/>
              </w:rPr>
              <w:t>2,565,666,667</w:t>
            </w:r>
          </w:p>
        </w:tc>
        <w:tc>
          <w:tcPr>
            <w:tcW w:w="1975" w:type="dxa"/>
            <w:vAlign w:val="bottom"/>
          </w:tcPr>
          <w:p w:rsidR="00C9579A" w:rsidP="00535608" w:rsidRDefault="00C9579A" w14:paraId="32FEDBF1" w14:textId="7AD0EED9">
            <w:pPr>
              <w:pStyle w:val="TableParagraph"/>
              <w:ind w:left="114"/>
              <w:jc w:val="center"/>
            </w:pPr>
            <w:r>
              <w:rPr>
                <w:color w:val="000000"/>
              </w:rPr>
              <w:t>102,626,667</w:t>
            </w:r>
          </w:p>
        </w:tc>
      </w:tr>
      <w:tr w:rsidR="00C9579A" w:rsidTr="007D5BA8" w14:paraId="32FEDBF7" w14:textId="77777777">
        <w:trPr>
          <w:trHeight w:val="520"/>
          <w:jc w:val="center"/>
        </w:trPr>
        <w:tc>
          <w:tcPr>
            <w:tcW w:w="1159" w:type="dxa"/>
          </w:tcPr>
          <w:p w:rsidR="00C9579A" w:rsidP="003E0159" w:rsidRDefault="00C9579A" w14:paraId="32FEDBF3" w14:textId="77777777">
            <w:pPr>
              <w:pStyle w:val="TableParagraph"/>
              <w:spacing w:before="119"/>
              <w:rPr>
                <w:b/>
              </w:rPr>
            </w:pPr>
            <w:r>
              <w:rPr>
                <w:b/>
                <w:spacing w:val="-4"/>
              </w:rPr>
              <w:t>2031</w:t>
            </w:r>
          </w:p>
        </w:tc>
        <w:tc>
          <w:tcPr>
            <w:tcW w:w="1680" w:type="dxa"/>
            <w:vAlign w:val="bottom"/>
          </w:tcPr>
          <w:p w:rsidR="00C9579A" w:rsidP="00535608" w:rsidRDefault="00C9579A" w14:paraId="32FEDBF4" w14:textId="3C67FC4F">
            <w:pPr>
              <w:pStyle w:val="TableParagraph"/>
              <w:spacing w:before="119"/>
              <w:jc w:val="center"/>
            </w:pPr>
            <w:r>
              <w:rPr>
                <w:color w:val="000000"/>
              </w:rPr>
              <w:t>47,100</w:t>
            </w:r>
          </w:p>
        </w:tc>
        <w:tc>
          <w:tcPr>
            <w:tcW w:w="1840" w:type="dxa"/>
            <w:vAlign w:val="bottom"/>
          </w:tcPr>
          <w:p w:rsidR="00C9579A" w:rsidP="00535608" w:rsidRDefault="00C9579A" w14:paraId="32FEDBF5" w14:textId="1526C82C">
            <w:pPr>
              <w:pStyle w:val="TableParagraph"/>
              <w:spacing w:before="119"/>
              <w:ind w:left="113"/>
              <w:jc w:val="center"/>
            </w:pPr>
            <w:r>
              <w:rPr>
                <w:color w:val="000000"/>
              </w:rPr>
              <w:t>2,810,300,000</w:t>
            </w:r>
          </w:p>
        </w:tc>
        <w:tc>
          <w:tcPr>
            <w:tcW w:w="1975" w:type="dxa"/>
            <w:vAlign w:val="bottom"/>
          </w:tcPr>
          <w:p w:rsidR="00C9579A" w:rsidP="00535608" w:rsidRDefault="00C9579A" w14:paraId="32FEDBF6" w14:textId="53325415">
            <w:pPr>
              <w:pStyle w:val="TableParagraph"/>
              <w:spacing w:before="119"/>
              <w:ind w:left="114"/>
              <w:jc w:val="center"/>
            </w:pPr>
            <w:r>
              <w:rPr>
                <w:color w:val="000000"/>
              </w:rPr>
              <w:t>112,412,000</w:t>
            </w:r>
          </w:p>
        </w:tc>
      </w:tr>
      <w:tr w:rsidR="00C9579A" w:rsidTr="007D5BA8" w14:paraId="32FEDBFC" w14:textId="77777777">
        <w:trPr>
          <w:trHeight w:val="520"/>
          <w:jc w:val="center"/>
        </w:trPr>
        <w:tc>
          <w:tcPr>
            <w:tcW w:w="1159" w:type="dxa"/>
          </w:tcPr>
          <w:p w:rsidR="00C9579A" w:rsidP="003E0159" w:rsidRDefault="00C9579A" w14:paraId="32FEDBF8" w14:textId="77777777">
            <w:pPr>
              <w:pStyle w:val="TableParagraph"/>
              <w:rPr>
                <w:b/>
              </w:rPr>
            </w:pPr>
            <w:r>
              <w:rPr>
                <w:b/>
                <w:spacing w:val="-4"/>
              </w:rPr>
              <w:t>2032</w:t>
            </w:r>
          </w:p>
        </w:tc>
        <w:tc>
          <w:tcPr>
            <w:tcW w:w="1680" w:type="dxa"/>
            <w:vAlign w:val="bottom"/>
          </w:tcPr>
          <w:p w:rsidR="00C9579A" w:rsidP="00535608" w:rsidRDefault="00C9579A" w14:paraId="32FEDBF9" w14:textId="4CD07E5F">
            <w:pPr>
              <w:pStyle w:val="TableParagraph"/>
              <w:jc w:val="center"/>
            </w:pPr>
            <w:r>
              <w:rPr>
                <w:color w:val="000000"/>
              </w:rPr>
              <w:t>51,200</w:t>
            </w:r>
          </w:p>
        </w:tc>
        <w:tc>
          <w:tcPr>
            <w:tcW w:w="1840" w:type="dxa"/>
            <w:vAlign w:val="bottom"/>
          </w:tcPr>
          <w:p w:rsidR="00C9579A" w:rsidP="00535608" w:rsidRDefault="00C9579A" w14:paraId="32FEDBFA" w14:textId="4549516D">
            <w:pPr>
              <w:pStyle w:val="TableParagraph"/>
              <w:ind w:left="113"/>
              <w:jc w:val="center"/>
            </w:pPr>
            <w:r>
              <w:rPr>
                <w:color w:val="000000"/>
              </w:rPr>
              <w:t>3,054,933,333</w:t>
            </w:r>
          </w:p>
        </w:tc>
        <w:tc>
          <w:tcPr>
            <w:tcW w:w="1975" w:type="dxa"/>
            <w:vAlign w:val="bottom"/>
          </w:tcPr>
          <w:p w:rsidR="00C9579A" w:rsidP="00535608" w:rsidRDefault="00C9579A" w14:paraId="32FEDBFB" w14:textId="3A6F3D87">
            <w:pPr>
              <w:pStyle w:val="TableParagraph"/>
              <w:ind w:left="114"/>
              <w:jc w:val="center"/>
            </w:pPr>
            <w:r>
              <w:rPr>
                <w:color w:val="000000"/>
              </w:rPr>
              <w:t>122,197,333</w:t>
            </w:r>
          </w:p>
        </w:tc>
      </w:tr>
      <w:tr w:rsidR="00C9579A" w:rsidTr="007D5BA8" w14:paraId="32FEDC01" w14:textId="77777777">
        <w:trPr>
          <w:trHeight w:val="520"/>
          <w:jc w:val="center"/>
        </w:trPr>
        <w:tc>
          <w:tcPr>
            <w:tcW w:w="1159" w:type="dxa"/>
          </w:tcPr>
          <w:p w:rsidR="00C9579A" w:rsidP="003E0159" w:rsidRDefault="00C9579A" w14:paraId="32FEDBFD" w14:textId="77777777">
            <w:pPr>
              <w:pStyle w:val="TableParagraph"/>
              <w:spacing w:before="117"/>
              <w:rPr>
                <w:b/>
              </w:rPr>
            </w:pPr>
            <w:r>
              <w:rPr>
                <w:b/>
                <w:spacing w:val="-4"/>
              </w:rPr>
              <w:t>2033</w:t>
            </w:r>
          </w:p>
        </w:tc>
        <w:tc>
          <w:tcPr>
            <w:tcW w:w="1680" w:type="dxa"/>
            <w:vAlign w:val="bottom"/>
          </w:tcPr>
          <w:p w:rsidR="00C9579A" w:rsidP="00535608" w:rsidRDefault="00C9579A" w14:paraId="32FEDBFE" w14:textId="58983F3B">
            <w:pPr>
              <w:pStyle w:val="TableParagraph"/>
              <w:spacing w:before="117"/>
              <w:jc w:val="center"/>
            </w:pPr>
            <w:r>
              <w:rPr>
                <w:color w:val="000000"/>
              </w:rPr>
              <w:t>55,300</w:t>
            </w:r>
          </w:p>
        </w:tc>
        <w:tc>
          <w:tcPr>
            <w:tcW w:w="1840" w:type="dxa"/>
            <w:vAlign w:val="bottom"/>
          </w:tcPr>
          <w:p w:rsidR="00C9579A" w:rsidP="00535608" w:rsidRDefault="00C9579A" w14:paraId="32FEDBFF" w14:textId="3DDEBF94">
            <w:pPr>
              <w:pStyle w:val="TableParagraph"/>
              <w:spacing w:before="117"/>
              <w:ind w:left="113"/>
              <w:jc w:val="center"/>
            </w:pPr>
            <w:r>
              <w:rPr>
                <w:color w:val="000000"/>
              </w:rPr>
              <w:t>3,299,566,667</w:t>
            </w:r>
          </w:p>
        </w:tc>
        <w:tc>
          <w:tcPr>
            <w:tcW w:w="1975" w:type="dxa"/>
            <w:vAlign w:val="bottom"/>
          </w:tcPr>
          <w:p w:rsidR="00C9579A" w:rsidP="00535608" w:rsidRDefault="00C9579A" w14:paraId="32FEDC00" w14:textId="219E6F5A">
            <w:pPr>
              <w:pStyle w:val="TableParagraph"/>
              <w:spacing w:before="117"/>
              <w:ind w:left="114"/>
              <w:jc w:val="center"/>
            </w:pPr>
            <w:r>
              <w:rPr>
                <w:color w:val="000000"/>
              </w:rPr>
              <w:t>131,982,667</w:t>
            </w:r>
          </w:p>
        </w:tc>
      </w:tr>
      <w:tr w:rsidR="00C9579A" w:rsidTr="007D5BA8" w14:paraId="32FEDC06" w14:textId="77777777">
        <w:trPr>
          <w:trHeight w:val="522"/>
          <w:jc w:val="center"/>
        </w:trPr>
        <w:tc>
          <w:tcPr>
            <w:tcW w:w="1159" w:type="dxa"/>
          </w:tcPr>
          <w:p w:rsidR="00C9579A" w:rsidP="003E0159" w:rsidRDefault="00C9579A" w14:paraId="32FEDC02" w14:textId="77777777">
            <w:pPr>
              <w:pStyle w:val="TableParagraph"/>
              <w:spacing w:before="119"/>
              <w:rPr>
                <w:b/>
              </w:rPr>
            </w:pPr>
            <w:r>
              <w:rPr>
                <w:b/>
                <w:spacing w:val="-4"/>
              </w:rPr>
              <w:t>2034</w:t>
            </w:r>
          </w:p>
        </w:tc>
        <w:tc>
          <w:tcPr>
            <w:tcW w:w="1680" w:type="dxa"/>
            <w:vAlign w:val="bottom"/>
          </w:tcPr>
          <w:p w:rsidR="00C9579A" w:rsidP="00535608" w:rsidRDefault="00C9579A" w14:paraId="32FEDC03" w14:textId="5622A4AA">
            <w:pPr>
              <w:pStyle w:val="TableParagraph"/>
              <w:spacing w:before="119"/>
              <w:jc w:val="center"/>
            </w:pPr>
            <w:r>
              <w:rPr>
                <w:color w:val="000000"/>
              </w:rPr>
              <w:t>59,400</w:t>
            </w:r>
          </w:p>
        </w:tc>
        <w:tc>
          <w:tcPr>
            <w:tcW w:w="1840" w:type="dxa"/>
            <w:vAlign w:val="bottom"/>
          </w:tcPr>
          <w:p w:rsidR="00C9579A" w:rsidP="00535608" w:rsidRDefault="00C9579A" w14:paraId="32FEDC04" w14:textId="316FB240">
            <w:pPr>
              <w:pStyle w:val="TableParagraph"/>
              <w:spacing w:before="119"/>
              <w:ind w:left="113"/>
              <w:jc w:val="center"/>
            </w:pPr>
            <w:r>
              <w:rPr>
                <w:color w:val="000000"/>
              </w:rPr>
              <w:t>3,544,200,000</w:t>
            </w:r>
          </w:p>
        </w:tc>
        <w:tc>
          <w:tcPr>
            <w:tcW w:w="1975" w:type="dxa"/>
            <w:vAlign w:val="bottom"/>
          </w:tcPr>
          <w:p w:rsidR="00C9579A" w:rsidP="00535608" w:rsidRDefault="00C9579A" w14:paraId="32FEDC05" w14:textId="388BEB8C">
            <w:pPr>
              <w:pStyle w:val="TableParagraph"/>
              <w:spacing w:before="119"/>
              <w:ind w:left="114"/>
              <w:jc w:val="center"/>
            </w:pPr>
            <w:r>
              <w:rPr>
                <w:color w:val="000000"/>
              </w:rPr>
              <w:t>141,768,000</w:t>
            </w:r>
          </w:p>
        </w:tc>
      </w:tr>
      <w:tr w:rsidR="00C9579A" w:rsidTr="007D5BA8" w14:paraId="32FEDC0B" w14:textId="77777777">
        <w:trPr>
          <w:trHeight w:val="517"/>
          <w:jc w:val="center"/>
        </w:trPr>
        <w:tc>
          <w:tcPr>
            <w:tcW w:w="1159" w:type="dxa"/>
          </w:tcPr>
          <w:p w:rsidR="00C9579A" w:rsidP="003E0159" w:rsidRDefault="00C9579A" w14:paraId="32FEDC07" w14:textId="77777777">
            <w:pPr>
              <w:pStyle w:val="TableParagraph"/>
              <w:rPr>
                <w:b/>
              </w:rPr>
            </w:pPr>
            <w:r>
              <w:rPr>
                <w:b/>
                <w:spacing w:val="-4"/>
              </w:rPr>
              <w:t>2035</w:t>
            </w:r>
          </w:p>
        </w:tc>
        <w:tc>
          <w:tcPr>
            <w:tcW w:w="1680" w:type="dxa"/>
            <w:vAlign w:val="bottom"/>
          </w:tcPr>
          <w:p w:rsidR="00C9579A" w:rsidP="00535608" w:rsidRDefault="00C9579A" w14:paraId="32FEDC08" w14:textId="6AD83618">
            <w:pPr>
              <w:pStyle w:val="TableParagraph"/>
              <w:jc w:val="center"/>
            </w:pPr>
            <w:r>
              <w:rPr>
                <w:color w:val="000000"/>
              </w:rPr>
              <w:t>63,500</w:t>
            </w:r>
          </w:p>
        </w:tc>
        <w:tc>
          <w:tcPr>
            <w:tcW w:w="1840" w:type="dxa"/>
            <w:vAlign w:val="bottom"/>
          </w:tcPr>
          <w:p w:rsidR="00C9579A" w:rsidP="00535608" w:rsidRDefault="00C9579A" w14:paraId="32FEDC09" w14:textId="596B11EF">
            <w:pPr>
              <w:pStyle w:val="TableParagraph"/>
              <w:ind w:left="113"/>
              <w:jc w:val="center"/>
            </w:pPr>
            <w:r>
              <w:rPr>
                <w:color w:val="000000"/>
              </w:rPr>
              <w:t>3,788,833,333</w:t>
            </w:r>
          </w:p>
        </w:tc>
        <w:tc>
          <w:tcPr>
            <w:tcW w:w="1975" w:type="dxa"/>
            <w:vAlign w:val="bottom"/>
          </w:tcPr>
          <w:p w:rsidR="00C9579A" w:rsidP="00535608" w:rsidRDefault="00C9579A" w14:paraId="32FEDC0A" w14:textId="321A8812">
            <w:pPr>
              <w:pStyle w:val="TableParagraph"/>
              <w:ind w:left="114"/>
              <w:jc w:val="center"/>
            </w:pPr>
            <w:r>
              <w:rPr>
                <w:color w:val="000000"/>
              </w:rPr>
              <w:t>151,553,333</w:t>
            </w:r>
          </w:p>
        </w:tc>
      </w:tr>
      <w:tr w:rsidR="00C9579A" w:rsidTr="007D5BA8" w14:paraId="32FEDC10" w14:textId="77777777">
        <w:trPr>
          <w:trHeight w:val="520"/>
          <w:jc w:val="center"/>
        </w:trPr>
        <w:tc>
          <w:tcPr>
            <w:tcW w:w="1159" w:type="dxa"/>
          </w:tcPr>
          <w:p w:rsidR="00C9579A" w:rsidP="003E0159" w:rsidRDefault="00C9579A" w14:paraId="32FEDC0C" w14:textId="77777777">
            <w:pPr>
              <w:pStyle w:val="TableParagraph"/>
              <w:spacing w:before="119"/>
              <w:rPr>
                <w:b/>
              </w:rPr>
            </w:pPr>
            <w:r>
              <w:rPr>
                <w:b/>
                <w:spacing w:val="-4"/>
              </w:rPr>
              <w:t>2036</w:t>
            </w:r>
          </w:p>
        </w:tc>
        <w:tc>
          <w:tcPr>
            <w:tcW w:w="1680" w:type="dxa"/>
            <w:vAlign w:val="bottom"/>
          </w:tcPr>
          <w:p w:rsidR="00C9579A" w:rsidP="00535608" w:rsidRDefault="00C9579A" w14:paraId="32FEDC0D" w14:textId="3EE2DC54">
            <w:pPr>
              <w:pStyle w:val="TableParagraph"/>
              <w:spacing w:before="119"/>
              <w:jc w:val="center"/>
            </w:pPr>
            <w:r>
              <w:rPr>
                <w:color w:val="000000"/>
              </w:rPr>
              <w:t>67,600</w:t>
            </w:r>
          </w:p>
        </w:tc>
        <w:tc>
          <w:tcPr>
            <w:tcW w:w="1840" w:type="dxa"/>
            <w:vAlign w:val="bottom"/>
          </w:tcPr>
          <w:p w:rsidR="00C9579A" w:rsidP="00535608" w:rsidRDefault="00C9579A" w14:paraId="32FEDC0E" w14:textId="287BDA97">
            <w:pPr>
              <w:pStyle w:val="TableParagraph"/>
              <w:spacing w:before="119"/>
              <w:ind w:left="113"/>
              <w:jc w:val="center"/>
            </w:pPr>
            <w:r>
              <w:rPr>
                <w:color w:val="000000"/>
              </w:rPr>
              <w:t>4,033,466,667</w:t>
            </w:r>
          </w:p>
        </w:tc>
        <w:tc>
          <w:tcPr>
            <w:tcW w:w="1975" w:type="dxa"/>
            <w:vAlign w:val="bottom"/>
          </w:tcPr>
          <w:p w:rsidR="00C9579A" w:rsidP="00535608" w:rsidRDefault="00C9579A" w14:paraId="32FEDC0F" w14:textId="37864322">
            <w:pPr>
              <w:pStyle w:val="TableParagraph"/>
              <w:spacing w:before="119"/>
              <w:ind w:left="114"/>
              <w:jc w:val="center"/>
            </w:pPr>
            <w:r>
              <w:rPr>
                <w:color w:val="000000"/>
              </w:rPr>
              <w:t>161,338,667</w:t>
            </w:r>
          </w:p>
        </w:tc>
      </w:tr>
      <w:tr w:rsidR="00C9579A" w:rsidTr="007D5BA8" w14:paraId="32FEDC15" w14:textId="77777777">
        <w:trPr>
          <w:trHeight w:val="520"/>
          <w:jc w:val="center"/>
        </w:trPr>
        <w:tc>
          <w:tcPr>
            <w:tcW w:w="1159" w:type="dxa"/>
          </w:tcPr>
          <w:p w:rsidR="00C9579A" w:rsidP="003E0159" w:rsidRDefault="00C9579A" w14:paraId="32FEDC11" w14:textId="77777777">
            <w:pPr>
              <w:pStyle w:val="TableParagraph"/>
              <w:rPr>
                <w:b/>
              </w:rPr>
            </w:pPr>
            <w:r>
              <w:rPr>
                <w:b/>
                <w:spacing w:val="-4"/>
              </w:rPr>
              <w:t>2037</w:t>
            </w:r>
          </w:p>
        </w:tc>
        <w:tc>
          <w:tcPr>
            <w:tcW w:w="1680" w:type="dxa"/>
            <w:vAlign w:val="bottom"/>
          </w:tcPr>
          <w:p w:rsidR="00C9579A" w:rsidP="00535608" w:rsidRDefault="00C9579A" w14:paraId="32FEDC12" w14:textId="34CA3868">
            <w:pPr>
              <w:pStyle w:val="TableParagraph"/>
              <w:jc w:val="center"/>
            </w:pPr>
            <w:r>
              <w:rPr>
                <w:color w:val="000000"/>
              </w:rPr>
              <w:t>71,700</w:t>
            </w:r>
          </w:p>
        </w:tc>
        <w:tc>
          <w:tcPr>
            <w:tcW w:w="1840" w:type="dxa"/>
            <w:vAlign w:val="bottom"/>
          </w:tcPr>
          <w:p w:rsidR="00C9579A" w:rsidP="00535608" w:rsidRDefault="00C9579A" w14:paraId="32FEDC13" w14:textId="17E45688">
            <w:pPr>
              <w:pStyle w:val="TableParagraph"/>
              <w:ind w:left="113"/>
              <w:jc w:val="center"/>
            </w:pPr>
            <w:r>
              <w:rPr>
                <w:color w:val="000000"/>
              </w:rPr>
              <w:t>4,278,100,000</w:t>
            </w:r>
          </w:p>
        </w:tc>
        <w:tc>
          <w:tcPr>
            <w:tcW w:w="1975" w:type="dxa"/>
            <w:vAlign w:val="bottom"/>
          </w:tcPr>
          <w:p w:rsidR="00C9579A" w:rsidP="00535608" w:rsidRDefault="00C9579A" w14:paraId="32FEDC14" w14:textId="33A389D7">
            <w:pPr>
              <w:pStyle w:val="TableParagraph"/>
              <w:ind w:left="114"/>
              <w:jc w:val="center"/>
            </w:pPr>
            <w:r>
              <w:rPr>
                <w:color w:val="000000"/>
              </w:rPr>
              <w:t>171,124,000</w:t>
            </w:r>
          </w:p>
        </w:tc>
      </w:tr>
      <w:tr w:rsidR="00C9579A" w:rsidTr="007D5BA8" w14:paraId="32FEDC1A" w14:textId="77777777">
        <w:trPr>
          <w:trHeight w:val="520"/>
          <w:jc w:val="center"/>
        </w:trPr>
        <w:tc>
          <w:tcPr>
            <w:tcW w:w="1159" w:type="dxa"/>
          </w:tcPr>
          <w:p w:rsidR="00C9579A" w:rsidP="003E0159" w:rsidRDefault="00C9579A" w14:paraId="32FEDC16" w14:textId="77777777">
            <w:pPr>
              <w:pStyle w:val="TableParagraph"/>
              <w:rPr>
                <w:b/>
              </w:rPr>
            </w:pPr>
            <w:r>
              <w:rPr>
                <w:b/>
                <w:spacing w:val="-4"/>
              </w:rPr>
              <w:t>2038</w:t>
            </w:r>
          </w:p>
        </w:tc>
        <w:tc>
          <w:tcPr>
            <w:tcW w:w="1680" w:type="dxa"/>
            <w:vAlign w:val="bottom"/>
          </w:tcPr>
          <w:p w:rsidR="00C9579A" w:rsidP="00535608" w:rsidRDefault="00C9579A" w14:paraId="32FEDC17" w14:textId="23EBC424">
            <w:pPr>
              <w:pStyle w:val="TableParagraph"/>
              <w:jc w:val="center"/>
            </w:pPr>
            <w:r>
              <w:rPr>
                <w:color w:val="000000"/>
              </w:rPr>
              <w:t>75,800</w:t>
            </w:r>
          </w:p>
        </w:tc>
        <w:tc>
          <w:tcPr>
            <w:tcW w:w="1840" w:type="dxa"/>
            <w:vAlign w:val="bottom"/>
          </w:tcPr>
          <w:p w:rsidR="00C9579A" w:rsidP="00535608" w:rsidRDefault="00C9579A" w14:paraId="32FEDC18" w14:textId="61465EDF">
            <w:pPr>
              <w:pStyle w:val="TableParagraph"/>
              <w:ind w:left="113"/>
              <w:jc w:val="center"/>
            </w:pPr>
            <w:r>
              <w:rPr>
                <w:color w:val="000000"/>
              </w:rPr>
              <w:t>4,522,733,333</w:t>
            </w:r>
          </w:p>
        </w:tc>
        <w:tc>
          <w:tcPr>
            <w:tcW w:w="1975" w:type="dxa"/>
            <w:vAlign w:val="bottom"/>
          </w:tcPr>
          <w:p w:rsidR="00C9579A" w:rsidP="00535608" w:rsidRDefault="00C9579A" w14:paraId="32FEDC19" w14:textId="21352854">
            <w:pPr>
              <w:pStyle w:val="TableParagraph"/>
              <w:ind w:left="114"/>
              <w:jc w:val="center"/>
            </w:pPr>
            <w:r>
              <w:rPr>
                <w:color w:val="000000"/>
              </w:rPr>
              <w:t>180,909,333</w:t>
            </w:r>
          </w:p>
        </w:tc>
      </w:tr>
      <w:tr w:rsidR="00C9579A" w:rsidTr="007D5BA8" w14:paraId="32FEDC1F" w14:textId="77777777">
        <w:trPr>
          <w:trHeight w:val="522"/>
          <w:jc w:val="center"/>
        </w:trPr>
        <w:tc>
          <w:tcPr>
            <w:tcW w:w="1159" w:type="dxa"/>
          </w:tcPr>
          <w:p w:rsidR="00C9579A" w:rsidP="003E0159" w:rsidRDefault="00C9579A" w14:paraId="32FEDC1B" w14:textId="77777777">
            <w:pPr>
              <w:pStyle w:val="TableParagraph"/>
              <w:rPr>
                <w:b/>
              </w:rPr>
            </w:pPr>
            <w:r>
              <w:rPr>
                <w:b/>
                <w:spacing w:val="-4"/>
              </w:rPr>
              <w:t>2039</w:t>
            </w:r>
          </w:p>
        </w:tc>
        <w:tc>
          <w:tcPr>
            <w:tcW w:w="1680" w:type="dxa"/>
            <w:vAlign w:val="bottom"/>
          </w:tcPr>
          <w:p w:rsidR="00C9579A" w:rsidP="00535608" w:rsidRDefault="00C9579A" w14:paraId="32FEDC1C" w14:textId="0F58DB70">
            <w:pPr>
              <w:pStyle w:val="TableParagraph"/>
              <w:jc w:val="center"/>
            </w:pPr>
            <w:r>
              <w:rPr>
                <w:color w:val="000000"/>
              </w:rPr>
              <w:t>79,900</w:t>
            </w:r>
          </w:p>
        </w:tc>
        <w:tc>
          <w:tcPr>
            <w:tcW w:w="1840" w:type="dxa"/>
            <w:vAlign w:val="bottom"/>
          </w:tcPr>
          <w:p w:rsidR="00C9579A" w:rsidP="00535608" w:rsidRDefault="00C9579A" w14:paraId="32FEDC1D" w14:textId="526E9430">
            <w:pPr>
              <w:pStyle w:val="TableParagraph"/>
              <w:ind w:left="113"/>
              <w:jc w:val="center"/>
            </w:pPr>
            <w:r>
              <w:rPr>
                <w:color w:val="000000"/>
              </w:rPr>
              <w:t>4,767,366,667</w:t>
            </w:r>
          </w:p>
        </w:tc>
        <w:tc>
          <w:tcPr>
            <w:tcW w:w="1975" w:type="dxa"/>
            <w:vAlign w:val="bottom"/>
          </w:tcPr>
          <w:p w:rsidR="00C9579A" w:rsidP="00535608" w:rsidRDefault="00C9579A" w14:paraId="32FEDC1E" w14:textId="5EC41187">
            <w:pPr>
              <w:pStyle w:val="TableParagraph"/>
              <w:ind w:left="114"/>
              <w:jc w:val="center"/>
            </w:pPr>
            <w:r>
              <w:rPr>
                <w:color w:val="000000"/>
              </w:rPr>
              <w:t>190,694,667</w:t>
            </w:r>
          </w:p>
        </w:tc>
      </w:tr>
      <w:tr w:rsidR="00C9579A" w:rsidTr="007D5BA8" w14:paraId="32FEDC24" w14:textId="77777777">
        <w:trPr>
          <w:trHeight w:val="518"/>
          <w:jc w:val="center"/>
        </w:trPr>
        <w:tc>
          <w:tcPr>
            <w:tcW w:w="1159" w:type="dxa"/>
          </w:tcPr>
          <w:p w:rsidR="00C9579A" w:rsidP="003E0159" w:rsidRDefault="00C9579A" w14:paraId="32FEDC20" w14:textId="77777777">
            <w:pPr>
              <w:pStyle w:val="TableParagraph"/>
              <w:spacing w:before="117"/>
              <w:rPr>
                <w:b/>
              </w:rPr>
            </w:pPr>
            <w:r>
              <w:rPr>
                <w:b/>
                <w:spacing w:val="-4"/>
              </w:rPr>
              <w:t>2040</w:t>
            </w:r>
          </w:p>
        </w:tc>
        <w:tc>
          <w:tcPr>
            <w:tcW w:w="1680" w:type="dxa"/>
            <w:vAlign w:val="bottom"/>
          </w:tcPr>
          <w:p w:rsidR="00C9579A" w:rsidP="00535608" w:rsidRDefault="00C9579A" w14:paraId="32FEDC21" w14:textId="22E13F1D">
            <w:pPr>
              <w:pStyle w:val="TableParagraph"/>
              <w:spacing w:before="117"/>
              <w:jc w:val="center"/>
            </w:pPr>
            <w:r>
              <w:rPr>
                <w:color w:val="000000"/>
              </w:rPr>
              <w:t>84,000</w:t>
            </w:r>
          </w:p>
        </w:tc>
        <w:tc>
          <w:tcPr>
            <w:tcW w:w="1840" w:type="dxa"/>
            <w:vAlign w:val="bottom"/>
          </w:tcPr>
          <w:p w:rsidR="00C9579A" w:rsidP="00535608" w:rsidRDefault="00C9579A" w14:paraId="32FEDC22" w14:textId="363104C6">
            <w:pPr>
              <w:pStyle w:val="TableParagraph"/>
              <w:spacing w:before="117"/>
              <w:ind w:left="113"/>
              <w:jc w:val="center"/>
            </w:pPr>
            <w:r>
              <w:rPr>
                <w:color w:val="000000"/>
              </w:rPr>
              <w:t>5,012,000,000</w:t>
            </w:r>
          </w:p>
        </w:tc>
        <w:tc>
          <w:tcPr>
            <w:tcW w:w="1975" w:type="dxa"/>
            <w:vAlign w:val="bottom"/>
          </w:tcPr>
          <w:p w:rsidR="00C9579A" w:rsidP="00535608" w:rsidRDefault="00C9579A" w14:paraId="32FEDC23" w14:textId="27C5D35E">
            <w:pPr>
              <w:pStyle w:val="TableParagraph"/>
              <w:spacing w:before="117"/>
              <w:ind w:left="114"/>
              <w:jc w:val="center"/>
            </w:pPr>
            <w:r>
              <w:rPr>
                <w:color w:val="000000"/>
              </w:rPr>
              <w:t>200,480,000</w:t>
            </w:r>
          </w:p>
        </w:tc>
      </w:tr>
      <w:tr w:rsidR="00C9579A" w:rsidTr="007D5BA8" w14:paraId="32FEDC29" w14:textId="77777777">
        <w:trPr>
          <w:trHeight w:val="520"/>
          <w:jc w:val="center"/>
        </w:trPr>
        <w:tc>
          <w:tcPr>
            <w:tcW w:w="1159" w:type="dxa"/>
          </w:tcPr>
          <w:p w:rsidR="00C9579A" w:rsidP="003E0159" w:rsidRDefault="00C9579A" w14:paraId="32FEDC25" w14:textId="77777777">
            <w:pPr>
              <w:pStyle w:val="TableParagraph"/>
              <w:spacing w:before="119"/>
              <w:rPr>
                <w:b/>
              </w:rPr>
            </w:pPr>
            <w:r>
              <w:rPr>
                <w:b/>
                <w:spacing w:val="-4"/>
              </w:rPr>
              <w:t>2041</w:t>
            </w:r>
          </w:p>
        </w:tc>
        <w:tc>
          <w:tcPr>
            <w:tcW w:w="1680" w:type="dxa"/>
            <w:vAlign w:val="bottom"/>
          </w:tcPr>
          <w:p w:rsidR="00C9579A" w:rsidP="00535608" w:rsidRDefault="00C9579A" w14:paraId="32FEDC26" w14:textId="6B4A7D82">
            <w:pPr>
              <w:pStyle w:val="TableParagraph"/>
              <w:spacing w:before="119"/>
              <w:jc w:val="center"/>
            </w:pPr>
            <w:r>
              <w:rPr>
                <w:color w:val="000000"/>
              </w:rPr>
              <w:t>88,100</w:t>
            </w:r>
          </w:p>
        </w:tc>
        <w:tc>
          <w:tcPr>
            <w:tcW w:w="1840" w:type="dxa"/>
            <w:vAlign w:val="bottom"/>
          </w:tcPr>
          <w:p w:rsidR="00C9579A" w:rsidP="00535608" w:rsidRDefault="00C9579A" w14:paraId="32FEDC27" w14:textId="7E04F7B0">
            <w:pPr>
              <w:pStyle w:val="TableParagraph"/>
              <w:spacing w:before="119"/>
              <w:ind w:left="113"/>
              <w:jc w:val="center"/>
            </w:pPr>
            <w:r>
              <w:rPr>
                <w:color w:val="000000"/>
              </w:rPr>
              <w:t>5,256,633,333</w:t>
            </w:r>
          </w:p>
        </w:tc>
        <w:tc>
          <w:tcPr>
            <w:tcW w:w="1975" w:type="dxa"/>
            <w:vAlign w:val="bottom"/>
          </w:tcPr>
          <w:p w:rsidR="00C9579A" w:rsidP="00535608" w:rsidRDefault="00C9579A" w14:paraId="32FEDC28" w14:textId="471C3FD8">
            <w:pPr>
              <w:pStyle w:val="TableParagraph"/>
              <w:spacing w:before="119"/>
              <w:ind w:left="114"/>
              <w:jc w:val="center"/>
            </w:pPr>
            <w:r>
              <w:rPr>
                <w:color w:val="000000"/>
              </w:rPr>
              <w:t>210,265,333</w:t>
            </w:r>
          </w:p>
        </w:tc>
      </w:tr>
      <w:tr w:rsidR="00C9579A" w:rsidTr="007D5BA8" w14:paraId="32FEDC2E" w14:textId="77777777">
        <w:trPr>
          <w:trHeight w:val="520"/>
          <w:jc w:val="center"/>
        </w:trPr>
        <w:tc>
          <w:tcPr>
            <w:tcW w:w="1159" w:type="dxa"/>
          </w:tcPr>
          <w:p w:rsidR="00C9579A" w:rsidP="003E0159" w:rsidRDefault="00C9579A" w14:paraId="32FEDC2A" w14:textId="77777777">
            <w:pPr>
              <w:pStyle w:val="TableParagraph"/>
              <w:rPr>
                <w:b/>
              </w:rPr>
            </w:pPr>
            <w:r>
              <w:rPr>
                <w:b/>
                <w:spacing w:val="-4"/>
              </w:rPr>
              <w:t>2042</w:t>
            </w:r>
          </w:p>
        </w:tc>
        <w:tc>
          <w:tcPr>
            <w:tcW w:w="1680" w:type="dxa"/>
            <w:vAlign w:val="bottom"/>
          </w:tcPr>
          <w:p w:rsidR="00C9579A" w:rsidP="00535608" w:rsidRDefault="00C9579A" w14:paraId="32FEDC2B" w14:textId="21CA1158">
            <w:pPr>
              <w:pStyle w:val="TableParagraph"/>
              <w:jc w:val="center"/>
            </w:pPr>
            <w:r>
              <w:rPr>
                <w:color w:val="000000"/>
              </w:rPr>
              <w:t>92,200</w:t>
            </w:r>
          </w:p>
        </w:tc>
        <w:tc>
          <w:tcPr>
            <w:tcW w:w="1840" w:type="dxa"/>
            <w:vAlign w:val="bottom"/>
          </w:tcPr>
          <w:p w:rsidR="00C9579A" w:rsidP="00535608" w:rsidRDefault="00C9579A" w14:paraId="32FEDC2C" w14:textId="3659C065">
            <w:pPr>
              <w:pStyle w:val="TableParagraph"/>
              <w:ind w:left="113"/>
              <w:jc w:val="center"/>
            </w:pPr>
            <w:r>
              <w:rPr>
                <w:color w:val="000000"/>
              </w:rPr>
              <w:t>5,501,266,667</w:t>
            </w:r>
          </w:p>
        </w:tc>
        <w:tc>
          <w:tcPr>
            <w:tcW w:w="1975" w:type="dxa"/>
            <w:vAlign w:val="bottom"/>
          </w:tcPr>
          <w:p w:rsidR="00C9579A" w:rsidP="00535608" w:rsidRDefault="00C9579A" w14:paraId="32FEDC2D" w14:textId="34094D72">
            <w:pPr>
              <w:pStyle w:val="TableParagraph"/>
              <w:ind w:left="114"/>
              <w:jc w:val="center"/>
            </w:pPr>
            <w:r>
              <w:rPr>
                <w:color w:val="000000"/>
              </w:rPr>
              <w:t>220,050,667</w:t>
            </w:r>
          </w:p>
        </w:tc>
      </w:tr>
      <w:tr w:rsidR="00C9579A" w:rsidTr="007D5BA8" w14:paraId="52626B28"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3134052A" w14:textId="77777777">
            <w:pPr>
              <w:pStyle w:val="TableParagraph"/>
              <w:rPr>
                <w:b/>
                <w:spacing w:val="-4"/>
              </w:rPr>
            </w:pPr>
            <w:r w:rsidRPr="009C5950">
              <w:rPr>
                <w:b/>
                <w:spacing w:val="-4"/>
              </w:rPr>
              <w:t xml:space="preserve">2043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33B6E7B6" w14:textId="63ECD12C">
            <w:pPr>
              <w:pStyle w:val="TableParagraph"/>
              <w:jc w:val="center"/>
              <w:rPr>
                <w:spacing w:val="-2"/>
              </w:rPr>
            </w:pPr>
            <w:r>
              <w:rPr>
                <w:color w:val="000000"/>
              </w:rPr>
              <w:t>96,300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0AE40797" w14:textId="48F475B6">
            <w:pPr>
              <w:pStyle w:val="TableParagraph"/>
              <w:ind w:left="113"/>
              <w:jc w:val="center"/>
              <w:rPr>
                <w:spacing w:val="-2"/>
              </w:rPr>
            </w:pPr>
            <w:r>
              <w:rPr>
                <w:color w:val="000000"/>
              </w:rPr>
              <w:t>5,745,900,000</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6903D07E" w14:textId="13167E96">
            <w:pPr>
              <w:pStyle w:val="TableParagraph"/>
              <w:ind w:left="114"/>
              <w:jc w:val="center"/>
              <w:rPr>
                <w:spacing w:val="-2"/>
              </w:rPr>
            </w:pPr>
            <w:r>
              <w:rPr>
                <w:color w:val="000000"/>
              </w:rPr>
              <w:t>229,836,000</w:t>
            </w:r>
          </w:p>
        </w:tc>
      </w:tr>
      <w:tr w:rsidR="00C9579A" w:rsidTr="007D5BA8" w14:paraId="23C828D6"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24B5C143" w14:textId="77777777">
            <w:pPr>
              <w:pStyle w:val="TableParagraph"/>
              <w:rPr>
                <w:b/>
                <w:spacing w:val="-4"/>
              </w:rPr>
            </w:pPr>
            <w:r w:rsidRPr="009C5950">
              <w:rPr>
                <w:b/>
                <w:spacing w:val="-4"/>
              </w:rPr>
              <w:t xml:space="preserve">2044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6BC3F81C" w14:textId="61030E6A">
            <w:pPr>
              <w:pStyle w:val="TableParagraph"/>
              <w:jc w:val="center"/>
              <w:rPr>
                <w:spacing w:val="-2"/>
              </w:rPr>
            </w:pPr>
            <w:r>
              <w:rPr>
                <w:color w:val="000000"/>
              </w:rPr>
              <w:t>100,400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58124308" w14:textId="797656C5">
            <w:pPr>
              <w:pStyle w:val="TableParagraph"/>
              <w:ind w:left="113"/>
              <w:jc w:val="center"/>
              <w:rPr>
                <w:spacing w:val="-2"/>
              </w:rPr>
            </w:pPr>
            <w:r>
              <w:rPr>
                <w:color w:val="000000"/>
              </w:rPr>
              <w:t>5,990,533,333</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4FA2634C" w14:textId="1C643600">
            <w:pPr>
              <w:pStyle w:val="TableParagraph"/>
              <w:ind w:left="114"/>
              <w:jc w:val="center"/>
              <w:rPr>
                <w:spacing w:val="-2"/>
              </w:rPr>
            </w:pPr>
            <w:r>
              <w:rPr>
                <w:color w:val="000000"/>
              </w:rPr>
              <w:t>239,621,333</w:t>
            </w:r>
          </w:p>
        </w:tc>
      </w:tr>
      <w:tr w:rsidR="00C9579A" w:rsidTr="007D5BA8" w14:paraId="077874FA"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50D3657E" w14:textId="77777777">
            <w:pPr>
              <w:pStyle w:val="TableParagraph"/>
              <w:rPr>
                <w:b/>
                <w:spacing w:val="-4"/>
              </w:rPr>
            </w:pPr>
            <w:r w:rsidRPr="009C5950">
              <w:rPr>
                <w:b/>
                <w:spacing w:val="-4"/>
              </w:rPr>
              <w:t xml:space="preserve">2045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58E9851D" w14:textId="4B785705">
            <w:pPr>
              <w:pStyle w:val="TableParagraph"/>
              <w:jc w:val="center"/>
              <w:rPr>
                <w:spacing w:val="-2"/>
              </w:rPr>
            </w:pPr>
            <w:r>
              <w:rPr>
                <w:color w:val="000000"/>
              </w:rPr>
              <w:t>104,500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11A48A6C" w14:textId="2D04A249">
            <w:pPr>
              <w:pStyle w:val="TableParagraph"/>
              <w:ind w:left="113"/>
              <w:jc w:val="center"/>
              <w:rPr>
                <w:spacing w:val="-2"/>
              </w:rPr>
            </w:pPr>
            <w:r>
              <w:rPr>
                <w:color w:val="000000"/>
              </w:rPr>
              <w:t>6,235,166,667</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705EFF63" w14:textId="77D43392">
            <w:pPr>
              <w:pStyle w:val="TableParagraph"/>
              <w:ind w:left="114"/>
              <w:jc w:val="center"/>
              <w:rPr>
                <w:spacing w:val="-2"/>
              </w:rPr>
            </w:pPr>
            <w:r>
              <w:rPr>
                <w:color w:val="000000"/>
              </w:rPr>
              <w:t>249,406,667</w:t>
            </w:r>
          </w:p>
        </w:tc>
      </w:tr>
      <w:tr w:rsidR="00C9579A" w:rsidTr="007D5BA8" w14:paraId="375BEA6C"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332C3F9C" w14:textId="77777777">
            <w:pPr>
              <w:pStyle w:val="TableParagraph"/>
              <w:rPr>
                <w:b/>
                <w:spacing w:val="-4"/>
              </w:rPr>
            </w:pPr>
            <w:r w:rsidRPr="009C5950">
              <w:rPr>
                <w:b/>
                <w:spacing w:val="-4"/>
              </w:rPr>
              <w:t xml:space="preserve">2046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439124A1" w14:textId="22CB51FD">
            <w:pPr>
              <w:pStyle w:val="TableParagraph"/>
              <w:jc w:val="center"/>
              <w:rPr>
                <w:spacing w:val="-2"/>
              </w:rPr>
            </w:pPr>
            <w:r>
              <w:rPr>
                <w:color w:val="000000"/>
              </w:rPr>
              <w:t>108,600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32370FFA" w14:textId="1AE46706">
            <w:pPr>
              <w:pStyle w:val="TableParagraph"/>
              <w:ind w:left="113"/>
              <w:jc w:val="center"/>
              <w:rPr>
                <w:spacing w:val="-2"/>
              </w:rPr>
            </w:pPr>
            <w:r>
              <w:rPr>
                <w:color w:val="000000"/>
              </w:rPr>
              <w:t>6,479,800,000</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056CBB59" w14:textId="601611C4">
            <w:pPr>
              <w:pStyle w:val="TableParagraph"/>
              <w:ind w:left="114"/>
              <w:jc w:val="center"/>
              <w:rPr>
                <w:spacing w:val="-2"/>
              </w:rPr>
            </w:pPr>
            <w:r>
              <w:rPr>
                <w:color w:val="000000"/>
              </w:rPr>
              <w:t>259,192,000</w:t>
            </w:r>
          </w:p>
        </w:tc>
      </w:tr>
      <w:tr w:rsidR="00C9579A" w:rsidTr="007D5BA8" w14:paraId="0739229C"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5C3D07B3" w14:textId="77777777">
            <w:pPr>
              <w:pStyle w:val="TableParagraph"/>
              <w:rPr>
                <w:b/>
                <w:spacing w:val="-4"/>
              </w:rPr>
            </w:pPr>
            <w:r w:rsidRPr="009C5950">
              <w:rPr>
                <w:b/>
                <w:spacing w:val="-4"/>
              </w:rPr>
              <w:t xml:space="preserve">2047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2C5D4F65" w14:textId="49B47C85">
            <w:pPr>
              <w:pStyle w:val="TableParagraph"/>
              <w:jc w:val="center"/>
              <w:rPr>
                <w:spacing w:val="-2"/>
              </w:rPr>
            </w:pPr>
            <w:r>
              <w:rPr>
                <w:color w:val="000000"/>
              </w:rPr>
              <w:t>112,700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12BBA8B7" w14:textId="09605BE4">
            <w:pPr>
              <w:pStyle w:val="TableParagraph"/>
              <w:ind w:left="113"/>
              <w:jc w:val="center"/>
              <w:rPr>
                <w:spacing w:val="-2"/>
              </w:rPr>
            </w:pPr>
            <w:r>
              <w:rPr>
                <w:color w:val="000000"/>
              </w:rPr>
              <w:t>6,724,433,333</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444431D9" w14:textId="7787E1B5">
            <w:pPr>
              <w:pStyle w:val="TableParagraph"/>
              <w:ind w:left="114"/>
              <w:jc w:val="center"/>
              <w:rPr>
                <w:spacing w:val="-2"/>
              </w:rPr>
            </w:pPr>
            <w:r>
              <w:rPr>
                <w:color w:val="000000"/>
              </w:rPr>
              <w:t>268,977,333</w:t>
            </w:r>
          </w:p>
        </w:tc>
      </w:tr>
      <w:tr w:rsidR="00C9579A" w:rsidTr="007D5BA8" w14:paraId="2BEE1390"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35F166CE" w14:textId="77777777">
            <w:pPr>
              <w:pStyle w:val="TableParagraph"/>
              <w:rPr>
                <w:b/>
                <w:spacing w:val="-4"/>
              </w:rPr>
            </w:pPr>
            <w:r w:rsidRPr="009C5950">
              <w:rPr>
                <w:b/>
                <w:spacing w:val="-4"/>
              </w:rPr>
              <w:t xml:space="preserve">2048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0901C627" w14:textId="32EACEA5">
            <w:pPr>
              <w:pStyle w:val="TableParagraph"/>
              <w:jc w:val="center"/>
              <w:rPr>
                <w:spacing w:val="-2"/>
              </w:rPr>
            </w:pPr>
            <w:r>
              <w:rPr>
                <w:color w:val="000000"/>
              </w:rPr>
              <w:t>116,800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241B8D6D" w14:textId="52B3547C">
            <w:pPr>
              <w:pStyle w:val="TableParagraph"/>
              <w:ind w:left="113"/>
              <w:jc w:val="center"/>
              <w:rPr>
                <w:spacing w:val="-2"/>
              </w:rPr>
            </w:pPr>
            <w:r>
              <w:rPr>
                <w:color w:val="000000"/>
              </w:rPr>
              <w:t>6,969,066,667</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500D5E78" w14:textId="129EE920">
            <w:pPr>
              <w:pStyle w:val="TableParagraph"/>
              <w:ind w:left="114"/>
              <w:jc w:val="center"/>
              <w:rPr>
                <w:spacing w:val="-2"/>
              </w:rPr>
            </w:pPr>
            <w:r>
              <w:rPr>
                <w:color w:val="000000"/>
              </w:rPr>
              <w:t>278,762,667</w:t>
            </w:r>
          </w:p>
        </w:tc>
      </w:tr>
      <w:tr w:rsidR="00C9579A" w:rsidTr="007D5BA8" w14:paraId="726B2661"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6771395A" w14:textId="77777777">
            <w:pPr>
              <w:pStyle w:val="TableParagraph"/>
              <w:rPr>
                <w:b/>
                <w:spacing w:val="-4"/>
              </w:rPr>
            </w:pPr>
            <w:r w:rsidRPr="009C5950">
              <w:rPr>
                <w:b/>
                <w:spacing w:val="-4"/>
              </w:rPr>
              <w:t xml:space="preserve">2049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7DB21AD1" w14:textId="75621DCE">
            <w:pPr>
              <w:pStyle w:val="TableParagraph"/>
              <w:jc w:val="center"/>
              <w:rPr>
                <w:spacing w:val="-2"/>
              </w:rPr>
            </w:pPr>
            <w:r>
              <w:rPr>
                <w:color w:val="000000"/>
              </w:rPr>
              <w:t>120,900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34BBBE0F" w14:textId="209C162E">
            <w:pPr>
              <w:pStyle w:val="TableParagraph"/>
              <w:ind w:left="113"/>
              <w:jc w:val="center"/>
              <w:rPr>
                <w:spacing w:val="-2"/>
              </w:rPr>
            </w:pPr>
            <w:r>
              <w:rPr>
                <w:color w:val="000000"/>
              </w:rPr>
              <w:t>7,213,700,000</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2177224A" w14:textId="36D5589F">
            <w:pPr>
              <w:pStyle w:val="TableParagraph"/>
              <w:ind w:left="114"/>
              <w:jc w:val="center"/>
              <w:rPr>
                <w:spacing w:val="-2"/>
              </w:rPr>
            </w:pPr>
            <w:r>
              <w:rPr>
                <w:color w:val="000000"/>
              </w:rPr>
              <w:t>288,548,000</w:t>
            </w:r>
          </w:p>
        </w:tc>
      </w:tr>
      <w:tr w:rsidR="00C9579A" w:rsidTr="007D5BA8" w14:paraId="31DD8CDB" w14:textId="77777777">
        <w:trPr>
          <w:trHeight w:val="520"/>
          <w:jc w:val="center"/>
        </w:trPr>
        <w:tc>
          <w:tcPr>
            <w:tcW w:w="1159" w:type="dxa"/>
            <w:tcBorders>
              <w:top w:val="single" w:color="000000" w:sz="4" w:space="0"/>
              <w:left w:val="single" w:color="000000" w:sz="4" w:space="0"/>
              <w:bottom w:val="single" w:color="000000" w:sz="4" w:space="0"/>
              <w:right w:val="single" w:color="000000" w:sz="4" w:space="0"/>
            </w:tcBorders>
          </w:tcPr>
          <w:p w:rsidRPr="009C5950" w:rsidR="00C9579A" w:rsidP="003E0159" w:rsidRDefault="00C9579A" w14:paraId="13AC4B9B" w14:textId="77777777">
            <w:pPr>
              <w:pStyle w:val="TableParagraph"/>
              <w:rPr>
                <w:b/>
                <w:spacing w:val="-4"/>
              </w:rPr>
            </w:pPr>
            <w:r w:rsidRPr="009C5950">
              <w:rPr>
                <w:b/>
                <w:spacing w:val="-4"/>
              </w:rPr>
              <w:t xml:space="preserve">2050 </w:t>
            </w:r>
          </w:p>
        </w:tc>
        <w:tc>
          <w:tcPr>
            <w:tcW w:w="168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53DD303B" w14:textId="31B5AED1">
            <w:pPr>
              <w:pStyle w:val="TableParagraph"/>
              <w:jc w:val="center"/>
              <w:rPr>
                <w:spacing w:val="-2"/>
              </w:rPr>
            </w:pPr>
            <w:r>
              <w:rPr>
                <w:color w:val="000000"/>
              </w:rPr>
              <w:t>125,000</w:t>
            </w:r>
          </w:p>
        </w:tc>
        <w:tc>
          <w:tcPr>
            <w:tcW w:w="1840"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679026BE" w14:textId="1EAC71A6">
            <w:pPr>
              <w:pStyle w:val="TableParagraph"/>
              <w:ind w:left="113"/>
              <w:jc w:val="center"/>
              <w:rPr>
                <w:spacing w:val="-2"/>
              </w:rPr>
            </w:pPr>
            <w:r>
              <w:rPr>
                <w:color w:val="000000"/>
              </w:rPr>
              <w:t>7,458,333,333</w:t>
            </w:r>
          </w:p>
        </w:tc>
        <w:tc>
          <w:tcPr>
            <w:tcW w:w="1975" w:type="dxa"/>
            <w:tcBorders>
              <w:top w:val="single" w:color="000000" w:sz="4" w:space="0"/>
              <w:left w:val="single" w:color="000000" w:sz="4" w:space="0"/>
              <w:bottom w:val="single" w:color="000000" w:sz="4" w:space="0"/>
              <w:right w:val="single" w:color="000000" w:sz="4" w:space="0"/>
            </w:tcBorders>
            <w:vAlign w:val="bottom"/>
          </w:tcPr>
          <w:p w:rsidRPr="009C5950" w:rsidR="00C9579A" w:rsidP="00535608" w:rsidRDefault="00C9579A" w14:paraId="202B22AA" w14:textId="04712558">
            <w:pPr>
              <w:pStyle w:val="TableParagraph"/>
              <w:ind w:left="114"/>
              <w:jc w:val="center"/>
              <w:rPr>
                <w:spacing w:val="-2"/>
              </w:rPr>
            </w:pPr>
            <w:r>
              <w:rPr>
                <w:color w:val="000000"/>
              </w:rPr>
              <w:t>298,333,333</w:t>
            </w:r>
          </w:p>
        </w:tc>
      </w:tr>
    </w:tbl>
    <w:p w:rsidR="009859D5" w:rsidRDefault="009859D5" w14:paraId="614AEF0E" w14:textId="77777777">
      <w:pPr>
        <w:pStyle w:val="BodyText"/>
        <w:rPr>
          <w:rFonts w:ascii="Cambria Math"/>
          <w:sz w:val="20"/>
        </w:rPr>
      </w:pPr>
    </w:p>
    <w:p w:rsidR="009859D5" w:rsidRDefault="009859D5" w14:paraId="313FCAD6" w14:textId="77777777">
      <w:pPr>
        <w:pStyle w:val="BodyText"/>
        <w:rPr>
          <w:rFonts w:ascii="Cambria Math"/>
          <w:sz w:val="20"/>
        </w:rPr>
      </w:pPr>
    </w:p>
    <w:p w:rsidRPr="008133E3" w:rsidR="00CD527A" w:rsidP="00CD527A" w:rsidRDefault="00CD527A" w14:paraId="376094CF" w14:textId="2DA92AF9">
      <w:pPr>
        <w:pStyle w:val="BodyText"/>
        <w:spacing w:before="243"/>
        <w:rPr>
          <w:b/>
          <w:bCs/>
        </w:rPr>
      </w:pPr>
      <w:r>
        <w:rPr>
          <w:b/>
          <w:bCs/>
        </w:rPr>
        <w:t xml:space="preserve">Additional considerations: </w:t>
      </w:r>
    </w:p>
    <w:p w:rsidR="00CD527A" w:rsidRDefault="00CD527A" w14:paraId="31698002" w14:textId="77777777">
      <w:pPr>
        <w:pStyle w:val="BodyText"/>
        <w:rPr>
          <w:rFonts w:ascii="Cambria Math"/>
          <w:sz w:val="20"/>
        </w:rPr>
      </w:pPr>
    </w:p>
    <w:p w:rsidR="009859D5" w:rsidP="00CD527A" w:rsidRDefault="009859D5" w14:paraId="1D51ED07" w14:textId="6AFEF7E3">
      <w:pPr>
        <w:pStyle w:val="BodyText"/>
        <w:numPr>
          <w:ilvl w:val="0"/>
          <w:numId w:val="6"/>
        </w:numPr>
      </w:pPr>
      <w:r>
        <w:t>SVCs were used as costs were readily available and because they are the most used by generators, but STATCOMs are also used as DRCE in offshore wind. Including</w:t>
      </w:r>
      <w:r w:rsidRPr="00CD527A">
        <w:t xml:space="preserve"> </w:t>
      </w:r>
      <w:r>
        <w:t>different</w:t>
      </w:r>
      <w:r w:rsidRPr="00CD527A">
        <w:t xml:space="preserve"> </w:t>
      </w:r>
      <w:r>
        <w:t>types</w:t>
      </w:r>
      <w:r w:rsidRPr="00CD527A">
        <w:t xml:space="preserve"> </w:t>
      </w:r>
      <w:r>
        <w:t>of</w:t>
      </w:r>
      <w:r w:rsidRPr="00CD527A">
        <w:t xml:space="preserve"> </w:t>
      </w:r>
      <w:r>
        <w:t>DRCE</w:t>
      </w:r>
      <w:r w:rsidRPr="00CD527A">
        <w:t xml:space="preserve"> </w:t>
      </w:r>
      <w:r>
        <w:t>in</w:t>
      </w:r>
      <w:r w:rsidRPr="00CD527A">
        <w:t xml:space="preserve"> </w:t>
      </w:r>
      <w:r>
        <w:t>the</w:t>
      </w:r>
      <w:r w:rsidRPr="00CD527A">
        <w:t xml:space="preserve"> </w:t>
      </w:r>
      <w:r>
        <w:t>analysis</w:t>
      </w:r>
      <w:r w:rsidRPr="00CD527A">
        <w:t xml:space="preserve"> </w:t>
      </w:r>
      <w:r>
        <w:t>would</w:t>
      </w:r>
      <w:r w:rsidRPr="00CD527A">
        <w:t xml:space="preserve"> </w:t>
      </w:r>
      <w:r>
        <w:t>be</w:t>
      </w:r>
      <w:r w:rsidRPr="00CD527A">
        <w:t xml:space="preserve"> </w:t>
      </w:r>
      <w:r>
        <w:t>expected</w:t>
      </w:r>
      <w:r w:rsidRPr="00CD527A">
        <w:t xml:space="preserve"> </w:t>
      </w:r>
      <w:r>
        <w:t>to</w:t>
      </w:r>
      <w:r w:rsidRPr="00CD527A">
        <w:t xml:space="preserve"> </w:t>
      </w:r>
      <w:r>
        <w:t>further</w:t>
      </w:r>
      <w:r w:rsidRPr="00CD527A">
        <w:t xml:space="preserve"> </w:t>
      </w:r>
      <w:r>
        <w:t>improve</w:t>
      </w:r>
      <w:r w:rsidRPr="00CD527A">
        <w:t xml:space="preserve"> </w:t>
      </w:r>
      <w:r>
        <w:t>the</w:t>
      </w:r>
      <w:r w:rsidRPr="00CD527A">
        <w:t xml:space="preserve"> </w:t>
      </w:r>
      <w:r>
        <w:t>benefits</w:t>
      </w:r>
      <w:r w:rsidRPr="00CD527A">
        <w:t xml:space="preserve"> </w:t>
      </w:r>
      <w:r>
        <w:t>of this</w:t>
      </w:r>
      <w:r w:rsidRPr="00CD527A">
        <w:t xml:space="preserve"> </w:t>
      </w:r>
      <w:r>
        <w:t>proposed</w:t>
      </w:r>
      <w:r w:rsidRPr="00CD527A">
        <w:t xml:space="preserve"> </w:t>
      </w:r>
      <w:r>
        <w:t>solution.</w:t>
      </w:r>
      <w:r w:rsidRPr="00CD527A">
        <w:t xml:space="preserve"> </w:t>
      </w:r>
      <w:r>
        <w:t>This</w:t>
      </w:r>
      <w:r w:rsidRPr="00CD527A">
        <w:t xml:space="preserve"> </w:t>
      </w:r>
      <w:r>
        <w:t>is</w:t>
      </w:r>
      <w:r w:rsidRPr="00CD527A">
        <w:t xml:space="preserve"> </w:t>
      </w:r>
      <w:r>
        <w:t>because</w:t>
      </w:r>
      <w:r w:rsidRPr="00CD527A">
        <w:t xml:space="preserve"> </w:t>
      </w:r>
      <w:r>
        <w:t>the</w:t>
      </w:r>
      <w:r w:rsidRPr="00CD527A">
        <w:t xml:space="preserve"> </w:t>
      </w:r>
      <w:r>
        <w:t>same</w:t>
      </w:r>
      <w:r w:rsidRPr="00CD527A">
        <w:t xml:space="preserve"> </w:t>
      </w:r>
      <w:r>
        <w:t>cost-saving</w:t>
      </w:r>
      <w:r w:rsidRPr="00CD527A">
        <w:t xml:space="preserve"> </w:t>
      </w:r>
      <w:r>
        <w:t>calculations</w:t>
      </w:r>
      <w:r w:rsidRPr="00CD527A">
        <w:t xml:space="preserve"> </w:t>
      </w:r>
      <w:r>
        <w:t>used</w:t>
      </w:r>
      <w:r w:rsidRPr="00CD527A">
        <w:t xml:space="preserve"> </w:t>
      </w:r>
      <w:r>
        <w:t>for</w:t>
      </w:r>
      <w:r w:rsidRPr="00CD527A">
        <w:t xml:space="preserve"> </w:t>
      </w:r>
      <w:r>
        <w:t>SVCs</w:t>
      </w:r>
      <w:r w:rsidRPr="00CD527A">
        <w:t xml:space="preserve"> </w:t>
      </w:r>
      <w:r>
        <w:t>are</w:t>
      </w:r>
      <w:r w:rsidRPr="00CD527A">
        <w:t xml:space="preserve"> </w:t>
      </w:r>
      <w:r>
        <w:t>applicable to the typically higher costs of other DRCE equipment</w:t>
      </w:r>
    </w:p>
    <w:p w:rsidRPr="00B32367" w:rsidR="00B32367" w:rsidP="00FE6F5F" w:rsidRDefault="00CD527A" w14:paraId="601C8E47" w14:textId="77777777">
      <w:pPr>
        <w:pStyle w:val="BodyText"/>
        <w:numPr>
          <w:ilvl w:val="0"/>
          <w:numId w:val="6"/>
        </w:numPr>
        <w:jc w:val="both"/>
        <w:rPr>
          <w:rFonts w:ascii="Calibri Light"/>
          <w:sz w:val="26"/>
        </w:rPr>
      </w:pPr>
      <w:r w:rsidRPr="003C06E6">
        <w:rPr>
          <w:lang w:val="en-GB"/>
        </w:rPr>
        <w:t xml:space="preserve">Charges for unshared offshore circuits (within which lie DRCE costs in appropriate cases, under baseline) will normally, in the case by case assessment that is made by NESO, be classified, for the purpose of EC838/2010 when calculating the generation adjustment charge, as physical assets required for connection (PARC), and therefore should be excluded when calculating how much revenue is being collected from Generators for the purpose of the EU Cap. If, in the </w:t>
      </w:r>
      <w:r w:rsidRPr="003C06E6" w:rsidR="00B2365B">
        <w:rPr>
          <w:lang w:val="en-GB"/>
        </w:rPr>
        <w:t>case-by-case</w:t>
      </w:r>
      <w:r w:rsidRPr="003C06E6">
        <w:rPr>
          <w:lang w:val="en-GB"/>
        </w:rPr>
        <w:t xml:space="preserve"> assessment, these assets were not to be considered as</w:t>
      </w:r>
      <w:r w:rsidRPr="003C06E6" w:rsidR="00DB3555">
        <w:rPr>
          <w:lang w:val="en-GB"/>
        </w:rPr>
        <w:t xml:space="preserve"> physical assets required for connection, it is also expected that the consumer impact would be smaller, as the cost of DRCE would be recovered by all TNUoS users (including generators) instead of only final demand consumers (TDR)</w:t>
      </w:r>
      <w:r w:rsidRPr="003C06E6" w:rsidR="003C06E6">
        <w:rPr>
          <w:lang w:val="en-GB"/>
        </w:rPr>
        <w:t>.</w:t>
      </w:r>
    </w:p>
    <w:p w:rsidR="00B32367" w:rsidP="00B32367" w:rsidRDefault="00B32367" w14:paraId="4802A414" w14:textId="77777777">
      <w:pPr>
        <w:pStyle w:val="BodyText"/>
        <w:jc w:val="both"/>
        <w:rPr>
          <w:rFonts w:ascii="Calibri Light"/>
          <w:sz w:val="26"/>
        </w:rPr>
      </w:pPr>
    </w:p>
    <w:p w:rsidR="00B32367" w:rsidP="00B32367" w:rsidRDefault="00B32367" w14:paraId="242C6B1A" w14:textId="77777777">
      <w:pPr>
        <w:pStyle w:val="BodyText"/>
        <w:jc w:val="both"/>
        <w:rPr>
          <w:rFonts w:ascii="Calibri Light"/>
          <w:sz w:val="26"/>
        </w:rPr>
      </w:pPr>
    </w:p>
    <w:p w:rsidRPr="00B32367" w:rsidR="003D548B" w:rsidP="00B32367" w:rsidRDefault="0086023A" w14:paraId="32FEDC5D" w14:textId="285D73B3">
      <w:pPr>
        <w:pStyle w:val="BodyText"/>
        <w:jc w:val="both"/>
        <w:rPr>
          <w:rFonts w:ascii="Calibri Light"/>
          <w:sz w:val="26"/>
        </w:rPr>
      </w:pPr>
      <w:r w:rsidRPr="00B32367">
        <w:rPr>
          <w:rFonts w:ascii="Calibri Light"/>
          <w:color w:val="2D5294"/>
          <w:sz w:val="26"/>
        </w:rPr>
        <w:t>Impact</w:t>
      </w:r>
      <w:r w:rsidRPr="00B32367">
        <w:rPr>
          <w:rFonts w:ascii="Calibri Light"/>
          <w:color w:val="2D5294"/>
          <w:spacing w:val="-15"/>
          <w:sz w:val="26"/>
        </w:rPr>
        <w:t xml:space="preserve"> </w:t>
      </w:r>
      <w:r w:rsidRPr="00B32367">
        <w:rPr>
          <w:rFonts w:ascii="Calibri Light"/>
          <w:color w:val="2D5294"/>
          <w:sz w:val="26"/>
        </w:rPr>
        <w:t>on</w:t>
      </w:r>
      <w:r w:rsidRPr="00B32367">
        <w:rPr>
          <w:rFonts w:ascii="Calibri Light"/>
          <w:color w:val="2D5294"/>
          <w:spacing w:val="-15"/>
          <w:sz w:val="26"/>
        </w:rPr>
        <w:t xml:space="preserve"> </w:t>
      </w:r>
      <w:r w:rsidRPr="00B32367">
        <w:rPr>
          <w:rFonts w:ascii="Calibri Light"/>
          <w:color w:val="2D5294"/>
          <w:sz w:val="26"/>
        </w:rPr>
        <w:t>Wind</w:t>
      </w:r>
      <w:r w:rsidRPr="00B32367">
        <w:rPr>
          <w:rFonts w:ascii="Calibri Light"/>
          <w:color w:val="2D5294"/>
          <w:spacing w:val="-15"/>
          <w:sz w:val="26"/>
        </w:rPr>
        <w:t xml:space="preserve"> </w:t>
      </w:r>
      <w:r w:rsidRPr="00B32367">
        <w:rPr>
          <w:rFonts w:ascii="Calibri Light"/>
          <w:color w:val="2D5294"/>
          <w:sz w:val="26"/>
        </w:rPr>
        <w:t>Farm</w:t>
      </w:r>
      <w:r w:rsidRPr="00B32367">
        <w:rPr>
          <w:rFonts w:ascii="Calibri Light"/>
          <w:color w:val="2D5294"/>
          <w:spacing w:val="-14"/>
          <w:sz w:val="26"/>
        </w:rPr>
        <w:t xml:space="preserve"> </w:t>
      </w:r>
      <w:r w:rsidRPr="00B32367">
        <w:rPr>
          <w:rFonts w:ascii="Calibri Light"/>
          <w:color w:val="2D5294"/>
          <w:sz w:val="26"/>
        </w:rPr>
        <w:t>Development</w:t>
      </w:r>
      <w:r w:rsidRPr="00B32367">
        <w:rPr>
          <w:rFonts w:ascii="Calibri Light"/>
          <w:color w:val="2D5294"/>
          <w:spacing w:val="-14"/>
          <w:sz w:val="26"/>
        </w:rPr>
        <w:t xml:space="preserve"> </w:t>
      </w:r>
      <w:r w:rsidRPr="00B32367">
        <w:rPr>
          <w:rFonts w:ascii="Calibri Light"/>
          <w:color w:val="2D5294"/>
          <w:spacing w:val="-4"/>
          <w:sz w:val="26"/>
        </w:rPr>
        <w:t>Costs</w:t>
      </w:r>
      <w:r w:rsidRPr="00B32367" w:rsidR="00920F38">
        <w:rPr>
          <w:rFonts w:ascii="Calibri Light"/>
          <w:color w:val="2D5294"/>
          <w:spacing w:val="-4"/>
          <w:sz w:val="26"/>
        </w:rPr>
        <w:t xml:space="preserve"> and CfD Levy</w:t>
      </w:r>
    </w:p>
    <w:p w:rsidR="00997287" w:rsidP="00CE337B" w:rsidRDefault="002766BA" w14:paraId="3F9A0FAD" w14:textId="24A5028E">
      <w:pPr>
        <w:pStyle w:val="BodyText"/>
        <w:spacing w:before="145" w:line="252" w:lineRule="auto"/>
        <w:ind w:left="201" w:right="229"/>
        <w:jc w:val="both"/>
      </w:pPr>
      <w:r w:rsidRPr="002766BA">
        <w:t xml:space="preserve">Offshore wind projects participate in the </w:t>
      </w:r>
      <w:r w:rsidRPr="002766BA">
        <w:rPr>
          <w:b/>
          <w:bCs/>
        </w:rPr>
        <w:t>Contracts for Difference (CfD)</w:t>
      </w:r>
      <w:r w:rsidRPr="002766BA">
        <w:t xml:space="preserve"> scheme, which provides a long-term guarantee on the price per megawatt-hour (MWh) of electricity generated. By moving </w:t>
      </w:r>
      <w:r w:rsidRPr="002766BA">
        <w:rPr>
          <w:b/>
          <w:bCs/>
        </w:rPr>
        <w:t>DRCE</w:t>
      </w:r>
      <w:r w:rsidRPr="002766BA">
        <w:t xml:space="preserve"> costs from offshore wind farms to the </w:t>
      </w:r>
      <w:r w:rsidRPr="002766BA">
        <w:rPr>
          <w:b/>
          <w:bCs/>
        </w:rPr>
        <w:t>Transmission Demand Residual (TDR)</w:t>
      </w:r>
      <w:r w:rsidRPr="002766BA">
        <w:t>, these projects would save the same amount they currently pay under the existing methodology.</w:t>
      </w:r>
    </w:p>
    <w:p w:rsidR="00603DC8" w:rsidP="00CE337B" w:rsidRDefault="00997287" w14:paraId="500E342E" w14:textId="6A5AE605">
      <w:pPr>
        <w:pStyle w:val="BodyText"/>
        <w:spacing w:before="145" w:line="252" w:lineRule="auto"/>
        <w:ind w:left="201" w:right="229"/>
        <w:jc w:val="both"/>
      </w:pPr>
      <w:r>
        <w:t>However, these savings would be directly translated into</w:t>
      </w:r>
      <w:r w:rsidR="00046F7A">
        <w:t xml:space="preserve"> a reduction into CfD</w:t>
      </w:r>
      <w:r w:rsidR="00F8426F">
        <w:t xml:space="preserve"> bid prices and CfD levy recovered from end users for projects </w:t>
      </w:r>
      <w:r w:rsidR="0064216F">
        <w:t xml:space="preserve">awarded CfD </w:t>
      </w:r>
      <w:r w:rsidR="00CE337B">
        <w:t xml:space="preserve">only </w:t>
      </w:r>
      <w:r w:rsidR="0064216F">
        <w:t>after the implementation of CMP 418</w:t>
      </w:r>
      <w:r w:rsidR="00B667D3">
        <w:t>.</w:t>
      </w:r>
    </w:p>
    <w:p w:rsidR="00603DC8" w:rsidP="002766BA" w:rsidRDefault="00603DC8" w14:paraId="7CA37087" w14:textId="16534DF1">
      <w:pPr>
        <w:pStyle w:val="BodyText"/>
        <w:spacing w:before="145" w:line="252" w:lineRule="auto"/>
        <w:ind w:left="201" w:right="229"/>
        <w:jc w:val="both"/>
      </w:pPr>
      <w:r>
        <w:t>It is therefore assumed that the</w:t>
      </w:r>
      <w:r w:rsidR="00966ABA">
        <w:t xml:space="preserve"> gross impact of £298m by 2050 would be largely netted off by </w:t>
      </w:r>
      <w:r w:rsidR="00191A42">
        <w:t xml:space="preserve">a similar reduction in CfD levy with only a small residual component due to CfD tariffs locked by projects prior </w:t>
      </w:r>
      <w:r w:rsidR="00FF2253">
        <w:t>to implementation of CMP 418</w:t>
      </w:r>
      <w:r w:rsidR="00CE337B">
        <w:t>.</w:t>
      </w:r>
      <w:r w:rsidR="00FF2253">
        <w:t xml:space="preserve"> </w:t>
      </w:r>
      <w:r w:rsidR="00CE337B">
        <w:t>This</w:t>
      </w:r>
      <w:r w:rsidR="00FF2253">
        <w:t xml:space="preserve"> would create a small residual impact estimated at £3</w:t>
      </w:r>
      <w:r w:rsidR="00641018">
        <w:t>5.8</w:t>
      </w:r>
      <w:r w:rsidR="003A29BC">
        <w:t>m</w:t>
      </w:r>
      <w:r w:rsidR="00FF2253">
        <w:t xml:space="preserve"> per annum according to the methodology and assumptions presented here.</w:t>
      </w:r>
      <w:r w:rsidR="003A29BC">
        <w:t xml:space="preserve"> </w:t>
      </w:r>
      <w:bookmarkStart w:name="_Hlk188885210" w:id="11"/>
      <w:r w:rsidR="003A29BC">
        <w:t xml:space="preserve">In comparison to the </w:t>
      </w:r>
      <w:r w:rsidR="00D32502">
        <w:t>£</w:t>
      </w:r>
      <w:r w:rsidRPr="001C22C1" w:rsidR="001C22C1">
        <w:t>3,471.8m</w:t>
      </w:r>
      <w:r w:rsidR="00D32502">
        <w:t xml:space="preserve"> of TDR revenue collected from demand </w:t>
      </w:r>
      <w:r w:rsidR="00302303">
        <w:t>users</w:t>
      </w:r>
      <w:r w:rsidR="00D32502">
        <w:t xml:space="preserve"> in </w:t>
      </w:r>
      <w:r w:rsidR="001C22C1">
        <w:t>charging year 2023/</w:t>
      </w:r>
      <w:r w:rsidR="00D32502">
        <w:t xml:space="preserve">2024 </w:t>
      </w:r>
      <w:bookmarkEnd w:id="11"/>
      <w:r w:rsidR="00D32502">
        <w:t xml:space="preserve">this would represent a </w:t>
      </w:r>
      <w:r w:rsidRPr="00CE337B" w:rsidR="00CE337B">
        <w:t>1.0</w:t>
      </w:r>
      <w:r w:rsidR="00641018">
        <w:t>3</w:t>
      </w:r>
      <w:r w:rsidRPr="00CE337B" w:rsidR="00CE337B">
        <w:t>%</w:t>
      </w:r>
      <w:r w:rsidR="00D32502">
        <w:t xml:space="preserve"> </w:t>
      </w:r>
      <w:r w:rsidR="008D7BD6">
        <w:t>impact.</w:t>
      </w:r>
    </w:p>
    <w:p w:rsidR="002766BA" w:rsidP="005B1D27" w:rsidRDefault="002766BA" w14:paraId="7F1DF010" w14:textId="581F0514">
      <w:pPr>
        <w:pStyle w:val="BodyText"/>
        <w:spacing w:before="145" w:line="252" w:lineRule="auto"/>
        <w:ind w:right="229"/>
        <w:jc w:val="both"/>
      </w:pPr>
    </w:p>
    <w:p w:rsidR="00C9579A" w:rsidP="00C9579A" w:rsidRDefault="00C9579A" w14:paraId="4DE8DE23" w14:textId="7C73AE53">
      <w:pPr>
        <w:pStyle w:val="Caption"/>
        <w:keepNext/>
        <w:jc w:val="both"/>
      </w:pPr>
      <w:r>
        <w:t xml:space="preserve">Table </w:t>
      </w:r>
      <w:r w:rsidR="003C06E6">
        <w:t>3</w:t>
      </w:r>
      <w:r>
        <w:t xml:space="preserve"> Estimated CfD levy impact of CMP 418</w:t>
      </w:r>
    </w:p>
    <w:p w:rsidR="00B210F3" w:rsidP="002766BA" w:rsidRDefault="00CE337B" w14:paraId="291FB67A" w14:textId="32793613">
      <w:pPr>
        <w:pStyle w:val="BodyText"/>
        <w:spacing w:before="145" w:line="252" w:lineRule="auto"/>
        <w:ind w:left="201" w:right="229"/>
        <w:jc w:val="both"/>
      </w:pPr>
      <w:r w:rsidRPr="00CE337B">
        <w:rPr>
          <w:noProof/>
        </w:rPr>
        <w:drawing>
          <wp:inline distT="0" distB="0" distL="0" distR="0" wp14:anchorId="67F442A7" wp14:editId="5F63CC40">
            <wp:extent cx="5873750" cy="3536950"/>
            <wp:effectExtent l="0" t="0" r="0" b="6350"/>
            <wp:docPr id="20950918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3750" cy="3536950"/>
                    </a:xfrm>
                    <a:prstGeom prst="rect">
                      <a:avLst/>
                    </a:prstGeom>
                    <a:noFill/>
                    <a:ln>
                      <a:noFill/>
                    </a:ln>
                  </pic:spPr>
                </pic:pic>
              </a:graphicData>
            </a:graphic>
          </wp:inline>
        </w:drawing>
      </w:r>
    </w:p>
    <w:p w:rsidRPr="002766BA" w:rsidR="00B210F3" w:rsidP="002766BA" w:rsidRDefault="00B210F3" w14:paraId="0D17AB98" w14:textId="77777777">
      <w:pPr>
        <w:pStyle w:val="BodyText"/>
        <w:spacing w:before="145" w:line="252" w:lineRule="auto"/>
        <w:ind w:left="201" w:right="229"/>
        <w:jc w:val="both"/>
      </w:pPr>
    </w:p>
    <w:p w:rsidR="00B210F3" w:rsidP="00B210F3" w:rsidRDefault="00B210F3" w14:paraId="0AF162DD" w14:textId="7BD04B51">
      <w:pPr>
        <w:jc w:val="both"/>
        <w:rPr>
          <w:rFonts w:ascii="Calibri Light"/>
          <w:color w:val="2D5294"/>
          <w:sz w:val="26"/>
        </w:rPr>
      </w:pPr>
      <w:r>
        <w:rPr>
          <w:rFonts w:ascii="Calibri Light"/>
          <w:color w:val="2D5294"/>
          <w:sz w:val="26"/>
        </w:rPr>
        <w:t xml:space="preserve">Conclusion </w:t>
      </w:r>
    </w:p>
    <w:p w:rsidR="0049528E" w:rsidP="00C9579A" w:rsidRDefault="00D06A94" w14:paraId="688C6CFD" w14:textId="3600DA86">
      <w:pPr>
        <w:pStyle w:val="BodyText"/>
        <w:spacing w:before="145" w:line="252" w:lineRule="auto"/>
        <w:ind w:left="201" w:right="229"/>
        <w:jc w:val="both"/>
      </w:pPr>
      <w:bookmarkStart w:name="_Hlk188884582" w:id="12"/>
      <w:r w:rsidRPr="00D06A94">
        <w:t xml:space="preserve">The introduction of CMP 418 is expected to increase the Transmission Demand Residual (TDR) </w:t>
      </w:r>
      <w:r w:rsidR="008D7BD6">
        <w:t xml:space="preserve">revenue collection </w:t>
      </w:r>
      <w:r w:rsidRPr="00D06A94">
        <w:t>by approximately £2</w:t>
      </w:r>
      <w:r w:rsidR="000626E2">
        <w:t>98</w:t>
      </w:r>
      <w:r w:rsidRPr="00D06A94">
        <w:t xml:space="preserve"> million by 2050. </w:t>
      </w:r>
      <w:r w:rsidR="008D7BD6">
        <w:t>However</w:t>
      </w:r>
      <w:r w:rsidR="00124BCF">
        <w:t xml:space="preserve"> this amount is expected to be offset by a reduction of</w:t>
      </w:r>
      <w:r w:rsidR="003240E6">
        <w:t xml:space="preserve"> £262m to the CfD levy, leaving a net impact of £3</w:t>
      </w:r>
      <w:r w:rsidR="00641018">
        <w:t>5.8</w:t>
      </w:r>
      <w:r w:rsidR="00C9579A">
        <w:t>m, which</w:t>
      </w:r>
      <w:r w:rsidR="007134B6">
        <w:t xml:space="preserve"> represents a </w:t>
      </w:r>
      <w:r w:rsidR="00C9579A">
        <w:t>1.0</w:t>
      </w:r>
      <w:r w:rsidR="00641018">
        <w:t>3</w:t>
      </w:r>
      <w:r w:rsidR="007134B6">
        <w:t>% increase</w:t>
      </w:r>
      <w:r w:rsidR="00722A98">
        <w:t xml:space="preserve"> to the current base.</w:t>
      </w:r>
    </w:p>
    <w:bookmarkEnd w:id="12"/>
    <w:p w:rsidR="0049528E" w:rsidP="002766BA" w:rsidRDefault="0049528E" w14:paraId="07F67730" w14:textId="2A907B92">
      <w:pPr>
        <w:pStyle w:val="BodyText"/>
        <w:spacing w:before="145" w:line="252" w:lineRule="auto"/>
        <w:ind w:left="201" w:right="229"/>
        <w:jc w:val="both"/>
      </w:pPr>
      <w:r w:rsidRPr="002766BA">
        <w:t>Additionally, removing DRCE costs from offshore generators would create a more level playing field between offshore and onshore wind projects, supporting greater competition and encouraging the most cost-effective energy solutions.</w:t>
      </w:r>
      <w:bookmarkEnd w:id="0"/>
    </w:p>
    <w:sectPr w:rsidR="0049528E">
      <w:pgSz w:w="11910" w:h="16840" w:orient="portrait"/>
      <w:pgMar w:top="140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C30EE" w:rsidP="00D63C4F" w:rsidRDefault="00EC30EE" w14:paraId="6409F3A0" w14:textId="77777777">
      <w:r>
        <w:separator/>
      </w:r>
    </w:p>
  </w:endnote>
  <w:endnote w:type="continuationSeparator" w:id="0">
    <w:p w:rsidR="00EC30EE" w:rsidP="00D63C4F" w:rsidRDefault="00EC30EE" w14:paraId="250EEE5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C30EE" w:rsidP="00D63C4F" w:rsidRDefault="00EC30EE" w14:paraId="50EF25B5" w14:textId="77777777">
      <w:r>
        <w:separator/>
      </w:r>
    </w:p>
  </w:footnote>
  <w:footnote w:type="continuationSeparator" w:id="0">
    <w:p w:rsidR="00EC30EE" w:rsidP="00D63C4F" w:rsidRDefault="00EC30EE" w14:paraId="1FC7B775" w14:textId="77777777">
      <w:r>
        <w:continuationSeparator/>
      </w:r>
    </w:p>
  </w:footnote>
  <w:footnote w:id="1">
    <w:p w:rsidR="008D341F" w:rsidP="008D341F" w:rsidRDefault="008D341F" w14:paraId="18A16D60"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17DED"/>
    <w:multiLevelType w:val="hybridMultilevel"/>
    <w:tmpl w:val="3E966C16"/>
    <w:lvl w:ilvl="0" w:tplc="D09ED1FC">
      <w:start w:val="1"/>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146132D"/>
    <w:multiLevelType w:val="hybridMultilevel"/>
    <w:tmpl w:val="8C26349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4715442"/>
    <w:multiLevelType w:val="hybridMultilevel"/>
    <w:tmpl w:val="E10E8BFC"/>
    <w:lvl w:ilvl="0" w:tplc="0409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47361DD4"/>
    <w:multiLevelType w:val="hybridMultilevel"/>
    <w:tmpl w:val="C40213EA"/>
    <w:lvl w:ilvl="0" w:tplc="D966D570">
      <w:start w:val="6"/>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F5E04FB"/>
    <w:multiLevelType w:val="multilevel"/>
    <w:tmpl w:val="633C4C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D46378"/>
    <w:multiLevelType w:val="hybridMultilevel"/>
    <w:tmpl w:val="82E2B42C"/>
    <w:lvl w:ilvl="0" w:tplc="D966D570">
      <w:start w:val="6"/>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75464DD9"/>
    <w:multiLevelType w:val="multilevel"/>
    <w:tmpl w:val="92880A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7DA913FE"/>
    <w:multiLevelType w:val="multilevel"/>
    <w:tmpl w:val="5E9C00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591817801">
    <w:abstractNumId w:val="4"/>
  </w:num>
  <w:num w:numId="2" w16cid:durableId="1318805572">
    <w:abstractNumId w:val="3"/>
  </w:num>
  <w:num w:numId="3" w16cid:durableId="1284507340">
    <w:abstractNumId w:val="6"/>
  </w:num>
  <w:num w:numId="4" w16cid:durableId="1449664066">
    <w:abstractNumId w:val="7"/>
  </w:num>
  <w:num w:numId="5" w16cid:durableId="322007823">
    <w:abstractNumId w:val="5"/>
  </w:num>
  <w:num w:numId="6" w16cid:durableId="738793599">
    <w:abstractNumId w:val="2"/>
  </w:num>
  <w:num w:numId="7" w16cid:durableId="1101297916">
    <w:abstractNumId w:val="1"/>
  </w:num>
  <w:num w:numId="8" w16cid:durableId="6272795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7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D548B"/>
    <w:rsid w:val="00001FA3"/>
    <w:rsid w:val="00025AC2"/>
    <w:rsid w:val="00046F7A"/>
    <w:rsid w:val="0005619C"/>
    <w:rsid w:val="000626E2"/>
    <w:rsid w:val="00063118"/>
    <w:rsid w:val="00085F38"/>
    <w:rsid w:val="00103719"/>
    <w:rsid w:val="00106207"/>
    <w:rsid w:val="001161A4"/>
    <w:rsid w:val="00124BCF"/>
    <w:rsid w:val="00147031"/>
    <w:rsid w:val="001509B3"/>
    <w:rsid w:val="001638B7"/>
    <w:rsid w:val="00181390"/>
    <w:rsid w:val="00185AF7"/>
    <w:rsid w:val="00191A42"/>
    <w:rsid w:val="001C22C1"/>
    <w:rsid w:val="001C5299"/>
    <w:rsid w:val="001D17BD"/>
    <w:rsid w:val="001D744A"/>
    <w:rsid w:val="001F76E7"/>
    <w:rsid w:val="0023223D"/>
    <w:rsid w:val="002530D5"/>
    <w:rsid w:val="002766BA"/>
    <w:rsid w:val="00284A4B"/>
    <w:rsid w:val="00302303"/>
    <w:rsid w:val="0031407D"/>
    <w:rsid w:val="00316730"/>
    <w:rsid w:val="00317F23"/>
    <w:rsid w:val="003240E6"/>
    <w:rsid w:val="003361B3"/>
    <w:rsid w:val="00341030"/>
    <w:rsid w:val="00361676"/>
    <w:rsid w:val="003863C4"/>
    <w:rsid w:val="003A1B64"/>
    <w:rsid w:val="003A29BC"/>
    <w:rsid w:val="003C06E6"/>
    <w:rsid w:val="003C32BB"/>
    <w:rsid w:val="003C4705"/>
    <w:rsid w:val="003D2E3B"/>
    <w:rsid w:val="003D548B"/>
    <w:rsid w:val="003E0159"/>
    <w:rsid w:val="0043208D"/>
    <w:rsid w:val="0045026F"/>
    <w:rsid w:val="00465D0D"/>
    <w:rsid w:val="0048354F"/>
    <w:rsid w:val="0049528E"/>
    <w:rsid w:val="004E1B68"/>
    <w:rsid w:val="00510865"/>
    <w:rsid w:val="00522053"/>
    <w:rsid w:val="00533898"/>
    <w:rsid w:val="00535608"/>
    <w:rsid w:val="005370F3"/>
    <w:rsid w:val="00571C6B"/>
    <w:rsid w:val="00577416"/>
    <w:rsid w:val="005B1D27"/>
    <w:rsid w:val="005C1A02"/>
    <w:rsid w:val="005C697A"/>
    <w:rsid w:val="005D0E0A"/>
    <w:rsid w:val="005D3261"/>
    <w:rsid w:val="005F43EB"/>
    <w:rsid w:val="00603DC8"/>
    <w:rsid w:val="0061186A"/>
    <w:rsid w:val="00620350"/>
    <w:rsid w:val="00641018"/>
    <w:rsid w:val="00641B17"/>
    <w:rsid w:val="0064216F"/>
    <w:rsid w:val="00644A3D"/>
    <w:rsid w:val="0065723D"/>
    <w:rsid w:val="00664CBF"/>
    <w:rsid w:val="00673B40"/>
    <w:rsid w:val="00695824"/>
    <w:rsid w:val="006A148C"/>
    <w:rsid w:val="006E18E7"/>
    <w:rsid w:val="006F65A7"/>
    <w:rsid w:val="0070546F"/>
    <w:rsid w:val="00705CDA"/>
    <w:rsid w:val="007134B6"/>
    <w:rsid w:val="00722A98"/>
    <w:rsid w:val="0073165A"/>
    <w:rsid w:val="00731A56"/>
    <w:rsid w:val="00772A72"/>
    <w:rsid w:val="00775F24"/>
    <w:rsid w:val="007B3F2D"/>
    <w:rsid w:val="007B4D37"/>
    <w:rsid w:val="007C2C07"/>
    <w:rsid w:val="007E0B47"/>
    <w:rsid w:val="007F28AC"/>
    <w:rsid w:val="00801FDF"/>
    <w:rsid w:val="0080346D"/>
    <w:rsid w:val="008133E3"/>
    <w:rsid w:val="00827D2B"/>
    <w:rsid w:val="00851104"/>
    <w:rsid w:val="0085557D"/>
    <w:rsid w:val="00856FD4"/>
    <w:rsid w:val="0086023A"/>
    <w:rsid w:val="00875DA4"/>
    <w:rsid w:val="00880D06"/>
    <w:rsid w:val="00890218"/>
    <w:rsid w:val="00895A6F"/>
    <w:rsid w:val="008D341F"/>
    <w:rsid w:val="008D4DFC"/>
    <w:rsid w:val="008D7BD6"/>
    <w:rsid w:val="008E1DB9"/>
    <w:rsid w:val="008E4FE9"/>
    <w:rsid w:val="00920F38"/>
    <w:rsid w:val="00925F91"/>
    <w:rsid w:val="00932C03"/>
    <w:rsid w:val="00936B1D"/>
    <w:rsid w:val="00957346"/>
    <w:rsid w:val="00966ABA"/>
    <w:rsid w:val="00970B36"/>
    <w:rsid w:val="009859D5"/>
    <w:rsid w:val="00997287"/>
    <w:rsid w:val="00997DC1"/>
    <w:rsid w:val="009C5950"/>
    <w:rsid w:val="009D0A8E"/>
    <w:rsid w:val="009F535F"/>
    <w:rsid w:val="00A255E8"/>
    <w:rsid w:val="00A649C7"/>
    <w:rsid w:val="00A66314"/>
    <w:rsid w:val="00AE1639"/>
    <w:rsid w:val="00AF67D2"/>
    <w:rsid w:val="00B210F3"/>
    <w:rsid w:val="00B2365B"/>
    <w:rsid w:val="00B32367"/>
    <w:rsid w:val="00B43AAA"/>
    <w:rsid w:val="00B667D3"/>
    <w:rsid w:val="00B87A87"/>
    <w:rsid w:val="00B950FD"/>
    <w:rsid w:val="00BA10E4"/>
    <w:rsid w:val="00BC175F"/>
    <w:rsid w:val="00BE228D"/>
    <w:rsid w:val="00C234F2"/>
    <w:rsid w:val="00C32A18"/>
    <w:rsid w:val="00C33465"/>
    <w:rsid w:val="00C9579A"/>
    <w:rsid w:val="00C961F2"/>
    <w:rsid w:val="00CA51C0"/>
    <w:rsid w:val="00CD2FD7"/>
    <w:rsid w:val="00CD527A"/>
    <w:rsid w:val="00CE337B"/>
    <w:rsid w:val="00CE7C2E"/>
    <w:rsid w:val="00D0248D"/>
    <w:rsid w:val="00D06A94"/>
    <w:rsid w:val="00D21D6C"/>
    <w:rsid w:val="00D246B4"/>
    <w:rsid w:val="00D32502"/>
    <w:rsid w:val="00D35487"/>
    <w:rsid w:val="00D50CBE"/>
    <w:rsid w:val="00D60BED"/>
    <w:rsid w:val="00D63C4F"/>
    <w:rsid w:val="00D91377"/>
    <w:rsid w:val="00DB3555"/>
    <w:rsid w:val="00DB5A5C"/>
    <w:rsid w:val="00DB715B"/>
    <w:rsid w:val="00DD137C"/>
    <w:rsid w:val="00DE0E0A"/>
    <w:rsid w:val="00DE508E"/>
    <w:rsid w:val="00DE5661"/>
    <w:rsid w:val="00DF5C54"/>
    <w:rsid w:val="00E23631"/>
    <w:rsid w:val="00E24912"/>
    <w:rsid w:val="00E25358"/>
    <w:rsid w:val="00E609B7"/>
    <w:rsid w:val="00E71155"/>
    <w:rsid w:val="00EA4ACA"/>
    <w:rsid w:val="00EB5287"/>
    <w:rsid w:val="00EC30EE"/>
    <w:rsid w:val="00F100E3"/>
    <w:rsid w:val="00F263E5"/>
    <w:rsid w:val="00F3676B"/>
    <w:rsid w:val="00F40F23"/>
    <w:rsid w:val="00F674F9"/>
    <w:rsid w:val="00F8426F"/>
    <w:rsid w:val="00F84DCD"/>
    <w:rsid w:val="00FC5D44"/>
    <w:rsid w:val="00FC5F45"/>
    <w:rsid w:val="00FD4F4A"/>
    <w:rsid w:val="00FD4FF4"/>
    <w:rsid w:val="00FD5574"/>
    <w:rsid w:val="00FF2253"/>
    <w:rsid w:val="00FF3E3D"/>
    <w:rsid w:val="00FF6DE3"/>
    <w:rsid w:val="1ED8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EDBAE"/>
  <w15:docId w15:val="{5AB64FE7-0287-4E88-97B2-BC226BB282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Calibri" w:hAnsi="Calibri" w:eastAsia="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22"/>
      <w:ind w:left="100"/>
      <w:jc w:val="both"/>
    </w:pPr>
    <w:rPr>
      <w:rFonts w:ascii="Calibri Light" w:hAnsi="Calibri Light" w:eastAsia="Calibri Light" w:cs="Calibri Light"/>
      <w:sz w:val="32"/>
      <w:szCs w:val="32"/>
    </w:rPr>
  </w:style>
  <w:style w:type="paragraph" w:styleId="ListParagraph">
    <w:name w:val="List Paragraph"/>
    <w:basedOn w:val="Normal"/>
    <w:uiPriority w:val="1"/>
    <w:qFormat/>
  </w:style>
  <w:style w:type="paragraph" w:styleId="TableParagraph" w:customStyle="1">
    <w:name w:val="Table Paragraph"/>
    <w:basedOn w:val="Normal"/>
    <w:uiPriority w:val="1"/>
    <w:qFormat/>
    <w:pPr>
      <w:spacing w:before="116"/>
      <w:ind w:left="112"/>
    </w:pPr>
  </w:style>
  <w:style w:type="character" w:styleId="Hyperlink">
    <w:name w:val="Hyperlink"/>
    <w:basedOn w:val="DefaultParagraphFont"/>
    <w:uiPriority w:val="99"/>
    <w:unhideWhenUsed/>
    <w:rsid w:val="005F43EB"/>
    <w:rPr>
      <w:color w:val="0000FF" w:themeColor="hyperlink"/>
      <w:u w:val="single"/>
    </w:rPr>
  </w:style>
  <w:style w:type="character" w:styleId="UnresolvedMention">
    <w:name w:val="Unresolved Mention"/>
    <w:basedOn w:val="DefaultParagraphFont"/>
    <w:uiPriority w:val="99"/>
    <w:semiHidden/>
    <w:unhideWhenUsed/>
    <w:rsid w:val="005F43EB"/>
    <w:rPr>
      <w:color w:val="605E5C"/>
      <w:shd w:val="clear" w:color="auto" w:fill="E1DFDD"/>
    </w:rPr>
  </w:style>
  <w:style w:type="paragraph" w:styleId="FootnoteText">
    <w:name w:val="footnote text"/>
    <w:basedOn w:val="Normal"/>
    <w:link w:val="FootnoteTextChar"/>
    <w:uiPriority w:val="99"/>
    <w:semiHidden/>
    <w:unhideWhenUsed/>
    <w:rsid w:val="00D63C4F"/>
    <w:rPr>
      <w:sz w:val="20"/>
      <w:szCs w:val="20"/>
    </w:rPr>
  </w:style>
  <w:style w:type="character" w:styleId="FootnoteTextChar" w:customStyle="1">
    <w:name w:val="Footnote Text Char"/>
    <w:basedOn w:val="DefaultParagraphFont"/>
    <w:link w:val="FootnoteText"/>
    <w:uiPriority w:val="99"/>
    <w:semiHidden/>
    <w:rsid w:val="00D63C4F"/>
    <w:rPr>
      <w:rFonts w:ascii="Calibri" w:hAnsi="Calibri" w:eastAsia="Calibri" w:cs="Calibri"/>
      <w:sz w:val="20"/>
      <w:szCs w:val="20"/>
    </w:rPr>
  </w:style>
  <w:style w:type="character" w:styleId="FootnoteReference">
    <w:name w:val="footnote reference"/>
    <w:basedOn w:val="DefaultParagraphFont"/>
    <w:uiPriority w:val="99"/>
    <w:semiHidden/>
    <w:unhideWhenUsed/>
    <w:rsid w:val="00D63C4F"/>
    <w:rPr>
      <w:vertAlign w:val="superscript"/>
    </w:rPr>
  </w:style>
  <w:style w:type="paragraph" w:styleId="Default" w:customStyle="1">
    <w:name w:val="Default"/>
    <w:rsid w:val="009C5950"/>
    <w:pPr>
      <w:widowControl/>
      <w:adjustRightInd w:val="0"/>
    </w:pPr>
    <w:rPr>
      <w:rFonts w:ascii="Calibri" w:hAnsi="Calibri" w:cs="Calibri"/>
      <w:color w:val="000000"/>
      <w:sz w:val="24"/>
      <w:szCs w:val="24"/>
    </w:rPr>
  </w:style>
  <w:style w:type="character" w:styleId="Strong">
    <w:name w:val="Strong"/>
    <w:basedOn w:val="DefaultParagraphFont"/>
    <w:uiPriority w:val="22"/>
    <w:qFormat/>
    <w:rsid w:val="00664CBF"/>
    <w:rPr>
      <w:b/>
      <w:bCs/>
    </w:rPr>
  </w:style>
  <w:style w:type="paragraph" w:styleId="Caption">
    <w:name w:val="caption"/>
    <w:basedOn w:val="Normal"/>
    <w:next w:val="Normal"/>
    <w:uiPriority w:val="35"/>
    <w:unhideWhenUsed/>
    <w:qFormat/>
    <w:rsid w:val="003C4705"/>
    <w:pPr>
      <w:spacing w:after="200"/>
    </w:pPr>
    <w:rPr>
      <w:i/>
      <w:iCs/>
      <w:color w:val="1F497D" w:themeColor="text2"/>
      <w:sz w:val="18"/>
      <w:szCs w:val="18"/>
    </w:rPr>
  </w:style>
  <w:style w:type="paragraph" w:styleId="NormalWeb">
    <w:name w:val="Normal (Web)"/>
    <w:basedOn w:val="Normal"/>
    <w:uiPriority w:val="99"/>
    <w:semiHidden/>
    <w:unhideWhenUsed/>
    <w:rsid w:val="00522053"/>
    <w:pPr>
      <w:widowControl/>
      <w:autoSpaceDE/>
      <w:autoSpaceDN/>
      <w:spacing w:before="100" w:beforeAutospacing="1" w:after="100" w:afterAutospacing="1"/>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E24912"/>
    <w:rPr>
      <w:sz w:val="16"/>
      <w:szCs w:val="16"/>
    </w:rPr>
  </w:style>
  <w:style w:type="paragraph" w:styleId="CommentText">
    <w:name w:val="annotation text"/>
    <w:basedOn w:val="Normal"/>
    <w:link w:val="CommentTextChar"/>
    <w:uiPriority w:val="99"/>
    <w:unhideWhenUsed/>
    <w:rsid w:val="00E24912"/>
    <w:rPr>
      <w:sz w:val="20"/>
      <w:szCs w:val="20"/>
    </w:rPr>
  </w:style>
  <w:style w:type="character" w:styleId="CommentTextChar" w:customStyle="1">
    <w:name w:val="Comment Text Char"/>
    <w:basedOn w:val="DefaultParagraphFont"/>
    <w:link w:val="CommentText"/>
    <w:uiPriority w:val="99"/>
    <w:rsid w:val="00E24912"/>
    <w:rPr>
      <w:rFonts w:ascii="Calibri" w:hAnsi="Calibri" w:eastAsia="Calibri" w:cs="Calibri"/>
      <w:sz w:val="20"/>
      <w:szCs w:val="20"/>
    </w:rPr>
  </w:style>
  <w:style w:type="paragraph" w:styleId="CommentSubject">
    <w:name w:val="annotation subject"/>
    <w:basedOn w:val="CommentText"/>
    <w:next w:val="CommentText"/>
    <w:link w:val="CommentSubjectChar"/>
    <w:uiPriority w:val="99"/>
    <w:semiHidden/>
    <w:unhideWhenUsed/>
    <w:rsid w:val="00E24912"/>
    <w:rPr>
      <w:b/>
      <w:bCs/>
    </w:rPr>
  </w:style>
  <w:style w:type="character" w:styleId="CommentSubjectChar" w:customStyle="1">
    <w:name w:val="Comment Subject Char"/>
    <w:basedOn w:val="CommentTextChar"/>
    <w:link w:val="CommentSubject"/>
    <w:uiPriority w:val="99"/>
    <w:semiHidden/>
    <w:rsid w:val="00E24912"/>
    <w:rPr>
      <w:rFonts w:ascii="Calibri" w:hAnsi="Calibri" w:eastAsia="Calibri" w:cs="Calibri"/>
      <w:b/>
      <w:bCs/>
      <w:sz w:val="20"/>
      <w:szCs w:val="20"/>
    </w:rPr>
  </w:style>
  <w:style w:type="paragraph" w:styleId="Revision">
    <w:name w:val="Revision"/>
    <w:hidden/>
    <w:uiPriority w:val="99"/>
    <w:semiHidden/>
    <w:rsid w:val="00E24912"/>
    <w:pPr>
      <w:widowControl/>
      <w:autoSpaceDE/>
      <w:autoSpaceDN/>
    </w:pPr>
    <w:rPr>
      <w:rFonts w:ascii="Calibri" w:hAnsi="Calibri" w:eastAsia="Calibri" w:cs="Calibri"/>
    </w:rPr>
  </w:style>
  <w:style w:type="character" w:styleId="PlaceholderText">
    <w:name w:val="Placeholder Text"/>
    <w:basedOn w:val="DefaultParagraphFont"/>
    <w:uiPriority w:val="99"/>
    <w:semiHidden/>
    <w:rsid w:val="00C9579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56884">
      <w:bodyDiv w:val="1"/>
      <w:marLeft w:val="0"/>
      <w:marRight w:val="0"/>
      <w:marTop w:val="0"/>
      <w:marBottom w:val="0"/>
      <w:divBdr>
        <w:top w:val="none" w:sz="0" w:space="0" w:color="auto"/>
        <w:left w:val="none" w:sz="0" w:space="0" w:color="auto"/>
        <w:bottom w:val="none" w:sz="0" w:space="0" w:color="auto"/>
        <w:right w:val="none" w:sz="0" w:space="0" w:color="auto"/>
      </w:divBdr>
      <w:divsChild>
        <w:div w:id="752358432">
          <w:marLeft w:val="0"/>
          <w:marRight w:val="0"/>
          <w:marTop w:val="0"/>
          <w:marBottom w:val="0"/>
          <w:divBdr>
            <w:top w:val="none" w:sz="0" w:space="0" w:color="auto"/>
            <w:left w:val="none" w:sz="0" w:space="0" w:color="auto"/>
            <w:bottom w:val="none" w:sz="0" w:space="0" w:color="auto"/>
            <w:right w:val="none" w:sz="0" w:space="0" w:color="auto"/>
          </w:divBdr>
          <w:divsChild>
            <w:div w:id="298415090">
              <w:marLeft w:val="0"/>
              <w:marRight w:val="0"/>
              <w:marTop w:val="0"/>
              <w:marBottom w:val="0"/>
              <w:divBdr>
                <w:top w:val="none" w:sz="0" w:space="0" w:color="auto"/>
                <w:left w:val="none" w:sz="0" w:space="0" w:color="auto"/>
                <w:bottom w:val="none" w:sz="0" w:space="0" w:color="auto"/>
                <w:right w:val="none" w:sz="0" w:space="0" w:color="auto"/>
              </w:divBdr>
              <w:divsChild>
                <w:div w:id="710694275">
                  <w:marLeft w:val="0"/>
                  <w:marRight w:val="0"/>
                  <w:marTop w:val="0"/>
                  <w:marBottom w:val="0"/>
                  <w:divBdr>
                    <w:top w:val="none" w:sz="0" w:space="0" w:color="auto"/>
                    <w:left w:val="none" w:sz="0" w:space="0" w:color="auto"/>
                    <w:bottom w:val="none" w:sz="0" w:space="0" w:color="auto"/>
                    <w:right w:val="none" w:sz="0" w:space="0" w:color="auto"/>
                  </w:divBdr>
                  <w:divsChild>
                    <w:div w:id="31811752">
                      <w:marLeft w:val="0"/>
                      <w:marRight w:val="0"/>
                      <w:marTop w:val="0"/>
                      <w:marBottom w:val="0"/>
                      <w:divBdr>
                        <w:top w:val="none" w:sz="0" w:space="0" w:color="auto"/>
                        <w:left w:val="none" w:sz="0" w:space="0" w:color="auto"/>
                        <w:bottom w:val="none" w:sz="0" w:space="0" w:color="auto"/>
                        <w:right w:val="none" w:sz="0" w:space="0" w:color="auto"/>
                      </w:divBdr>
                      <w:divsChild>
                        <w:div w:id="1689795171">
                          <w:marLeft w:val="0"/>
                          <w:marRight w:val="0"/>
                          <w:marTop w:val="0"/>
                          <w:marBottom w:val="0"/>
                          <w:divBdr>
                            <w:top w:val="none" w:sz="0" w:space="0" w:color="auto"/>
                            <w:left w:val="none" w:sz="0" w:space="0" w:color="auto"/>
                            <w:bottom w:val="none" w:sz="0" w:space="0" w:color="auto"/>
                            <w:right w:val="none" w:sz="0" w:space="0" w:color="auto"/>
                          </w:divBdr>
                          <w:divsChild>
                            <w:div w:id="99341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022492">
      <w:bodyDiv w:val="1"/>
      <w:marLeft w:val="0"/>
      <w:marRight w:val="0"/>
      <w:marTop w:val="0"/>
      <w:marBottom w:val="0"/>
      <w:divBdr>
        <w:top w:val="none" w:sz="0" w:space="0" w:color="auto"/>
        <w:left w:val="none" w:sz="0" w:space="0" w:color="auto"/>
        <w:bottom w:val="none" w:sz="0" w:space="0" w:color="auto"/>
        <w:right w:val="none" w:sz="0" w:space="0" w:color="auto"/>
      </w:divBdr>
    </w:div>
    <w:div w:id="440880696">
      <w:bodyDiv w:val="1"/>
      <w:marLeft w:val="0"/>
      <w:marRight w:val="0"/>
      <w:marTop w:val="0"/>
      <w:marBottom w:val="0"/>
      <w:divBdr>
        <w:top w:val="none" w:sz="0" w:space="0" w:color="auto"/>
        <w:left w:val="none" w:sz="0" w:space="0" w:color="auto"/>
        <w:bottom w:val="none" w:sz="0" w:space="0" w:color="auto"/>
        <w:right w:val="none" w:sz="0" w:space="0" w:color="auto"/>
      </w:divBdr>
    </w:div>
    <w:div w:id="490219272">
      <w:bodyDiv w:val="1"/>
      <w:marLeft w:val="0"/>
      <w:marRight w:val="0"/>
      <w:marTop w:val="0"/>
      <w:marBottom w:val="0"/>
      <w:divBdr>
        <w:top w:val="none" w:sz="0" w:space="0" w:color="auto"/>
        <w:left w:val="none" w:sz="0" w:space="0" w:color="auto"/>
        <w:bottom w:val="none" w:sz="0" w:space="0" w:color="auto"/>
        <w:right w:val="none" w:sz="0" w:space="0" w:color="auto"/>
      </w:divBdr>
      <w:divsChild>
        <w:div w:id="379474110">
          <w:marLeft w:val="0"/>
          <w:marRight w:val="0"/>
          <w:marTop w:val="0"/>
          <w:marBottom w:val="0"/>
          <w:divBdr>
            <w:top w:val="none" w:sz="0" w:space="0" w:color="auto"/>
            <w:left w:val="none" w:sz="0" w:space="0" w:color="auto"/>
            <w:bottom w:val="none" w:sz="0" w:space="0" w:color="auto"/>
            <w:right w:val="none" w:sz="0" w:space="0" w:color="auto"/>
          </w:divBdr>
          <w:divsChild>
            <w:div w:id="1031413469">
              <w:marLeft w:val="0"/>
              <w:marRight w:val="0"/>
              <w:marTop w:val="0"/>
              <w:marBottom w:val="0"/>
              <w:divBdr>
                <w:top w:val="none" w:sz="0" w:space="0" w:color="auto"/>
                <w:left w:val="none" w:sz="0" w:space="0" w:color="auto"/>
                <w:bottom w:val="none" w:sz="0" w:space="0" w:color="auto"/>
                <w:right w:val="none" w:sz="0" w:space="0" w:color="auto"/>
              </w:divBdr>
              <w:divsChild>
                <w:div w:id="1184321166">
                  <w:marLeft w:val="0"/>
                  <w:marRight w:val="0"/>
                  <w:marTop w:val="0"/>
                  <w:marBottom w:val="0"/>
                  <w:divBdr>
                    <w:top w:val="none" w:sz="0" w:space="0" w:color="auto"/>
                    <w:left w:val="none" w:sz="0" w:space="0" w:color="auto"/>
                    <w:bottom w:val="none" w:sz="0" w:space="0" w:color="auto"/>
                    <w:right w:val="none" w:sz="0" w:space="0" w:color="auto"/>
                  </w:divBdr>
                  <w:divsChild>
                    <w:div w:id="228075678">
                      <w:marLeft w:val="0"/>
                      <w:marRight w:val="0"/>
                      <w:marTop w:val="0"/>
                      <w:marBottom w:val="0"/>
                      <w:divBdr>
                        <w:top w:val="none" w:sz="0" w:space="0" w:color="auto"/>
                        <w:left w:val="none" w:sz="0" w:space="0" w:color="auto"/>
                        <w:bottom w:val="none" w:sz="0" w:space="0" w:color="auto"/>
                        <w:right w:val="none" w:sz="0" w:space="0" w:color="auto"/>
                      </w:divBdr>
                      <w:divsChild>
                        <w:div w:id="213978423">
                          <w:marLeft w:val="0"/>
                          <w:marRight w:val="0"/>
                          <w:marTop w:val="0"/>
                          <w:marBottom w:val="0"/>
                          <w:divBdr>
                            <w:top w:val="none" w:sz="0" w:space="0" w:color="auto"/>
                            <w:left w:val="none" w:sz="0" w:space="0" w:color="auto"/>
                            <w:bottom w:val="none" w:sz="0" w:space="0" w:color="auto"/>
                            <w:right w:val="none" w:sz="0" w:space="0" w:color="auto"/>
                          </w:divBdr>
                          <w:divsChild>
                            <w:div w:id="2828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856343">
      <w:bodyDiv w:val="1"/>
      <w:marLeft w:val="0"/>
      <w:marRight w:val="0"/>
      <w:marTop w:val="0"/>
      <w:marBottom w:val="0"/>
      <w:divBdr>
        <w:top w:val="none" w:sz="0" w:space="0" w:color="auto"/>
        <w:left w:val="none" w:sz="0" w:space="0" w:color="auto"/>
        <w:bottom w:val="none" w:sz="0" w:space="0" w:color="auto"/>
        <w:right w:val="none" w:sz="0" w:space="0" w:color="auto"/>
      </w:divBdr>
    </w:div>
    <w:div w:id="741105042">
      <w:bodyDiv w:val="1"/>
      <w:marLeft w:val="0"/>
      <w:marRight w:val="0"/>
      <w:marTop w:val="0"/>
      <w:marBottom w:val="0"/>
      <w:divBdr>
        <w:top w:val="none" w:sz="0" w:space="0" w:color="auto"/>
        <w:left w:val="none" w:sz="0" w:space="0" w:color="auto"/>
        <w:bottom w:val="none" w:sz="0" w:space="0" w:color="auto"/>
        <w:right w:val="none" w:sz="0" w:space="0" w:color="auto"/>
      </w:divBdr>
    </w:div>
    <w:div w:id="1039475084">
      <w:bodyDiv w:val="1"/>
      <w:marLeft w:val="0"/>
      <w:marRight w:val="0"/>
      <w:marTop w:val="0"/>
      <w:marBottom w:val="0"/>
      <w:divBdr>
        <w:top w:val="none" w:sz="0" w:space="0" w:color="auto"/>
        <w:left w:val="none" w:sz="0" w:space="0" w:color="auto"/>
        <w:bottom w:val="none" w:sz="0" w:space="0" w:color="auto"/>
        <w:right w:val="none" w:sz="0" w:space="0" w:color="auto"/>
      </w:divBdr>
    </w:div>
    <w:div w:id="1176308773">
      <w:bodyDiv w:val="1"/>
      <w:marLeft w:val="0"/>
      <w:marRight w:val="0"/>
      <w:marTop w:val="0"/>
      <w:marBottom w:val="0"/>
      <w:divBdr>
        <w:top w:val="none" w:sz="0" w:space="0" w:color="auto"/>
        <w:left w:val="none" w:sz="0" w:space="0" w:color="auto"/>
        <w:bottom w:val="none" w:sz="0" w:space="0" w:color="auto"/>
        <w:right w:val="none" w:sz="0" w:space="0" w:color="auto"/>
      </w:divBdr>
    </w:div>
    <w:div w:id="1425343668">
      <w:bodyDiv w:val="1"/>
      <w:marLeft w:val="0"/>
      <w:marRight w:val="0"/>
      <w:marTop w:val="0"/>
      <w:marBottom w:val="0"/>
      <w:divBdr>
        <w:top w:val="none" w:sz="0" w:space="0" w:color="auto"/>
        <w:left w:val="none" w:sz="0" w:space="0" w:color="auto"/>
        <w:bottom w:val="none" w:sz="0" w:space="0" w:color="auto"/>
        <w:right w:val="none" w:sz="0" w:space="0" w:color="auto"/>
      </w:divBdr>
    </w:div>
    <w:div w:id="1613711505">
      <w:bodyDiv w:val="1"/>
      <w:marLeft w:val="0"/>
      <w:marRight w:val="0"/>
      <w:marTop w:val="0"/>
      <w:marBottom w:val="0"/>
      <w:divBdr>
        <w:top w:val="none" w:sz="0" w:space="0" w:color="auto"/>
        <w:left w:val="none" w:sz="0" w:space="0" w:color="auto"/>
        <w:bottom w:val="none" w:sz="0" w:space="0" w:color="auto"/>
        <w:right w:val="none" w:sz="0" w:space="0" w:color="auto"/>
      </w:divBdr>
    </w:div>
    <w:div w:id="1890532913">
      <w:bodyDiv w:val="1"/>
      <w:marLeft w:val="0"/>
      <w:marRight w:val="0"/>
      <w:marTop w:val="0"/>
      <w:marBottom w:val="0"/>
      <w:divBdr>
        <w:top w:val="none" w:sz="0" w:space="0" w:color="auto"/>
        <w:left w:val="none" w:sz="0" w:space="0" w:color="auto"/>
        <w:bottom w:val="none" w:sz="0" w:space="0" w:color="auto"/>
        <w:right w:val="none" w:sz="0" w:space="0" w:color="auto"/>
      </w:divBdr>
    </w:div>
    <w:div w:id="1900478522">
      <w:bodyDiv w:val="1"/>
      <w:marLeft w:val="0"/>
      <w:marRight w:val="0"/>
      <w:marTop w:val="0"/>
      <w:marBottom w:val="0"/>
      <w:divBdr>
        <w:top w:val="none" w:sz="0" w:space="0" w:color="auto"/>
        <w:left w:val="none" w:sz="0" w:space="0" w:color="auto"/>
        <w:bottom w:val="none" w:sz="0" w:space="0" w:color="auto"/>
        <w:right w:val="none" w:sz="0" w:space="0" w:color="auto"/>
      </w:divBdr>
    </w:div>
    <w:div w:id="1983579937">
      <w:bodyDiv w:val="1"/>
      <w:marLeft w:val="0"/>
      <w:marRight w:val="0"/>
      <w:marTop w:val="0"/>
      <w:marBottom w:val="0"/>
      <w:divBdr>
        <w:top w:val="none" w:sz="0" w:space="0" w:color="auto"/>
        <w:left w:val="none" w:sz="0" w:space="0" w:color="auto"/>
        <w:bottom w:val="none" w:sz="0" w:space="0" w:color="auto"/>
        <w:right w:val="none" w:sz="0" w:space="0" w:color="auto"/>
      </w:divBdr>
    </w:div>
    <w:div w:id="2065059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glossaryDocument" Target="glossary/document.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image" Target="media/image3.emf" Id="rId10"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customXml" Target="../customXml/item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ABFF02485B46A990BC8582BDBBE699"/>
        <w:category>
          <w:name w:val="General"/>
          <w:gallery w:val="placeholder"/>
        </w:category>
        <w:types>
          <w:type w:val="bbPlcHdr"/>
        </w:types>
        <w:behaviors>
          <w:behavior w:val="content"/>
        </w:behaviors>
        <w:guid w:val="{48FC3645-9FDF-4991-89F2-44340C0550B2}"/>
      </w:docPartPr>
      <w:docPartBody>
        <w:p xmlns:wp14="http://schemas.microsoft.com/office/word/2010/wordml" w:rsidR="00233C0C" w:rsidRDefault="00317F23" w14:paraId="72EE8D63" wp14:textId="77777777">
          <w:r w:rsidRPr="00FF37D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23"/>
    <w:rsid w:val="00106207"/>
    <w:rsid w:val="001B262A"/>
    <w:rsid w:val="00233C0C"/>
    <w:rsid w:val="00317F23"/>
    <w:rsid w:val="008E4FE9"/>
    <w:rsid w:val="00DD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7F2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16E0984-CD4B-4A71-BD31-75E719DD7CDC}">
  <ds:schemaRefs>
    <ds:schemaRef ds:uri="http://schemas.openxmlformats.org/officeDocument/2006/bibliography"/>
  </ds:schemaRefs>
</ds:datastoreItem>
</file>

<file path=customXml/itemProps2.xml><?xml version="1.0" encoding="utf-8"?>
<ds:datastoreItem xmlns:ds="http://schemas.openxmlformats.org/officeDocument/2006/customXml" ds:itemID="{2D726CBA-27CA-4617-B7D5-19812ADFD83C}"/>
</file>

<file path=customXml/itemProps3.xml><?xml version="1.0" encoding="utf-8"?>
<ds:datastoreItem xmlns:ds="http://schemas.openxmlformats.org/officeDocument/2006/customXml" ds:itemID="{19404FC7-88C6-4236-8287-156BFB1725D0}"/>
</file>

<file path=customXml/itemProps4.xml><?xml version="1.0" encoding="utf-8"?>
<ds:datastoreItem xmlns:ds="http://schemas.openxmlformats.org/officeDocument/2006/customXml" ds:itemID="{EE559DF4-76C2-4E3A-B07B-78D31F0648C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2 Estimated TRS impact of CMP 418</dc:title>
  <dc:creator>Giulia Licocci</dc:creator>
  <cp:lastModifiedBy>Milly Lewis (NESO)</cp:lastModifiedBy>
  <cp:revision>5</cp:revision>
  <dcterms:created xsi:type="dcterms:W3CDTF">2025-01-27T14:49:00Z</dcterms:created>
  <dcterms:modified xsi:type="dcterms:W3CDTF">2025-01-28T17:30:25Z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2024-12-14T00:00:00Z</vt:filetime>
  </property>
  <property fmtid="{D5CDD505-2E9C-101B-9397-08002B2CF9AE}" pid="3" name="Creator">
    <vt:lpwstr>Microsoft® Word for Microsoft 365</vt:lpwstr>
  </property>
  <property fmtid="{D5CDD505-2E9C-101B-9397-08002B2CF9AE}" pid="4" name="LastSaved">
    <vt:filetime>2025-01-22T00:00:00Z</vt:filetime>
  </property>
  <property fmtid="{D5CDD505-2E9C-101B-9397-08002B2CF9AE}" pid="5" name="Producer">
    <vt:lpwstr>Microsoft® Word for Microsoft 365</vt:lpwstr>
  </property>
  <property fmtid="{D5CDD505-2E9C-101B-9397-08002B2CF9AE}" pid="6" name="ContentTypeId">
    <vt:lpwstr>0x010100095E1BDC5029614ABF43223A464FD248</vt:lpwstr>
  </property>
  <property fmtid="{D5CDD505-2E9C-101B-9397-08002B2CF9AE}" pid="7" name="MediaServiceImageTags">
    <vt:lpwstr/>
  </property>
</Properties>
</file>