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644FA3" w:rsidR="00541241" w:rsidP="007C6A5B" w:rsidRDefault="00814802" w14:paraId="6B216498" w14:textId="0254DD30">
      <w:pPr>
        <w:pStyle w:val="Header1-underline"/>
      </w:pPr>
      <w:bookmarkStart w:name="_Hlk124496220" w:id="0"/>
      <w:bookmarkEnd w:id="0"/>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65FE2CB9">
                            <w:r>
                              <w:t xml:space="preserve">Date of Submission: </w:t>
                            </w:r>
                            <w:r w:rsidR="00FC3C09">
                              <w:t>TBC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65FE2CB9">
                      <w:r>
                        <w:t xml:space="preserve">Date of Submission: </w:t>
                      </w:r>
                      <w:r w:rsidR="00FC3C09">
                        <w:t>TBC</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00DDA51C"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00DDA51C" w14:paraId="7C0624CE" w14:textId="77777777">
        <w:trPr>
          <w:trHeight w:val="249"/>
        </w:trPr>
        <w:tc>
          <w:tcPr>
            <w:tcW w:w="5974" w:type="dxa"/>
            <w:shd w:val="clear" w:color="auto" w:fill="B2CFE2"/>
            <w:tcMar/>
          </w:tcPr>
          <w:p w:rsidRPr="003719FE" w:rsidR="00E01A72" w:rsidP="6A173E16" w:rsidRDefault="00F0499E" w14:paraId="13E714F6" w14:textId="7C19076E">
            <w:pPr>
              <w:spacing w:before="0" w:after="0"/>
              <w:rPr>
                <w:rFonts w:eastAsia="Calibri" w:cs="Arial"/>
                <w:lang w:eastAsia="en-US"/>
              </w:rPr>
            </w:pPr>
            <w:r w:rsidRPr="6A173E16" w:rsidR="00F0499E">
              <w:rPr>
                <w:rFonts w:eastAsia="Calibri" w:cs="Arial"/>
                <w:lang w:eastAsia="en-US"/>
              </w:rPr>
              <w:t>Distributed Re</w:t>
            </w:r>
            <w:r w:rsidRPr="6A173E16" w:rsidR="5630BF48">
              <w:rPr>
                <w:rFonts w:eastAsia="Calibri" w:cs="Arial"/>
                <w:lang w:eastAsia="en-US"/>
              </w:rPr>
              <w:t>S</w:t>
            </w:r>
            <w:r w:rsidRPr="6A173E16" w:rsidR="00F0499E">
              <w:rPr>
                <w:rFonts w:eastAsia="Calibri" w:cs="Arial"/>
                <w:lang w:eastAsia="en-US"/>
              </w:rPr>
              <w:t>tart</w:t>
            </w:r>
            <w:r w:rsidRPr="6A173E16" w:rsidR="000841DF">
              <w:rPr>
                <w:rFonts w:eastAsia="Calibri" w:cs="Arial"/>
                <w:lang w:eastAsia="en-US"/>
              </w:rPr>
              <w:t xml:space="preserve"> – </w:t>
            </w:r>
            <w:r w:rsidRPr="6A173E16" w:rsidR="000841DF">
              <w:rPr>
                <w:rFonts w:eastAsia="Calibri" w:cs="Arial"/>
                <w:lang w:eastAsia="en-US"/>
              </w:rPr>
              <w:t>Redhouse</w:t>
            </w:r>
            <w:r w:rsidRPr="6A173E16" w:rsidR="000841DF">
              <w:rPr>
                <w:rFonts w:eastAsia="Calibri" w:cs="Arial"/>
                <w:lang w:eastAsia="en-US"/>
              </w:rPr>
              <w:t xml:space="preserve"> Live Trial </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691E8BC" w14:paraId="7D1A7BA3" w14:textId="39107D47">
            <w:pPr>
              <w:spacing w:before="0" w:after="0"/>
              <w:rPr>
                <w:rFonts w:eastAsia="Calibri" w:cs="Arial"/>
                <w:lang w:eastAsia="en-US"/>
              </w:rPr>
            </w:pPr>
            <w:r w:rsidRPr="57C57BA6">
              <w:rPr>
                <w:rFonts w:eastAsia="Calibri" w:cs="Arial"/>
                <w:lang w:eastAsia="en-US"/>
              </w:rPr>
              <w:t xml:space="preserve"> NIA2_NGESO047</w:t>
            </w:r>
          </w:p>
        </w:tc>
      </w:tr>
      <w:tr w:rsidRPr="00E01A72" w:rsidR="00E01A72" w:rsidTr="00DDA51C"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00DDA51C" w14:paraId="5AD8E24D" w14:textId="77777777">
        <w:trPr>
          <w:trHeight w:val="249"/>
        </w:trPr>
        <w:tc>
          <w:tcPr>
            <w:tcW w:w="5974" w:type="dxa"/>
            <w:shd w:val="clear" w:color="auto" w:fill="B2CFE2"/>
            <w:tcMar/>
          </w:tcPr>
          <w:p w:rsidRPr="00E01A72" w:rsidR="00E01A72" w:rsidP="004E1280" w:rsidRDefault="00A3323D" w14:paraId="5E474528" w14:textId="5AF7B01A">
            <w:pPr>
              <w:spacing w:before="0" w:after="0"/>
              <w:rPr>
                <w:rFonts w:eastAsia="Calibri" w:cs="Arial"/>
                <w:szCs w:val="20"/>
                <w:lang w:eastAsia="en-US"/>
              </w:rPr>
            </w:pPr>
            <w:r>
              <w:rPr>
                <w:rFonts w:eastAsia="Calibri" w:cs="Arial"/>
                <w:szCs w:val="20"/>
                <w:lang w:eastAsia="en-US"/>
              </w:rPr>
              <w:t>NG</w:t>
            </w:r>
            <w:r w:rsidR="000841DF">
              <w:rPr>
                <w:rFonts w:eastAsia="Calibri" w:cs="Arial"/>
                <w:szCs w:val="20"/>
                <w:lang w:eastAsia="en-US"/>
              </w:rPr>
              <w:t xml:space="preserve">ESO, </w:t>
            </w:r>
            <w:r w:rsidR="004E1280">
              <w:rPr>
                <w:rFonts w:eastAsia="Calibri" w:cs="Arial"/>
                <w:szCs w:val="20"/>
                <w:lang w:eastAsia="en-US"/>
              </w:rPr>
              <w:t>SP Energy Netw</w:t>
            </w:r>
            <w:r w:rsidR="00157130">
              <w:rPr>
                <w:rFonts w:eastAsia="Calibri" w:cs="Arial"/>
                <w:szCs w:val="20"/>
                <w:lang w:eastAsia="en-US"/>
              </w:rPr>
              <w:t>o</w:t>
            </w:r>
            <w:r w:rsidR="004E1280">
              <w:rPr>
                <w:rFonts w:eastAsia="Calibri" w:cs="Arial"/>
                <w:szCs w:val="20"/>
                <w:lang w:eastAsia="en-US"/>
              </w:rPr>
              <w:t>rks</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2F36CC" w14:paraId="5C0C31A1" w14:textId="476DC3B0">
            <w:pPr>
              <w:spacing w:before="0" w:after="0"/>
              <w:rPr>
                <w:rFonts w:eastAsia="Calibri" w:cs="Arial"/>
                <w:szCs w:val="20"/>
                <w:lang w:eastAsia="en-US"/>
              </w:rPr>
            </w:pPr>
            <w:r>
              <w:rPr>
                <w:rFonts w:eastAsia="Calibri" w:cs="Arial"/>
                <w:szCs w:val="20"/>
                <w:lang w:eastAsia="en-US"/>
              </w:rPr>
              <w:t>1</w:t>
            </w:r>
            <w:r w:rsidRPr="002F36CC">
              <w:rPr>
                <w:rFonts w:eastAsia="Calibri" w:cs="Arial"/>
                <w:szCs w:val="20"/>
                <w:vertAlign w:val="superscript"/>
                <w:lang w:eastAsia="en-US"/>
              </w:rPr>
              <w:t>st</w:t>
            </w:r>
            <w:r>
              <w:rPr>
                <w:rFonts w:eastAsia="Calibri" w:cs="Arial"/>
                <w:szCs w:val="20"/>
                <w:lang w:eastAsia="en-US"/>
              </w:rPr>
              <w:t xml:space="preserve"> </w:t>
            </w:r>
            <w:r w:rsidR="001C7157">
              <w:rPr>
                <w:rFonts w:eastAsia="Calibri" w:cs="Arial"/>
                <w:szCs w:val="20"/>
                <w:lang w:eastAsia="en-US"/>
              </w:rPr>
              <w:t>December, 2018</w:t>
            </w:r>
          </w:p>
        </w:tc>
      </w:tr>
      <w:tr w:rsidRPr="00E01A72" w:rsidR="00E01A72" w:rsidTr="00DDA51C" w14:paraId="4A30B31D" w14:textId="77777777">
        <w:trPr>
          <w:trHeight w:val="480"/>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00DDA51C" w14:paraId="33662779" w14:textId="77777777">
        <w:trPr>
          <w:trHeight w:val="249"/>
        </w:trPr>
        <w:tc>
          <w:tcPr>
            <w:tcW w:w="5974" w:type="dxa"/>
            <w:shd w:val="clear" w:color="auto" w:fill="B2CFE2"/>
            <w:tcMar/>
          </w:tcPr>
          <w:p w:rsidRPr="00E01A72" w:rsidR="00E01A72" w:rsidP="00E01A72" w:rsidRDefault="00CD12A6" w14:paraId="49544417" w14:textId="7534CEFA">
            <w:pPr>
              <w:spacing w:before="0" w:after="0"/>
              <w:rPr>
                <w:rFonts w:eastAsia="Calibri" w:cs="Arial"/>
                <w:szCs w:val="20"/>
                <w:lang w:eastAsia="en-US"/>
              </w:rPr>
            </w:pPr>
            <w:r>
              <w:rPr>
                <w:rFonts w:eastAsia="Calibri" w:cs="Arial"/>
                <w:szCs w:val="20"/>
                <w:lang w:eastAsia="en-US"/>
              </w:rPr>
              <w:t>Michael Kenny, Julie Balch</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2F36CC" w14:paraId="5F469F9D" w14:textId="501027C5">
            <w:pPr>
              <w:spacing w:before="0" w:after="0"/>
              <w:rPr>
                <w:rFonts w:eastAsia="Calibri" w:cs="Arial"/>
                <w:szCs w:val="20"/>
                <w:lang w:eastAsia="en-US"/>
              </w:rPr>
            </w:pPr>
            <w:r>
              <w:rPr>
                <w:rFonts w:eastAsia="Calibri" w:cs="Arial"/>
                <w:szCs w:val="20"/>
                <w:lang w:eastAsia="en-US"/>
              </w:rPr>
              <w:t>4 Years</w:t>
            </w:r>
          </w:p>
        </w:tc>
      </w:tr>
      <w:tr w:rsidRPr="00E01A72" w:rsidR="00E01A72" w:rsidTr="00DDA51C"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00DDA51C" w14:paraId="68DE84DE" w14:textId="77777777">
        <w:trPr>
          <w:trHeight w:val="249"/>
        </w:trPr>
        <w:tc>
          <w:tcPr>
            <w:tcW w:w="5974" w:type="dxa"/>
            <w:shd w:val="clear" w:color="auto" w:fill="B2CFE2"/>
            <w:tcMar/>
          </w:tcPr>
          <w:p w:rsidRPr="00E01A72" w:rsidR="00E01A72" w:rsidP="00E01A72" w:rsidRDefault="004913B9" w14:paraId="38F980A7" w14:textId="08AC0FF1">
            <w:pPr>
              <w:spacing w:before="0" w:after="0"/>
              <w:rPr>
                <w:rFonts w:eastAsia="Calibri" w:cs="Arial"/>
                <w:szCs w:val="20"/>
                <w:lang w:eastAsia="en-US"/>
              </w:rPr>
            </w:pPr>
            <w:r>
              <w:t>Innovation@nationalgrideso.com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DD3603" w14:paraId="0340D2AA" w14:textId="48A2F0BF">
            <w:pPr>
              <w:spacing w:before="0" w:after="0"/>
              <w:rPr>
                <w:rFonts w:eastAsia="Calibri" w:cs="Arial"/>
                <w:lang w:eastAsia="en-US"/>
              </w:rPr>
            </w:pPr>
            <w:r w:rsidRPr="57C57BA6">
              <w:rPr>
                <w:rFonts w:eastAsia="Calibri" w:cs="Arial"/>
                <w:lang w:eastAsia="en-US"/>
              </w:rPr>
              <w:t>£1</w:t>
            </w:r>
            <w:r w:rsidRPr="57C57BA6" w:rsidR="000442E3">
              <w:rPr>
                <w:rFonts w:eastAsia="Calibri" w:cs="Arial"/>
                <w:lang w:eastAsia="en-US"/>
              </w:rPr>
              <w:t>2</w:t>
            </w:r>
            <w:r w:rsidRPr="57C57BA6">
              <w:rPr>
                <w:rFonts w:eastAsia="Calibri" w:cs="Arial"/>
                <w:lang w:eastAsia="en-US"/>
              </w:rPr>
              <w:t>.</w:t>
            </w:r>
            <w:r w:rsidRPr="57C57BA6" w:rsidR="46C3B708">
              <w:rPr>
                <w:rFonts w:eastAsia="Calibri" w:cs="Arial"/>
                <w:lang w:eastAsia="en-US"/>
              </w:rPr>
              <w:t>2</w:t>
            </w:r>
            <w:r w:rsidRPr="57C57BA6">
              <w:rPr>
                <w:rFonts w:eastAsia="Calibri" w:cs="Arial"/>
                <w:lang w:eastAsia="en-US"/>
              </w:rPr>
              <w:t>M</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00CD3E7A" w:rsidP="009D0CDD" w:rsidRDefault="009D0CDD" w14:paraId="79FFD687" w14:textId="7DC8C46D">
      <w:r>
        <w:t xml:space="preserve">The </w:t>
      </w:r>
      <w:r w:rsidR="00D4528C">
        <w:t xml:space="preserve">Distributed Restart </w:t>
      </w:r>
      <w:r w:rsidR="30C40212">
        <w:t>NIC</w:t>
      </w:r>
      <w:r w:rsidR="00D4528C">
        <w:t xml:space="preserve"> </w:t>
      </w:r>
      <w:r>
        <w:t xml:space="preserve">project </w:t>
      </w:r>
      <w:r w:rsidR="00D4528C">
        <w:t>is exploring</w:t>
      </w:r>
      <w:r>
        <w:t xml:space="preserve"> how </w:t>
      </w:r>
      <w:r w:rsidR="00292FC5">
        <w:t>D</w:t>
      </w:r>
      <w:r>
        <w:t xml:space="preserve">istributed </w:t>
      </w:r>
      <w:r w:rsidR="00292FC5">
        <w:t>E</w:t>
      </w:r>
      <w:r>
        <w:t xml:space="preserve">nergy </w:t>
      </w:r>
      <w:r w:rsidR="00292FC5">
        <w:t>R</w:t>
      </w:r>
      <w:r>
        <w:t xml:space="preserve">esources (DERs) can be used to restore power in the event of a total or partial shutdown of the </w:t>
      </w:r>
      <w:r w:rsidR="00427EDE">
        <w:t xml:space="preserve">GB </w:t>
      </w:r>
      <w:r w:rsidR="00CF62E8">
        <w:t>Electricity Network.</w:t>
      </w:r>
      <w:r>
        <w:t xml:space="preserve"> Current approaches rely</w:t>
      </w:r>
      <w:r w:rsidR="00D4528C">
        <w:t xml:space="preserve"> </w:t>
      </w:r>
      <w:r>
        <w:t>on large power stations and interconnectors but, as the UK moves to cleaner and more decentralised energy, new options must be developed</w:t>
      </w:r>
      <w:r w:rsidR="00150833">
        <w:t xml:space="preserve">, </w:t>
      </w:r>
      <w:r>
        <w:t xml:space="preserve">leading to reductions in both cost and carbon emissions. </w:t>
      </w:r>
    </w:p>
    <w:p w:rsidR="0073600F" w:rsidP="57C57BA6" w:rsidRDefault="0073600F" w14:paraId="47A4D7B6" w14:textId="0AB174A5">
      <w:pPr>
        <w:rPr>
          <w:rFonts w:eastAsia="Arial" w:cs="Arial"/>
          <w:szCs w:val="20"/>
        </w:rPr>
      </w:pPr>
      <w:r>
        <w:t>T</w:t>
      </w:r>
      <w:r w:rsidR="00A071CF">
        <w:t>wo</w:t>
      </w:r>
      <w:r w:rsidR="007B7AF2">
        <w:t xml:space="preserve"> </w:t>
      </w:r>
      <w:r w:rsidR="00401FB8">
        <w:t>live trail</w:t>
      </w:r>
      <w:r w:rsidR="007B7AF2">
        <w:t xml:space="preserve">s </w:t>
      </w:r>
      <w:r w:rsidR="00A071CF">
        <w:t xml:space="preserve">have been completed </w:t>
      </w:r>
      <w:r w:rsidR="007B7AF2">
        <w:t xml:space="preserve">at Galloway and </w:t>
      </w:r>
      <w:proofErr w:type="spellStart"/>
      <w:r w:rsidR="007B7AF2">
        <w:t>Chapelcross</w:t>
      </w:r>
      <w:proofErr w:type="spellEnd"/>
      <w:r w:rsidR="007B7AF2">
        <w:t xml:space="preserve"> </w:t>
      </w:r>
      <w:r w:rsidR="003A54D4">
        <w:t>Grid Supply Points (</w:t>
      </w:r>
      <w:r w:rsidR="00896408">
        <w:t>GPSs</w:t>
      </w:r>
      <w:r w:rsidR="003A54D4">
        <w:t>)</w:t>
      </w:r>
      <w:r w:rsidR="2B5E9F94">
        <w:t xml:space="preserve">. </w:t>
      </w:r>
      <w:r w:rsidR="00896408">
        <w:t xml:space="preserve"> </w:t>
      </w:r>
      <w:r w:rsidRPr="57C57BA6" w:rsidR="00A14B60">
        <w:rPr>
          <w:rFonts w:eastAsia="Arial" w:cs="Arial"/>
          <w:color w:val="000000"/>
          <w:szCs w:val="20"/>
        </w:rPr>
        <w:t>T</w:t>
      </w:r>
      <w:r w:rsidRPr="57C57BA6" w:rsidR="05D31E61">
        <w:rPr>
          <w:rFonts w:eastAsia="Arial" w:cs="Arial"/>
          <w:color w:val="000000"/>
          <w:szCs w:val="20"/>
        </w:rPr>
        <w:t xml:space="preserve">his follow-on NIA project will support an additional live trial at </w:t>
      </w:r>
      <w:proofErr w:type="spellStart"/>
      <w:r w:rsidRPr="57C57BA6" w:rsidR="05D31E61">
        <w:rPr>
          <w:rFonts w:eastAsia="Arial" w:cs="Arial"/>
          <w:color w:val="000000"/>
          <w:szCs w:val="20"/>
        </w:rPr>
        <w:t>Redhouse</w:t>
      </w:r>
      <w:proofErr w:type="spellEnd"/>
      <w:r w:rsidRPr="57C57BA6" w:rsidR="05D31E61">
        <w:rPr>
          <w:rFonts w:eastAsia="Arial" w:cs="Arial"/>
          <w:color w:val="000000"/>
          <w:szCs w:val="20"/>
        </w:rPr>
        <w:t xml:space="preserve"> GSP to demonstrate the use of a battery energy storage system (BESS) with grid-forming technology to restart the network and use of a prototype Distribution Restoration Zone Controller (DRZC) to stabilise and maintain the power island within voltage and frequency limits.</w:t>
      </w:r>
      <w:r w:rsidRPr="57C57BA6" w:rsidR="05D31E61">
        <w:rPr>
          <w:rFonts w:eastAsia="Arial" w:cs="Arial"/>
          <w:b/>
          <w:bCs/>
          <w:color w:val="000000"/>
          <w:szCs w:val="20"/>
        </w:rPr>
        <w:t xml:space="preserve"> </w:t>
      </w:r>
      <w:r w:rsidRPr="57C57BA6" w:rsidR="05D31E61">
        <w:rPr>
          <w:rFonts w:eastAsia="Arial" w:cs="Arial"/>
          <w:szCs w:val="20"/>
        </w:rPr>
        <w:t xml:space="preserve"> </w:t>
      </w:r>
    </w:p>
    <w:p w:rsidR="57C57BA6" w:rsidP="57C57BA6" w:rsidRDefault="57C57BA6" w14:paraId="2ABDEED5" w14:textId="447EDB2A"/>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00262DD5" w:rsidP="00AB0725" w:rsidRDefault="00183AF6" w14:paraId="0ACE7F3F" w14:textId="75410631">
      <w:r w:rsidRPr="00521695">
        <w:t xml:space="preserve">Based on </w:t>
      </w:r>
      <w:r w:rsidR="00216FA7">
        <w:t xml:space="preserve">the </w:t>
      </w:r>
      <w:r>
        <w:t>latest</w:t>
      </w:r>
      <w:r w:rsidR="00216FA7">
        <w:t xml:space="preserve"> project</w:t>
      </w:r>
      <w:r>
        <w:t xml:space="preserve"> cost/benefit</w:t>
      </w:r>
      <w:r w:rsidRPr="00521695">
        <w:t xml:space="preserve"> analysis, </w:t>
      </w:r>
      <w:r w:rsidR="00F05EA5">
        <w:t>the developed</w:t>
      </w:r>
      <w:r w:rsidRPr="00521695" w:rsidR="00F05EA5">
        <w:t xml:space="preserve"> </w:t>
      </w:r>
      <w:r w:rsidRPr="00521695">
        <w:t>method has the potential to deliver financial benefits of at least £115m (net present value in 2018/19 prices) and carbon benefits of 0.81MT of cumulative avoided CO</w:t>
      </w:r>
      <w:r w:rsidRPr="00521695">
        <w:rPr>
          <w:vertAlign w:val="subscript"/>
        </w:rPr>
        <w:t>2</w:t>
      </w:r>
      <w:r w:rsidRPr="00521695">
        <w:t>e for consumers by 2050, breaking even by 2027 (within 5 years of the end of the project).</w:t>
      </w:r>
    </w:p>
    <w:p w:rsidR="00262DD5" w:rsidP="00AB0725" w:rsidRDefault="00C61F09" w14:paraId="6E5C75B1" w14:textId="20A3031E">
      <w:r>
        <w:t>E</w:t>
      </w:r>
      <w:r w:rsidR="00262DD5">
        <w:t xml:space="preserve">xtending the project to deliver the </w:t>
      </w:r>
      <w:proofErr w:type="spellStart"/>
      <w:r w:rsidR="00262DD5">
        <w:t>Redhouse</w:t>
      </w:r>
      <w:proofErr w:type="spellEnd"/>
      <w:r w:rsidR="00262DD5">
        <w:t xml:space="preserve"> live trial will bring additional benefits to the consumer</w:t>
      </w:r>
      <w:r w:rsidR="00D62973">
        <w:t xml:space="preserve"> </w:t>
      </w:r>
      <w:r w:rsidRPr="1A3692AD" w:rsidR="00D62973">
        <w:t xml:space="preserve">(using economies of scale and existing expertise via </w:t>
      </w:r>
      <w:r w:rsidR="00F565B3">
        <w:t xml:space="preserve">the </w:t>
      </w:r>
      <w:r w:rsidRPr="1A3692AD" w:rsidR="00D62973">
        <w:t xml:space="preserve">project vs. </w:t>
      </w:r>
      <w:r w:rsidR="00D62973">
        <w:t xml:space="preserve">time </w:t>
      </w:r>
      <w:r>
        <w:t>and</w:t>
      </w:r>
      <w:r w:rsidR="00D62973">
        <w:t xml:space="preserve"> financial </w:t>
      </w:r>
      <w:r w:rsidRPr="1A3692AD" w:rsidR="00D62973">
        <w:t>cost</w:t>
      </w:r>
      <w:r w:rsidR="00D62973">
        <w:t>s</w:t>
      </w:r>
      <w:r w:rsidRPr="1A3692AD" w:rsidR="00D62973">
        <w:t xml:space="preserve"> in starting a new ‘</w:t>
      </w:r>
      <w:proofErr w:type="spellStart"/>
      <w:r w:rsidRPr="1A3692AD" w:rsidR="00D62973">
        <w:t>Redhouse</w:t>
      </w:r>
      <w:proofErr w:type="spellEnd"/>
      <w:r w:rsidRPr="1A3692AD" w:rsidR="00D62973">
        <w:t>’ project from scratch)</w:t>
      </w:r>
      <w:r w:rsidR="00D62973">
        <w:t xml:space="preserve"> and industry </w:t>
      </w:r>
      <w:r w:rsidR="00BE3973">
        <w:t>by</w:t>
      </w:r>
      <w:r w:rsidRPr="00BE3973" w:rsidR="00BE3973">
        <w:t xml:space="preserve"> ‘de-risk</w:t>
      </w:r>
      <w:r w:rsidR="00BE3973">
        <w:t>ing</w:t>
      </w:r>
      <w:r w:rsidRPr="00BE3973" w:rsidR="00BE3973">
        <w:t xml:space="preserve">’ the rollout of the </w:t>
      </w:r>
      <w:r w:rsidR="00605A6C">
        <w:t>new Electricity System Restoration Standard (</w:t>
      </w:r>
      <w:r w:rsidRPr="00BE3973" w:rsidR="00BE3973">
        <w:t>ESRS</w:t>
      </w:r>
      <w:r w:rsidR="00605A6C">
        <w:t>)</w:t>
      </w:r>
      <w:r w:rsidRPr="00BE3973" w:rsidR="00BE3973">
        <w:t>, demonstrating that automation is achievable in an operational</w:t>
      </w:r>
      <w:r w:rsidR="00444758">
        <w:t>/BAU</w:t>
      </w:r>
      <w:r w:rsidRPr="00BE3973" w:rsidR="00BE3973">
        <w:t xml:space="preserve"> environment.</w:t>
      </w:r>
    </w:p>
    <w:p w:rsidR="00F41F04" w:rsidP="00AA4233" w:rsidRDefault="00F41F04" w14:paraId="273C9E6F" w14:textId="1BF649B3">
      <w:pPr>
        <w:spacing w:line="276" w:lineRule="auto"/>
        <w:rPr>
          <w:b/>
          <w:bCs/>
        </w:rPr>
      </w:pPr>
    </w:p>
    <w:p w:rsidR="000067B3" w:rsidP="00AA4233" w:rsidRDefault="000067B3" w14:paraId="52761FCF"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36044AD4"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36044AD4"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24073E3">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474307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47430734">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rPr/>
              <w:t>Electricity Transmission</w:t>
            </w:r>
            <w:r w:rsidR="003F6A45">
              <w:rPr>
                <w:b/>
                <w:bCs/>
                <w:noProof/>
              </w:rPr>
              <w:drawing>
                <wp:inline distT="0" distB="0" distL="0" distR="0" wp14:anchorId="6DAA8D2D" wp14:editId="42F6DCA7">
                  <wp:extent cx="162163" cy="162163"/>
                  <wp:effectExtent l="0" t="0" r="8255" b="8255"/>
                  <wp:docPr id="9" name="Graphic 9" descr="Checkmark with solid fill"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11" cstate="print">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2"/>
                              </a:ext>
                            </a:extLst>
                          </a:blip>
                          <a:stretch>
                            <a:fillRect/>
                          </a:stretch>
                        </pic:blipFill>
                        <pic:spPr>
                          <a:xfrm rot="0" flipH="0" flipV="0">
                            <a:off x="0" y="0"/>
                            <a:ext cx="162163" cy="162163"/>
                          </a:xfrm>
                          <a:prstGeom prst="rect">
                            <a:avLst/>
                          </a:prstGeom>
                        </pic:spPr>
                      </pic:pic>
                    </a:graphicData>
                  </a:graphic>
                </wp:inline>
              </w:drawing>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lastRenderedPageBreak/>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029521F3">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r w:rsidR="00D800F0">
              <w:rPr>
                <w:b/>
                <w:bCs/>
                <w:noProof/>
              </w:rPr>
              <w:drawing>
                <wp:inline distT="0" distB="0" distL="0" distR="0" wp14:anchorId="2E441BA7" wp14:editId="05E5AE3D">
                  <wp:extent cx="144145" cy="144145"/>
                  <wp:effectExtent l="0" t="0" r="8255" b="825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52C6CE63">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4AEFF9BA">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57D96B2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57D96B23">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r w:rsidR="00BF70DB">
              <w:rPr>
                <w:b/>
                <w:bCs/>
                <w:noProof/>
              </w:rPr>
              <w:drawing>
                <wp:inline distT="0" distB="0" distL="0" distR="0" wp14:anchorId="734C3081" wp14:editId="4CEDC032">
                  <wp:extent cx="144145" cy="144145"/>
                  <wp:effectExtent l="0" t="0" r="8255" b="825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374CB8"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252AE5ED" w14:textId="792417BA">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37BE37DE">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7z4cM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374CB8"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K1qVJg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374CB8" w:rsidRDefault="007E733F" w14:paraId="4D762605" w14:textId="51BE541B">
            <w:pPr>
              <w:spacing w:line="276" w:lineRule="auto"/>
            </w:pPr>
            <w:r w:rsidRPr="00644FA3">
              <w:rPr>
                <w:noProof/>
              </w:rPr>
              <mc:AlternateContent>
                <mc:Choice Requires="wps">
                  <w:drawing>
                    <wp:anchor distT="0" distB="0" distL="114300" distR="114300" simplePos="0" relativeHeight="251658275" behindDoc="0" locked="0" layoutInCell="1" allowOverlap="1" wp14:anchorId="6A14D5F3" wp14:editId="3C02D59C">
                      <wp:simplePos x="0" y="0"/>
                      <wp:positionH relativeFrom="column">
                        <wp:posOffset>2344420</wp:posOffset>
                      </wp:positionH>
                      <wp:positionV relativeFrom="paragraph">
                        <wp:posOffset>1270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32F73BC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1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" w14:anchorId="6A14D5F3">
                      <v:textbox>
                        <w:txbxContent>
                          <w:p w:rsidRPr="00743174" w:rsidR="00B86B17" w:rsidP="00B86B17" w:rsidRDefault="00B86B17" w14:paraId="4ED1C756" w14:textId="32F73BCF">
                            <w:pPr>
                              <w:rPr>
                                <w14:textOutline w14:w="9525" w14:cap="rnd" w14:cmpd="sng" w14:algn="ctr">
                                  <w14:solidFill>
                                    <w14:srgbClr w14:val="000000"/>
                                  </w14:solidFill>
                                  <w14:prstDash w14:val="solid"/>
                                  <w14:bevel/>
                                </w14:textOutline>
                              </w:rPr>
                            </w:pPr>
                          </w:p>
                        </w:txbxContent>
                      </v:textbox>
                    </v:shape>
                  </w:pict>
                </mc:Fallback>
              </mc:AlternateContent>
            </w:r>
            <w:r w:rsidRPr="007C6A5B" w:rsidR="00B86B17">
              <w:t>Whole Energy System</w:t>
            </w:r>
            <w:r>
              <w:rPr>
                <w:b/>
                <w:bCs/>
                <w:noProof/>
              </w:rPr>
              <w:drawing>
                <wp:inline distT="0" distB="0" distL="0" distR="0" wp14:anchorId="0DAD7CD5" wp14:editId="539AB5DE">
                  <wp:extent cx="144145" cy="144145"/>
                  <wp:effectExtent l="0" t="0" r="8255" b="825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r>
      <w:tr w:rsidRPr="00644FA3" w:rsidR="00B86B17" w:rsidTr="00374CB8"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374CB8" w:rsidRDefault="00B86B17" w14:paraId="5C58EA47" w14:textId="7EB1C83C">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105742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105742FE">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r w:rsidR="007E733F">
              <w:rPr>
                <w:b/>
                <w:bCs/>
                <w:noProof/>
              </w:rPr>
              <w:drawing>
                <wp:inline distT="0" distB="0" distL="0" distR="0" wp14:anchorId="055BAE52" wp14:editId="293B3178">
                  <wp:extent cx="144145" cy="144145"/>
                  <wp:effectExtent l="0" t="0" r="8255" b="8255"/>
                  <wp:docPr id="25" name="Graphic 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374CB8"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ED153B"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6CF862BB">
                      <wp:simplePos x="0" y="0"/>
                      <wp:positionH relativeFrom="column">
                        <wp:posOffset>2604746</wp:posOffset>
                      </wp:positionH>
                      <wp:positionV relativeFrom="paragraph">
                        <wp:posOffset>4887</wp:posOffset>
                      </wp:positionV>
                      <wp:extent cx="399326" cy="324091"/>
                      <wp:effectExtent l="0" t="0" r="20320" b="19050"/>
                      <wp:wrapNone/>
                      <wp:docPr id="3" name="Text Box 3"/>
                      <wp:cNvGraphicFramePr/>
                      <a:graphic xmlns:a="http://schemas.openxmlformats.org/drawingml/2006/main">
                        <a:graphicData uri="http://schemas.microsoft.com/office/word/2010/wordprocessingShape">
                          <wps:wsp>
                            <wps:cNvSpPr txBox="1"/>
                            <wps:spPr>
                              <a:xfrm>
                                <a:off x="0" y="0"/>
                                <a:ext cx="399326" cy="324091"/>
                              </a:xfrm>
                              <a:prstGeom prst="rect">
                                <a:avLst/>
                              </a:prstGeom>
                              <a:solidFill>
                                <a:schemeClr val="lt1"/>
                              </a:solidFill>
                              <a:ln w="6350">
                                <a:solidFill>
                                  <a:prstClr val="black"/>
                                </a:solidFill>
                              </a:ln>
                            </wps:spPr>
                            <wps:txbx>
                              <w:txbxContent>
                                <w:p w:rsidRPr="00743174" w:rsidR="00230EB6" w:rsidP="00230EB6" w:rsidRDefault="00A57D59" w14:paraId="225C80C5" w14:textId="0E5889A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05.1pt;margin-top:.4pt;width:31.45pt;height:2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" w14:anchorId="085F6E98">
                      <v:textbox>
                        <w:txbxContent>
                          <w:p w:rsidRPr="00743174" w:rsidR="00230EB6" w:rsidP="00230EB6" w:rsidRDefault="00A57D59" w14:paraId="225C80C5" w14:textId="0E5889A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1" locked="0" layoutInCell="1" allowOverlap="1" wp14:anchorId="1C94674F" wp14:editId="15890BF1">
                      <wp:simplePos x="0" y="0"/>
                      <wp:positionH relativeFrom="column">
                        <wp:posOffset>2417445</wp:posOffset>
                      </wp:positionH>
                      <wp:positionV relativeFrom="paragraph">
                        <wp:posOffset>0</wp:posOffset>
                      </wp:positionV>
                      <wp:extent cx="333375" cy="358775"/>
                      <wp:effectExtent l="0" t="0" r="28575" b="22225"/>
                      <wp:wrapSquare wrapText="bothSides"/>
                      <wp:docPr id="4" name="Text Box 4"/>
                      <wp:cNvGraphicFramePr/>
                      <a:graphic xmlns:a="http://schemas.openxmlformats.org/drawingml/2006/main">
                        <a:graphicData uri="http://schemas.microsoft.com/office/word/2010/wordprocessingShape">
                          <wps:wsp>
                            <wps:cNvSpPr txBox="1"/>
                            <wps:spPr>
                              <a:xfrm>
                                <a:off x="0" y="0"/>
                                <a:ext cx="333375" cy="358775"/>
                              </a:xfrm>
                              <a:prstGeom prst="rect">
                                <a:avLst/>
                              </a:prstGeom>
                              <a:solidFill>
                                <a:schemeClr val="lt1"/>
                              </a:solidFill>
                              <a:ln w="6350">
                                <a:solidFill>
                                  <a:prstClr val="black"/>
                                </a:solidFill>
                              </a:ln>
                            </wps:spPr>
                            <wps:txbx>
                              <w:txbxContent>
                                <w:p w:rsidRPr="00743174" w:rsidR="00625C94" w:rsidP="00625C94" w:rsidRDefault="00CB1C4F" w14:paraId="7261869B" w14:textId="6BB7D25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90.35pt;margin-top:0;width:26.25pt;height:28.25pt;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ppOwIAAIM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" w14:anchorId="1C94674F">
                      <v:textbox>
                        <w:txbxContent>
                          <w:p w:rsidRPr="00743174" w:rsidR="00625C94" w:rsidP="00625C94" w:rsidRDefault="00CB1C4F" w14:paraId="7261869B" w14:textId="6BB7D25C">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8</w:t>
                            </w:r>
                          </w:p>
                        </w:txbxContent>
                      </v:textbox>
                      <w10:wrap type="square"/>
                    </v:shape>
                  </w:pict>
                </mc:Fallback>
              </mc:AlternateContent>
            </w:r>
            <w:r w:rsidR="00230EB6">
              <w:rPr>
                <w:noProof/>
              </w:rPr>
              <w:t>TRL at Completion</w:t>
            </w:r>
          </w:p>
        </w:tc>
      </w:tr>
    </w:tbl>
    <w:p w:rsidR="00230EB6" w:rsidP="007C6A5B" w:rsidRDefault="00230EB6" w14:paraId="57273099" w14:textId="77777777"/>
    <w:p w:rsidRPr="00644FA3" w:rsidR="009620AF" w:rsidP="007C6A5B" w:rsidRDefault="007C7B35" w14:paraId="27D0A699" w14:textId="05F55014">
      <w:pPr>
        <w:pStyle w:val="HeadingNo1"/>
      </w:pPr>
      <w:r>
        <w:t>Project Details</w:t>
      </w:r>
      <w:r w:rsidR="007672F8">
        <w:t xml:space="preserve"> (From our Project NIC Bid Submission)</w:t>
      </w:r>
    </w:p>
    <w:p w:rsidRPr="007C7B35" w:rsidR="008B2A26" w:rsidP="00047BA8" w:rsidRDefault="0248E85D" w14:paraId="6C4E2FF4" w14:textId="4995BD8C">
      <w:pPr>
        <w:pStyle w:val="HeadingNo2"/>
        <w:ind w:left="709" w:hanging="709"/>
      </w:pPr>
      <w:r w:rsidRPr="007C7B35">
        <w:t>Problem(s)</w:t>
      </w:r>
    </w:p>
    <w:p w:rsidR="00F55C43" w:rsidP="00F55C43" w:rsidRDefault="00754EF6" w14:paraId="02EA9E96" w14:textId="4255136E">
      <w:pPr>
        <w:spacing w:line="276" w:lineRule="auto"/>
      </w:pPr>
      <w:r w:rsidRPr="00754EF6">
        <w:t xml:space="preserve">Currently there are four </w:t>
      </w:r>
      <w:r w:rsidR="00255D53">
        <w:t>types</w:t>
      </w:r>
      <w:r w:rsidRPr="00754EF6" w:rsidR="00255D53">
        <w:t xml:space="preserve"> </w:t>
      </w:r>
      <w:r w:rsidRPr="00754EF6">
        <w:t xml:space="preserve">of organisations involved in </w:t>
      </w:r>
      <w:r>
        <w:t xml:space="preserve">Electricity </w:t>
      </w:r>
      <w:r w:rsidR="00760666">
        <w:t>System Restoration (ESR</w:t>
      </w:r>
      <w:r w:rsidR="00F05EA5">
        <w:t>)</w:t>
      </w:r>
      <w:r w:rsidR="00760666">
        <w:t>, formerly known as ‘Black Start’</w:t>
      </w:r>
      <w:r w:rsidRPr="00754EF6">
        <w:t xml:space="preserve">: </w:t>
      </w:r>
      <w:r w:rsidR="00F05EA5">
        <w:t>National Grid Electricity System Operator (</w:t>
      </w:r>
      <w:r w:rsidRPr="00754EF6">
        <w:t>ESO</w:t>
      </w:r>
      <w:r w:rsidR="00F05EA5">
        <w:t>)</w:t>
      </w:r>
      <w:r w:rsidRPr="00754EF6">
        <w:t xml:space="preserve">, </w:t>
      </w:r>
      <w:r w:rsidR="00760666">
        <w:t>ESR</w:t>
      </w:r>
      <w:r w:rsidRPr="00754EF6">
        <w:t xml:space="preserve"> providers, Transmission Owners, and Distribution Network Operators. Each organisation receives </w:t>
      </w:r>
      <w:r w:rsidRPr="00754EF6" w:rsidR="00760666">
        <w:t>instructions and</w:t>
      </w:r>
      <w:r w:rsidRPr="00754EF6">
        <w:t xml:space="preserve"> implements its part of restoration plans using a resilient and secure private telecommunications network</w:t>
      </w:r>
      <w:r w:rsidR="00254119">
        <w:t xml:space="preserve"> (OPTEL)</w:t>
      </w:r>
      <w:r w:rsidRPr="00754EF6">
        <w:t>.</w:t>
      </w:r>
      <w:r w:rsidR="00254119">
        <w:t xml:space="preserve"> </w:t>
      </w:r>
      <w:r w:rsidR="00F55C43">
        <w:t>However, the electricity system has transformed, driven by decarbonisation, decentralisation and digitisation.</w:t>
      </w:r>
    </w:p>
    <w:p w:rsidR="00F55C43" w:rsidP="00F55C43" w:rsidRDefault="00CB6A62" w14:paraId="7DD2A56C" w14:textId="440ED288">
      <w:pPr>
        <w:spacing w:line="276" w:lineRule="auto"/>
      </w:pPr>
      <w:r>
        <w:lastRenderedPageBreak/>
        <w:t>ESR</w:t>
      </w:r>
      <w:r w:rsidR="00F55C43">
        <w:t xml:space="preserve"> services need to evolve in line with this and support the continued transition to a low-carbon, decentralised future. </w:t>
      </w:r>
      <w:r>
        <w:t>This project is</w:t>
      </w:r>
      <w:r w:rsidR="00F55C43">
        <w:t xml:space="preserve"> determin</w:t>
      </w:r>
      <w:r>
        <w:t>ing</w:t>
      </w:r>
      <w:r w:rsidR="00F55C43">
        <w:t xml:space="preserve"> how Distributed Energy Resources (DER) can contribute more fully to </w:t>
      </w:r>
      <w:r>
        <w:t>ESR</w:t>
      </w:r>
      <w:r w:rsidR="00F55C43">
        <w:t xml:space="preserve">. </w:t>
      </w:r>
      <w:r w:rsidR="00F05EA5">
        <w:t>T</w:t>
      </w:r>
      <w:r w:rsidR="00F55C43">
        <w:t xml:space="preserve">his </w:t>
      </w:r>
      <w:r w:rsidR="00B63215">
        <w:t>requires</w:t>
      </w:r>
      <w:r w:rsidR="00F55C43">
        <w:t xml:space="preserve"> an entirely new and more complex approach to restoration, which has not been achieved anywhere in the world. </w:t>
      </w:r>
      <w:r w:rsidR="00F05EA5">
        <w:t>As a result, t</w:t>
      </w:r>
      <w:r w:rsidR="00F55C43">
        <w:t xml:space="preserve">here are a number of </w:t>
      </w:r>
      <w:bookmarkStart w:name="_Hlk124773622" w:id="1"/>
      <w:r w:rsidR="00F55C43">
        <w:t xml:space="preserve">technical, commercial, </w:t>
      </w:r>
      <w:r w:rsidR="00B63215">
        <w:t>regulatory,</w:t>
      </w:r>
      <w:r w:rsidR="00F55C43">
        <w:t xml:space="preserve"> and operational </w:t>
      </w:r>
      <w:bookmarkEnd w:id="1"/>
      <w:r w:rsidR="00F55C43">
        <w:t xml:space="preserve">risks that need to be worked through and mitigated before transition into Business as Usual (BAU). </w:t>
      </w:r>
    </w:p>
    <w:p w:rsidRPr="0029024D" w:rsidR="004D4EE8" w:rsidP="00F55C43" w:rsidRDefault="003048A9" w14:paraId="7315285B" w14:textId="73AA9E0E">
      <w:pPr>
        <w:spacing w:line="276" w:lineRule="auto"/>
        <w:rPr>
          <w:b/>
          <w:bCs/>
        </w:rPr>
      </w:pPr>
      <w:r>
        <w:t>Restoration</w:t>
      </w:r>
      <w:r w:rsidR="00F55C43">
        <w:t xml:space="preserve"> costs have risen steadily in recent years as the costs associated with keeping large generators on standby have risen.  </w:t>
      </w:r>
      <w:r w:rsidR="00792CA7">
        <w:t xml:space="preserve">The </w:t>
      </w:r>
      <w:r w:rsidR="00F55C43">
        <w:t xml:space="preserve">ESO will continue to procure </w:t>
      </w:r>
      <w:r>
        <w:t>Restoration</w:t>
      </w:r>
      <w:r w:rsidR="00F55C43">
        <w:t xml:space="preserve"> services as economically and efficiently as it can. Creating a collaborative and comprehensive solution between </w:t>
      </w:r>
      <w:r w:rsidR="00107A45">
        <w:t xml:space="preserve">the </w:t>
      </w:r>
      <w:r w:rsidR="00F55C43">
        <w:t xml:space="preserve">ESO and DNOs now, to allow DER to participate in the </w:t>
      </w:r>
      <w:r w:rsidR="00751773">
        <w:t>s</w:t>
      </w:r>
      <w:r w:rsidR="00F84825">
        <w:t xml:space="preserve">ystem </w:t>
      </w:r>
      <w:r w:rsidR="00751773">
        <w:t>r</w:t>
      </w:r>
      <w:r w:rsidR="00F84825">
        <w:t>estoration</w:t>
      </w:r>
      <w:r w:rsidR="00F55C43">
        <w:t xml:space="preserve"> market, will bring significant financial benefits to consumers through increased competition and lower costs. This will provide further support for community-led energy schemes and potentially achieve shorter restoration times.</w:t>
      </w:r>
      <w:r w:rsidRPr="000E6C14" w:rsidR="004D4EE8">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p>
    <w:p w:rsidR="00644FA3" w:rsidP="00047BA8" w:rsidRDefault="00653B03" w14:paraId="7C747023" w14:textId="7B68CBBF">
      <w:pPr>
        <w:pStyle w:val="HeadingNo2"/>
        <w:ind w:left="709" w:hanging="709"/>
      </w:pPr>
      <w:r w:rsidRPr="00644FA3">
        <w:t>Method</w:t>
      </w:r>
      <w:r w:rsidR="004D4EE8">
        <w:t>(s)</w:t>
      </w:r>
    </w:p>
    <w:p w:rsidRPr="000E6C14" w:rsidR="005B4B62" w:rsidP="005B4B62" w:rsidRDefault="005B4B62" w14:paraId="73BAC7DB" w14:textId="5D249A0E">
      <w:pPr>
        <w:spacing w:line="276" w:lineRule="auto"/>
      </w:pPr>
      <w:r w:rsidRPr="000E6C14">
        <w:t xml:space="preserve">The method trialled in this </w:t>
      </w:r>
      <w:r w:rsidR="656D7A81">
        <w:t xml:space="preserve">NIC </w:t>
      </w:r>
      <w:r w:rsidRPr="000E6C14">
        <w:t xml:space="preserve">project was electricity system restoration from DERs. </w:t>
      </w:r>
      <w:r w:rsidRPr="000E6C14" w:rsidR="001259DF">
        <w:t xml:space="preserve"> </w:t>
      </w:r>
      <w:r w:rsidR="002B3292">
        <w:t>The project</w:t>
      </w:r>
      <w:r w:rsidRPr="000E6C14">
        <w:t xml:space="preserve"> focus</w:t>
      </w:r>
      <w:r w:rsidR="002B3292">
        <w:t>sed</w:t>
      </w:r>
      <w:r w:rsidRPr="000E6C14">
        <w:t xml:space="preserve"> on DERs in the tens of MW range connected at 33 kV. Some larger generators connected at 132 kV already provide restoration services, while smaller DERs would need to be harnessed and coordinated in much greater numbers to have the required impact. </w:t>
      </w:r>
      <w:r w:rsidR="002B3292">
        <w:t>It was</w:t>
      </w:r>
      <w:r w:rsidRPr="000E6C14" w:rsidR="002B3292">
        <w:t xml:space="preserve"> </w:t>
      </w:r>
      <w:r w:rsidRPr="000E6C14">
        <w:t xml:space="preserve">determined that typical network topologies at 33 kV would allow the establishment of power islands under a 132/33 kV Grid Supply Point (GSP), or Bulk Supply Point (BSP). However, the methods can be adapted and applied to different networks. </w:t>
      </w:r>
    </w:p>
    <w:p w:rsidR="005B4B62" w:rsidP="005B4B62" w:rsidRDefault="009C4C69" w14:paraId="5F9206CE" w14:textId="0D8CBBED">
      <w:pPr>
        <w:spacing w:line="276" w:lineRule="auto"/>
      </w:pPr>
      <w:r>
        <w:t xml:space="preserve">To demonstrate this, </w:t>
      </w:r>
      <w:r w:rsidR="00302484">
        <w:t xml:space="preserve">the project was organised into Workstreams to address each area of </w:t>
      </w:r>
      <w:r w:rsidR="00BE4758">
        <w:t xml:space="preserve">risk (technical, commercial, regulatory, and </w:t>
      </w:r>
      <w:r w:rsidR="00FA7770">
        <w:t xml:space="preserve">organisational), with each Workstream tasked by Ofgem </w:t>
      </w:r>
      <w:r w:rsidR="00F05EA5">
        <w:t xml:space="preserve">including </w:t>
      </w:r>
      <w:r w:rsidR="00FA7770">
        <w:t>three key deliverables as follows:</w:t>
      </w:r>
    </w:p>
    <w:p w:rsidRPr="0053257A" w:rsidR="0053257A" w:rsidP="0053257A" w:rsidRDefault="005A2CF9" w14:paraId="4B5E3697" w14:textId="7F6CB317">
      <w:pPr>
        <w:spacing w:line="276" w:lineRule="auto"/>
        <w:rPr>
          <w:b/>
          <w:bCs/>
        </w:rPr>
      </w:pPr>
      <w:r w:rsidRPr="00C24FC0">
        <w:rPr>
          <w:b/>
          <w:bCs/>
        </w:rPr>
        <w:t>Organisation, Systems &amp; Telecoms (OST):</w:t>
      </w:r>
      <w:r w:rsidRPr="00C24FC0" w:rsidR="008C3819">
        <w:rPr>
          <w:b/>
          <w:bCs/>
        </w:rPr>
        <w:t xml:space="preserve"> </w:t>
      </w:r>
      <w:r w:rsidRPr="0053257A" w:rsidR="0053257A">
        <w:t xml:space="preserve">The OST workstream’s objective was to develop the process design, communications and systems required to coordinate all parties involved in an electricity restoration service – also known as black start.  </w:t>
      </w:r>
    </w:p>
    <w:p w:rsidRPr="0053257A" w:rsidR="005A2CF9" w:rsidP="0053257A" w:rsidRDefault="0053257A" w14:paraId="59B44B69" w14:textId="54B8B284">
      <w:pPr>
        <w:spacing w:line="276" w:lineRule="auto"/>
      </w:pPr>
      <w:r w:rsidRPr="0053257A">
        <w:t>The workstream also sought to highlight changes that would be needed across DERs, DNOs, TOs and</w:t>
      </w:r>
      <w:r w:rsidR="00535E81">
        <w:t xml:space="preserve"> the</w:t>
      </w:r>
      <w:r w:rsidRPr="0053257A">
        <w:t xml:space="preserve"> </w:t>
      </w:r>
      <w:r w:rsidR="00F05EA5">
        <w:t>NG</w:t>
      </w:r>
      <w:r w:rsidRPr="0053257A">
        <w:t>ESO.</w:t>
      </w:r>
    </w:p>
    <w:p w:rsidRPr="00F50877" w:rsidR="00F50877" w:rsidP="00F50877" w:rsidRDefault="00FA7770" w14:paraId="0C61A2B3" w14:textId="77777777">
      <w:pPr>
        <w:spacing w:line="276" w:lineRule="auto"/>
      </w:pPr>
      <w:r w:rsidRPr="00C24FC0">
        <w:rPr>
          <w:b/>
          <w:bCs/>
        </w:rPr>
        <w:t xml:space="preserve">Power Engineering &amp; Trials (PET): </w:t>
      </w:r>
      <w:r w:rsidRPr="00F50877" w:rsidR="00F50877">
        <w:t>The PET workstream’s objective was to establish the technical requirements for an electricity system restoration service – also known as black start. It did this through:  </w:t>
      </w:r>
    </w:p>
    <w:p w:rsidRPr="00F50877" w:rsidR="00F50877" w:rsidP="00F50877" w:rsidRDefault="00F05EA5" w14:paraId="18AB581D" w14:textId="4CA54BF1">
      <w:pPr>
        <w:numPr>
          <w:ilvl w:val="0"/>
          <w:numId w:val="23"/>
        </w:numPr>
        <w:spacing w:line="276" w:lineRule="auto"/>
      </w:pPr>
      <w:r>
        <w:t>D</w:t>
      </w:r>
      <w:r w:rsidRPr="00F50877" w:rsidR="00F50877">
        <w:t>etailed analysis of case studies </w:t>
      </w:r>
    </w:p>
    <w:p w:rsidRPr="00F50877" w:rsidR="00F50877" w:rsidP="00F50877" w:rsidRDefault="00F05EA5" w14:paraId="00601506" w14:textId="7C5F3C28">
      <w:pPr>
        <w:numPr>
          <w:ilvl w:val="0"/>
          <w:numId w:val="23"/>
        </w:numPr>
        <w:spacing w:line="276" w:lineRule="auto"/>
      </w:pPr>
      <w:r>
        <w:t>M</w:t>
      </w:r>
      <w:r w:rsidRPr="00F50877" w:rsidR="00F50877">
        <w:t>ultiple stages of review and testing </w:t>
      </w:r>
    </w:p>
    <w:p w:rsidRPr="00F50877" w:rsidR="00F50877" w:rsidP="00F50877" w:rsidRDefault="00F05EA5" w14:paraId="01133B69" w14:textId="6C93C20A">
      <w:pPr>
        <w:numPr>
          <w:ilvl w:val="0"/>
          <w:numId w:val="23"/>
        </w:numPr>
        <w:spacing w:line="276" w:lineRule="auto"/>
      </w:pPr>
      <w:r>
        <w:t>D</w:t>
      </w:r>
      <w:r w:rsidRPr="00F50877" w:rsidR="00F50877">
        <w:t>emonstrating the service’s concept in live trials on SPEN networks.</w:t>
      </w:r>
    </w:p>
    <w:p w:rsidRPr="00BB0DAF" w:rsidR="00BB0DAF" w:rsidP="00BB0DAF" w:rsidRDefault="00BB0DAF" w14:paraId="2CCA2EB4" w14:textId="01C27959">
      <w:pPr>
        <w:spacing w:line="276" w:lineRule="auto"/>
      </w:pPr>
      <w:r w:rsidRPr="00BB0DAF">
        <w:t xml:space="preserve">The PET workstream engaged with DNOs and TOs, as well as other industry stakeholders. It also engaged with DER developers and specialised consultants, including universities and national electrical testing centres.  </w:t>
      </w:r>
    </w:p>
    <w:p w:rsidRPr="00BB0DAF" w:rsidR="00FA7770" w:rsidP="00BB0DAF" w:rsidRDefault="00BB0DAF" w14:paraId="14D05A77" w14:textId="636E69D5">
      <w:pPr>
        <w:spacing w:line="276" w:lineRule="auto"/>
      </w:pPr>
      <w:r w:rsidRPr="00BB0DAF">
        <w:t xml:space="preserve">The workstream drew on learnings from power system analysis of several distribution restoration zone (DRZ) case study networks. Additionally, it worked with a number of suppliers to develop an automation scheme, called a DRZ controller.  </w:t>
      </w:r>
    </w:p>
    <w:p w:rsidR="0053257A" w:rsidP="005B4B62" w:rsidRDefault="0053257A" w14:paraId="3C13E2D9" w14:textId="77777777">
      <w:pPr>
        <w:spacing w:line="276" w:lineRule="auto"/>
        <w:rPr>
          <w:b/>
          <w:bCs/>
        </w:rPr>
      </w:pPr>
    </w:p>
    <w:p w:rsidR="005A2CF9" w:rsidP="005B4B62" w:rsidRDefault="005A2CF9" w14:paraId="5473E897" w14:textId="7C8298C0">
      <w:pPr>
        <w:spacing w:line="276" w:lineRule="auto"/>
        <w:rPr>
          <w:b/>
          <w:bCs/>
        </w:rPr>
      </w:pPr>
      <w:r w:rsidRPr="00585CA0">
        <w:rPr>
          <w:b/>
          <w:bCs/>
        </w:rPr>
        <w:t>Procurement &amp; Compliance (P&amp;C)</w:t>
      </w:r>
      <w:r w:rsidRPr="00585CA0" w:rsidR="00585CA0">
        <w:rPr>
          <w:b/>
          <w:bCs/>
        </w:rPr>
        <w:t>:</w:t>
      </w:r>
    </w:p>
    <w:p w:rsidRPr="0049279A" w:rsidR="0049279A" w:rsidP="0049279A" w:rsidRDefault="0049279A" w14:paraId="2EF2C075" w14:textId="77777777">
      <w:pPr>
        <w:spacing w:line="276" w:lineRule="auto"/>
      </w:pPr>
      <w:r w:rsidRPr="0049279A">
        <w:t xml:space="preserve">The P&amp;C workstream’s objective was to determine how to deliver the electricity system restoration service concept in a way that best served the needs of end-consumers. It did this by: </w:t>
      </w:r>
    </w:p>
    <w:p w:rsidRPr="0049279A" w:rsidR="0049279A" w:rsidP="0049279A" w:rsidRDefault="00F05EA5" w14:paraId="4CDD1212" w14:textId="1CB5F55F">
      <w:pPr>
        <w:pStyle w:val="ListParagraph"/>
        <w:numPr>
          <w:ilvl w:val="0"/>
          <w:numId w:val="24"/>
        </w:numPr>
        <w:spacing w:line="276" w:lineRule="auto"/>
      </w:pPr>
      <w:r>
        <w:lastRenderedPageBreak/>
        <w:t>E</w:t>
      </w:r>
      <w:r w:rsidRPr="0049279A" w:rsidR="0049279A">
        <w:t xml:space="preserve">xploring the options and trade-offs between competitive procurement solutions and mandated elements </w:t>
      </w:r>
    </w:p>
    <w:p w:rsidRPr="0049279A" w:rsidR="0049279A" w:rsidP="0049279A" w:rsidRDefault="00F05EA5" w14:paraId="3C9FD653" w14:textId="0B92ED2C">
      <w:pPr>
        <w:pStyle w:val="ListParagraph"/>
        <w:numPr>
          <w:ilvl w:val="0"/>
          <w:numId w:val="24"/>
        </w:numPr>
        <w:spacing w:line="276" w:lineRule="auto"/>
      </w:pPr>
      <w:r>
        <w:t>M</w:t>
      </w:r>
      <w:r w:rsidRPr="0049279A" w:rsidR="0049279A">
        <w:t xml:space="preserve">aking recommendations on the procurement strategy – aiming to be as open and transparent as possible, while reflecting wider industry discussions on related topics like the distribution system operator (DSO) transition and whole system planning </w:t>
      </w:r>
    </w:p>
    <w:p w:rsidRPr="0049279A" w:rsidR="0049279A" w:rsidP="0049279A" w:rsidRDefault="00F05EA5" w14:paraId="392AEA19" w14:textId="1EA1692F">
      <w:pPr>
        <w:pStyle w:val="ListParagraph"/>
        <w:numPr>
          <w:ilvl w:val="0"/>
          <w:numId w:val="24"/>
        </w:numPr>
        <w:spacing w:line="276" w:lineRule="auto"/>
      </w:pPr>
      <w:r>
        <w:t>C</w:t>
      </w:r>
      <w:r w:rsidRPr="0049279A" w:rsidR="0049279A">
        <w:t>onsidering necessary changes in codes and regulations</w:t>
      </w:r>
    </w:p>
    <w:p w:rsidR="003F65B0" w:rsidP="003F65B0" w:rsidRDefault="003F65B0" w14:paraId="2BC1E3F3" w14:textId="314CEC65">
      <w:pPr>
        <w:spacing w:line="276" w:lineRule="auto"/>
      </w:pPr>
      <w:r>
        <w:t xml:space="preserve">In addition, another key deliverable set by Ofgem was the timely dissemination of all the new knowledge </w:t>
      </w:r>
      <w:r w:rsidR="002312F6">
        <w:t xml:space="preserve">(IPR) generated </w:t>
      </w:r>
      <w:r w:rsidR="00F05EA5">
        <w:t>from</w:t>
      </w:r>
      <w:r w:rsidR="002312F6">
        <w:t xml:space="preserve"> the project.  This was managed via </w:t>
      </w:r>
      <w:r w:rsidRPr="00B6376E" w:rsidR="002312F6">
        <w:rPr>
          <w:b/>
          <w:bCs/>
        </w:rPr>
        <w:t>the Knowledge &amp; Dissemination Workstream</w:t>
      </w:r>
      <w:r w:rsidR="00B6376E">
        <w:t xml:space="preserve"> </w:t>
      </w:r>
      <w:r w:rsidRPr="00B6376E" w:rsidR="00B6376E">
        <w:rPr>
          <w:b/>
          <w:bCs/>
        </w:rPr>
        <w:t>(K&amp;D)</w:t>
      </w:r>
      <w:r w:rsidR="00B90A3D">
        <w:t>, which has the following deliverables agreed:</w:t>
      </w:r>
    </w:p>
    <w:p w:rsidR="001A638C" w:rsidP="0055178D" w:rsidRDefault="001A638C" w14:paraId="62634CA0" w14:textId="6F159AA2">
      <w:pPr>
        <w:pStyle w:val="ListParagraph"/>
        <w:numPr>
          <w:ilvl w:val="0"/>
          <w:numId w:val="26"/>
        </w:numPr>
        <w:spacing w:line="276" w:lineRule="auto"/>
      </w:pPr>
      <w:r>
        <w:t>Quarterly Stakeholder Advisory Panel meetings</w:t>
      </w:r>
    </w:p>
    <w:p w:rsidR="001A638C" w:rsidP="0055178D" w:rsidRDefault="001A638C" w14:paraId="167F86D2" w14:textId="2ADA1EAE">
      <w:pPr>
        <w:pStyle w:val="ListParagraph"/>
        <w:numPr>
          <w:ilvl w:val="0"/>
          <w:numId w:val="26"/>
        </w:numPr>
        <w:spacing w:line="276" w:lineRule="auto"/>
      </w:pPr>
      <w:r>
        <w:t>Industry engagement at the Energy Innovation Summit (EIS)</w:t>
      </w:r>
    </w:p>
    <w:p w:rsidR="001A638C" w:rsidP="0055178D" w:rsidRDefault="001A638C" w14:paraId="3563E0F5" w14:textId="0CD7CD5C">
      <w:pPr>
        <w:pStyle w:val="ListParagraph"/>
        <w:numPr>
          <w:ilvl w:val="0"/>
          <w:numId w:val="26"/>
        </w:numPr>
        <w:spacing w:line="276" w:lineRule="auto"/>
      </w:pPr>
      <w:r>
        <w:t>Creation of live trial reports</w:t>
      </w:r>
    </w:p>
    <w:p w:rsidR="001A638C" w:rsidP="0055178D" w:rsidRDefault="001A638C" w14:paraId="53B9F975" w14:textId="4DEDF539">
      <w:pPr>
        <w:pStyle w:val="ListParagraph"/>
        <w:numPr>
          <w:ilvl w:val="0"/>
          <w:numId w:val="26"/>
        </w:numPr>
        <w:spacing w:line="276" w:lineRule="auto"/>
      </w:pPr>
      <w:r>
        <w:t>Creation of BAU procurement contracts</w:t>
      </w:r>
    </w:p>
    <w:p w:rsidR="001A638C" w:rsidP="0055178D" w:rsidRDefault="001A638C" w14:paraId="20A3F145" w14:textId="3CE56B64">
      <w:pPr>
        <w:pStyle w:val="ListParagraph"/>
        <w:numPr>
          <w:ilvl w:val="0"/>
          <w:numId w:val="26"/>
        </w:numPr>
        <w:spacing w:line="276" w:lineRule="auto"/>
      </w:pPr>
      <w:r>
        <w:t>Email campaigns to our registered database which has grown to over 840 industry parties</w:t>
      </w:r>
    </w:p>
    <w:p w:rsidR="00B90A3D" w:rsidP="0055178D" w:rsidRDefault="001A638C" w14:paraId="193C3DC7" w14:textId="4855B372">
      <w:pPr>
        <w:pStyle w:val="ListParagraph"/>
        <w:numPr>
          <w:ilvl w:val="0"/>
          <w:numId w:val="26"/>
        </w:numPr>
        <w:spacing w:line="276" w:lineRule="auto"/>
      </w:pPr>
      <w:r>
        <w:t>Project webinars</w:t>
      </w:r>
    </w:p>
    <w:p w:rsidRPr="000E6C14" w:rsidR="003F65B0" w:rsidP="003F65B0" w:rsidRDefault="00F17B2B" w14:paraId="27715020" w14:textId="30A47434">
      <w:pPr>
        <w:spacing w:line="276" w:lineRule="auto"/>
      </w:pPr>
      <w:r w:rsidRPr="00F17B2B">
        <w:t>During the Covid-19 pandemic, the workstream continued to engage with stakeholders by moving its communications channels online</w:t>
      </w:r>
      <w:r>
        <w:t xml:space="preserve"> and </w:t>
      </w:r>
      <w:r w:rsidR="00167802">
        <w:t>creating podcasts via engagement with industry experts, who were able to interview all project members</w:t>
      </w:r>
      <w:r w:rsidR="00161F6B">
        <w:t xml:space="preserve"> remotely.</w:t>
      </w:r>
    </w:p>
    <w:p w:rsidR="006C1C01" w:rsidP="0008320D" w:rsidRDefault="006C1C01" w14:paraId="57CC9E07" w14:textId="77777777">
      <w:pPr>
        <w:rPr>
          <w:u w:val="single"/>
        </w:rPr>
      </w:pPr>
    </w:p>
    <w:p w:rsidRPr="00403D57" w:rsidR="0008320D" w:rsidP="0008320D" w:rsidRDefault="0008320D" w14:paraId="5DFEF316" w14:textId="1F331B17">
      <w:pPr>
        <w:rPr>
          <w:u w:val="single"/>
        </w:rPr>
      </w:pPr>
      <w:r w:rsidRPr="00403D57">
        <w:rPr>
          <w:u w:val="single"/>
        </w:rPr>
        <w:t>In line with the ENA’s ENIP document, the risk rating</w:t>
      </w:r>
      <w:r w:rsidR="006C1C01">
        <w:rPr>
          <w:u w:val="single"/>
        </w:rPr>
        <w:t xml:space="preserve"> for the </w:t>
      </w:r>
      <w:proofErr w:type="spellStart"/>
      <w:r w:rsidR="006C1C01">
        <w:rPr>
          <w:u w:val="single"/>
        </w:rPr>
        <w:t>Redhouse</w:t>
      </w:r>
      <w:proofErr w:type="spellEnd"/>
      <w:r w:rsidR="006C1C01">
        <w:rPr>
          <w:u w:val="single"/>
        </w:rPr>
        <w:t xml:space="preserve"> Live Trial</w:t>
      </w:r>
      <w:r w:rsidRPr="00403D57">
        <w:rPr>
          <w:u w:val="single"/>
        </w:rPr>
        <w:t xml:space="preserve"> </w:t>
      </w:r>
      <w:r w:rsidR="00982DC2">
        <w:rPr>
          <w:u w:val="single"/>
        </w:rPr>
        <w:t>extension</w:t>
      </w:r>
      <w:r w:rsidR="00454D71">
        <w:rPr>
          <w:u w:val="single"/>
        </w:rPr>
        <w:t xml:space="preserve"> </w:t>
      </w:r>
      <w:r w:rsidRPr="00403D57">
        <w:rPr>
          <w:u w:val="single"/>
        </w:rPr>
        <w:t xml:space="preserve">is scored </w:t>
      </w:r>
      <w:r w:rsidR="006C1C01">
        <w:rPr>
          <w:u w:val="single"/>
        </w:rPr>
        <w:t>Low</w:t>
      </w:r>
      <w:r w:rsidRPr="00403D57">
        <w:rPr>
          <w:u w:val="single"/>
        </w:rPr>
        <w:t>:</w:t>
      </w:r>
    </w:p>
    <w:p w:rsidRPr="006C08F3" w:rsidR="0008320D" w:rsidP="0008320D" w:rsidRDefault="0008320D" w14:paraId="18C06E42" w14:textId="6CE20E8B">
      <w:pPr>
        <w:pStyle w:val="ListParagraph"/>
        <w:numPr>
          <w:ilvl w:val="0"/>
          <w:numId w:val="36"/>
        </w:numPr>
      </w:pPr>
      <w:r>
        <w:t xml:space="preserve">TRL Steps = </w:t>
      </w:r>
      <w:r w:rsidR="00F915EF">
        <w:t>1</w:t>
      </w:r>
      <w:r>
        <w:t xml:space="preserve"> (</w:t>
      </w:r>
      <w:r w:rsidR="004951A0">
        <w:t>1</w:t>
      </w:r>
      <w:r>
        <w:t xml:space="preserve"> TRL steps</w:t>
      </w:r>
      <w:r w:rsidR="008E3BEF">
        <w:t xml:space="preserve"> </w:t>
      </w:r>
      <w:proofErr w:type="spellStart"/>
      <w:r w:rsidR="008E3BEF">
        <w:t>Redhouse</w:t>
      </w:r>
      <w:proofErr w:type="spellEnd"/>
      <w:r w:rsidR="008E3BEF">
        <w:t xml:space="preserve"> Live Trial extension </w:t>
      </w:r>
      <w:r w:rsidR="006100D7">
        <w:t xml:space="preserve">TRL </w:t>
      </w:r>
      <w:r w:rsidR="004951A0">
        <w:t>7</w:t>
      </w:r>
      <w:r w:rsidR="006100D7">
        <w:t xml:space="preserve"> – 8)</w:t>
      </w:r>
    </w:p>
    <w:p w:rsidRPr="006C08F3" w:rsidR="0008320D" w:rsidP="0008320D" w:rsidRDefault="0008320D" w14:paraId="29529698" w14:textId="347F2D8C">
      <w:pPr>
        <w:pStyle w:val="ListParagraph"/>
        <w:numPr>
          <w:ilvl w:val="0"/>
          <w:numId w:val="36"/>
        </w:numPr>
      </w:pPr>
      <w:r>
        <w:t xml:space="preserve">Cost = </w:t>
      </w:r>
      <w:r w:rsidR="0001471A">
        <w:t>2</w:t>
      </w:r>
      <w:r>
        <w:t xml:space="preserve"> (</w:t>
      </w:r>
      <w:r w:rsidR="0001471A">
        <w:t>£</w:t>
      </w:r>
      <w:r>
        <w:t>500k</w:t>
      </w:r>
      <w:r w:rsidR="0001471A">
        <w:t xml:space="preserve"> - £1m</w:t>
      </w:r>
      <w:r>
        <w:t>)</w:t>
      </w:r>
    </w:p>
    <w:p w:rsidRPr="006C08F3" w:rsidR="0008320D" w:rsidP="0008320D" w:rsidRDefault="0008320D" w14:paraId="60681D08" w14:textId="17A1757F">
      <w:pPr>
        <w:pStyle w:val="ListParagraph"/>
        <w:numPr>
          <w:ilvl w:val="0"/>
          <w:numId w:val="36"/>
        </w:numPr>
      </w:pPr>
      <w:r>
        <w:t>Suppliers = 1 (</w:t>
      </w:r>
      <w:r w:rsidR="00AC7139">
        <w:t>2</w:t>
      </w:r>
      <w:r>
        <w:t xml:space="preserve"> supplier</w:t>
      </w:r>
      <w:r w:rsidR="00AC7139">
        <w:t>s</w:t>
      </w:r>
      <w:r>
        <w:t>)</w:t>
      </w:r>
    </w:p>
    <w:p w:rsidRPr="006C08F3" w:rsidR="0008320D" w:rsidP="0008320D" w:rsidRDefault="0008320D" w14:paraId="152EB79E" w14:textId="77777777">
      <w:pPr>
        <w:pStyle w:val="ListParagraph"/>
        <w:numPr>
          <w:ilvl w:val="0"/>
          <w:numId w:val="36"/>
        </w:numPr>
      </w:pPr>
      <w:r>
        <w:t>Data Assumptions = 1</w:t>
      </w:r>
    </w:p>
    <w:p w:rsidRPr="00E059E0" w:rsidR="0008320D" w:rsidP="0008320D" w:rsidRDefault="0008320D" w14:paraId="3C46D79B" w14:textId="4CA7BA2E">
      <w:pPr>
        <w:pStyle w:val="ListParagraph"/>
        <w:numPr>
          <w:ilvl w:val="0"/>
          <w:numId w:val="36"/>
        </w:numPr>
        <w:spacing w:line="276" w:lineRule="auto"/>
        <w:rPr>
          <w:b/>
          <w:bCs/>
        </w:rPr>
      </w:pPr>
      <w:r>
        <w:t xml:space="preserve">Total = </w:t>
      </w:r>
      <w:r w:rsidR="00982DC2">
        <w:t>5</w:t>
      </w:r>
      <w:r>
        <w:t xml:space="preserve"> (</w:t>
      </w:r>
      <w:r w:rsidR="00982DC2">
        <w:t>Low</w:t>
      </w:r>
      <w:r>
        <w:t>)</w:t>
      </w:r>
      <w:r w:rsidRPr="00E059E0">
        <w:rPr>
          <w:b/>
          <w:bCs/>
        </w:rPr>
        <w:tab/>
      </w:r>
    </w:p>
    <w:p w:rsidRPr="0029024D" w:rsidR="00653B03" w:rsidP="005B4B62" w:rsidRDefault="00653B03" w14:paraId="61C06228" w14:textId="616A3DE2">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7C7B35" w:rsidP="00047BA8" w:rsidRDefault="00F620BF" w14:paraId="5D982C70" w14:textId="53E6F7F9">
      <w:pPr>
        <w:pStyle w:val="HeadingNo2"/>
        <w:ind w:left="709" w:hanging="709"/>
      </w:pPr>
      <w:r w:rsidRPr="00644FA3">
        <w:t>Scope</w:t>
      </w:r>
    </w:p>
    <w:p w:rsidRPr="00A02F02" w:rsidR="007C7B35" w:rsidP="00047BA8" w:rsidRDefault="007C7B35" w14:paraId="2D9793C5" w14:textId="19190FAB">
      <w:pPr>
        <w:pStyle w:val="Note"/>
        <w:rPr>
          <w:color w:val="FF0000"/>
        </w:rPr>
      </w:pPr>
      <w:r w:rsidRPr="00A02F02">
        <w:rPr>
          <w:color w:val="FF0000"/>
        </w:rPr>
        <w:t>The scope and objectives of the Project should be clearly defined including the net benefits for consumers (</w:t>
      </w:r>
      <w:proofErr w:type="spellStart"/>
      <w:r w:rsidRPr="00A02F02">
        <w:rPr>
          <w:color w:val="FF0000"/>
        </w:rPr>
        <w:t>eg</w:t>
      </w:r>
      <w:proofErr w:type="spellEnd"/>
      <w:r w:rsidRPr="00A02F02">
        <w:rPr>
          <w:color w:val="FF0000"/>
        </w:rPr>
        <w:t xml:space="preserve"> financial, environmental, etc). This section should also detail the financial benefits which would directly accrue to the GB Gas Transportation System and/or electricity transmission or distribution. </w:t>
      </w:r>
    </w:p>
    <w:p w:rsidR="00287455" w:rsidP="00287455" w:rsidRDefault="069F3A0B" w14:paraId="71E75DFB" w14:textId="397D365C">
      <w:pPr>
        <w:spacing w:line="276" w:lineRule="auto"/>
      </w:pPr>
      <w:r>
        <w:t>Several ty</w:t>
      </w:r>
      <w:r w:rsidR="00420171">
        <w:t>pe</w:t>
      </w:r>
      <w:r w:rsidR="00287455">
        <w:t>s of DERs</w:t>
      </w:r>
      <w:r w:rsidR="003C52F7">
        <w:t xml:space="preserve"> were considered</w:t>
      </w:r>
      <w:r w:rsidR="63B878CA">
        <w:t xml:space="preserve"> in the Distributed </w:t>
      </w:r>
      <w:proofErr w:type="spellStart"/>
      <w:r w:rsidR="63B878CA">
        <w:t>ReStart</w:t>
      </w:r>
      <w:proofErr w:type="spellEnd"/>
      <w:r w:rsidR="63B878CA">
        <w:t xml:space="preserve"> NIC project</w:t>
      </w:r>
      <w:r w:rsidR="00287455">
        <w:t xml:space="preserve">, to demonstrate that the solution is applicable across technology types and across all of GB. </w:t>
      </w:r>
      <w:r w:rsidR="00EC3D59">
        <w:t xml:space="preserve">The </w:t>
      </w:r>
      <w:r w:rsidR="00287455">
        <w:t>project focussed on DER</w:t>
      </w:r>
      <w:r w:rsidR="007736A1">
        <w:t>s</w:t>
      </w:r>
      <w:r w:rsidR="00287455">
        <w:t xml:space="preserve"> that have reached </w:t>
      </w:r>
      <w:r w:rsidR="00585FCD">
        <w:t xml:space="preserve">at least a </w:t>
      </w:r>
      <w:r w:rsidR="00287455">
        <w:t xml:space="preserve">TRL 4 in the context of providing </w:t>
      </w:r>
      <w:r w:rsidR="00585FCD">
        <w:t>Restoration</w:t>
      </w:r>
      <w:r w:rsidR="00287455">
        <w:t xml:space="preserve"> services (thermal power stations, small hydro stations, wind farms and small gas or diesel stations) </w:t>
      </w:r>
      <w:r w:rsidR="00EC3D59">
        <w:t>whilst remaining</w:t>
      </w:r>
      <w:r w:rsidR="00287455">
        <w:t xml:space="preserve"> open to considering other technologies. The case studies identified have a mixture of synchronous and non-synchronous generation types, from both </w:t>
      </w:r>
      <w:r w:rsidR="00585FCD">
        <w:t>dispatchable</w:t>
      </w:r>
      <w:r w:rsidR="00287455">
        <w:t xml:space="preserve"> and intermittent resources, this will provide an opportunity to explore technology options. </w:t>
      </w:r>
    </w:p>
    <w:p w:rsidR="000E053C" w:rsidP="00A1275F" w:rsidRDefault="00287455" w14:paraId="192CA9B9" w14:textId="333F38B4">
      <w:pPr>
        <w:spacing w:line="276" w:lineRule="auto"/>
        <w:rPr>
          <w:b/>
          <w:bCs/>
        </w:rPr>
      </w:pPr>
      <w:r>
        <w:t xml:space="preserve">This project is designed to deliver tested and proven concepts and frameworks that can be directly implemented </w:t>
      </w:r>
      <w:r w:rsidR="00FD7376">
        <w:t>into</w:t>
      </w:r>
      <w:r>
        <w:t xml:space="preserve"> BAU, assuming the concept is technically and economically viable. It will enable a </w:t>
      </w:r>
      <w:r w:rsidR="00585FCD">
        <w:t>restoration</w:t>
      </w:r>
      <w:r>
        <w:t xml:space="preserve"> from any DER technology once certain TRL levels are attained</w:t>
      </w:r>
      <w:r w:rsidR="00D1035E">
        <w:t>.</w:t>
      </w:r>
    </w:p>
    <w:p w:rsidRPr="0029024D" w:rsidR="00F620BF" w:rsidP="00A1275F" w:rsidRDefault="758CC31E" w14:paraId="615D6D9F" w14:textId="3F9BB121">
      <w:pPr>
        <w:spacing w:line="276" w:lineRule="auto"/>
        <w:rPr>
          <w:b/>
          <w:bCs/>
        </w:rPr>
      </w:pPr>
      <w:r w:rsidRPr="57C57BA6">
        <w:rPr>
          <w:rFonts w:eastAsia="Arial" w:cs="Arial"/>
          <w:color w:val="000000"/>
          <w:szCs w:val="20"/>
        </w:rPr>
        <w:t xml:space="preserve">This follow-on NIA project will support an additional live trial at </w:t>
      </w:r>
      <w:proofErr w:type="spellStart"/>
      <w:r w:rsidRPr="57C57BA6">
        <w:rPr>
          <w:rFonts w:eastAsia="Arial" w:cs="Arial"/>
          <w:color w:val="000000"/>
          <w:szCs w:val="20"/>
        </w:rPr>
        <w:t>Redhouse</w:t>
      </w:r>
      <w:proofErr w:type="spellEnd"/>
      <w:r w:rsidRPr="57C57BA6">
        <w:rPr>
          <w:rFonts w:eastAsia="Arial" w:cs="Arial"/>
          <w:color w:val="000000"/>
          <w:szCs w:val="20"/>
        </w:rPr>
        <w:t xml:space="preserve"> GSP will demonstrate the use of a battery energy storage system (BESS) with grid-forming technology to restart the network and use of a prototype Distribution Restoration Zone Controller (DRZC) to stabilise and maintain the power island within voltage and frequency limits. </w:t>
      </w:r>
    </w:p>
    <w:p w:rsidR="007C7B35" w:rsidP="00B07E27" w:rsidRDefault="0248E85D" w14:paraId="744E0D24" w14:textId="5EC3E30C">
      <w:pPr>
        <w:pStyle w:val="HeadingNo2"/>
        <w:ind w:left="709" w:hanging="709"/>
      </w:pPr>
      <w:r w:rsidRPr="00644FA3">
        <w:lastRenderedPageBreak/>
        <w:t>Objectives</w:t>
      </w:r>
    </w:p>
    <w:p w:rsidR="007A1045" w:rsidP="00004111" w:rsidRDefault="00004111" w14:paraId="47C15B99" w14:textId="2CBCDD23">
      <w:pPr>
        <w:spacing w:line="276" w:lineRule="auto"/>
      </w:pPr>
      <w:r w:rsidRPr="00004111">
        <w:t xml:space="preserve">Following the completion of </w:t>
      </w:r>
      <w:r w:rsidR="003C4371">
        <w:t>the</w:t>
      </w:r>
      <w:r w:rsidRPr="00004111" w:rsidR="003C4371">
        <w:t xml:space="preserve"> </w:t>
      </w:r>
      <w:r w:rsidRPr="00004111">
        <w:t xml:space="preserve">second live trial at </w:t>
      </w:r>
      <w:proofErr w:type="spellStart"/>
      <w:r w:rsidRPr="00004111">
        <w:t>Chapelcross</w:t>
      </w:r>
      <w:proofErr w:type="spellEnd"/>
      <w:r w:rsidRPr="00004111">
        <w:t xml:space="preserve"> in July 2022, the project has successfully met all </w:t>
      </w:r>
      <w:r>
        <w:t xml:space="preserve">10 of </w:t>
      </w:r>
      <w:r w:rsidRPr="00004111">
        <w:t xml:space="preserve">its original and agreed objectives. </w:t>
      </w:r>
      <w:r w:rsidR="00D22BC5">
        <w:t>These were agreed with Ofgem at the start of the project, and were designated as deliverables in the Project Direction</w:t>
      </w:r>
      <w:r w:rsidR="007A1045">
        <w:t>:</w:t>
      </w:r>
    </w:p>
    <w:p w:rsidRPr="00C24FC0" w:rsidR="006D5008" w:rsidP="006D5008" w:rsidRDefault="006D5008" w14:paraId="523AB047" w14:textId="77777777">
      <w:pPr>
        <w:spacing w:line="276" w:lineRule="auto"/>
        <w:rPr>
          <w:b/>
          <w:bCs/>
        </w:rPr>
      </w:pPr>
      <w:r w:rsidRPr="00C24FC0">
        <w:rPr>
          <w:b/>
          <w:bCs/>
        </w:rPr>
        <w:t xml:space="preserve">Organisation, Systems &amp; Telecoms (OST): </w:t>
      </w:r>
    </w:p>
    <w:p w:rsidR="006D5008" w:rsidP="00DE02A0" w:rsidRDefault="006D5008" w14:paraId="308962B2" w14:textId="647C4E25">
      <w:pPr>
        <w:pStyle w:val="ListParagraph"/>
        <w:numPr>
          <w:ilvl w:val="0"/>
          <w:numId w:val="27"/>
        </w:numPr>
        <w:spacing w:line="276" w:lineRule="auto"/>
      </w:pPr>
      <w:r>
        <w:t>Defined the communications requirements for this process including automation via a new DRZC (Deliverable 1).</w:t>
      </w:r>
    </w:p>
    <w:p w:rsidR="006D5008" w:rsidP="00DE02A0" w:rsidRDefault="006D5008" w14:paraId="219C0468" w14:textId="0FCED7C2">
      <w:pPr>
        <w:pStyle w:val="ListParagraph"/>
        <w:numPr>
          <w:ilvl w:val="0"/>
          <w:numId w:val="27"/>
        </w:numPr>
        <w:spacing w:line="276" w:lineRule="auto"/>
      </w:pPr>
      <w:r>
        <w:t>Confirmed the new organisational design, roles, and responsibilities (Deliverable 2).</w:t>
      </w:r>
    </w:p>
    <w:p w:rsidR="006D5008" w:rsidP="00DE02A0" w:rsidRDefault="006D5008" w14:paraId="7961D707" w14:textId="0D37D9B0">
      <w:pPr>
        <w:pStyle w:val="ListParagraph"/>
        <w:numPr>
          <w:ilvl w:val="0"/>
          <w:numId w:val="27"/>
        </w:numPr>
        <w:spacing w:line="276" w:lineRule="auto"/>
      </w:pPr>
      <w:r>
        <w:t>Demonstrated how the restoration process and joint action would work in practice between the Electricity System Operator (ESO), Transmission Owners (TOs), Distribution Network Operators (DNOs), and Distributed Energy Resources (DERs) via desk-top exercises (Deliverable 3).</w:t>
      </w:r>
    </w:p>
    <w:p w:rsidRPr="00C24FC0" w:rsidR="006D5008" w:rsidP="006D5008" w:rsidRDefault="006D5008" w14:paraId="39833229" w14:textId="77777777">
      <w:pPr>
        <w:spacing w:line="276" w:lineRule="auto"/>
        <w:rPr>
          <w:b/>
          <w:bCs/>
        </w:rPr>
      </w:pPr>
      <w:r w:rsidRPr="00C24FC0">
        <w:rPr>
          <w:b/>
          <w:bCs/>
        </w:rPr>
        <w:t xml:space="preserve">Power Engineering &amp; Trials (PET): </w:t>
      </w:r>
    </w:p>
    <w:p w:rsidR="006D5008" w:rsidP="00DE02A0" w:rsidRDefault="006D5008" w14:paraId="79282A3B" w14:textId="32A6EEDC">
      <w:pPr>
        <w:pStyle w:val="ListParagraph"/>
        <w:numPr>
          <w:ilvl w:val="0"/>
          <w:numId w:val="28"/>
        </w:numPr>
        <w:spacing w:line="276" w:lineRule="auto"/>
      </w:pPr>
      <w:r>
        <w:t>Defined the technical capabilities required to enable a feasible Distribution Restoration Zone (DRZ) (Deliverables 4 and 5).</w:t>
      </w:r>
    </w:p>
    <w:p w:rsidR="006D5008" w:rsidP="00DE02A0" w:rsidRDefault="006D5008" w14:paraId="14E90363" w14:textId="4926310F">
      <w:pPr>
        <w:pStyle w:val="ListParagraph"/>
        <w:numPr>
          <w:ilvl w:val="0"/>
          <w:numId w:val="28"/>
        </w:numPr>
        <w:spacing w:line="276" w:lineRule="auto"/>
      </w:pPr>
      <w:r>
        <w:t xml:space="preserve">The Live Trials at Galloway and </w:t>
      </w:r>
      <w:proofErr w:type="spellStart"/>
      <w:r>
        <w:t>Chapelcross</w:t>
      </w:r>
      <w:proofErr w:type="spellEnd"/>
      <w:r>
        <w:t xml:space="preserve"> demonstrated the use of different technology types to prove successful energisation (Deliverable 6).</w:t>
      </w:r>
    </w:p>
    <w:p w:rsidR="006D5008" w:rsidP="00DE02A0" w:rsidRDefault="006D5008" w14:paraId="4A339A72" w14:textId="5934DCB2">
      <w:pPr>
        <w:pStyle w:val="ListParagraph"/>
        <w:numPr>
          <w:ilvl w:val="0"/>
          <w:numId w:val="28"/>
        </w:numPr>
        <w:spacing w:line="276" w:lineRule="auto"/>
      </w:pPr>
      <w:r>
        <w:t>In partnership with the Organisational, Systems and Telecoms (OST) workstream, we defined, developed and factory-tested a prototype Distribution Restoration Zone Controller (DRZC).</w:t>
      </w:r>
    </w:p>
    <w:p w:rsidRPr="00585CA0" w:rsidR="006D5008" w:rsidP="006D5008" w:rsidRDefault="006D5008" w14:paraId="38B8EB12" w14:textId="77777777">
      <w:pPr>
        <w:spacing w:line="276" w:lineRule="auto"/>
        <w:rPr>
          <w:b/>
          <w:bCs/>
        </w:rPr>
      </w:pPr>
      <w:r w:rsidRPr="00585CA0">
        <w:rPr>
          <w:b/>
          <w:bCs/>
        </w:rPr>
        <w:t>Procurement &amp; Compliance (P&amp;C):</w:t>
      </w:r>
    </w:p>
    <w:p w:rsidR="006D5008" w:rsidP="00DE02A0" w:rsidRDefault="006D5008" w14:paraId="291EDB58" w14:textId="5C03871B">
      <w:pPr>
        <w:pStyle w:val="ListParagraph"/>
        <w:numPr>
          <w:ilvl w:val="0"/>
          <w:numId w:val="29"/>
        </w:numPr>
        <w:spacing w:line="276" w:lineRule="auto"/>
      </w:pPr>
      <w:r>
        <w:t>Defined the approach and process to procure services from DER providers (Deliverable 7).</w:t>
      </w:r>
    </w:p>
    <w:p w:rsidR="006D5008" w:rsidP="00DE02A0" w:rsidRDefault="006D5008" w14:paraId="1FD19597" w14:textId="0E630CF9">
      <w:pPr>
        <w:pStyle w:val="ListParagraph"/>
        <w:numPr>
          <w:ilvl w:val="0"/>
          <w:numId w:val="29"/>
        </w:numPr>
        <w:spacing w:line="276" w:lineRule="auto"/>
      </w:pPr>
      <w:r>
        <w:t>This was demonstrated via our procurement test event (Deliverable 8)</w:t>
      </w:r>
    </w:p>
    <w:p w:rsidR="007A1045" w:rsidP="00DE02A0" w:rsidRDefault="006D5008" w14:paraId="40DCB378" w14:textId="08F57118">
      <w:pPr>
        <w:pStyle w:val="ListParagraph"/>
        <w:numPr>
          <w:ilvl w:val="0"/>
          <w:numId w:val="29"/>
        </w:numPr>
        <w:spacing w:line="276" w:lineRule="auto"/>
      </w:pPr>
      <w:r>
        <w:t>Facilitated distribution restoration through ongoing industry code changes (Deliverable 9).</w:t>
      </w:r>
    </w:p>
    <w:p w:rsidR="007A1045" w:rsidP="00004111" w:rsidRDefault="00422530" w14:paraId="26A818D0" w14:textId="6F2B91B3">
      <w:pPr>
        <w:spacing w:line="276" w:lineRule="auto"/>
      </w:pPr>
      <w:r>
        <w:t xml:space="preserve">Ofgem Deliverable 10 is designated as the Project Closedown report, which is in the process of </w:t>
      </w:r>
      <w:r w:rsidR="001138F1">
        <w:t>final development ahead of the formal closedown of the project in October 2023.</w:t>
      </w:r>
    </w:p>
    <w:p w:rsidRPr="00004111" w:rsidR="00004111" w:rsidP="00004111" w:rsidRDefault="00004111" w14:paraId="66748B5F" w14:textId="4E767A08">
      <w:pPr>
        <w:spacing w:line="276" w:lineRule="auto"/>
      </w:pPr>
      <w:r w:rsidRPr="00004111">
        <w:t xml:space="preserve">In addition, </w:t>
      </w:r>
      <w:r w:rsidR="000233C5">
        <w:t>the project has progressed</w:t>
      </w:r>
      <w:r w:rsidRPr="00004111">
        <w:t xml:space="preserve"> further than </w:t>
      </w:r>
      <w:r w:rsidR="00AB5D6F">
        <w:t>the original project plan</w:t>
      </w:r>
      <w:r w:rsidRPr="00004111">
        <w:t xml:space="preserve"> with the </w:t>
      </w:r>
      <w:r w:rsidR="00AB5D6F">
        <w:t>inclusion</w:t>
      </w:r>
      <w:r w:rsidRPr="00004111" w:rsidR="00AB5D6F">
        <w:t xml:space="preserve"> </w:t>
      </w:r>
      <w:r w:rsidRPr="00004111">
        <w:t>of the build and test of a Distribution Restoration Zone Controller (DRZC) prototype that allows for automation (with control room engineer direction) of the creation and stabilisation of a local power island.</w:t>
      </w:r>
    </w:p>
    <w:p w:rsidRPr="00BD31DC" w:rsidR="00DB5168" w:rsidP="00DB5168" w:rsidRDefault="00004111" w14:paraId="7BB1812D" w14:textId="619786E2">
      <w:pPr>
        <w:rPr>
          <w:b/>
          <w:bCs/>
        </w:rPr>
      </w:pPr>
      <w:r w:rsidRPr="00004111">
        <w:t>We have also requested a further extension to the project to 31 October 2023 (with a proportionate addition to our funding</w:t>
      </w:r>
      <w:r w:rsidR="00D07421">
        <w:t xml:space="preserve"> via this NIA request</w:t>
      </w:r>
      <w:r w:rsidRPr="00004111">
        <w:t xml:space="preserve">) to deliver a third live trial at the </w:t>
      </w:r>
      <w:proofErr w:type="spellStart"/>
      <w:r w:rsidRPr="00004111">
        <w:t>Redhou</w:t>
      </w:r>
      <w:r w:rsidR="00D22D06">
        <w:t>se</w:t>
      </w:r>
      <w:r w:rsidRPr="00004111">
        <w:t>GSP</w:t>
      </w:r>
      <w:proofErr w:type="spellEnd"/>
      <w:r w:rsidRPr="00004111">
        <w:t>. This will involve use of a battery energy storage system (BESS) with grid-forming technology to restart the network and use of the prototype DRZC to stabilise and maintain the power island within voltage and frequency limits.</w:t>
      </w:r>
      <w:r w:rsidR="00D25413">
        <w:rPr>
          <w:b/>
          <w:bCs/>
        </w:rPr>
        <w:t xml:space="preserve"> </w:t>
      </w:r>
      <w:r w:rsidRPr="00BD31DC" w:rsidR="00D25413">
        <w:t>The</w:t>
      </w:r>
      <w:r w:rsidR="00255D53">
        <w:t xml:space="preserve"> </w:t>
      </w:r>
      <w:r w:rsidR="00D25413">
        <w:t xml:space="preserve">project plan </w:t>
      </w:r>
      <w:r w:rsidRPr="00A23C55" w:rsidR="00A23C55">
        <w:t>now includes two new trial aims, split across three distinct phases over a two-week test period from 29</w:t>
      </w:r>
      <w:r w:rsidRPr="00A23C55" w:rsidR="00A23C55">
        <w:rPr>
          <w:vertAlign w:val="superscript"/>
        </w:rPr>
        <w:t>th</w:t>
      </w:r>
      <w:r w:rsidRPr="00A23C55" w:rsidR="00A23C55">
        <w:t xml:space="preserve"> May – 9</w:t>
      </w:r>
      <w:r w:rsidRPr="00A23C55" w:rsidR="00A23C55">
        <w:rPr>
          <w:vertAlign w:val="superscript"/>
        </w:rPr>
        <w:t>th</w:t>
      </w:r>
      <w:r w:rsidRPr="00A23C55" w:rsidR="00A23C55">
        <w:t xml:space="preserve"> </w:t>
      </w:r>
      <w:r w:rsidRPr="00A23C55" w:rsidR="00E127B6">
        <w:t>June</w:t>
      </w:r>
      <w:r w:rsidRPr="00A23C55" w:rsidR="00A23C55">
        <w:t xml:space="preserve"> 2023:</w:t>
      </w:r>
      <w:r w:rsidR="00DB5168">
        <w:t xml:space="preserve"> </w:t>
      </w:r>
    </w:p>
    <w:p w:rsidRPr="00A23C55" w:rsidR="00A23C55" w:rsidP="00A23C55" w:rsidRDefault="00A23C55" w14:paraId="08FE8460" w14:textId="63B58D03">
      <w:pPr>
        <w:spacing w:line="276" w:lineRule="auto"/>
      </w:pPr>
    </w:p>
    <w:p w:rsidRPr="00CB4AA0" w:rsidR="00A75370" w:rsidP="00A23C55" w:rsidRDefault="00A75370" w14:paraId="09E598EA" w14:textId="4A59C0E2">
      <w:pPr>
        <w:spacing w:line="276" w:lineRule="auto"/>
      </w:pPr>
      <w:r w:rsidRPr="00841564">
        <w:rPr>
          <w:b/>
          <w:bCs/>
        </w:rPr>
        <w:t>Phase 1</w:t>
      </w:r>
      <w:r w:rsidR="00842A9E">
        <w:br/>
      </w:r>
      <w:r w:rsidRPr="00CB4AA0">
        <w:t xml:space="preserve">Deliver Phase 1 </w:t>
      </w:r>
      <w:bookmarkStart w:name="_Hlk124776822" w:id="2"/>
      <w:r w:rsidRPr="00CB4AA0">
        <w:t>proving grid forming capability of Distributed Battery Energy Storage System (On 3</w:t>
      </w:r>
      <w:r w:rsidRPr="00CB4AA0">
        <w:rPr>
          <w:vertAlign w:val="superscript"/>
        </w:rPr>
        <w:t>rd</w:t>
      </w:r>
      <w:r w:rsidRPr="00CB4AA0">
        <w:t xml:space="preserve"> party network only)</w:t>
      </w:r>
      <w:r w:rsidR="00B746EA">
        <w:t>.</w:t>
      </w:r>
    </w:p>
    <w:bookmarkEnd w:id="2"/>
    <w:p w:rsidR="00A75370" w:rsidP="00A23C55" w:rsidRDefault="00A75370" w14:paraId="48280447" w14:textId="70496EF2">
      <w:pPr>
        <w:spacing w:before="0" w:after="0"/>
      </w:pPr>
      <w:r w:rsidRPr="00A23C55">
        <w:rPr>
          <w:b/>
          <w:bCs/>
        </w:rPr>
        <w:t>Phase 2</w:t>
      </w:r>
      <w:r w:rsidRPr="1A3692AD">
        <w:t xml:space="preserve"> </w:t>
      </w:r>
      <w:r w:rsidR="00842A9E">
        <w:br/>
      </w:r>
      <w:r w:rsidRPr="1A3692AD">
        <w:t>Deliver Phase 2 proving grid forming capability of BESS and ability energise both 33kV and 132kV transformers / network</w:t>
      </w:r>
      <w:r w:rsidR="00B746EA">
        <w:t>.</w:t>
      </w:r>
      <w:r w:rsidRPr="1A3692AD">
        <w:t xml:space="preserve"> </w:t>
      </w:r>
    </w:p>
    <w:p w:rsidR="00A75370" w:rsidP="00A75370" w:rsidRDefault="00A75370" w14:paraId="4238E545" w14:textId="77777777">
      <w:pPr>
        <w:rPr>
          <w:b/>
          <w:bCs/>
        </w:rPr>
      </w:pPr>
      <w:r w:rsidRPr="1A3692AD">
        <w:rPr>
          <w:b/>
          <w:bCs/>
        </w:rPr>
        <w:t>Additional Goals (Phase 3):</w:t>
      </w:r>
    </w:p>
    <w:p w:rsidR="00A75370" w:rsidP="00A75370" w:rsidRDefault="00A75370" w14:paraId="1BC05ADD" w14:textId="4C3239BE">
      <w:pPr>
        <w:numPr>
          <w:ilvl w:val="0"/>
          <w:numId w:val="22"/>
        </w:numPr>
        <w:spacing w:before="0" w:after="0"/>
      </w:pPr>
      <w:r w:rsidRPr="1A3692AD">
        <w:t xml:space="preserve">Include Middle </w:t>
      </w:r>
      <w:proofErr w:type="spellStart"/>
      <w:r w:rsidRPr="1A3692AD">
        <w:t>Balbeggie</w:t>
      </w:r>
      <w:proofErr w:type="spellEnd"/>
      <w:r w:rsidRPr="1A3692AD">
        <w:t xml:space="preserve"> Solar farm within tests to demonstrate ability of multiple DER to contribute to islanded grid</w:t>
      </w:r>
      <w:r w:rsidR="00B746EA">
        <w:t>.</w:t>
      </w:r>
    </w:p>
    <w:p w:rsidR="00A75370" w:rsidP="00A75370" w:rsidRDefault="00A75370" w14:paraId="3D6A9F1C" w14:textId="3DDE035E">
      <w:pPr>
        <w:numPr>
          <w:ilvl w:val="0"/>
          <w:numId w:val="22"/>
        </w:numPr>
        <w:spacing w:before="0" w:after="0"/>
      </w:pPr>
      <w:r w:rsidRPr="1A3692AD">
        <w:lastRenderedPageBreak/>
        <w:t>Implement DRZC control of island to demonstrate ability to simply respond to disturbances or have complete control of island</w:t>
      </w:r>
      <w:r w:rsidR="00B746EA">
        <w:t>.</w:t>
      </w:r>
    </w:p>
    <w:p w:rsidRPr="0029024D" w:rsidR="00A05930" w:rsidP="00004111" w:rsidRDefault="00A05930" w14:paraId="0810A421" w14:textId="15238A23">
      <w:pPr>
        <w:spacing w:line="276" w:lineRule="auto"/>
        <w:rPr>
          <w:b/>
          <w:bCs/>
        </w:rPr>
      </w:pP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BA7354" w:rsidR="007C7B35" w:rsidP="007C6A5B" w:rsidRDefault="007C7B35" w14:paraId="46E5FB3F" w14:textId="3BC0C3CA">
      <w:pPr>
        <w:pStyle w:val="Note"/>
        <w:rPr>
          <w:color w:val="FF0000"/>
        </w:rPr>
      </w:pPr>
      <w:r w:rsidRPr="00BA7354">
        <w:rPr>
          <w:color w:val="FF0000"/>
        </w:rPr>
        <w:t xml:space="preserve">Details of the expected effects of the Method(s) and Solution(s) upon consumers in vulnerable situations. </w:t>
      </w:r>
      <w:r w:rsidRPr="00BA7354" w:rsidR="00FF1817">
        <w:rPr>
          <w:color w:val="FF0000"/>
        </w:rPr>
        <w:t xml:space="preserve">This must include an assessment of distributional impacts (technical, financial and wellbeing-related). </w:t>
      </w:r>
      <w:r w:rsidRPr="00BA7354" w:rsidR="00F84149">
        <w:rPr>
          <w:color w:val="FF0000"/>
        </w:rPr>
        <w:t xml:space="preserve">For RIIO-1 projects please add “Not Applicable” </w:t>
      </w:r>
    </w:p>
    <w:p w:rsidRPr="00EA07B4" w:rsidR="00124123" w:rsidP="00EA07B4" w:rsidRDefault="00B81BFB" w14:paraId="0EA621CD" w14:textId="2061190F">
      <w:pPr>
        <w:spacing w:line="276" w:lineRule="auto"/>
        <w:rPr>
          <w:b/>
          <w:bCs/>
        </w:rPr>
      </w:pPr>
      <w:r>
        <w:t xml:space="preserve">This ENA Consumer Vulnerability Impact Assessment Tool has </w:t>
      </w:r>
      <w:r w:rsidR="00B75902">
        <w:t xml:space="preserve">identified this project as having a positive </w:t>
      </w:r>
      <w:r w:rsidRPr="003A0AD8" w:rsidR="009F0D17">
        <w:t xml:space="preserve">impact on </w:t>
      </w:r>
      <w:r w:rsidRPr="003A0AD8" w:rsidR="00CC71F4">
        <w:t>consumers in vulnerable situations</w:t>
      </w:r>
      <w:r w:rsidR="00B75902">
        <w:t>. This project is expected to bene</w:t>
      </w:r>
      <w:r w:rsidR="003A0AD8">
        <w:t xml:space="preserve">fit all electricity consumers, including those in vulnerable situations </w:t>
      </w:r>
      <w:r w:rsidRPr="00DB7528" w:rsidR="00731975">
        <w:t>by enabling DNO’s to meet or exceed the new ESRS requirements, by restoring services to 60% of customers</w:t>
      </w:r>
      <w:r w:rsidR="00731975">
        <w:t xml:space="preserve"> </w:t>
      </w:r>
      <w:r w:rsidRPr="00DB7528" w:rsidR="00731975">
        <w:t>within 24 hours, or 100% within 5 days of a partial or full shutdown on the GB electricity network</w:t>
      </w:r>
      <w:r w:rsidR="00731975">
        <w:rPr>
          <w:b/>
          <w:bCs/>
        </w:rPr>
        <w:t>.</w:t>
      </w:r>
      <w:r w:rsidRPr="0029024D" w:rsidR="00731975">
        <w:rPr>
          <w:b/>
          <w:bCs/>
        </w:rPr>
        <w:tab/>
      </w:r>
      <w:r w:rsidRPr="0029024D" w:rsidR="00731975">
        <w:rPr>
          <w:b/>
          <w:bCs/>
        </w:rPr>
        <w:tab/>
      </w:r>
      <w:r w:rsidRPr="0029024D" w:rsidR="00731975">
        <w:rPr>
          <w:b/>
          <w:bCs/>
        </w:rPr>
        <w:tab/>
      </w:r>
      <w:r w:rsidRPr="0029024D" w:rsidR="00731975">
        <w:rPr>
          <w:b/>
          <w:bCs/>
        </w:rPr>
        <w:tab/>
      </w:r>
      <w:r w:rsidRPr="0029024D" w:rsidR="00731975">
        <w:rPr>
          <w:b/>
          <w:bCs/>
        </w:rPr>
        <w:tab/>
      </w:r>
      <w:r w:rsidRPr="0029024D" w:rsidR="00731975">
        <w:rPr>
          <w:b/>
          <w:bCs/>
        </w:rPr>
        <w:tab/>
      </w:r>
      <w:r w:rsidRPr="0029024D" w:rsidR="00731975">
        <w:rPr>
          <w:b/>
          <w:bCs/>
        </w:rPr>
        <w:tab/>
      </w:r>
      <w:r w:rsidRPr="0029024D" w:rsidR="00731975">
        <w:rPr>
          <w:b/>
          <w:bCs/>
        </w:rPr>
        <w:tab/>
      </w:r>
      <w:r w:rsidRPr="003A0AD8" w:rsidR="003C5677">
        <w:tab/>
      </w:r>
      <w:r w:rsidRPr="003A0AD8" w:rsidR="003C5677">
        <w:tab/>
      </w:r>
    </w:p>
    <w:p w:rsidR="007C7B35" w:rsidP="003C5677" w:rsidRDefault="0248E85D" w14:paraId="5DC3F9DF" w14:textId="3B462FD7">
      <w:pPr>
        <w:pStyle w:val="HeadingNo2"/>
        <w:ind w:left="709" w:hanging="709"/>
      </w:pPr>
      <w:r w:rsidRPr="00644FA3">
        <w:t>Success Criteria</w:t>
      </w:r>
    </w:p>
    <w:p w:rsidRPr="00BA7354" w:rsidR="007C7B35" w:rsidP="007C6A5B" w:rsidRDefault="007C7B35" w14:paraId="2353D361" w14:textId="277BB632">
      <w:pPr>
        <w:pStyle w:val="Note"/>
        <w:rPr>
          <w:color w:val="FF0000"/>
        </w:rPr>
      </w:pPr>
      <w:r w:rsidRPr="00BA7354">
        <w:rPr>
          <w:color w:val="FF0000"/>
        </w:rPr>
        <w:t xml:space="preserve">Details of how the Funding Licensee will evaluate whether the Project has been successful. </w:t>
      </w:r>
      <w:r w:rsidRPr="00BA7354" w:rsidR="00B47E73">
        <w:rPr>
          <w:color w:val="FF0000"/>
        </w:rPr>
        <w:t>This cannot be changed once registered.</w:t>
      </w:r>
    </w:p>
    <w:p w:rsidRPr="0015734B" w:rsidR="0015734B" w:rsidP="0015734B" w:rsidRDefault="00317005" w14:paraId="77F4761C" w14:textId="2B5910F5">
      <w:pPr>
        <w:spacing w:line="276" w:lineRule="auto"/>
      </w:pPr>
      <w:r>
        <w:t>The</w:t>
      </w:r>
      <w:r w:rsidRPr="0015734B" w:rsidR="0015734B">
        <w:t xml:space="preserve"> original aims, objectives, and success criteria defined at the bid submission stage, were to consider as many different types of DERs as feasible to demonstrate that the solution is applicable across technology types and across </w:t>
      </w:r>
      <w:r w:rsidRPr="0015734B" w:rsidR="00B746EA">
        <w:t>all</w:t>
      </w:r>
      <w:r w:rsidRPr="0015734B" w:rsidR="0015734B">
        <w:t xml:space="preserve"> Great Britain.</w:t>
      </w:r>
    </w:p>
    <w:p w:rsidRPr="0015734B" w:rsidR="0015734B" w:rsidP="0015734B" w:rsidRDefault="00D66357" w14:paraId="78641158" w14:textId="7928C737">
      <w:pPr>
        <w:spacing w:line="276" w:lineRule="auto"/>
      </w:pPr>
      <w:r>
        <w:t>The</w:t>
      </w:r>
      <w:r w:rsidRPr="0015734B">
        <w:t xml:space="preserve"> </w:t>
      </w:r>
      <w:r w:rsidRPr="0015734B" w:rsidR="0015734B">
        <w:t>project focused on DER</w:t>
      </w:r>
      <w:r>
        <w:t>s</w:t>
      </w:r>
      <w:r w:rsidRPr="0015734B" w:rsidR="0015734B">
        <w:t xml:space="preserve"> that have reached TRL 4-8 in the context of providing electricity system restoration services. The case studies identified for the resulting live trials, had a mixture of synchronous and non-synchronous generation types, from both dispatchable and intermittent resources, and this provided an opportunity to explore technology options.</w:t>
      </w:r>
    </w:p>
    <w:p w:rsidR="00CD4140" w:rsidP="002A0F83" w:rsidRDefault="0015734B" w14:paraId="6D279481" w14:textId="2EEDDA38">
      <w:pPr>
        <w:spacing w:line="276" w:lineRule="auto"/>
        <w:jc w:val="both"/>
      </w:pPr>
      <w:r w:rsidRPr="0015734B">
        <w:t xml:space="preserve">This project was designed to deliver tested and proven concepts and frameworks that can be implemented </w:t>
      </w:r>
      <w:r w:rsidR="00A0488B">
        <w:t>into</w:t>
      </w:r>
      <w:r w:rsidRPr="0015734B" w:rsidR="00A0488B">
        <w:t xml:space="preserve"> </w:t>
      </w:r>
      <w:r w:rsidRPr="0015734B">
        <w:t xml:space="preserve">BAU, assuming the specific implementation is technically and economically viable, and the outcomes </w:t>
      </w:r>
      <w:r w:rsidRPr="0015734B" w:rsidR="00B746EA">
        <w:t>of the</w:t>
      </w:r>
      <w:r w:rsidRPr="0015734B">
        <w:t xml:space="preserve"> project demonstrate that this has been achieved in a way that</w:t>
      </w:r>
      <w:r w:rsidRPr="0015734B">
        <w:rPr>
          <w:b/>
          <w:bCs/>
        </w:rPr>
        <w:t xml:space="preserve"> </w:t>
      </w:r>
      <w:r w:rsidRPr="0015734B">
        <w:t>goes beyond the original aims and objectives</w:t>
      </w:r>
      <w:r w:rsidR="00DC6BD3">
        <w:t>.</w:t>
      </w:r>
      <w:r w:rsidRPr="00856187" w:rsidR="00856187">
        <w:t xml:space="preserve"> </w:t>
      </w:r>
      <w:r w:rsidR="00856187">
        <w:t>Thus, t</w:t>
      </w:r>
      <w:r w:rsidRPr="00CD4140" w:rsidR="00856187">
        <w:t xml:space="preserve">he project has </w:t>
      </w:r>
      <w:r w:rsidR="0032066D">
        <w:t xml:space="preserve">exceeded the </w:t>
      </w:r>
      <w:r w:rsidRPr="00CD4140" w:rsidR="00856187">
        <w:t xml:space="preserve">original </w:t>
      </w:r>
      <w:r w:rsidR="0032066D">
        <w:t xml:space="preserve">success </w:t>
      </w:r>
      <w:r w:rsidRPr="00CD4140" w:rsidR="00856187">
        <w:t>criteria</w:t>
      </w:r>
      <w:r w:rsidR="0032066D">
        <w:t>.</w:t>
      </w:r>
      <w:r w:rsidRPr="0015734B" w:rsidR="003C5677">
        <w:tab/>
      </w:r>
    </w:p>
    <w:p w:rsidR="00A63D37" w:rsidP="0015734B" w:rsidRDefault="00031EC5" w14:paraId="1B579169" w14:textId="765F528A">
      <w:pPr>
        <w:spacing w:line="276" w:lineRule="auto"/>
      </w:pPr>
      <w:r>
        <w:t>A</w:t>
      </w:r>
      <w:r w:rsidRPr="00CD4140" w:rsidR="00CD4140">
        <w:t xml:space="preserve">ll required Ofgem deliverables have now been met and the project has delivered enhanced value and learning through the innovative development of the DRZC concept and the additional live trial at </w:t>
      </w:r>
      <w:proofErr w:type="spellStart"/>
      <w:r w:rsidRPr="00CD4140" w:rsidR="00CD4140">
        <w:t>Redhouse</w:t>
      </w:r>
      <w:proofErr w:type="spellEnd"/>
      <w:r w:rsidRPr="00CD4140" w:rsidR="00CD4140">
        <w:t xml:space="preserve"> planned for June 2023.</w:t>
      </w:r>
      <w:r w:rsidR="00856187">
        <w:t xml:space="preserve"> In terms of success criteria, </w:t>
      </w:r>
      <w:r w:rsidR="0003771A">
        <w:t xml:space="preserve">this </w:t>
      </w:r>
      <w:r w:rsidR="00856187">
        <w:t xml:space="preserve">will </w:t>
      </w:r>
      <w:r w:rsidR="0003771A">
        <w:t xml:space="preserve">be </w:t>
      </w:r>
      <w:r w:rsidR="00B746EA">
        <w:t>measured</w:t>
      </w:r>
      <w:r w:rsidR="00856187">
        <w:t xml:space="preserve"> across two Phases as detailed in Section 2.4</w:t>
      </w:r>
      <w:r w:rsidR="00A63D37">
        <w:t xml:space="preserve"> above.</w:t>
      </w:r>
    </w:p>
    <w:p w:rsidRPr="00160DB6" w:rsidR="00160DB6" w:rsidP="00BD31DC" w:rsidRDefault="00A63D37" w14:paraId="2CD1B89F" w14:textId="3810002B">
      <w:pPr>
        <w:spacing w:line="276" w:lineRule="auto"/>
        <w:rPr>
          <w:b/>
          <w:bCs/>
        </w:rPr>
      </w:pPr>
      <w:r w:rsidRPr="00160DB6">
        <w:rPr>
          <w:b/>
          <w:bCs/>
        </w:rPr>
        <w:t xml:space="preserve">Phase 1 – successful manual restoration of the </w:t>
      </w:r>
      <w:proofErr w:type="spellStart"/>
      <w:r w:rsidRPr="00160DB6">
        <w:rPr>
          <w:b/>
          <w:bCs/>
        </w:rPr>
        <w:t>Redhouse</w:t>
      </w:r>
      <w:proofErr w:type="spellEnd"/>
      <w:r w:rsidRPr="00160DB6">
        <w:rPr>
          <w:b/>
          <w:bCs/>
        </w:rPr>
        <w:t xml:space="preserve"> GSP by:</w:t>
      </w:r>
    </w:p>
    <w:p w:rsidR="00160DB6" w:rsidP="00160DB6" w:rsidRDefault="00160DB6" w14:paraId="22AFEC9F" w14:textId="77777777">
      <w:pPr>
        <w:pStyle w:val="ListParagraph"/>
        <w:numPr>
          <w:ilvl w:val="0"/>
          <w:numId w:val="32"/>
        </w:numPr>
        <w:spacing w:line="276" w:lineRule="auto"/>
      </w:pPr>
      <w:r>
        <w:t>P</w:t>
      </w:r>
      <w:r w:rsidRPr="00A63D37" w:rsidR="00A63D37">
        <w:t>roving grid forming capability of Distributed Battery Energy Storage System (On 3rd party network only)</w:t>
      </w:r>
    </w:p>
    <w:p w:rsidR="00A63D37" w:rsidP="00DC3583" w:rsidRDefault="00160DB6" w14:paraId="1CF2491A" w14:textId="3A299E6D">
      <w:pPr>
        <w:pStyle w:val="ListParagraph"/>
        <w:numPr>
          <w:ilvl w:val="0"/>
          <w:numId w:val="32"/>
        </w:numPr>
        <w:spacing w:line="276" w:lineRule="auto"/>
      </w:pPr>
      <w:r>
        <w:t>P</w:t>
      </w:r>
      <w:r w:rsidRPr="00A63D37" w:rsidR="00A63D37">
        <w:t>roving grid forming capability of BESS and ability energise both 33kV and 132kV transformers / network</w:t>
      </w:r>
    </w:p>
    <w:p w:rsidR="00160DB6" w:rsidP="0015734B" w:rsidRDefault="00160DB6" w14:paraId="0A55BB56" w14:textId="77777777">
      <w:pPr>
        <w:spacing w:line="276" w:lineRule="auto"/>
      </w:pPr>
    </w:p>
    <w:p w:rsidRPr="00160DB6" w:rsidR="00A91562" w:rsidP="0015734B" w:rsidRDefault="00A63D37" w14:paraId="041432B3" w14:textId="221492F0">
      <w:pPr>
        <w:spacing w:line="276" w:lineRule="auto"/>
        <w:rPr>
          <w:b/>
          <w:bCs/>
        </w:rPr>
      </w:pPr>
      <w:r w:rsidRPr="00160DB6">
        <w:rPr>
          <w:b/>
          <w:bCs/>
        </w:rPr>
        <w:t xml:space="preserve">Phase 2 </w:t>
      </w:r>
      <w:r w:rsidRPr="00160DB6" w:rsidR="00A91562">
        <w:rPr>
          <w:b/>
          <w:bCs/>
        </w:rPr>
        <w:t>–</w:t>
      </w:r>
      <w:r w:rsidRPr="00160DB6">
        <w:rPr>
          <w:b/>
          <w:bCs/>
        </w:rPr>
        <w:t xml:space="preserve"> </w:t>
      </w:r>
      <w:r w:rsidRPr="00160DB6" w:rsidR="00A91562">
        <w:rPr>
          <w:b/>
          <w:bCs/>
        </w:rPr>
        <w:t xml:space="preserve">successful automated restoration of the </w:t>
      </w:r>
      <w:proofErr w:type="spellStart"/>
      <w:r w:rsidRPr="00160DB6" w:rsidR="00A91562">
        <w:rPr>
          <w:b/>
          <w:bCs/>
        </w:rPr>
        <w:t>Redhouse</w:t>
      </w:r>
      <w:proofErr w:type="spellEnd"/>
      <w:r w:rsidRPr="00160DB6" w:rsidR="00A91562">
        <w:rPr>
          <w:b/>
          <w:bCs/>
        </w:rPr>
        <w:t xml:space="preserve"> GSP by:</w:t>
      </w:r>
    </w:p>
    <w:p w:rsidR="00160DB6" w:rsidP="00DC3583" w:rsidRDefault="00160DB6" w14:paraId="071AE9BF" w14:textId="21B5CB25">
      <w:pPr>
        <w:pStyle w:val="ListParagraph"/>
        <w:numPr>
          <w:ilvl w:val="0"/>
          <w:numId w:val="33"/>
        </w:numPr>
        <w:spacing w:line="276" w:lineRule="auto"/>
      </w:pPr>
      <w:r>
        <w:t>I</w:t>
      </w:r>
      <w:r w:rsidRPr="00317A94" w:rsidR="00317A94">
        <w:t>mplement DRZC control of</w:t>
      </w:r>
      <w:r w:rsidR="006E290C">
        <w:t xml:space="preserve"> stable power</w:t>
      </w:r>
      <w:r w:rsidRPr="00317A94" w:rsidR="00317A94">
        <w:t xml:space="preserve"> island to demonstrate ability to simply respond to disturbances or have complete control of </w:t>
      </w:r>
      <w:r w:rsidRPr="00317A94" w:rsidR="00B746EA">
        <w:t>island</w:t>
      </w:r>
      <w:r w:rsidR="00261E82">
        <w:t>.</w:t>
      </w:r>
    </w:p>
    <w:p w:rsidRPr="00160DB6" w:rsidR="003C5677" w:rsidP="00DC3583" w:rsidRDefault="00DC3583" w14:paraId="3AC76E47" w14:textId="3754E2AF">
      <w:pPr>
        <w:pStyle w:val="ListParagraph"/>
        <w:numPr>
          <w:ilvl w:val="0"/>
          <w:numId w:val="33"/>
        </w:numPr>
        <w:spacing w:line="276" w:lineRule="auto"/>
        <w:rPr>
          <w:b/>
          <w:bCs/>
        </w:rPr>
      </w:pPr>
      <w:r>
        <w:lastRenderedPageBreak/>
        <w:t>I</w:t>
      </w:r>
      <w:r w:rsidRPr="006E290C" w:rsidR="00317A94">
        <w:t xml:space="preserve">nclude Middle </w:t>
      </w:r>
      <w:proofErr w:type="spellStart"/>
      <w:r w:rsidRPr="006E290C" w:rsidR="00317A94">
        <w:t>Balbeggie</w:t>
      </w:r>
      <w:proofErr w:type="spellEnd"/>
      <w:r w:rsidRPr="006E290C" w:rsidR="00317A94">
        <w:t xml:space="preserve"> Solar farm within tests to demonstrate ability of multiple DER to contribute to islanded grid</w:t>
      </w:r>
      <w:r w:rsidR="006E290C">
        <w:t>.</w:t>
      </w:r>
      <w:r w:rsidRPr="00160DB6" w:rsidR="00317A94">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r w:rsidRPr="00160DB6" w:rsidR="003C5677">
        <w:rPr>
          <w:b/>
          <w:bCs/>
        </w:rPr>
        <w:tab/>
      </w:r>
    </w:p>
    <w:p w:rsidR="002A7632" w:rsidP="00A85578" w:rsidRDefault="0061107B" w14:paraId="06F3666D" w14:textId="0A92BF74">
      <w:pPr>
        <w:pStyle w:val="HeadingNo2"/>
        <w:ind w:left="709" w:hanging="709"/>
      </w:pPr>
      <w:r w:rsidRPr="00644FA3">
        <w:t>Project Partners and External Funding</w:t>
      </w:r>
    </w:p>
    <w:p w:rsidRPr="00BA7354" w:rsidR="002A7632" w:rsidP="007C6A5B" w:rsidRDefault="002A7632" w14:paraId="623E712B" w14:textId="77777777">
      <w:pPr>
        <w:pStyle w:val="Note"/>
        <w:rPr>
          <w:color w:val="FF0000"/>
        </w:rPr>
      </w:pPr>
      <w:r w:rsidRPr="00BA7354">
        <w:rPr>
          <w:color w:val="FF0000"/>
        </w:rPr>
        <w:t xml:space="preserve">Details of actual or potential Project Partners and external funding support as appropriate. </w:t>
      </w:r>
    </w:p>
    <w:p w:rsidRPr="00B34D5B" w:rsidR="00E604A3" w:rsidP="00A85578" w:rsidRDefault="00CE6EA5" w14:paraId="6E5DCCB6" w14:textId="2EED91D8">
      <w:pPr>
        <w:spacing w:line="276" w:lineRule="auto"/>
      </w:pPr>
      <w:r w:rsidRPr="00B34D5B">
        <w:t xml:space="preserve">The existing Distributed Restart project is NIC funded at a level </w:t>
      </w:r>
      <w:r w:rsidRPr="00B34D5B" w:rsidR="004C590C">
        <w:t>of Ofgem</w:t>
      </w:r>
      <w:r w:rsidRPr="00B34D5B" w:rsidR="00E604A3">
        <w:t xml:space="preserve"> provided £10.3 million of the project’s total budget of £11.7 million, with the balance of £1.4 million contributed by the partners:</w:t>
      </w:r>
    </w:p>
    <w:p w:rsidRPr="00B34D5B" w:rsidR="00B34D5B" w:rsidP="00A85578" w:rsidRDefault="00A620B1" w14:paraId="4323E5D4" w14:textId="18583A50">
      <w:pPr>
        <w:spacing w:line="276" w:lineRule="auto"/>
      </w:pPr>
      <w:r w:rsidRPr="00B34D5B">
        <w:t xml:space="preserve">ESO: </w:t>
      </w:r>
      <w:r w:rsidRPr="00B34D5B" w:rsidR="00B34D5B">
        <w:t xml:space="preserve">  </w:t>
      </w:r>
      <w:r w:rsidRPr="00B34D5B" w:rsidR="00B83C77">
        <w:t>£</w:t>
      </w:r>
      <w:r w:rsidR="00264105">
        <w:t>879,580</w:t>
      </w:r>
    </w:p>
    <w:p w:rsidRPr="00B34D5B" w:rsidR="00B34D5B" w:rsidP="00A85578" w:rsidRDefault="00B34D5B" w14:paraId="4AE7495C" w14:textId="3AD1E20C">
      <w:pPr>
        <w:spacing w:line="276" w:lineRule="auto"/>
      </w:pPr>
      <w:r w:rsidRPr="00B34D5B">
        <w:t>SPEN: £</w:t>
      </w:r>
      <w:r w:rsidR="00D74152">
        <w:t>289,510</w:t>
      </w:r>
      <w:r w:rsidRPr="00B34D5B" w:rsidR="00A85578">
        <w:tab/>
      </w:r>
    </w:p>
    <w:p w:rsidR="00F05EA5" w:rsidP="00F05EA5" w:rsidRDefault="00B34D5B" w14:paraId="55F01954" w14:textId="245CF83B">
      <w:pPr>
        <w:spacing w:line="276" w:lineRule="auto"/>
        <w:rPr>
          <w:b w:val="1"/>
          <w:bCs w:val="1"/>
        </w:rPr>
      </w:pPr>
      <w:r w:rsidR="00B34D5B">
        <w:rPr/>
        <w:t xml:space="preserve">TNEI </w:t>
      </w:r>
      <w:r w:rsidR="00D74152">
        <w:rPr/>
        <w:t>:  £</w:t>
      </w:r>
      <w:r w:rsidR="0049128D">
        <w:rPr/>
        <w:t>122,400</w:t>
      </w:r>
      <w:r>
        <w:tab/>
      </w:r>
      <w:r>
        <w:tab/>
      </w:r>
      <w:r>
        <w:tab/>
      </w:r>
      <w:r>
        <w:tab/>
      </w:r>
      <w:r>
        <w:tab/>
      </w:r>
      <w:r>
        <w:tab/>
      </w:r>
      <w:r>
        <w:tab/>
      </w:r>
      <w:r>
        <w:tab/>
      </w:r>
      <w:r>
        <w:tab/>
      </w:r>
    </w:p>
    <w:p w:rsidR="004F0C70" w:rsidP="00BD31DC" w:rsidRDefault="00B34D5B" w14:paraId="2F9F9A9C" w14:textId="453E9902">
      <w:pPr>
        <w:spacing w:line="276" w:lineRule="auto"/>
        <w:rPr>
          <w:b w:val="1"/>
          <w:bCs w:val="1"/>
        </w:rPr>
      </w:pPr>
      <w:r w:rsidR="00B34D5B">
        <w:rPr/>
        <w:t xml:space="preserve">The Ofgem </w:t>
      </w:r>
      <w:r w:rsidR="009A6BD5">
        <w:rPr/>
        <w:t xml:space="preserve">NIC </w:t>
      </w:r>
      <w:r w:rsidR="00B34D5B">
        <w:rPr/>
        <w:t>funding included a contingency amount of £</w:t>
      </w:r>
      <w:r w:rsidR="004D2B2B">
        <w:rPr/>
        <w:t>584</w:t>
      </w:r>
      <w:r w:rsidR="0009103D">
        <w:rPr/>
        <w:t>,540</w:t>
      </w:r>
      <w:r w:rsidR="004D2B2B">
        <w:rPr/>
        <w:t xml:space="preserve">K, which </w:t>
      </w:r>
      <w:r w:rsidR="6B200B25">
        <w:rPr/>
        <w:t>has been</w:t>
      </w:r>
      <w:r w:rsidR="004D2B2B">
        <w:rPr/>
        <w:t xml:space="preserve"> included in </w:t>
      </w:r>
      <w:r w:rsidR="62762671">
        <w:rPr/>
        <w:t>the</w:t>
      </w:r>
      <w:r w:rsidR="00261E82">
        <w:rPr/>
        <w:t xml:space="preserve"> </w:t>
      </w:r>
      <w:r w:rsidR="004D2B2B">
        <w:rPr/>
        <w:t>forecast spend of £</w:t>
      </w:r>
      <w:r w:rsidR="00F97337">
        <w:rPr/>
        <w:t>2.1</w:t>
      </w:r>
      <w:r w:rsidR="000D45F7">
        <w:rPr/>
        <w:t>M</w:t>
      </w:r>
      <w:r w:rsidR="007C00AB">
        <w:rPr/>
        <w:t xml:space="preserve"> for the upcoming </w:t>
      </w:r>
      <w:r w:rsidR="007C00AB">
        <w:rPr/>
        <w:t>Redhouse</w:t>
      </w:r>
      <w:r w:rsidR="007C00AB">
        <w:rPr/>
        <w:t xml:space="preserve"> Live Trial</w:t>
      </w:r>
      <w:r w:rsidR="118BF91C">
        <w:rPr/>
        <w:t>.</w:t>
      </w:r>
      <w:r>
        <w:tab/>
      </w:r>
      <w:r>
        <w:tab/>
      </w:r>
      <w:r>
        <w:tab/>
      </w:r>
      <w:r>
        <w:tab/>
      </w:r>
    </w:p>
    <w:p w:rsidRPr="00BD31DC" w:rsidR="00A85578" w:rsidP="00A85578" w:rsidRDefault="000442E3" w14:paraId="2E14E861" w14:textId="1C930238">
      <w:pPr>
        <w:spacing w:line="276" w:lineRule="auto"/>
      </w:pPr>
      <w:r w:rsidR="000442E3">
        <w:rPr/>
        <w:t xml:space="preserve">A further </w:t>
      </w:r>
      <w:r w:rsidR="4A727DBE">
        <w:rPr/>
        <w:t>estimated</w:t>
      </w:r>
      <w:r w:rsidR="000442E3">
        <w:rPr/>
        <w:t xml:space="preserve"> </w:t>
      </w:r>
      <w:r w:rsidR="42FD9A14">
        <w:rPr/>
        <w:t>£500</w:t>
      </w:r>
      <w:r w:rsidR="0061CE1A">
        <w:rPr/>
        <w:t>,000</w:t>
      </w:r>
      <w:r w:rsidR="42FD9A14">
        <w:rPr/>
        <w:t xml:space="preserve"> </w:t>
      </w:r>
      <w:r w:rsidR="00775641">
        <w:rPr/>
        <w:t xml:space="preserve">of NIA funding is requested </w:t>
      </w:r>
      <w:r w:rsidR="6070BFBC">
        <w:rPr/>
        <w:t xml:space="preserve">to </w:t>
      </w:r>
      <w:r w:rsidR="00F2463C">
        <w:rPr/>
        <w:t>support</w:t>
      </w:r>
      <w:r w:rsidR="00775641">
        <w:rPr/>
        <w:t xml:space="preserve"> the </w:t>
      </w:r>
      <w:r w:rsidR="00F2463C">
        <w:rPr/>
        <w:t>delivery</w:t>
      </w:r>
      <w:r w:rsidR="00775641">
        <w:rPr/>
        <w:t xml:space="preserve"> of the </w:t>
      </w:r>
      <w:r w:rsidR="00775641">
        <w:rPr/>
        <w:t>Redhouse</w:t>
      </w:r>
      <w:r w:rsidR="00775641">
        <w:rPr/>
        <w:t xml:space="preserve"> Live Trial</w:t>
      </w:r>
      <w:r w:rsidR="61145448">
        <w:rPr/>
        <w:t>.</w:t>
      </w:r>
      <w:r>
        <w:tab/>
      </w:r>
      <w:r>
        <w:tab/>
      </w:r>
      <w:r>
        <w:tab/>
      </w:r>
    </w:p>
    <w:p w:rsidR="002A7632" w:rsidP="00A85578" w:rsidRDefault="003E1948" w14:paraId="552C3A41" w14:textId="31EF2B65">
      <w:pPr>
        <w:pStyle w:val="HeadingNo2"/>
        <w:ind w:left="709" w:hanging="709"/>
      </w:pPr>
      <w:r w:rsidRPr="00644FA3">
        <w:t>Potential for New Learning</w:t>
      </w:r>
      <w:r w:rsidR="004F0C70">
        <w:t xml:space="preserve"> (</w:t>
      </w:r>
      <w:proofErr w:type="spellStart"/>
      <w:r w:rsidR="004F0C70">
        <w:t>Redhouse</w:t>
      </w:r>
      <w:proofErr w:type="spellEnd"/>
      <w:r w:rsidR="004F0C70">
        <w:t xml:space="preserve"> Live Trial)</w:t>
      </w:r>
    </w:p>
    <w:p w:rsidRPr="00BA7354" w:rsidR="002A7632" w:rsidP="007C6A5B" w:rsidRDefault="002A7632" w14:paraId="3E8BB763" w14:textId="77777777">
      <w:pPr>
        <w:pStyle w:val="Note"/>
        <w:rPr>
          <w:color w:val="FF0000"/>
        </w:rPr>
      </w:pPr>
      <w:r w:rsidRPr="00BA7354">
        <w:rPr>
          <w:color w:val="FF0000"/>
        </w:rPr>
        <w:t xml:space="preserve">Details of what the parties expect to learn and how the learning will be disseminated. </w:t>
      </w:r>
    </w:p>
    <w:p w:rsidRPr="00BA7354" w:rsidR="00BA7354" w:rsidP="00BA7354" w:rsidRDefault="00BA7354" w14:paraId="5DAC7DB4" w14:textId="393CBCD3">
      <w:pPr>
        <w:spacing w:line="276" w:lineRule="auto"/>
      </w:pPr>
      <w:r w:rsidRPr="00BA7354">
        <w:t>The Distributed Restart project is at a key stage in its delivery, with two of three live trials having completed (trial announcement October 2020</w:t>
      </w:r>
      <w:r w:rsidR="001527D1">
        <w:t xml:space="preserve"> </w:t>
      </w:r>
      <w:hyperlink w:history="1" r:id="rId13">
        <w:r w:rsidRPr="001527D1" w:rsidR="001527D1">
          <w:rPr>
            <w:rStyle w:val="Hyperlink"/>
          </w:rPr>
          <w:t>https://www.nationalgrideso.com/news/world-first-renewable-energy-market-trial-hits-major-milestone</w:t>
        </w:r>
      </w:hyperlink>
      <w:r w:rsidRPr="00BA7354">
        <w:t xml:space="preserve">). </w:t>
      </w:r>
    </w:p>
    <w:p w:rsidRPr="00BA7354" w:rsidR="00BA7354" w:rsidP="00BA7354" w:rsidRDefault="00BA7354" w14:paraId="0A3D2D9C" w14:textId="461EBF3C">
      <w:pPr>
        <w:spacing w:line="276" w:lineRule="auto"/>
      </w:pPr>
      <w:r w:rsidRPr="00BA7354">
        <w:t xml:space="preserve">The </w:t>
      </w:r>
      <w:r w:rsidR="00EA7FBF">
        <w:t xml:space="preserve">Distributed Restart </w:t>
      </w:r>
      <w:r w:rsidRPr="00BA7354">
        <w:t xml:space="preserve">project has overcome a number of the significant technical and trial site provider readiness challenges. Given the strategic importance of what </w:t>
      </w:r>
      <w:r w:rsidR="001527D1">
        <w:t>the project is</w:t>
      </w:r>
      <w:r w:rsidRPr="00BA7354" w:rsidR="001527D1">
        <w:t xml:space="preserve"> </w:t>
      </w:r>
      <w:r w:rsidRPr="00BA7354">
        <w:t xml:space="preserve">demonstrating, </w:t>
      </w:r>
      <w:r w:rsidR="001527D1">
        <w:t>the</w:t>
      </w:r>
      <w:r w:rsidRPr="00BA7354">
        <w:t xml:space="preserve"> ESO, Scottish Power Energy Networks and TNEI are committed to delivering the full scope of </w:t>
      </w:r>
      <w:r w:rsidR="002E151C">
        <w:t>the</w:t>
      </w:r>
      <w:r w:rsidRPr="00BA7354" w:rsidR="002E151C">
        <w:t xml:space="preserve"> </w:t>
      </w:r>
      <w:r w:rsidRPr="00BA7354">
        <w:t>extended project</w:t>
      </w:r>
      <w:r w:rsidR="00C5754C">
        <w:t>. A successful rollout</w:t>
      </w:r>
      <w:r w:rsidRPr="00BA7354">
        <w:t xml:space="preserve"> could save consumers over £1</w:t>
      </w:r>
      <w:r w:rsidR="000D206F">
        <w:t>4</w:t>
      </w:r>
      <w:r w:rsidRPr="00BA7354">
        <w:t xml:space="preserve">5M by 2050 </w:t>
      </w:r>
      <w:r w:rsidR="00D33B67">
        <w:t>and</w:t>
      </w:r>
      <w:r w:rsidRPr="00BA7354">
        <w:t xml:space="preserve"> </w:t>
      </w:r>
      <w:r w:rsidR="00AF6D5E">
        <w:t>reduce CO2 by</w:t>
      </w:r>
      <w:r w:rsidRPr="00BA7354">
        <w:t xml:space="preserve"> up to 810,000 tonnes through avoiding warming of conventional generation</w:t>
      </w:r>
      <w:r w:rsidR="00C5754C">
        <w:t>.</w:t>
      </w:r>
    </w:p>
    <w:p w:rsidR="00275FE7" w:rsidP="00BA7354" w:rsidRDefault="00BA7354" w14:paraId="5FECC1CB" w14:textId="3FB945E2">
      <w:pPr>
        <w:spacing w:line="276" w:lineRule="auto"/>
      </w:pPr>
      <w:r w:rsidRPr="00BA7354">
        <w:t xml:space="preserve">This </w:t>
      </w:r>
      <w:r w:rsidR="000D206F">
        <w:t xml:space="preserve">request for NIA funding to support </w:t>
      </w:r>
      <w:r w:rsidR="00275FE7">
        <w:t xml:space="preserve">the additional live trial at </w:t>
      </w:r>
      <w:proofErr w:type="spellStart"/>
      <w:r w:rsidR="00275FE7">
        <w:t>Redhouse</w:t>
      </w:r>
      <w:proofErr w:type="spellEnd"/>
      <w:r w:rsidRPr="00BA7354">
        <w:t xml:space="preserve"> will enable this project to deliver </w:t>
      </w:r>
      <w:r w:rsidR="006B20CC">
        <w:t>additional value</w:t>
      </w:r>
      <w:r w:rsidRPr="00BA7354">
        <w:t xml:space="preserve">, </w:t>
      </w:r>
      <w:r w:rsidR="00326741">
        <w:t>proven</w:t>
      </w:r>
      <w:r w:rsidRPr="00BA7354">
        <w:t xml:space="preserve"> BESS ability to act as an Anchor Generator, plus automation to TRL </w:t>
      </w:r>
      <w:r w:rsidR="00275FE7">
        <w:t>8/</w:t>
      </w:r>
      <w:r w:rsidRPr="00BA7354">
        <w:t xml:space="preserve">9 of the ability of new technology, combined with renewable Distribution Generation to restart the GB network </w:t>
      </w:r>
      <w:r w:rsidR="00326741">
        <w:t>and</w:t>
      </w:r>
      <w:r w:rsidR="00F1481B">
        <w:t xml:space="preserve"> </w:t>
      </w:r>
      <w:r w:rsidRPr="00BA7354">
        <w:t>comply with the new ESRS standard.</w:t>
      </w:r>
      <w:r w:rsidRPr="00BA7354" w:rsidR="003E1948">
        <w:tab/>
      </w:r>
    </w:p>
    <w:p w:rsidRPr="0029024D" w:rsidR="003E1948" w:rsidP="00BA7354" w:rsidRDefault="00275FE7" w14:paraId="0A4230BC" w14:textId="77D31C9E">
      <w:pPr>
        <w:spacing w:line="276" w:lineRule="auto"/>
        <w:rPr>
          <w:b/>
          <w:bCs/>
        </w:rPr>
      </w:pPr>
      <w:r>
        <w:t xml:space="preserve">Following completion of the </w:t>
      </w:r>
      <w:proofErr w:type="spellStart"/>
      <w:r>
        <w:t>Redhouse</w:t>
      </w:r>
      <w:proofErr w:type="spellEnd"/>
      <w:r>
        <w:t xml:space="preserve"> live trial</w:t>
      </w:r>
      <w:r w:rsidR="00B22DF2">
        <w:t xml:space="preserve"> in June</w:t>
      </w:r>
      <w:r w:rsidR="00326741">
        <w:t xml:space="preserve"> 2023</w:t>
      </w:r>
      <w:r w:rsidR="00B22DF2">
        <w:t xml:space="preserve">, the Power Engineering and Trials (PET) Workstream lead will compile the final PET Part 3 </w:t>
      </w:r>
      <w:r w:rsidR="0049128D">
        <w:t>Report,</w:t>
      </w:r>
      <w:r w:rsidR="00B22DF2">
        <w:t xml:space="preserve"> and this will be communicated and published on </w:t>
      </w:r>
      <w:r w:rsidR="00126268">
        <w:t xml:space="preserve">the </w:t>
      </w:r>
      <w:r w:rsidR="00B22DF2">
        <w:t>project website, for industry to access</w:t>
      </w:r>
      <w:r w:rsidR="00CF6157">
        <w:t>.</w:t>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r w:rsidRPr="0029024D" w:rsidR="003E1948">
        <w:rPr>
          <w:b/>
          <w:bCs/>
        </w:rPr>
        <w:tab/>
      </w:r>
    </w:p>
    <w:p w:rsidR="002A7632" w:rsidP="00C56180" w:rsidRDefault="003D12B9" w14:paraId="07275331" w14:textId="55617F05">
      <w:pPr>
        <w:pStyle w:val="HeadingNo2"/>
        <w:ind w:left="709" w:hanging="709"/>
      </w:pPr>
      <w:r w:rsidRPr="00644FA3">
        <w:t>Scale of Project</w:t>
      </w:r>
    </w:p>
    <w:p w:rsidRPr="009C293C" w:rsidR="00FF1817" w:rsidP="007C6A5B" w:rsidRDefault="00FF1817" w14:paraId="60A7675E" w14:textId="77777777">
      <w:pPr>
        <w:pStyle w:val="Note"/>
        <w:rPr>
          <w:color w:val="FF0000"/>
        </w:rPr>
      </w:pPr>
      <w:r w:rsidRPr="009C293C">
        <w:rPr>
          <w:color w:val="FF0000"/>
        </w:rPr>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00940D3B" w:rsidP="00940D3B" w:rsidRDefault="00940D3B" w14:paraId="6F2FDCF2" w14:textId="249B48B9">
      <w:pPr>
        <w:spacing w:line="276" w:lineRule="auto"/>
      </w:pPr>
      <w:r>
        <w:t xml:space="preserve">This project </w:t>
      </w:r>
      <w:r w:rsidR="00695748">
        <w:t>has</w:t>
      </w:r>
      <w:r>
        <w:t xml:space="preserve"> </w:t>
      </w:r>
      <w:r w:rsidR="009149C4">
        <w:t>d</w:t>
      </w:r>
      <w:r>
        <w:t>evelop</w:t>
      </w:r>
      <w:r w:rsidR="00695748">
        <w:t>ed</w:t>
      </w:r>
      <w:r>
        <w:t xml:space="preserve"> and </w:t>
      </w:r>
      <w:r w:rsidR="009149C4">
        <w:t>d</w:t>
      </w:r>
      <w:r>
        <w:t>emonstrate</w:t>
      </w:r>
      <w:r w:rsidR="00695748">
        <w:t>d</w:t>
      </w:r>
      <w:r>
        <w:t xml:space="preserve"> the power engineering </w:t>
      </w:r>
      <w:r w:rsidR="009149C4">
        <w:t xml:space="preserve">and </w:t>
      </w:r>
      <w:r>
        <w:t xml:space="preserve">trials, organisational systems, and </w:t>
      </w:r>
      <w:r w:rsidR="002D5ECC">
        <w:t xml:space="preserve">the </w:t>
      </w:r>
      <w:r>
        <w:t xml:space="preserve">procurement </w:t>
      </w:r>
      <w:r w:rsidR="002D5ECC">
        <w:t>and</w:t>
      </w:r>
      <w:r>
        <w:t xml:space="preserve"> regulatory requirements to accelerate the provision of </w:t>
      </w:r>
      <w:r w:rsidR="00695748">
        <w:t>ESR</w:t>
      </w:r>
      <w:r>
        <w:t xml:space="preserve"> services from DERs into </w:t>
      </w:r>
      <w:r w:rsidR="002D5ECC">
        <w:t>BAU</w:t>
      </w:r>
      <w:r>
        <w:t xml:space="preserve">. </w:t>
      </w:r>
      <w:r w:rsidR="002D5ECC">
        <w:lastRenderedPageBreak/>
        <w:t>C</w:t>
      </w:r>
      <w:r>
        <w:t>ase studies</w:t>
      </w:r>
      <w:r w:rsidR="002D5ECC">
        <w:t xml:space="preserve"> have been developed</w:t>
      </w:r>
      <w:r>
        <w:t xml:space="preserve"> on real network locations to prioritise, analyse, plan and test proposals. A key success factor for innovation projects is industry engagement, learning and buy-in. This </w:t>
      </w:r>
      <w:r w:rsidR="00695748">
        <w:t>continues to take</w:t>
      </w:r>
      <w:r>
        <w:t xml:space="preserve"> place through engagement and consultation, as well as through participation of DER owners/operators in case studies, and through a Stakeholder Advisory Panel</w:t>
      </w:r>
      <w:r w:rsidR="00695748">
        <w:t>.</w:t>
      </w:r>
    </w:p>
    <w:p w:rsidR="00940D3B" w:rsidP="00940D3B" w:rsidRDefault="00940D3B" w14:paraId="1A3C2435" w14:textId="75ADF649">
      <w:pPr>
        <w:spacing w:line="276" w:lineRule="auto"/>
      </w:pPr>
      <w:r w:rsidRPr="00695748">
        <w:rPr>
          <w:b/>
          <w:bCs/>
        </w:rPr>
        <w:t>The Development phase</w:t>
      </w:r>
      <w:r>
        <w:t xml:space="preserve"> </w:t>
      </w:r>
      <w:r w:rsidR="00695748">
        <w:t>identified</w:t>
      </w:r>
      <w:r>
        <w:t xml:space="preserve"> the viable options for de-centralised restoration, then progress</w:t>
      </w:r>
      <w:r w:rsidR="00695748">
        <w:t>ed</w:t>
      </w:r>
      <w:r>
        <w:t xml:space="preserve"> on to the detailed design necessary to support testing and future roll-out. The following aspects of the method will be developed:</w:t>
      </w:r>
    </w:p>
    <w:p w:rsidR="00940D3B" w:rsidP="00F1481B" w:rsidRDefault="00940D3B" w14:paraId="1045B523" w14:textId="48BEDE38">
      <w:pPr>
        <w:pStyle w:val="ListParagraph"/>
        <w:numPr>
          <w:ilvl w:val="0"/>
          <w:numId w:val="30"/>
        </w:numPr>
        <w:spacing w:line="276" w:lineRule="auto"/>
      </w:pPr>
      <w:r>
        <w:t xml:space="preserve">Methods to assess DER and network capability and potential for </w:t>
      </w:r>
      <w:r w:rsidR="00F02E88">
        <w:t>ESR</w:t>
      </w:r>
      <w:r>
        <w:t xml:space="preserve"> for specific distribution network locations. </w:t>
      </w:r>
    </w:p>
    <w:p w:rsidR="00940D3B" w:rsidP="00F1481B" w:rsidRDefault="00940D3B" w14:paraId="5D42B5D0" w14:textId="457391B5">
      <w:pPr>
        <w:pStyle w:val="ListParagraph"/>
        <w:numPr>
          <w:ilvl w:val="0"/>
          <w:numId w:val="30"/>
        </w:numPr>
        <w:spacing w:line="276" w:lineRule="auto"/>
      </w:pPr>
      <w:r>
        <w:t xml:space="preserve">Recommendations for adaptations of DER and distribution networks to facilitate </w:t>
      </w:r>
      <w:r w:rsidR="00F02E88">
        <w:t>ESR</w:t>
      </w:r>
      <w:r>
        <w:t xml:space="preserve"> safely and economically.</w:t>
      </w:r>
    </w:p>
    <w:p w:rsidR="00940D3B" w:rsidP="00F1481B" w:rsidRDefault="00940D3B" w14:paraId="6345CBF2" w14:textId="7199992E">
      <w:pPr>
        <w:pStyle w:val="ListParagraph"/>
        <w:numPr>
          <w:ilvl w:val="0"/>
          <w:numId w:val="30"/>
        </w:numPr>
        <w:spacing w:line="276" w:lineRule="auto"/>
      </w:pPr>
      <w:r>
        <w:t>Coordination and control solutions to ensure appropriate levels of resilience, efficiency and restoration times along with clear definition of roles and responsibilities.</w:t>
      </w:r>
    </w:p>
    <w:p w:rsidR="00F02E88" w:rsidP="36044AD4" w:rsidRDefault="00F02E88" w14:paraId="39F2855C" w14:textId="06FFD913">
      <w:pPr>
        <w:pStyle w:val="ListParagraph"/>
        <w:numPr>
          <w:ilvl w:val="0"/>
          <w:numId w:val="30"/>
        </w:numPr>
        <w:spacing w:line="276" w:lineRule="auto"/>
        <w:rPr/>
      </w:pPr>
      <w:r w:rsidR="00940D3B">
        <w:rPr/>
        <w:t>Procurement and regulatory frameworks, including contract design and proposals for any changes to codes, standards, licences and funding arrangements.</w:t>
      </w:r>
    </w:p>
    <w:p w:rsidR="00940D3B" w:rsidP="00940D3B" w:rsidRDefault="00940D3B" w14:paraId="187EC29F" w14:textId="27A856FE">
      <w:pPr>
        <w:spacing w:line="276" w:lineRule="auto"/>
      </w:pPr>
      <w:r>
        <w:t xml:space="preserve">The project </w:t>
      </w:r>
      <w:r w:rsidR="00BB5C0F">
        <w:t>initially</w:t>
      </w:r>
      <w:r>
        <w:t xml:space="preserve"> focus</w:t>
      </w:r>
      <w:r w:rsidR="00BB5C0F">
        <w:t>ed</w:t>
      </w:r>
      <w:r>
        <w:t xml:space="preserve"> on the technical viability of the proposed method, in the case studies across GB. This </w:t>
      </w:r>
      <w:r w:rsidR="00BB5C0F">
        <w:t>included</w:t>
      </w:r>
      <w:r>
        <w:t xml:space="preserve"> assessment of power systems behaviour and the options for communications and coordination of </w:t>
      </w:r>
      <w:r w:rsidR="00BB5C0F">
        <w:t>ESR</w:t>
      </w:r>
      <w:r>
        <w:t>. This early work confirm</w:t>
      </w:r>
      <w:r w:rsidR="00BB5C0F">
        <w:t>ed</w:t>
      </w:r>
      <w:r>
        <w:t xml:space="preserve"> the need for further Development and Demonstration of DER and network performance, new processes and tools for organisational coordination, and an appropriate commercial framework. </w:t>
      </w:r>
    </w:p>
    <w:p w:rsidR="00940D3B" w:rsidP="00940D3B" w:rsidRDefault="00940D3B" w14:paraId="51FCFB18" w14:textId="101E2CA1">
      <w:pPr>
        <w:spacing w:line="276" w:lineRule="auto"/>
      </w:pPr>
      <w:r>
        <w:t xml:space="preserve">The Demonstration phase </w:t>
      </w:r>
      <w:r w:rsidR="00BB5C0F">
        <w:t xml:space="preserve">planned </w:t>
      </w:r>
      <w:r w:rsidR="00533EE3">
        <w:t>and</w:t>
      </w:r>
      <w:r w:rsidR="00BB5C0F">
        <w:t xml:space="preserve"> carried</w:t>
      </w:r>
      <w:r>
        <w:t xml:space="preserve"> out testing of the designed solutions. This phase </w:t>
      </w:r>
      <w:r w:rsidR="00BB5C0F">
        <w:t>covered</w:t>
      </w:r>
      <w:r>
        <w:t xml:space="preserve"> both practical testing on live power systems and process exercising (through desktop exercises) to enable the designed solutions to be tested in an appropriate and safe environment. Where incremental improvements </w:t>
      </w:r>
      <w:r w:rsidR="00BB5C0F">
        <w:t>were</w:t>
      </w:r>
      <w:r>
        <w:t xml:space="preserve"> identified, they </w:t>
      </w:r>
      <w:r w:rsidR="00BB5C0F">
        <w:t>were</w:t>
      </w:r>
      <w:r>
        <w:t xml:space="preserve"> incorporated into the final proposed solutions. This phase </w:t>
      </w:r>
      <w:r w:rsidR="00BB5C0F">
        <w:t>was able to</w:t>
      </w:r>
      <w:r>
        <w:t xml:space="preserve"> demonstrate that the designed options:</w:t>
      </w:r>
    </w:p>
    <w:p w:rsidR="00940D3B" w:rsidP="00F1481B" w:rsidRDefault="00940D3B" w14:paraId="71399D6F" w14:textId="70A2DBCD">
      <w:pPr>
        <w:pStyle w:val="ListParagraph"/>
        <w:numPr>
          <w:ilvl w:val="0"/>
          <w:numId w:val="31"/>
        </w:numPr>
        <w:spacing w:line="276" w:lineRule="auto"/>
      </w:pPr>
      <w:r>
        <w:t xml:space="preserve">Provide credible technical solutions for the provision of </w:t>
      </w:r>
      <w:r w:rsidR="00BB5C0F">
        <w:t>ESR</w:t>
      </w:r>
      <w:r>
        <w:t xml:space="preserve"> services from DERs, and that the requirements for </w:t>
      </w:r>
      <w:r w:rsidR="00BB5C0F">
        <w:t>ESR</w:t>
      </w:r>
      <w:r>
        <w:t xml:space="preserve"> are met by each DER type.</w:t>
      </w:r>
    </w:p>
    <w:p w:rsidR="00940D3B" w:rsidP="00F1481B" w:rsidRDefault="00940D3B" w14:paraId="4A59A3BC" w14:textId="32D733F8">
      <w:pPr>
        <w:pStyle w:val="ListParagraph"/>
        <w:numPr>
          <w:ilvl w:val="0"/>
          <w:numId w:val="31"/>
        </w:numPr>
        <w:spacing w:line="276" w:lineRule="auto"/>
      </w:pPr>
      <w:r>
        <w:t xml:space="preserve">Can be implemented in a </w:t>
      </w:r>
      <w:r w:rsidR="005A73CD">
        <w:t>ESR</w:t>
      </w:r>
      <w:r>
        <w:t xml:space="preserve"> situation using an appropriate process for coordination and control of DER as part of the GB restoration solution.</w:t>
      </w:r>
    </w:p>
    <w:p w:rsidR="00940D3B" w:rsidP="00F1481B" w:rsidRDefault="00940D3B" w14:paraId="6BEB393D" w14:textId="04F18B89">
      <w:pPr>
        <w:pStyle w:val="ListParagraph"/>
        <w:numPr>
          <w:ilvl w:val="0"/>
          <w:numId w:val="31"/>
        </w:numPr>
        <w:spacing w:line="276" w:lineRule="auto"/>
      </w:pPr>
      <w:r>
        <w:t>Can be validated and tested, by developing a thorough and robust planning process for provider assessment and risk mitigation.</w:t>
      </w:r>
    </w:p>
    <w:p w:rsidR="00940D3B" w:rsidP="00F1481B" w:rsidRDefault="00940D3B" w14:paraId="39FFC01D" w14:textId="4182C376">
      <w:pPr>
        <w:pStyle w:val="ListParagraph"/>
        <w:numPr>
          <w:ilvl w:val="0"/>
          <w:numId w:val="31"/>
        </w:numPr>
        <w:spacing w:line="276" w:lineRule="auto"/>
      </w:pPr>
      <w:r>
        <w:t>Produce a framework for a viable service, demonstrated through desktop exercises and an industry consultation to assess market suitability and product appetite.</w:t>
      </w:r>
    </w:p>
    <w:p w:rsidR="000B4D52" w:rsidP="00940D3B" w:rsidRDefault="00F04C73" w14:paraId="575EE54A" w14:textId="32D7A76C">
      <w:pPr>
        <w:spacing w:line="276" w:lineRule="auto"/>
      </w:pPr>
      <w:r>
        <w:t xml:space="preserve">As the project nears completion, the </w:t>
      </w:r>
      <w:r w:rsidR="00D9173A">
        <w:t xml:space="preserve">focus is increasingly on implementation into BAU. </w:t>
      </w:r>
      <w:r w:rsidR="00940D3B">
        <w:t xml:space="preserve">The Power Engineering &amp; Trials work stream </w:t>
      </w:r>
      <w:r w:rsidR="005A73CD">
        <w:t>has</w:t>
      </w:r>
      <w:r w:rsidR="00940D3B">
        <w:t xml:space="preserve"> </w:t>
      </w:r>
      <w:r w:rsidR="00507647">
        <w:t>produced</w:t>
      </w:r>
      <w:r w:rsidR="00940D3B">
        <w:t xml:space="preserve"> guidance notes and supporting materials to facilitate future assessment and testing of </w:t>
      </w:r>
      <w:r w:rsidR="005A73CD">
        <w:t>ESR</w:t>
      </w:r>
      <w:r w:rsidR="00940D3B">
        <w:t xml:space="preserve"> from DER across GB. The Organisational &amp; Systems work stream </w:t>
      </w:r>
      <w:r w:rsidR="005A73CD">
        <w:t>has</w:t>
      </w:r>
      <w:r w:rsidR="00940D3B">
        <w:t xml:space="preserve"> define</w:t>
      </w:r>
      <w:r w:rsidR="005A73CD">
        <w:t>d</w:t>
      </w:r>
      <w:r w:rsidR="00940D3B">
        <w:t xml:space="preserve"> how the Power Island will be coordinated and managed, with functional specifications for the systems and telecommunications for parties and roles that would be directly involved in restoration in different areas. The Procurement &amp; Regulation work stream </w:t>
      </w:r>
      <w:r w:rsidR="005A73CD">
        <w:t>has</w:t>
      </w:r>
      <w:r w:rsidR="00940D3B">
        <w:t xml:space="preserve"> finalise</w:t>
      </w:r>
      <w:r w:rsidR="005A73CD">
        <w:t>d</w:t>
      </w:r>
      <w:r w:rsidR="00940D3B">
        <w:t xml:space="preserve"> a competitive procurement approach and contractual terms to be used by ESO, DNOs and DERs. The regulatory aspects </w:t>
      </w:r>
      <w:r w:rsidR="005A73CD">
        <w:t>have subsequently been</w:t>
      </w:r>
      <w:r w:rsidR="00940D3B">
        <w:t xml:space="preserve"> transferred out of the project and proposals forwarded by ESO into the wider industry, </w:t>
      </w:r>
      <w:r w:rsidR="00BA2FCF">
        <w:t>e.g.,</w:t>
      </w:r>
      <w:r w:rsidR="00940D3B">
        <w:t xml:space="preserve"> the proposing of code changes.</w:t>
      </w:r>
    </w:p>
    <w:p w:rsidRPr="00F1481B" w:rsidR="000B4D52" w:rsidP="00AA4233" w:rsidRDefault="001904B7" w14:paraId="72B5D59D" w14:textId="13E4F6B0">
      <w:pPr>
        <w:spacing w:line="276" w:lineRule="auto"/>
        <w:rPr>
          <w:u w:val="single"/>
        </w:rPr>
      </w:pPr>
      <w:r w:rsidRPr="00F1481B">
        <w:rPr>
          <w:u w:val="single"/>
        </w:rPr>
        <w:t xml:space="preserve">For the </w:t>
      </w:r>
      <w:proofErr w:type="spellStart"/>
      <w:r w:rsidRPr="00F1481B">
        <w:rPr>
          <w:u w:val="single"/>
        </w:rPr>
        <w:t>Redhouse</w:t>
      </w:r>
      <w:proofErr w:type="spellEnd"/>
      <w:r w:rsidRPr="00F1481B">
        <w:rPr>
          <w:u w:val="single"/>
        </w:rPr>
        <w:t xml:space="preserve"> live trial in May/June 2023, the additional scale</w:t>
      </w:r>
      <w:r w:rsidRPr="00F1481B" w:rsidR="005D5DD6">
        <w:rPr>
          <w:u w:val="single"/>
        </w:rPr>
        <w:t xml:space="preserve"> will cover:</w:t>
      </w:r>
    </w:p>
    <w:p w:rsidR="00F816AA" w:rsidP="009C4B6F" w:rsidRDefault="009C4B6F" w14:paraId="19C14185" w14:textId="77777777">
      <w:pPr>
        <w:spacing w:line="276" w:lineRule="auto"/>
      </w:pPr>
      <w:r w:rsidRPr="00F1481B">
        <w:rPr>
          <w:b/>
          <w:bCs/>
        </w:rPr>
        <w:t>Phase 1</w:t>
      </w:r>
    </w:p>
    <w:p w:rsidR="009C4B6F" w:rsidP="009C4B6F" w:rsidRDefault="00F816AA" w14:paraId="4138EC5E" w14:textId="50E42549">
      <w:pPr>
        <w:spacing w:line="276" w:lineRule="auto"/>
      </w:pPr>
      <w:r>
        <w:lastRenderedPageBreak/>
        <w:t>S</w:t>
      </w:r>
      <w:r w:rsidR="009C4B6F">
        <w:t xml:space="preserve">uccessful manual restoration of the </w:t>
      </w:r>
      <w:proofErr w:type="spellStart"/>
      <w:r w:rsidR="009C4B6F">
        <w:t>Redhouse</w:t>
      </w:r>
      <w:proofErr w:type="spellEnd"/>
      <w:r w:rsidR="009C4B6F">
        <w:t xml:space="preserve"> GSP by:</w:t>
      </w:r>
    </w:p>
    <w:p w:rsidR="009C4B6F" w:rsidP="009C4B6F" w:rsidRDefault="009C4B6F" w14:paraId="3FD0B787" w14:textId="4EF8347C">
      <w:pPr>
        <w:spacing w:line="276" w:lineRule="auto"/>
      </w:pPr>
      <w:r>
        <w:t xml:space="preserve">1. </w:t>
      </w:r>
      <w:r w:rsidR="008E06DD">
        <w:t>P</w:t>
      </w:r>
      <w:r>
        <w:t>roving grid forming capability of Distributed Battery Energy Storage System (</w:t>
      </w:r>
      <w:r w:rsidR="00F816AA">
        <w:t>o</w:t>
      </w:r>
      <w:r>
        <w:t>n 3rd party network only)</w:t>
      </w:r>
      <w:r w:rsidR="00261E82">
        <w:t>.</w:t>
      </w:r>
    </w:p>
    <w:p w:rsidR="009C4B6F" w:rsidP="009C4B6F" w:rsidRDefault="009C4B6F" w14:paraId="451D86AA" w14:textId="23024D58">
      <w:pPr>
        <w:spacing w:line="276" w:lineRule="auto"/>
      </w:pPr>
      <w:r>
        <w:t xml:space="preserve">2. </w:t>
      </w:r>
      <w:r w:rsidR="008E06DD">
        <w:t>P</w:t>
      </w:r>
      <w:r>
        <w:t>roving grid forming capability of BESS and ability energise both 33kV and 132kV transformers / network</w:t>
      </w:r>
      <w:r w:rsidR="00261E82">
        <w:t>.</w:t>
      </w:r>
    </w:p>
    <w:p w:rsidR="008E06DD" w:rsidP="009C4B6F" w:rsidRDefault="009C4B6F" w14:paraId="29EB1B3A" w14:textId="77777777">
      <w:pPr>
        <w:spacing w:line="276" w:lineRule="auto"/>
      </w:pPr>
      <w:r w:rsidRPr="00F1481B">
        <w:rPr>
          <w:b/>
          <w:bCs/>
        </w:rPr>
        <w:t>Phase 2</w:t>
      </w:r>
      <w:r>
        <w:t xml:space="preserve"> </w:t>
      </w:r>
    </w:p>
    <w:p w:rsidR="009C4B6F" w:rsidP="009C4B6F" w:rsidRDefault="008E06DD" w14:paraId="18C412AF" w14:textId="4133FF96">
      <w:pPr>
        <w:spacing w:line="276" w:lineRule="auto"/>
      </w:pPr>
      <w:r>
        <w:t>S</w:t>
      </w:r>
      <w:r w:rsidR="009C4B6F">
        <w:t xml:space="preserve">uccessful automated restoration of the </w:t>
      </w:r>
      <w:proofErr w:type="spellStart"/>
      <w:r w:rsidR="009C4B6F">
        <w:t>Redhouse</w:t>
      </w:r>
      <w:proofErr w:type="spellEnd"/>
      <w:r w:rsidR="009C4B6F">
        <w:t xml:space="preserve"> GSP by:</w:t>
      </w:r>
    </w:p>
    <w:p w:rsidR="009C4B6F" w:rsidP="009C4B6F" w:rsidRDefault="009C4B6F" w14:paraId="350D7EC5" w14:textId="2A5DE9B5">
      <w:pPr>
        <w:spacing w:line="276" w:lineRule="auto"/>
      </w:pPr>
      <w:r>
        <w:t xml:space="preserve">1. </w:t>
      </w:r>
      <w:r w:rsidR="008E06DD">
        <w:t>I</w:t>
      </w:r>
      <w:r>
        <w:t>mplement DRZC control of stable power island to demonstrate ability to simply respond to disturbances or have complete control of island</w:t>
      </w:r>
      <w:r w:rsidR="00261E82">
        <w:t>.</w:t>
      </w:r>
    </w:p>
    <w:p w:rsidRPr="00697FEC" w:rsidR="00697FEC" w:rsidP="009C4B6F" w:rsidRDefault="009C4B6F" w14:paraId="25CF0D89" w14:textId="0BF32440">
      <w:pPr>
        <w:spacing w:line="276" w:lineRule="auto"/>
      </w:pPr>
      <w:r>
        <w:t xml:space="preserve">2. </w:t>
      </w:r>
      <w:r w:rsidR="008E06DD">
        <w:t>I</w:t>
      </w:r>
      <w:r>
        <w:t xml:space="preserve">nclude Middle </w:t>
      </w:r>
      <w:proofErr w:type="spellStart"/>
      <w:r>
        <w:t>Balbeggie</w:t>
      </w:r>
      <w:proofErr w:type="spellEnd"/>
      <w:r>
        <w:t xml:space="preserve"> Solar farm within tests to demonstrate ability of multiple DER to contribute to islanded grid.</w:t>
      </w:r>
      <w:r>
        <w:tab/>
      </w:r>
    </w:p>
    <w:p w:rsidR="00B6767D" w:rsidP="00AA4233" w:rsidRDefault="005960D7" w14:paraId="343564B6" w14:textId="61C8EB9B">
      <w:pPr>
        <w:spacing w:line="276" w:lineRule="auto"/>
      </w:pPr>
      <w:r>
        <w:t>An extension of this project</w:t>
      </w:r>
      <w:r w:rsidRPr="0099063A" w:rsidR="0099063A">
        <w:t xml:space="preserve"> through </w:t>
      </w:r>
      <w:r w:rsidR="00B6767D">
        <w:t>NIA</w:t>
      </w:r>
      <w:r w:rsidRPr="0099063A" w:rsidR="0099063A">
        <w:t xml:space="preserve"> </w:t>
      </w:r>
      <w:r>
        <w:t xml:space="preserve">funding, </w:t>
      </w:r>
      <w:r w:rsidRPr="0099063A" w:rsidR="0099063A">
        <w:t xml:space="preserve">is the only way that the </w:t>
      </w:r>
      <w:r w:rsidR="00B6767D">
        <w:t>ESR</w:t>
      </w:r>
      <w:r w:rsidRPr="0099063A" w:rsidR="0099063A">
        <w:t xml:space="preserve"> from DER method can be implemented both quickly and at a very large scale. </w:t>
      </w:r>
      <w:r w:rsidR="00EB05B3">
        <w:t>As</w:t>
      </w:r>
      <w:r w:rsidRPr="0099063A" w:rsidR="00EB05B3">
        <w:t xml:space="preserve"> </w:t>
      </w:r>
      <w:r w:rsidRPr="0099063A" w:rsidR="0099063A">
        <w:t xml:space="preserve">the concept is innovative and inherently risky, funding through BAU would </w:t>
      </w:r>
      <w:r w:rsidRPr="0099063A" w:rsidR="00B6767D">
        <w:t>be done</w:t>
      </w:r>
      <w:r w:rsidRPr="0099063A" w:rsidR="0099063A">
        <w:t xml:space="preserve"> in a much more sporadic way, and only once individual areas of work have been suitably de-risked for the end consumer and shareholders. </w:t>
      </w:r>
    </w:p>
    <w:p w:rsidRPr="00644FA3" w:rsidR="00475A02" w:rsidP="00AA4233" w:rsidRDefault="00475A02" w14:paraId="31245CB4" w14:textId="1894C940">
      <w:pPr>
        <w:spacing w:line="276" w:lineRule="auto"/>
        <w:rPr>
          <w:b w:val="1"/>
          <w:bCs w:val="1"/>
        </w:rPr>
      </w:pPr>
      <w:r w:rsidR="00464501">
        <w:rPr/>
        <w:t>The envisaged cost of the live trail (£</w:t>
      </w:r>
      <w:r w:rsidR="00637B5B">
        <w:rPr/>
        <w:t>2.1M</w:t>
      </w:r>
      <w:r w:rsidR="00464501">
        <w:rPr/>
        <w:t xml:space="preserve">) </w:t>
      </w:r>
      <w:r w:rsidR="00946BC4">
        <w:rPr/>
        <w:t xml:space="preserve">is countered against the foreseen benefits to the consumer </w:t>
      </w:r>
      <w:r w:rsidR="00C4483F">
        <w:rPr/>
        <w:t xml:space="preserve">as detailed </w:t>
      </w:r>
      <w:r w:rsidR="00BA2FCF">
        <w:rPr/>
        <w:t>above.</w:t>
      </w:r>
      <w:r w:rsidR="00B443A4">
        <w:rPr/>
        <w:t xml:space="preserve"> </w:t>
      </w:r>
      <w:r w:rsidR="00826F71">
        <w:rPr/>
        <w:t>The ESO believes</w:t>
      </w:r>
      <w:r w:rsidR="00102DAA">
        <w:rPr/>
        <w:t xml:space="preserve">, as does Ofgem in their response to the Material Change Request </w:t>
      </w:r>
      <w:r w:rsidR="00787F2E">
        <w:rPr/>
        <w:t>dated December 9</w:t>
      </w:r>
      <w:r w:rsidRPr="36044AD4" w:rsidR="00787F2E">
        <w:rPr>
          <w:vertAlign w:val="superscript"/>
        </w:rPr>
        <w:t>th</w:t>
      </w:r>
      <w:r w:rsidR="00787F2E">
        <w:rPr/>
        <w:t xml:space="preserve">, 2022, that the inclusion of this additional live </w:t>
      </w:r>
      <w:r w:rsidR="00826F71">
        <w:rPr/>
        <w:t>t</w:t>
      </w:r>
      <w:r w:rsidR="00787F2E">
        <w:rPr/>
        <w:t xml:space="preserve">rial, funded via NIA, will </w:t>
      </w:r>
      <w:r w:rsidR="009C293C">
        <w:rPr/>
        <w:t xml:space="preserve">provide </w:t>
      </w:r>
      <w:r w:rsidR="00826F71">
        <w:rPr/>
        <w:t xml:space="preserve">significant </w:t>
      </w:r>
      <w:r w:rsidR="009C293C">
        <w:rPr/>
        <w:t xml:space="preserve">benefits to consumers and industry, at economies of scale </w:t>
      </w:r>
      <w:r w:rsidR="0009327C">
        <w:rPr/>
        <w:t xml:space="preserve">that would </w:t>
      </w:r>
      <w:r w:rsidR="009C293C">
        <w:rPr/>
        <w:t xml:space="preserve">not </w:t>
      </w:r>
      <w:r w:rsidR="0009327C">
        <w:rPr/>
        <w:t xml:space="preserve">be </w:t>
      </w:r>
      <w:r w:rsidR="009C293C">
        <w:rPr/>
        <w:t>possible with starting a separate NIA project from scratch.</w:t>
      </w:r>
      <w:r>
        <w:tab/>
      </w:r>
      <w:r>
        <w:tab/>
      </w:r>
      <w:r>
        <w:tab/>
      </w:r>
      <w:r>
        <w:tab/>
      </w:r>
      <w:r>
        <w:tab/>
      </w:r>
      <w:r>
        <w:tab/>
      </w:r>
      <w:r>
        <w:tab/>
      </w:r>
      <w:r>
        <w:tab/>
      </w:r>
      <w:r>
        <w:tab/>
      </w:r>
      <w:r>
        <w:tab/>
      </w:r>
      <w:r>
        <w:tab/>
      </w:r>
      <w:r>
        <w:tab/>
      </w:r>
      <w:r>
        <w:tab/>
      </w:r>
      <w:r>
        <w:tab/>
      </w:r>
      <w:r>
        <w:tab/>
      </w:r>
      <w:r>
        <w:tab/>
      </w:r>
      <w:r>
        <w:tab/>
      </w:r>
      <w:r>
        <w:tab/>
      </w:r>
      <w:r>
        <w:tab/>
      </w:r>
      <w:r>
        <w:tab/>
      </w:r>
    </w:p>
    <w:p w:rsidR="002A7632" w:rsidP="002007D5" w:rsidRDefault="00475A02" w14:paraId="13B6864B" w14:textId="4EBFB24E">
      <w:pPr>
        <w:pStyle w:val="HeadingNo2"/>
        <w:ind w:left="709" w:hanging="709"/>
      </w:pPr>
      <w:r w:rsidRPr="00644FA3">
        <w:t>Geographical Area</w:t>
      </w:r>
    </w:p>
    <w:p w:rsidR="00FF1817" w:rsidP="007C6A5B" w:rsidRDefault="00FF1817" w14:paraId="7D8A2289" w14:textId="3F2CB037">
      <w:pPr>
        <w:pStyle w:val="Note"/>
        <w:rPr>
          <w:color w:val="FF0000"/>
        </w:rPr>
      </w:pPr>
      <w:r w:rsidRPr="009C293C">
        <w:rPr>
          <w:color w:val="FF0000"/>
        </w:rPr>
        <w:t xml:space="preserve">Details of where the Project will take place. If the Project is a collaboration, the Funding Licensee area(s) in which the Project will take place should be identified. </w:t>
      </w:r>
    </w:p>
    <w:p w:rsidR="00761043" w:rsidP="007C6A5B" w:rsidRDefault="00761043" w14:paraId="3070FFBA" w14:textId="7A0F62ED">
      <w:pPr>
        <w:pStyle w:val="Note"/>
        <w:rPr>
          <w:color w:val="FF0000"/>
        </w:rPr>
      </w:pPr>
    </w:p>
    <w:p w:rsidRPr="007F1881" w:rsidR="00761043" w:rsidP="007C6A5B" w:rsidRDefault="00761043" w14:paraId="3B530E91" w14:textId="5A775AC5">
      <w:pPr>
        <w:pStyle w:val="Note"/>
        <w:rPr>
          <w:rFonts w:eastAsia="Times New Roman"/>
          <w:i w:val="0"/>
          <w:sz w:val="20"/>
          <w:lang w:eastAsia="en-GB"/>
        </w:rPr>
      </w:pPr>
      <w:r w:rsidRPr="007F1881">
        <w:rPr>
          <w:rFonts w:eastAsia="Times New Roman"/>
          <w:i w:val="0"/>
          <w:sz w:val="20"/>
          <w:lang w:eastAsia="en-GB"/>
        </w:rPr>
        <w:t>The Live Trial</w:t>
      </w:r>
      <w:r w:rsidRPr="007F1881" w:rsidR="007F1881">
        <w:rPr>
          <w:rFonts w:eastAsia="Times New Roman"/>
          <w:i w:val="0"/>
          <w:sz w:val="20"/>
          <w:lang w:eastAsia="en-GB"/>
        </w:rPr>
        <w:t xml:space="preserve"> will take place at two locations, both in the </w:t>
      </w:r>
      <w:proofErr w:type="spellStart"/>
      <w:r w:rsidRPr="007F1881" w:rsidR="007F1881">
        <w:rPr>
          <w:rFonts w:eastAsia="Times New Roman"/>
          <w:i w:val="0"/>
          <w:sz w:val="20"/>
          <w:lang w:eastAsia="en-GB"/>
        </w:rPr>
        <w:t>Redhouse</w:t>
      </w:r>
      <w:proofErr w:type="spellEnd"/>
      <w:r w:rsidRPr="007F1881" w:rsidR="007F1881">
        <w:rPr>
          <w:rFonts w:eastAsia="Times New Roman"/>
          <w:i w:val="0"/>
          <w:sz w:val="20"/>
          <w:lang w:eastAsia="en-GB"/>
        </w:rPr>
        <w:t xml:space="preserve"> GSP, North of Kirkaldy, Scotland</w:t>
      </w:r>
      <w:r w:rsidR="000E79FA">
        <w:rPr>
          <w:rFonts w:eastAsia="Times New Roman"/>
          <w:i w:val="0"/>
          <w:sz w:val="20"/>
          <w:lang w:eastAsia="en-GB"/>
        </w:rPr>
        <w:t xml:space="preserve">, </w:t>
      </w:r>
      <w:r w:rsidR="00F86B23">
        <w:rPr>
          <w:rFonts w:eastAsia="Times New Roman"/>
          <w:i w:val="0"/>
          <w:sz w:val="20"/>
          <w:lang w:eastAsia="en-GB"/>
        </w:rPr>
        <w:t>and the applicable DNO is Scottish Power Distribution (SPD)</w:t>
      </w:r>
      <w:r w:rsidRPr="007F1881" w:rsidR="007F1881">
        <w:rPr>
          <w:rFonts w:eastAsia="Times New Roman"/>
          <w:i w:val="0"/>
          <w:sz w:val="20"/>
          <w:lang w:eastAsia="en-GB"/>
        </w:rPr>
        <w:t>:</w:t>
      </w:r>
    </w:p>
    <w:p w:rsidR="007F1881" w:rsidP="007C6A5B" w:rsidRDefault="007F1881" w14:paraId="7A207B8F" w14:textId="7BA732FB">
      <w:pPr>
        <w:pStyle w:val="Note"/>
        <w:rPr>
          <w:rFonts w:eastAsia="Times New Roman"/>
          <w:i w:val="0"/>
          <w:sz w:val="20"/>
          <w:lang w:eastAsia="en-GB"/>
        </w:rPr>
      </w:pPr>
      <w:r>
        <w:rPr>
          <w:rFonts w:eastAsia="Times New Roman"/>
          <w:i w:val="0"/>
          <w:sz w:val="20"/>
          <w:lang w:eastAsia="en-GB"/>
        </w:rPr>
        <w:t>1. T</w:t>
      </w:r>
      <w:r w:rsidRPr="007F1881">
        <w:rPr>
          <w:rFonts w:eastAsia="Times New Roman"/>
          <w:i w:val="0"/>
          <w:sz w:val="20"/>
          <w:lang w:eastAsia="en-GB"/>
        </w:rPr>
        <w:t xml:space="preserve">he South </w:t>
      </w:r>
      <w:proofErr w:type="spellStart"/>
      <w:r w:rsidRPr="007F1881">
        <w:rPr>
          <w:rFonts w:eastAsia="Times New Roman"/>
          <w:i w:val="0"/>
          <w:sz w:val="20"/>
          <w:lang w:eastAsia="en-GB"/>
        </w:rPr>
        <w:t>Redhouse</w:t>
      </w:r>
      <w:proofErr w:type="spellEnd"/>
      <w:r w:rsidRPr="007F1881">
        <w:rPr>
          <w:rFonts w:eastAsia="Times New Roman"/>
          <w:i w:val="0"/>
          <w:sz w:val="20"/>
          <w:lang w:eastAsia="en-GB"/>
        </w:rPr>
        <w:t xml:space="preserve"> ESS comprising a 16.0MW battery energy storage facility on land beside </w:t>
      </w:r>
      <w:proofErr w:type="spellStart"/>
      <w:r w:rsidRPr="007F1881">
        <w:rPr>
          <w:rFonts w:eastAsia="Times New Roman"/>
          <w:i w:val="0"/>
          <w:sz w:val="20"/>
          <w:lang w:eastAsia="en-GB"/>
        </w:rPr>
        <w:t>Redhouse</w:t>
      </w:r>
      <w:proofErr w:type="spellEnd"/>
      <w:r w:rsidRPr="007F1881">
        <w:rPr>
          <w:rFonts w:eastAsia="Times New Roman"/>
          <w:i w:val="0"/>
          <w:sz w:val="20"/>
          <w:lang w:eastAsia="en-GB"/>
        </w:rPr>
        <w:t xml:space="preserve"> electricity substation, </w:t>
      </w:r>
      <w:proofErr w:type="spellStart"/>
      <w:r w:rsidRPr="007F1881">
        <w:rPr>
          <w:rFonts w:eastAsia="Times New Roman"/>
          <w:i w:val="0"/>
          <w:sz w:val="20"/>
          <w:lang w:eastAsia="en-GB"/>
        </w:rPr>
        <w:t>Heatherywood</w:t>
      </w:r>
      <w:proofErr w:type="spellEnd"/>
      <w:r w:rsidRPr="007F1881">
        <w:rPr>
          <w:rFonts w:eastAsia="Times New Roman"/>
          <w:i w:val="0"/>
          <w:sz w:val="20"/>
          <w:lang w:eastAsia="en-GB"/>
        </w:rPr>
        <w:t xml:space="preserve"> Road, Kirkcaldy, Fife, KY1 3NW.</w:t>
      </w:r>
    </w:p>
    <w:p w:rsidRPr="009C293C" w:rsidR="007F1881" w:rsidP="36044AD4" w:rsidRDefault="007F1881" w14:paraId="3809DDF7" w14:textId="14C74FA1">
      <w:pPr>
        <w:spacing w:line="264" w:lineRule="auto"/>
        <w:rPr>
          <w:rFonts w:cs="Arial"/>
          <w:color w:val="484D52" w:themeColor="text1" w:themeTint="FF" w:themeShade="FF"/>
        </w:rPr>
      </w:pPr>
      <w:r w:rsidRPr="36044AD4" w:rsidR="00EE153A">
        <w:rPr>
          <w:i w:val="1"/>
          <w:iCs w:val="1"/>
        </w:rPr>
        <w:t xml:space="preserve">2. </w:t>
      </w:r>
      <w:r w:rsidR="00700932">
        <w:rPr/>
        <w:t xml:space="preserve">A solar generating facility at Easter </w:t>
      </w:r>
      <w:proofErr w:type="spellStart"/>
      <w:r w:rsidR="00700932">
        <w:rPr/>
        <w:t>Balbeggie</w:t>
      </w:r>
      <w:proofErr w:type="spellEnd"/>
      <w:r w:rsidR="00700932">
        <w:rPr/>
        <w:t xml:space="preserve">, Kirkaldy, Fife KY1 3NS with a total installed capacity of 4,997.480 </w:t>
      </w:r>
      <w:r w:rsidR="00700932">
        <w:rPr/>
        <w:t>kWp</w:t>
      </w:r>
      <w:r w:rsidR="00261E82">
        <w:rPr/>
        <w:t>.</w:t>
      </w:r>
    </w:p>
    <w:p w:rsidR="00F47743" w:rsidP="00971316" w:rsidRDefault="003861E4" w14:paraId="6E1188F3" w14:textId="53550ABF">
      <w:pPr>
        <w:spacing w:line="276" w:lineRule="auto"/>
      </w:pPr>
      <w:r w:rsidRPr="00A626ED">
        <w:t xml:space="preserve">The </w:t>
      </w:r>
      <w:r w:rsidRPr="00A626ED" w:rsidR="00F47743">
        <w:t>Funding Licensees, as well as the two participants (DER’s) involved in the live trial as follows:</w:t>
      </w:r>
    </w:p>
    <w:p w:rsidR="0009327C" w:rsidP="0009327C" w:rsidRDefault="0009327C" w14:paraId="3F388C95" w14:textId="0DABCACF">
      <w:pPr>
        <w:pStyle w:val="ListParagraph"/>
        <w:numPr>
          <w:ilvl w:val="0"/>
          <w:numId w:val="34"/>
        </w:numPr>
        <w:spacing w:line="276" w:lineRule="auto"/>
      </w:pPr>
      <w:r>
        <w:t>National Grid Electricity System Operator (ESO)</w:t>
      </w:r>
    </w:p>
    <w:p w:rsidR="0009327C" w:rsidP="0009327C" w:rsidRDefault="0009327C" w14:paraId="28781C58" w14:textId="1F80ECE3">
      <w:pPr>
        <w:pStyle w:val="ListParagraph"/>
        <w:numPr>
          <w:ilvl w:val="0"/>
          <w:numId w:val="34"/>
        </w:numPr>
        <w:spacing w:line="276" w:lineRule="auto"/>
      </w:pPr>
      <w:r>
        <w:t>SP Energy Networks (SPEN)</w:t>
      </w:r>
    </w:p>
    <w:p w:rsidR="0009327C" w:rsidP="0009327C" w:rsidRDefault="0009327C" w14:paraId="6BC553D2" w14:textId="1ED89AA3">
      <w:pPr>
        <w:pStyle w:val="ListParagraph"/>
        <w:numPr>
          <w:ilvl w:val="0"/>
          <w:numId w:val="34"/>
        </w:numPr>
        <w:spacing w:line="276" w:lineRule="auto"/>
      </w:pPr>
      <w:proofErr w:type="spellStart"/>
      <w:r>
        <w:t>Bolshan</w:t>
      </w:r>
      <w:proofErr w:type="spellEnd"/>
      <w:r>
        <w:t xml:space="preserve"> Renewables Ltd</w:t>
      </w:r>
    </w:p>
    <w:p w:rsidRPr="00A626ED" w:rsidR="0009327C" w:rsidP="00F1481B" w:rsidRDefault="0009327C" w14:paraId="026EBEBE" w14:textId="5DD25D58">
      <w:pPr>
        <w:pStyle w:val="ListParagraph"/>
        <w:numPr>
          <w:ilvl w:val="0"/>
          <w:numId w:val="34"/>
        </w:numPr>
        <w:spacing w:line="276" w:lineRule="auto"/>
      </w:pPr>
      <w:r>
        <w:t xml:space="preserve">GSII Middle </w:t>
      </w:r>
      <w:proofErr w:type="spellStart"/>
      <w:r>
        <w:t>Balbeggie</w:t>
      </w:r>
      <w:proofErr w:type="spellEnd"/>
      <w:r>
        <w:t xml:space="preserve"> Ltd</w:t>
      </w:r>
    </w:p>
    <w:p w:rsidR="00700932" w:rsidP="36044AD4" w:rsidRDefault="003F7698" w14:textId="77777777" w14:paraId="0FE2B729" w14:noSpellErr="1">
      <w:pPr>
        <w:pStyle w:val="Normal"/>
        <w:spacing w:line="276" w:lineRule="auto"/>
        <w:rPr>
          <w:b w:val="1"/>
          <w:bCs w:val="1"/>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2007D5" w:rsidRDefault="00F0745A" w14:paraId="37A4C9B6" w14:textId="17C2610E">
      <w:pPr>
        <w:pStyle w:val="HeadingNo2"/>
        <w:ind w:left="709" w:hanging="709"/>
      </w:pPr>
      <w:r w:rsidRPr="00644FA3">
        <w:lastRenderedPageBreak/>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29024D" w:rsidR="00475A02" w:rsidP="36044AD4" w:rsidRDefault="00475A02" w14:paraId="6BDE148D" w14:textId="79A3B7E1">
      <w:pPr>
        <w:pStyle w:val="Note"/>
        <w:spacing w:line="276" w:lineRule="auto"/>
      </w:pPr>
      <w:r w:rsidR="00FF1817">
        <w:rPr/>
        <w:t xml:space="preserve">An indication of the funding provided to the </w:t>
      </w:r>
      <w:r w:rsidR="00FF1817">
        <w:rPr/>
        <w:t>network</w:t>
      </w:r>
      <w:r w:rsidR="00FF1817">
        <w:rPr/>
        <w:t xml:space="preserve"> licensee within the </w:t>
      </w:r>
      <w:r w:rsidR="00FF1817">
        <w:rPr/>
        <w:t xml:space="preserve">current </w:t>
      </w:r>
      <w:r w:rsidR="00FF1817">
        <w:rPr/>
        <w:t>RIIO settlement</w:t>
      </w:r>
      <w:r w:rsidRPr="36044AD4" w:rsidR="00FF1817">
        <w:rPr>
          <w:sz w:val="13"/>
          <w:szCs w:val="13"/>
        </w:rPr>
        <w:t xml:space="preserve"> </w:t>
      </w:r>
      <w:r w:rsidR="00FF1817">
        <w:rPr/>
        <w:t xml:space="preserve">that is likely to be surplus to requirements as a result of the Project. </w:t>
      </w:r>
    </w:p>
    <w:p w:rsidRPr="0029024D" w:rsidR="00475A02" w:rsidP="00AA4233" w:rsidRDefault="1582DFE5" w14:paraId="718DEBA9" w14:textId="659D1A27">
      <w:pPr>
        <w:spacing w:line="276" w:lineRule="auto"/>
        <w:rPr>
          <w:b/>
          <w:bCs/>
        </w:rPr>
      </w:pPr>
      <w:r>
        <w:t>None</w:t>
      </w:r>
    </w:p>
    <w:p w:rsidR="00FF1817" w:rsidP="003F7698" w:rsidRDefault="006019B9" w14:paraId="2D343B14" w14:textId="778E1848">
      <w:pPr>
        <w:pStyle w:val="HeadingNo2"/>
        <w:ind w:left="709" w:hanging="709"/>
      </w:pPr>
      <w:r w:rsidRPr="00644FA3">
        <w:t>Indicative Total NIA Project Expenditure</w:t>
      </w:r>
    </w:p>
    <w:p w:rsidRPr="001E2D71" w:rsidR="00FF4FA0" w:rsidP="007C6A5B" w:rsidRDefault="00FF4FA0" w14:paraId="48DCE09C" w14:textId="59BC056D">
      <w:pPr>
        <w:pStyle w:val="Note"/>
        <w:rPr>
          <w:color w:val="FF0000"/>
        </w:rPr>
      </w:pPr>
      <w:r w:rsidRPr="001E2D71">
        <w:rPr>
          <w:color w:val="FF0000"/>
        </w:rPr>
        <w:t xml:space="preserve">An indication of the total Allowable NIA Expenditure that </w:t>
      </w:r>
      <w:r w:rsidRPr="001E2D71" w:rsidR="005D1113">
        <w:rPr>
          <w:color w:val="FF0000"/>
        </w:rPr>
        <w:t>th</w:t>
      </w:r>
      <w:r w:rsidRPr="001E2D71">
        <w:rPr>
          <w:color w:val="FF0000"/>
        </w:rPr>
        <w:t>e Funding Licensee expects to reclaim for the whole of the Project (RIIO1).</w:t>
      </w:r>
    </w:p>
    <w:p w:rsidRPr="001E2D71" w:rsidR="00FF1817" w:rsidP="007C6A5B" w:rsidRDefault="00FF1817" w14:paraId="4B28956E" w14:textId="0C0C8020">
      <w:pPr>
        <w:pStyle w:val="Note"/>
        <w:rPr>
          <w:color w:val="FF0000"/>
        </w:rPr>
      </w:pPr>
      <w:r w:rsidRPr="001E2D71">
        <w:rPr>
          <w:color w:val="FF0000"/>
        </w:rPr>
        <w:t>An indication of the Total NIA Expenditure that the Funding Licensee expects to reclaim for the whole of the Project</w:t>
      </w:r>
      <w:r w:rsidRPr="001E2D71" w:rsidR="00FF4FA0">
        <w:rPr>
          <w:color w:val="FF0000"/>
        </w:rPr>
        <w:t xml:space="preserve"> (RIIO2).</w:t>
      </w:r>
      <w:r w:rsidRPr="001E2D71">
        <w:rPr>
          <w:color w:val="FF0000"/>
        </w:rPr>
        <w:t xml:space="preserve"> </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00194214" w:rsidP="007C6A5B" w:rsidRDefault="00194214" w14:paraId="2A343C80" w14:textId="77777777">
      <w:pPr>
        <w:pStyle w:val="Note"/>
      </w:pPr>
    </w:p>
    <w:p w:rsidR="00B34849" w:rsidP="007C6A5B" w:rsidRDefault="00194214" w14:paraId="11AB4884" w14:textId="502D3DB6">
      <w:pPr>
        <w:pStyle w:val="Note"/>
        <w:rPr>
          <w:i w:val="0"/>
          <w:sz w:val="20"/>
          <w:szCs w:val="20"/>
        </w:rPr>
      </w:pPr>
      <w:r w:rsidRPr="002A0F83">
        <w:rPr>
          <w:i w:val="0"/>
          <w:sz w:val="20"/>
          <w:szCs w:val="20"/>
        </w:rPr>
        <w:t>With the project extension to October 31st</w:t>
      </w:r>
      <w:r w:rsidRPr="002A0F83" w:rsidR="00261E82">
        <w:rPr>
          <w:i w:val="0"/>
          <w:sz w:val="20"/>
          <w:szCs w:val="20"/>
        </w:rPr>
        <w:t>, 2023</w:t>
      </w:r>
      <w:r w:rsidRPr="002A0F83">
        <w:rPr>
          <w:i w:val="0"/>
          <w:sz w:val="20"/>
          <w:szCs w:val="20"/>
        </w:rPr>
        <w:t>, the total project budget and continency have been utilised</w:t>
      </w:r>
      <w:r w:rsidRPr="002A0F83" w:rsidR="00B34849">
        <w:rPr>
          <w:i w:val="0"/>
          <w:sz w:val="20"/>
          <w:szCs w:val="20"/>
        </w:rPr>
        <w:t xml:space="preserve"> </w:t>
      </w:r>
      <w:r w:rsidRPr="002A0F83">
        <w:rPr>
          <w:i w:val="0"/>
          <w:sz w:val="20"/>
          <w:szCs w:val="20"/>
        </w:rPr>
        <w:t xml:space="preserve">(with Ofgem’s written permission) to initiate the live trial. An additional </w:t>
      </w:r>
      <w:r w:rsidRPr="57C57BA6" w:rsidR="4E4560D4">
        <w:rPr>
          <w:i w:val="0"/>
          <w:sz w:val="20"/>
          <w:szCs w:val="20"/>
        </w:rPr>
        <w:t>£500</w:t>
      </w:r>
      <w:r w:rsidR="00B251F9">
        <w:rPr>
          <w:i w:val="0"/>
          <w:sz w:val="20"/>
          <w:szCs w:val="20"/>
        </w:rPr>
        <w:t xml:space="preserve">,000 </w:t>
      </w:r>
      <w:r w:rsidRPr="002A0F83">
        <w:rPr>
          <w:i w:val="0"/>
          <w:sz w:val="20"/>
          <w:szCs w:val="20"/>
        </w:rPr>
        <w:t xml:space="preserve">of NIA funding </w:t>
      </w:r>
      <w:r w:rsidRPr="57C57BA6" w:rsidR="0B31EB41">
        <w:rPr>
          <w:i w:val="0"/>
          <w:sz w:val="20"/>
          <w:szCs w:val="20"/>
        </w:rPr>
        <w:t>has been</w:t>
      </w:r>
      <w:r w:rsidRPr="002A0F83">
        <w:rPr>
          <w:i w:val="0"/>
          <w:sz w:val="20"/>
          <w:szCs w:val="20"/>
        </w:rPr>
        <w:t xml:space="preserve"> requested to support the delivery of </w:t>
      </w:r>
      <w:proofErr w:type="spellStart"/>
      <w:r w:rsidRPr="002A0F83">
        <w:rPr>
          <w:i w:val="0"/>
          <w:sz w:val="20"/>
          <w:szCs w:val="20"/>
        </w:rPr>
        <w:t>Redhouse</w:t>
      </w:r>
      <w:proofErr w:type="spellEnd"/>
      <w:r w:rsidRPr="002A0F83">
        <w:rPr>
          <w:i w:val="0"/>
          <w:sz w:val="20"/>
          <w:szCs w:val="20"/>
        </w:rPr>
        <w:t xml:space="preserve"> live trial and form a contingency fund. </w:t>
      </w:r>
    </w:p>
    <w:p w:rsidR="00B34849" w:rsidP="007C6A5B" w:rsidRDefault="00B34849" w14:paraId="566D4680" w14:textId="77777777">
      <w:pPr>
        <w:pStyle w:val="Note"/>
        <w:rPr>
          <w:i w:val="0"/>
          <w:iCs/>
          <w:sz w:val="20"/>
          <w:szCs w:val="28"/>
        </w:rPr>
      </w:pPr>
    </w:p>
    <w:p w:rsidRPr="00644FA3" w:rsidR="00184884" w:rsidP="0055175D" w:rsidRDefault="00184884" w14:paraId="379E3B72" w14:textId="4B2B817B">
      <w:pPr>
        <w:pStyle w:val="HeadingNo2"/>
        <w:ind w:left="709" w:hanging="709"/>
      </w:pPr>
      <w:commentRangeStart w:id="3"/>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commentRangeEnd w:id="3"/>
      <w:r w:rsidR="00C259BC">
        <w:rPr>
          <w:rStyle w:val="CommentReference"/>
          <w:rFonts w:ascii="Calibri" w:hAnsi="Calibri" w:cs="Times New Roman"/>
          <w:b w:val="0"/>
          <w:bCs w:val="0"/>
          <w:color w:val="auto"/>
          <w:szCs w:val="20"/>
          <w:u w:val="none"/>
          <w:lang w:eastAsia="en-US"/>
        </w:rPr>
        <w:commentReference w:id="3"/>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55175D" w:rsidRDefault="00184884" w14:paraId="4A4B5010" w14:textId="61B51E23">
      <w:pPr>
        <w:pStyle w:val="HeadingNo3"/>
        <w:ind w:left="709" w:hanging="709"/>
      </w:pPr>
      <w:r w:rsidRPr="00644FA3">
        <w:t>How the Project has the potential to facilitate the energy system transition:</w:t>
      </w:r>
    </w:p>
    <w:p w:rsidR="003C59EF" w:rsidP="009035FF" w:rsidRDefault="00D457AB" w14:paraId="0B43F2F8" w14:textId="23B79F42">
      <w:pPr>
        <w:spacing w:line="276" w:lineRule="auto"/>
      </w:pPr>
      <w:r w:rsidRPr="00D457AB">
        <w:t xml:space="preserve">As mentioned, this project supports the electricity industry’s transformation and, by enabling access to new sources of </w:t>
      </w:r>
      <w:r w:rsidR="001C0867">
        <w:t>ESR</w:t>
      </w:r>
      <w:r w:rsidRPr="00D457AB">
        <w:t xml:space="preserve"> capability, has the potential to deliver significant benefits to consumers. </w:t>
      </w:r>
      <w:r w:rsidR="00A33477">
        <w:t>The project</w:t>
      </w:r>
      <w:r w:rsidRPr="00D457AB" w:rsidR="00A33477">
        <w:t xml:space="preserve"> </w:t>
      </w:r>
      <w:r w:rsidRPr="00D457AB">
        <w:t>ha</w:t>
      </w:r>
      <w:r w:rsidR="00A33477">
        <w:t>s</w:t>
      </w:r>
      <w:r w:rsidRPr="00D457AB">
        <w:t xml:space="preserve"> developed a robust methodology to ensure the project delivers value for the consumer, and industry participants are supportive </w:t>
      </w:r>
      <w:r w:rsidR="00952018">
        <w:t>and engaged</w:t>
      </w:r>
      <w:r w:rsidRPr="00D457AB" w:rsidR="0055175D">
        <w:tab/>
      </w:r>
      <w:r w:rsidRPr="00D457AB" w:rsidR="0055175D">
        <w:tab/>
      </w:r>
      <w:r w:rsidRPr="00D457AB" w:rsidR="0055175D">
        <w:tab/>
      </w:r>
      <w:r w:rsidRPr="00D457AB" w:rsidR="0055175D">
        <w:tab/>
      </w:r>
      <w:r w:rsidRPr="00D457AB" w:rsidR="0055175D">
        <w:tab/>
      </w:r>
      <w:r w:rsidRPr="00D457AB" w:rsidR="0055175D">
        <w:tab/>
      </w:r>
      <w:r w:rsidRPr="00D457AB" w:rsidR="0055175D">
        <w:tab/>
      </w:r>
      <w:r w:rsidRPr="00D457AB" w:rsidR="0055175D">
        <w:tab/>
      </w:r>
      <w:r w:rsidRPr="00D457AB" w:rsidR="0055175D">
        <w:tab/>
      </w:r>
      <w:r w:rsidRPr="00D457AB" w:rsidR="0055175D">
        <w:tab/>
      </w:r>
    </w:p>
    <w:p w:rsidR="003C59EF" w:rsidP="009035FF" w:rsidRDefault="003C59EF" w14:paraId="7E9E340C" w14:textId="72697B11">
      <w:pPr>
        <w:spacing w:line="276" w:lineRule="auto"/>
      </w:pPr>
      <w:r>
        <w:t>Without this project, incremental changes would be made to systems and processes to demonstrate value to other DERs to encourage participation and changes to their respective systems and processes, rather than at the scale and speed</w:t>
      </w:r>
      <w:r w:rsidR="00F1481B">
        <w:t xml:space="preserve"> </w:t>
      </w:r>
      <w:r>
        <w:t>of a collaborative wholesale solution that is made possible through the NIC/NIA mechanisms.</w:t>
      </w:r>
    </w:p>
    <w:p w:rsidRPr="00D457AB" w:rsidR="0055175D" w:rsidP="009035FF" w:rsidRDefault="0055175D" w14:paraId="7C51FDE0" w14:textId="62FF2CE0">
      <w:pPr>
        <w:spacing w:line="276" w:lineRule="auto"/>
      </w:pPr>
      <w:r w:rsidRPr="00D457AB">
        <w:tab/>
      </w:r>
      <w:r w:rsidRPr="00D457AB">
        <w:tab/>
      </w:r>
      <w:r w:rsidRPr="00D457AB">
        <w:tab/>
      </w:r>
      <w:r w:rsidRPr="00D457AB">
        <w:tab/>
      </w:r>
      <w:r w:rsidRPr="00D457AB">
        <w:tab/>
      </w:r>
      <w:r w:rsidRPr="00D457AB">
        <w:tab/>
      </w:r>
      <w:r w:rsidRPr="00D457AB">
        <w:tab/>
      </w:r>
      <w:r w:rsidRPr="00D457AB">
        <w:tab/>
      </w:r>
      <w:r w:rsidRPr="00D457AB">
        <w:tab/>
      </w:r>
      <w:r w:rsidRPr="00D457AB">
        <w:tab/>
      </w:r>
      <w:r w:rsidRPr="00D457AB">
        <w:tab/>
      </w:r>
      <w:r w:rsidRPr="00D457AB">
        <w:tab/>
      </w:r>
      <w:r w:rsidRPr="00D457AB">
        <w:tab/>
      </w:r>
      <w:r w:rsidRPr="00D457AB">
        <w:tab/>
      </w:r>
      <w:r w:rsidRPr="00D457AB">
        <w:tab/>
      </w:r>
    </w:p>
    <w:p w:rsidRPr="001036C0" w:rsidR="00184884" w:rsidP="007C6A5B" w:rsidRDefault="00184884" w14:paraId="4274AED1" w14:textId="571F69E8">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BE5150" w:rsidRDefault="009035FF" w14:paraId="2DD2808E" w14:textId="112696FC">
      <w:r>
        <w:lastRenderedPageBreak/>
        <w:t>n/a</w:t>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B8519E" w:rsidR="001036C0" w:rsidP="007C6A5B" w:rsidRDefault="001036C0" w14:paraId="3B027BEF" w14:textId="1E51021D">
      <w:pPr>
        <w:pStyle w:val="Note"/>
        <w:rPr>
          <w:color w:val="FF0000"/>
        </w:rPr>
      </w:pPr>
      <w:r w:rsidRPr="00B8519E">
        <w:rPr>
          <w:color w:val="FF0000"/>
        </w:rP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w:t>
      </w:r>
      <w:commentRangeStart w:id="4"/>
      <w:r w:rsidR="001036C0">
        <w:t xml:space="preserve">RIIO-1 </w:t>
      </w:r>
      <w:commentRangeEnd w:id="4"/>
      <w:r w:rsidR="00C259BC">
        <w:rPr>
          <w:rStyle w:val="CommentReference"/>
          <w:rFonts w:ascii="Calibri" w:hAnsi="Calibri" w:cs="Times New Roman"/>
          <w:b w:val="0"/>
          <w:bCs w:val="0"/>
          <w:color w:val="auto"/>
          <w:szCs w:val="20"/>
          <w:u w:val="none"/>
          <w:lang w:eastAsia="en-US"/>
        </w:rPr>
        <w:commentReference w:id="4"/>
      </w:r>
      <w:r w:rsidR="001036C0">
        <w:t>projects only</w:t>
      </w:r>
      <w:r w:rsidR="00B77868">
        <w:t>)</w:t>
      </w:r>
    </w:p>
    <w:p w:rsidRPr="00CC50C7" w:rsidR="0055175D" w:rsidP="00BE5150" w:rsidRDefault="009035FF" w14:paraId="356FA8D2" w14:textId="1432A00F">
      <w:r>
        <w:t>n/a</w:t>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Pr="00644FA3" w:rsidR="00F917E9" w:rsidP="007C6A5B" w:rsidRDefault="00F917E9" w14:paraId="7D49DFE3" w14:textId="7CD06CF0">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254922" w:rsidRDefault="00A74FDC" w14:paraId="2F326A91" w14:textId="6892C27E">
      <w:pPr>
        <w:pStyle w:val="HeadingNo3"/>
        <w:ind w:left="709" w:hanging="709"/>
      </w:pPr>
      <w:commentRangeStart w:id="5"/>
      <w:r w:rsidRPr="00644FA3">
        <w:t>Please provide a calculation of the expected benefits</w:t>
      </w:r>
      <w:r w:rsidR="003370FE">
        <w:t xml:space="preserve"> the Solution</w:t>
      </w:r>
      <w:commentRangeEnd w:id="5"/>
      <w:r w:rsidR="00EC0F4F">
        <w:rPr>
          <w:rStyle w:val="CommentReference"/>
          <w:rFonts w:ascii="Calibri" w:hAnsi="Calibri" w:cs="Times New Roman"/>
          <w:b w:val="0"/>
          <w:bCs w:val="0"/>
          <w:color w:val="auto"/>
          <w:szCs w:val="20"/>
          <w:u w:val="none"/>
          <w:lang w:eastAsia="en-US"/>
        </w:rPr>
        <w:commentReference w:id="5"/>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BE5150" w:rsidP="007C6A5B" w:rsidRDefault="00254922" w14:paraId="134C084D"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3005E3" w:rsidP="007C6A5B" w:rsidRDefault="00DF618E" w14:paraId="0C946D26" w14:textId="12B42E1B">
      <w:r>
        <w:t>Th</w:t>
      </w:r>
      <w:r w:rsidR="00BE5150">
        <w:t>e</w:t>
      </w:r>
      <w:r>
        <w:t xml:space="preserve"> project scope spans the initial research stages (feasibility &amp; viability), design &amp; </w:t>
      </w:r>
      <w:r w:rsidR="00295A4A">
        <w:t>development</w:t>
      </w:r>
      <w:r>
        <w:t xml:space="preserve">, as well as extensive demonstration that the </w:t>
      </w:r>
      <w:r w:rsidR="00295A4A">
        <w:t xml:space="preserve">ESR concept using DER is </w:t>
      </w:r>
      <w:r w:rsidR="00C2152F">
        <w:t xml:space="preserve">now a possibility and can be tendered for in the commercial &amp; regulatory framework that supports the ESRS. </w:t>
      </w:r>
    </w:p>
    <w:p w:rsidRPr="00644FA3" w:rsidR="003370FE" w:rsidP="007C6A5B" w:rsidRDefault="007B0231" w14:paraId="5E8C2FBF" w14:textId="24691203">
      <w:r>
        <w:t xml:space="preserve">In terms of expected benefits, </w:t>
      </w:r>
      <w:r w:rsidR="003E5F36">
        <w:t>t</w:t>
      </w:r>
      <w:r w:rsidR="00BA7534">
        <w:t>he original 2018 C</w:t>
      </w:r>
      <w:r w:rsidR="003E5F36">
        <w:t>ost-Benefit Analysis (C</w:t>
      </w:r>
      <w:r w:rsidR="00BA7534">
        <w:t>BA</w:t>
      </w:r>
      <w:r w:rsidR="003E5F36">
        <w:t>)</w:t>
      </w:r>
      <w:r w:rsidR="00BA7534">
        <w:t xml:space="preserve"> calculated a</w:t>
      </w:r>
      <w:r w:rsidR="00A3221C">
        <w:t>n NPV</w:t>
      </w:r>
      <w:r w:rsidR="00BA7534">
        <w:t xml:space="preserve"> of up to £115m</w:t>
      </w:r>
      <w:r w:rsidR="003E5F36">
        <w:t xml:space="preserve">, </w:t>
      </w:r>
      <w:r w:rsidRPr="00347F36" w:rsidR="00347F36">
        <w:t>leading to an 80kT CO2e reduction per annum (2025-2032</w:t>
      </w:r>
      <w:r w:rsidR="00A3221C">
        <w:t>)</w:t>
      </w:r>
      <w:r w:rsidRPr="00347F36" w:rsidR="00347F36">
        <w:t>.  The carbon benefits are significant, totalling 0.81 MT CO2e by 2050</w:t>
      </w:r>
      <w:r w:rsidR="00BA7534">
        <w:t>. A</w:t>
      </w:r>
      <w:r w:rsidR="00A3221C">
        <w:t>n</w:t>
      </w:r>
      <w:r w:rsidR="00BE5150">
        <w:t xml:space="preserve"> </w:t>
      </w:r>
      <w:r w:rsidR="00BA7534">
        <w:t>update to t</w:t>
      </w:r>
      <w:r w:rsidR="00A3221C">
        <w:t>he</w:t>
      </w:r>
      <w:r w:rsidR="00BA7534">
        <w:t xml:space="preserve"> CBA, based on interim project learning, </w:t>
      </w:r>
      <w:r w:rsidR="0063602B">
        <w:t>has resulted</w:t>
      </w:r>
      <w:r w:rsidR="00BA7534">
        <w:t xml:space="preserve"> in an increased NPV of £145m.</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Pr="002703D0" w:rsidR="001036C0" w:rsidP="007C6A5B" w:rsidRDefault="001036C0" w14:paraId="37C36545" w14:textId="75B0CA6E">
      <w:pPr>
        <w:pStyle w:val="Note"/>
        <w:rPr>
          <w:color w:val="FF0000"/>
        </w:rPr>
      </w:pPr>
      <w:r w:rsidRPr="002703D0">
        <w:rPr>
          <w:color w:val="FF0000"/>
        </w:rPr>
        <w:t>This must be in terms of the number of sites, the sort of site the Method could be applied to, or the percentage of the Network Licensees system where it could be rolled-out.</w:t>
      </w:r>
    </w:p>
    <w:p w:rsidR="0016517D" w:rsidP="002703D0" w:rsidRDefault="00254922" w14:paraId="3C4F8577"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2703D0" w:rsidP="002703D0" w:rsidRDefault="002703D0" w14:paraId="27DA2421" w14:textId="5E068CAC">
      <w:r>
        <w:t xml:space="preserve">System restoration has always been a complex process and the distributed restoration concept developed and demonstrated in this project is more complex than conventional methods due to the greater number of parties involved and application of technologies not previously used in this way. The physical components and knowledge required to implement the method are detailed in our project deliverables, with our </w:t>
      </w:r>
      <w:hyperlink w:history="1" r:id="rId18">
        <w:r w:rsidRPr="002703D0">
          <w:rPr>
            <w:rStyle w:val="Hyperlink"/>
          </w:rPr>
          <w:t>Final Findings and Proposals for Electricity System Restoration from DERs</w:t>
        </w:r>
      </w:hyperlink>
      <w:r>
        <w:t xml:space="preserve"> report providing a summary of and route into all project learning, for all relevant stakeholders and future participants in distributed restoration.</w:t>
      </w:r>
    </w:p>
    <w:p w:rsidR="002703D0" w:rsidP="002703D0" w:rsidRDefault="002703D0" w14:paraId="76A8D6D5" w14:textId="77777777">
      <w:r>
        <w:t>Changes in equipment and new operating processes will be required by DNOs and participating DERs and the distribution networks. However, in the near term at least, distribution restoration zones will be implemented through the process of the ESO tendering for services and prompting a collaborative process of DNOs and DERs working through feasibility studies and design of potential solutions. Replication of the project outcomes will therefore be achieved through this collaboration with the ESO, who will be able to guide and support other parties in the required technical, organisational, and commercial changes.</w:t>
      </w:r>
    </w:p>
    <w:p w:rsidR="002703D0" w:rsidP="002703D0" w:rsidRDefault="002703D0" w14:paraId="1FD62B99" w14:textId="2D06BEEA">
      <w:r>
        <w:lastRenderedPageBreak/>
        <w:t xml:space="preserve"> As per the NIC governance, the intellectual property generated in the project has been shared openly in our project deliverables. Like other power system applications, implementation of a distribution restoration zone will rely upon intellectual property held by others, for example in the design and operation of specific DERs, the protection relays used on networks, or the telecoms networks essential to wide area monitoring and control.</w:t>
      </w:r>
    </w:p>
    <w:p w:rsidRPr="00CC50C7" w:rsidR="00254922" w:rsidP="002703D0" w:rsidRDefault="002703D0" w14:paraId="7EC2460C" w14:textId="457A0389">
      <w:r>
        <w:t xml:space="preserve">One </w:t>
      </w:r>
      <w:r w:rsidR="009272B5">
        <w:t xml:space="preserve">significant </w:t>
      </w:r>
      <w:r>
        <w:t xml:space="preserve">outcome of the project is the proposed use of a Distribution Restoration Zone Controller (DRZC) to provide a degree of automation that would accelerate the restoration process, reduce the burden on DNO control engineers, and enable the use of a wider range of DERs. The project took an innovative approach to the design of a DRZC, engaging four separate solution providers to produce designs and then deriving a generic set of functional requirements. The four individual designs are described in reports published on the project website, available to all. However, the generic requirement specifications developed through the project mean that DNOs are free to use whatever solutions provider they wish to choose and are not limited to those who have been directly involved in the project. </w:t>
      </w:r>
      <w:r w:rsidR="00112B09">
        <w:t>T</w:t>
      </w:r>
      <w:r>
        <w:t>his approach has provided access to the intellectual property generated in the project.</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Pr="00644FA3" w:rsidR="003370FE" w:rsidP="007C6A5B" w:rsidRDefault="003370FE" w14:paraId="5630AA89" w14:textId="77777777"/>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00254922" w:rsidP="00BE5150" w:rsidRDefault="004B4084" w14:paraId="19BB7133" w14:textId="2CA1C824" w14:noSpellErr="1">
      <w:r w:rsidR="004B4084">
        <w:rPr/>
        <w:t xml:space="preserve">For the reasons </w:t>
      </w:r>
      <w:r w:rsidR="00E858A3">
        <w:rPr/>
        <w:t>outlined</w:t>
      </w:r>
      <w:r w:rsidR="004B4084">
        <w:rPr/>
        <w:t xml:space="preserve"> above, </w:t>
      </w:r>
      <w:r w:rsidR="00E858A3">
        <w:rPr/>
        <w:t>it is currently not possible</w:t>
      </w:r>
      <w:r w:rsidR="004B4084">
        <w:rPr/>
        <w:t xml:space="preserve"> to outline </w:t>
      </w:r>
      <w:r w:rsidR="00B044BA">
        <w:rPr/>
        <w:t xml:space="preserve">roll-out costs, due to the many variables at play. However, </w:t>
      </w:r>
      <w:r w:rsidR="00E858A3">
        <w:rPr/>
        <w:t xml:space="preserve">the </w:t>
      </w:r>
      <w:r w:rsidR="00B044BA">
        <w:rPr/>
        <w:t>Closedown report</w:t>
      </w:r>
      <w:r w:rsidR="000F1E92">
        <w:rPr/>
        <w:t xml:space="preserve"> from the </w:t>
      </w:r>
      <w:r w:rsidR="007A4734">
        <w:rPr/>
        <w:t>original project scope</w:t>
      </w:r>
      <w:r w:rsidR="002A7329">
        <w:rPr/>
        <w:t xml:space="preserve">, </w:t>
      </w:r>
      <w:r w:rsidR="002A7329">
        <w:rPr/>
        <w:t>published at the end of January 2023</w:t>
      </w:r>
      <w:r w:rsidR="002A7329">
        <w:rPr/>
        <w:t xml:space="preserve">, details all known ‘Cost </w:t>
      </w:r>
      <w:r w:rsidR="00BE5150">
        <w:rPr/>
        <w:t>Categories’, which</w:t>
      </w:r>
      <w:r w:rsidR="00913BDE">
        <w:rPr/>
        <w:t xml:space="preserve"> offer guidance to industry to assist DERs and DNOs as they assess likely locations for establishing DRZ</w:t>
      </w:r>
      <w:r w:rsidR="00132F03">
        <w:rPr/>
        <w:t>s ahead of the 2025 ‘go-live’ date.</w:t>
      </w:r>
      <w:r>
        <w:tab/>
      </w:r>
      <w:r>
        <w:tab/>
      </w:r>
      <w:r>
        <w:tab/>
      </w:r>
      <w:r>
        <w:tab/>
      </w:r>
      <w:r>
        <w:tab/>
      </w:r>
      <w:r>
        <w:tab/>
      </w:r>
      <w:r>
        <w:tab/>
      </w:r>
      <w:r>
        <w:tab/>
      </w:r>
      <w:r>
        <w:tab/>
      </w:r>
      <w:r>
        <w:tab/>
      </w:r>
      <w:r>
        <w:tab/>
      </w:r>
      <w:r>
        <w:tab/>
      </w:r>
      <w:r>
        <w:tab/>
      </w:r>
      <w:r>
        <w:tab/>
      </w:r>
      <w:r>
        <w:tab/>
      </w:r>
      <w:r>
        <w:tab/>
      </w:r>
      <w:r>
        <w:tab/>
      </w:r>
      <w:r>
        <w:tab/>
      </w:r>
      <w:r>
        <w:tab/>
      </w:r>
      <w:r>
        <w:tab/>
      </w:r>
      <w:r>
        <w:tab/>
      </w:r>
      <w:r>
        <w:tab/>
      </w:r>
      <w:r>
        <w:tab/>
      </w:r>
    </w:p>
    <w:p w:rsidR="003370FE" w:rsidP="00C87409" w:rsidRDefault="003370FE" w14:paraId="11F2F240" w14:textId="2D4696AB">
      <w:pPr>
        <w:spacing w:line="276" w:lineRule="auto"/>
      </w:pP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1863F42B">
            <w:pPr>
              <w:spacing w:line="276" w:lineRule="auto"/>
              <w:rPr>
                <w:b/>
                <w:bCs/>
              </w:rPr>
            </w:pPr>
            <w:r w:rsidRPr="00644FA3">
              <w:rPr>
                <w:rFonts w:cs="Calibri"/>
                <w:szCs w:val="20"/>
              </w:rPr>
              <w:t>A specific novel arrangement or application of existing licensee equipment (including control and/or communications systems and/or software)</w:t>
            </w:r>
            <w:r w:rsidR="00CE1F07">
              <w:rPr>
                <w:noProof/>
              </w:rPr>
              <w:t xml:space="preserve"> </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42351803">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16D2144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16D21443">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commentRangeStart w:id="8"/>
      <w:r>
        <w:t>RIIO-2 Projects</w:t>
      </w:r>
      <w:commentRangeEnd w:id="8"/>
      <w:r w:rsidR="00B960F3">
        <w:rPr>
          <w:rStyle w:val="CommentReference"/>
          <w:rFonts w:ascii="Calibri" w:hAnsi="Calibri" w:cs="Times New Roman"/>
          <w:b w:val="0"/>
          <w:bCs w:val="0"/>
          <w:color w:val="auto"/>
          <w:szCs w:val="20"/>
          <w:u w:val="none"/>
          <w:lang w:eastAsia="en-US"/>
        </w:rPr>
        <w:commentReference w:id="8"/>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4D7C7A64">
            <w:pPr>
              <w:rPr>
                <w:b/>
                <w:bCs/>
              </w:rPr>
            </w:pPr>
            <w:r w:rsidRPr="00644FA3">
              <w:t>A specific piece of new</w:t>
            </w:r>
            <w:r>
              <w:t xml:space="preserve"> equipment</w:t>
            </w:r>
            <w:r w:rsidRPr="004E5FA2">
              <w:t xml:space="preserve"> (including monitoring, control and communications systems and software)</w:t>
            </w:r>
            <w:r w:rsidRPr="00396369" w:rsidR="00396369">
              <w:rPr>
                <w:rFonts w:ascii="Verdana" w:hAnsi="Verdana" w:cs="Arial"/>
                <w:noProof/>
                <w:szCs w:val="22"/>
              </w:rPr>
              <w:t xml:space="preserve"> </w:t>
            </w:r>
            <w:r w:rsidRPr="00396369" w:rsidR="00396369">
              <w:rPr>
                <w:rFonts w:ascii="Verdana" w:hAnsi="Verdana" w:cs="Arial"/>
                <w:noProof/>
                <w:szCs w:val="22"/>
              </w:rPr>
              <w:drawing>
                <wp:inline distT="0" distB="0" distL="0" distR="0" wp14:anchorId="5BAEC462" wp14:editId="5AB0D8DD">
                  <wp:extent cx="144145" cy="144145"/>
                  <wp:effectExtent l="0" t="0" r="8255" b="8255"/>
                  <wp:docPr id="26" name="Graphic 2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5CE38C71">
            <w:pPr>
              <w:rPr>
                <w:b/>
                <w:bCs/>
              </w:rPr>
            </w:pPr>
            <w:r w:rsidRPr="004E5FA2">
              <w:rPr>
                <w:lang w:eastAsia="en-US"/>
              </w:rPr>
              <w:lastRenderedPageBreak/>
              <w:t xml:space="preserve">A specific piece of new technology (including analysis and modelling systems or software), in relation to which the Method is unproven </w:t>
            </w:r>
            <w:r w:rsidRPr="00C555D7" w:rsidR="00C555D7">
              <w:rPr>
                <w:rFonts w:ascii="Verdana" w:hAnsi="Verdana" w:cs="Arial"/>
                <w:noProof/>
                <w:szCs w:val="22"/>
              </w:rPr>
              <w:drawing>
                <wp:inline distT="0" distB="0" distL="0" distR="0" wp14:anchorId="208FB4B4" wp14:editId="44141536">
                  <wp:extent cx="144145" cy="144145"/>
                  <wp:effectExtent l="0" t="0" r="8255" b="8255"/>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6032BB2">
            <w:pPr>
              <w:rPr>
                <w:b/>
                <w:bCs/>
              </w:rPr>
            </w:pPr>
            <w:r w:rsidRPr="004E5FA2">
              <w:rPr>
                <w:lang w:eastAsia="en-US"/>
              </w:rPr>
              <w:t xml:space="preserve">A new methodology (including the identification of specific new procedures or techniques used to identify, select, process, and analyse information) </w:t>
            </w:r>
            <w:r w:rsidRPr="00C555D7" w:rsidR="00C555D7">
              <w:rPr>
                <w:rFonts w:ascii="Verdana" w:hAnsi="Verdana" w:cs="Arial"/>
                <w:noProof/>
                <w:szCs w:val="22"/>
              </w:rPr>
              <w:drawing>
                <wp:inline distT="0" distB="0" distL="0" distR="0" wp14:anchorId="22B03158" wp14:editId="5C61CE90">
                  <wp:extent cx="144145" cy="144145"/>
                  <wp:effectExtent l="0" t="0" r="8255" b="8255"/>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6F57D72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3B1376A9">
            <w:r w:rsidRPr="00215D63">
              <w:t xml:space="preserve">A specific novel arrangement or application of existing gas transportation, electricity transmission or electricity distribution equipment, technology or methodology </w:t>
            </w:r>
            <w:r w:rsidRPr="004B5D07" w:rsidR="004B5D07">
              <w:rPr>
                <w:rFonts w:ascii="Verdana" w:hAnsi="Verdana" w:cs="Arial"/>
                <w:noProof/>
                <w:szCs w:val="22"/>
              </w:rPr>
              <w:drawing>
                <wp:inline distT="0" distB="0" distL="0" distR="0" wp14:anchorId="74BC0BD5" wp14:editId="6D1ECD6F">
                  <wp:extent cx="144145" cy="144145"/>
                  <wp:effectExtent l="0" t="0" r="8255" b="8255"/>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1EBF61E6">
            <w:pPr>
              <w:rPr>
                <w:b/>
                <w:bCs/>
              </w:rPr>
            </w:pPr>
            <w:r w:rsidRPr="004E5FA2">
              <w:rPr>
                <w:rFonts w:cs="Calibri"/>
                <w:szCs w:val="20"/>
              </w:rPr>
              <w:t>A specific novel operational practice directly related to the operation of the GB Gas Transportation System, electricity transmission or electricity distribution</w:t>
            </w:r>
            <w:r w:rsidRPr="004B5D07" w:rsidR="004B5D07">
              <w:rPr>
                <w:rFonts w:ascii="Verdana" w:hAnsi="Verdana" w:cs="Arial"/>
                <w:noProof/>
                <w:szCs w:val="22"/>
              </w:rPr>
              <w:t xml:space="preserve"> </w:t>
            </w:r>
            <w:r w:rsidRPr="004B5D07" w:rsidR="004B5D07">
              <w:rPr>
                <w:rFonts w:ascii="Verdana" w:hAnsi="Verdana" w:cs="Arial"/>
                <w:noProof/>
                <w:szCs w:val="22"/>
              </w:rPr>
              <w:drawing>
                <wp:inline distT="0" distB="0" distL="0" distR="0" wp14:anchorId="1E8B8D1A" wp14:editId="6AB0E147">
                  <wp:extent cx="144145" cy="144145"/>
                  <wp:effectExtent l="0" t="0" r="8255" b="8255"/>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EB4F459">
            <w:pPr>
              <w:rPr>
                <w:rFonts w:cs="Calibri"/>
                <w:szCs w:val="20"/>
              </w:rPr>
            </w:pPr>
            <w:r w:rsidRPr="004E5FA2">
              <w:rPr>
                <w:rFonts w:cs="Calibri"/>
                <w:szCs w:val="20"/>
              </w:rPr>
              <w:t>A specific novel commercial arrangement</w:t>
            </w:r>
            <w:r w:rsidRPr="004B5D07" w:rsidR="004B5D07">
              <w:rPr>
                <w:rFonts w:ascii="Verdana" w:hAnsi="Verdana" w:cs="Arial"/>
                <w:noProof/>
                <w:szCs w:val="22"/>
              </w:rPr>
              <w:t xml:space="preserve"> </w:t>
            </w:r>
            <w:r w:rsidRPr="004B5D07" w:rsidR="004B5D07">
              <w:rPr>
                <w:rFonts w:ascii="Verdana" w:hAnsi="Verdana" w:cs="Arial"/>
                <w:noProof/>
                <w:szCs w:val="22"/>
              </w:rPr>
              <w:drawing>
                <wp:inline distT="0" distB="0" distL="0" distR="0" wp14:anchorId="4384B421" wp14:editId="54FF3C31">
                  <wp:extent cx="144145" cy="144145"/>
                  <wp:effectExtent l="0" t="0" r="8255" b="8255"/>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D0A3D20">
      <w:pPr>
        <w:pStyle w:val="HeadingNo2"/>
        <w:ind w:left="709" w:hanging="709"/>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00BA0A62" w:rsidP="00BA0A62" w:rsidRDefault="00BA0A62" w14:paraId="4AB3B52A" w14:textId="61B793CA">
      <w:r w:rsidR="003F5EDA">
        <w:rPr/>
        <w:t>E</w:t>
      </w:r>
      <w:r w:rsidR="00BA0A62">
        <w:rPr/>
        <w:t>xtensive technical details of network modifications that DNOs and DERs will need to make, to implement a successful distributed restoration service on their</w:t>
      </w:r>
      <w:r w:rsidR="0016517D">
        <w:rPr/>
        <w:t xml:space="preserve"> </w:t>
      </w:r>
      <w:r w:rsidR="003F5EDA">
        <w:rPr/>
        <w:t>A</w:t>
      </w:r>
      <w:r w:rsidR="00BA0A62">
        <w:rPr/>
        <w:t>ssets</w:t>
      </w:r>
      <w:r w:rsidR="003F5EDA">
        <w:rPr/>
        <w:t>, have been published</w:t>
      </w:r>
      <w:r w:rsidR="00BA0A62">
        <w:rPr/>
        <w:t xml:space="preserve">. Section 2.0 of our </w:t>
      </w:r>
      <w:hyperlink r:id="R3d7c22e26dac4173">
        <w:r w:rsidRPr="36044AD4" w:rsidR="00BA0A62">
          <w:rPr>
            <w:rStyle w:val="Hyperlink"/>
          </w:rPr>
          <w:t>Final Findings Report</w:t>
        </w:r>
      </w:hyperlink>
      <w:r w:rsidR="00BA0A62">
        <w:rPr/>
        <w:t xml:space="preserve"> gives a detailed overview of the key technical findings and recommendations that have been derived from the successful live trials at Galloway and </w:t>
      </w:r>
      <w:proofErr w:type="spellStart"/>
      <w:r w:rsidR="00BA0A62">
        <w:rPr/>
        <w:t>Chapelcross</w:t>
      </w:r>
      <w:proofErr w:type="spellEnd"/>
      <w:r w:rsidR="00BA0A62">
        <w:rPr/>
        <w:t xml:space="preserve">, as well as extensive information from the various network studies.  The key findings </w:t>
      </w:r>
      <w:r w:rsidR="00983557">
        <w:rPr/>
        <w:t xml:space="preserve">for Network Licensees are </w:t>
      </w:r>
      <w:r w:rsidR="00BA0A62">
        <w:rPr/>
        <w:t>summarised below:</w:t>
      </w:r>
    </w:p>
    <w:p w:rsidR="00BA0A62" w:rsidP="00BA0A62" w:rsidRDefault="00BA0A62" w14:paraId="6B39F4C8" w14:textId="77777777">
      <w:r>
        <w:t>In the transition to BAU, it will be necessary for all DRZ participants to tackle the technical challenges identified in our project analysis and live trials. This will be driven by the process of the ESO tendering for new restoration services and working with the DNOs and DERs to assess viability and define workable DRZs.</w:t>
      </w:r>
    </w:p>
    <w:p w:rsidR="00BA0A62" w:rsidP="00BA0A62" w:rsidRDefault="00BA0A62" w14:paraId="29708568" w14:textId="77777777">
      <w:r>
        <w:t>DER owners will need to determine what service they are able to provide:</w:t>
      </w:r>
    </w:p>
    <w:p w:rsidR="00BA0A62" w:rsidP="00983557" w:rsidRDefault="00BA0A62" w14:paraId="5CBABE39" w14:textId="77777777">
      <w:pPr>
        <w:ind w:left="720"/>
      </w:pPr>
      <w:r>
        <w:t>• Anchor DER – Each DRZ requires an “anchor” DER, a key requisite is having grid-forming capability.</w:t>
      </w:r>
    </w:p>
    <w:p w:rsidR="00983557" w:rsidP="00983557" w:rsidRDefault="00983557" w14:paraId="275EB5DD" w14:textId="1AE6F9D2">
      <w:pPr>
        <w:ind w:left="720"/>
      </w:pPr>
      <w:r w:rsidR="00BA0A62">
        <w:rPr/>
        <w:t>• Top-up services – To supplement the technical capability of the anchor generator, stabilise or grow (connect</w:t>
      </w:r>
      <w:r w:rsidR="00983557">
        <w:rPr/>
        <w:t xml:space="preserve"> </w:t>
      </w:r>
      <w:r w:rsidR="00BA0A62">
        <w:rPr/>
        <w:t>more demand or network to) the DRZ, additional DER resources may be required. The requirements are</w:t>
      </w:r>
      <w:r w:rsidR="00983557">
        <w:rPr/>
        <w:t xml:space="preserve"> </w:t>
      </w:r>
      <w:r w:rsidR="00BA0A62">
        <w:rPr/>
        <w:t>defined in terms of “top-up services” (such as fast MW control, short circuit level) and in themselves are</w:t>
      </w:r>
      <w:r w:rsidR="00983557">
        <w:rPr/>
        <w:t xml:space="preserve"> </w:t>
      </w:r>
      <w:r w:rsidR="00BA0A62">
        <w:rPr/>
        <w:t>technology agnostic.</w:t>
      </w:r>
    </w:p>
    <w:p w:rsidR="0063602B" w:rsidP="0063602B" w:rsidRDefault="00236FC5" w14:paraId="5B066B0A" w14:textId="77777777">
      <w:r>
        <w:t>The key technical issues to be considered by DNOs, which may require investment on the network to allow it to form part of a DRZ, include:</w:t>
      </w:r>
    </w:p>
    <w:p w:rsidR="0063602B" w:rsidP="0063602B" w:rsidRDefault="00236FC5" w14:paraId="58FFD670" w14:textId="77777777">
      <w:pPr>
        <w:pStyle w:val="ListParagraph"/>
        <w:numPr>
          <w:ilvl w:val="0"/>
          <w:numId w:val="39"/>
        </w:numPr>
      </w:pPr>
      <w:r>
        <w:t>33 kV network earthing – existing earthing schemes must be evaluated to identify changes required to ensure safe       operation, especially during initial start-up of the anchor generator and resynchronisation of the power island with the wider system</w:t>
      </w:r>
      <w:r w:rsidR="0063602B">
        <w:t>.</w:t>
      </w:r>
    </w:p>
    <w:p w:rsidR="00236FC5" w:rsidP="0063602B" w:rsidRDefault="00236FC5" w14:paraId="7DEB2AFA" w14:textId="65BE84F7">
      <w:pPr>
        <w:pStyle w:val="ListParagraph"/>
        <w:numPr>
          <w:ilvl w:val="0"/>
          <w:numId w:val="39"/>
        </w:numPr>
      </w:pPr>
      <w:r>
        <w:t xml:space="preserve">Network protection – existing protection functions and settings within the proposed DRZ must be reviewed to ensure safe operation throughout the restoration process, which may require the use of different settings during the early stages when fault levels are at their lowest. Many modern protection </w:t>
      </w:r>
      <w:r>
        <w:lastRenderedPageBreak/>
        <w:t>relays have group settings functionality that allows different settings to be used but the details of how this would be implemented in each DRZ would need to be assessed.</w:t>
      </w:r>
    </w:p>
    <w:p w:rsidR="00EA07B4" w:rsidP="00EA07B4" w:rsidRDefault="00236FC5" w14:paraId="7E670DF5" w14:textId="77777777">
      <w:pPr>
        <w:pStyle w:val="ListParagraph"/>
        <w:numPr>
          <w:ilvl w:val="0"/>
          <w:numId w:val="37"/>
        </w:numPr>
      </w:pPr>
      <w:r>
        <w:t xml:space="preserve">Switchgear capability – studies should be performed to assess risks of transient recovery voltage (TRV) for fault and normal switching operations (together with the associated phenomena of reignitions for vacuum interrupter circuit breakers); the capacitive breaking capacity of switchgear should also be </w:t>
      </w:r>
      <w:r w:rsidR="00BE51EF">
        <w:t>considered. To</w:t>
      </w:r>
      <w:r>
        <w:t xml:space="preserve"> overcome the technical and human resource constraints associated with establishing and maintaining a DRZ, the DNO may have to implement automation in the form of a DRZ controller (DRZC). This will primarily be required if either of the following “top-up services’ are required:</w:t>
      </w:r>
    </w:p>
    <w:p w:rsidR="00EA07B4" w:rsidP="00EA07B4" w:rsidRDefault="00236FC5" w14:paraId="36E4EF85" w14:textId="77777777">
      <w:pPr>
        <w:pStyle w:val="ListParagraph"/>
        <w:numPr>
          <w:ilvl w:val="1"/>
          <w:numId w:val="37"/>
        </w:numPr>
      </w:pPr>
      <w:r>
        <w:t>Fast MW control – This enables the block load pickup (BLPU) capability of the anchor DER to be enhanced (its ability to pick up instantaneous blocks of demand) to make a viable restoration strategy (e.g. pick up primary [33/11 kV] substations in a single step). The DRZC is truly innovative in requiring sub-second control of DER to achieve this (to maintain acceptable frequency levels). This DRZC function is called fast balancing.</w:t>
      </w:r>
    </w:p>
    <w:p w:rsidR="00236FC5" w:rsidP="00EA07B4" w:rsidRDefault="00236FC5" w14:paraId="6FB40941" w14:textId="53D53F29">
      <w:pPr>
        <w:pStyle w:val="ListParagraph"/>
        <w:numPr>
          <w:ilvl w:val="1"/>
          <w:numId w:val="37"/>
        </w:numPr>
      </w:pPr>
      <w:r>
        <w:t>Energy MWhs are required to enhance the capacity of the anchor DER to restore demand. The DRZC will control the additional DER to ensure the generation/load balance is such that the frequency is kept within limits. This DRZC function is called slow balancing.</w:t>
      </w:r>
    </w:p>
    <w:p w:rsidR="00236FC5" w:rsidP="00236FC5" w:rsidRDefault="00236FC5" w14:paraId="68D3F5C7" w14:textId="77777777">
      <w:r>
        <w:t>The live trials have provided learning that will inform the transition to BAU, highlighting key issues like:</w:t>
      </w:r>
    </w:p>
    <w:p w:rsidR="00236FC5" w:rsidP="00236FC5" w:rsidRDefault="00236FC5" w14:paraId="2688B42D" w14:textId="77777777">
      <w:pPr>
        <w:ind w:left="720"/>
      </w:pPr>
      <w:r>
        <w:t>• the level of transient voltages and currents in an islanded network</w:t>
      </w:r>
    </w:p>
    <w:p w:rsidR="00236FC5" w:rsidP="00236FC5" w:rsidRDefault="00236FC5" w14:paraId="6574F6DD" w14:textId="77777777">
      <w:pPr>
        <w:ind w:left="720"/>
      </w:pPr>
      <w:r>
        <w:t>• transformer energisation and techniques to mitigate associated generator tripping</w:t>
      </w:r>
    </w:p>
    <w:p w:rsidR="00236FC5" w:rsidP="00236FC5" w:rsidRDefault="00236FC5" w14:paraId="532F784A" w14:textId="77777777">
      <w:pPr>
        <w:ind w:left="720"/>
      </w:pPr>
      <w:r>
        <w:t>• switchgear and network reactive loading capability</w:t>
      </w:r>
    </w:p>
    <w:p w:rsidR="00236FC5" w:rsidP="00236FC5" w:rsidRDefault="00236FC5" w14:paraId="5F26A053" w14:textId="77777777">
      <w:pPr>
        <w:ind w:left="720"/>
      </w:pPr>
      <w:r>
        <w:t>• the accuracy of system modelling</w:t>
      </w:r>
    </w:p>
    <w:p w:rsidR="00236FC5" w:rsidP="00236FC5" w:rsidRDefault="00236FC5" w14:paraId="683A9BD7" w14:textId="67E16A24">
      <w:pPr>
        <w:ind w:left="720"/>
      </w:pPr>
      <w:r>
        <w:t>• the benefits of live assurance testing.</w:t>
      </w:r>
    </w:p>
    <w:p w:rsidRPr="00644FA3" w:rsidR="001B4A03" w:rsidP="007C6A5B" w:rsidRDefault="001B4A03" w14:paraId="0D83C18B" w14:textId="23BE592C">
      <w:r w:rsidR="00F94647">
        <w:rPr/>
        <w:t>The</w:t>
      </w:r>
      <w:r w:rsidR="00F94647">
        <w:rPr/>
        <w:t xml:space="preserve"> new learning generated by the completion of the </w:t>
      </w:r>
      <w:r w:rsidR="00F94647">
        <w:rPr/>
        <w:t>Redhouse</w:t>
      </w:r>
      <w:r w:rsidR="00F94647">
        <w:rPr/>
        <w:t xml:space="preserve"> Live Trial in June 2023, will be made available in full to </w:t>
      </w:r>
      <w:r w:rsidR="00C27CB1">
        <w:rPr/>
        <w:t>industry and, other</w:t>
      </w:r>
      <w:r w:rsidR="00CA2BF6">
        <w:rPr/>
        <w:t xml:space="preserve"> Network Licensee</w:t>
      </w:r>
      <w:r w:rsidR="00A26890">
        <w:rPr/>
        <w:t>s internationally</w:t>
      </w:r>
      <w:r w:rsidR="0036134C">
        <w:rPr/>
        <w:t>. Network</w:t>
      </w:r>
      <w:r w:rsidR="00A26890">
        <w:rPr/>
        <w:t>s</w:t>
      </w:r>
      <w:r w:rsidR="0036134C">
        <w:rPr/>
        <w:t xml:space="preserve"> (as well as non-Network Licensees, such as Generators wishing to participate in Distributed Restoration) </w:t>
      </w:r>
      <w:r w:rsidR="005B2C5D">
        <w:rPr/>
        <w:t>will be able to access all the findings related to asynchronous generation (such as BESS) used as an Anchor Generat</w:t>
      </w:r>
      <w:r w:rsidR="00DC16BE">
        <w:rPr/>
        <w:t xml:space="preserve">or or Top-Up-Service, in terms of cost categories, </w:t>
      </w:r>
      <w:r w:rsidR="00AF4B18">
        <w:rPr/>
        <w:t xml:space="preserve">generator and network protection settings, additional equipment needing to be installed </w:t>
      </w:r>
      <w:r w:rsidR="00A26890">
        <w:rPr/>
        <w:t>etc</w:t>
      </w:r>
      <w:r w:rsidR="00AF4B18">
        <w:rPr/>
        <w:t>.</w:t>
      </w:r>
      <w:r>
        <w:tab/>
      </w:r>
      <w:r>
        <w:tab/>
      </w:r>
      <w:r>
        <w:tab/>
      </w:r>
      <w:r>
        <w:tab/>
      </w:r>
      <w:r>
        <w:tab/>
      </w:r>
      <w:r>
        <w:tab/>
      </w:r>
      <w:r>
        <w:tab/>
      </w:r>
      <w:r>
        <w:tab/>
      </w:r>
      <w:r>
        <w:tab/>
      </w:r>
      <w:r>
        <w:tab/>
      </w:r>
      <w:r>
        <w:tab/>
      </w:r>
      <w:r>
        <w:tab/>
      </w:r>
      <w:r>
        <w:tab/>
      </w:r>
      <w:r>
        <w:tab/>
      </w:r>
    </w:p>
    <w:p w:rsidRPr="00644FA3" w:rsidR="001B4A03" w:rsidP="000D02D3" w:rsidRDefault="001B4A03" w14:paraId="12A4BCCD" w14:textId="612F81F4">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7C6A5B" w:rsidRDefault="000D02D3" w14:paraId="54EBCD01" w14:textId="66B7C50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7C6A5B" w:rsidRDefault="001B4A03" w14:paraId="7524729B" w14:textId="77777777"/>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468AB479" w14:textId="553FBC9A">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45652B6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1B4A03" w14:paraId="29FC26F1" w14:textId="45652B6D">
                            <w:pPr>
                              <w:rPr>
                                <w14:textOutline w14:w="9525" w14:cap="rnd" w14:cmpd="sng" w14:algn="ctr">
                                  <w14:solidFill>
                                    <w14:srgbClr w14:val="000000"/>
                                  </w14:solidFill>
                                  <w14:prstDash w14:val="solid"/>
                                  <w14:bevel/>
                                </w14:textOutline>
                              </w:rPr>
                            </w:pPr>
                          </w:p>
                        </w:txbxContent>
                      </v:textbox>
                    </v:shape>
                  </w:pict>
                </mc:Fallback>
              </mc:AlternateContent>
            </w:r>
            <w:r w:rsidRPr="004E5FA2">
              <w:t>Yes</w:t>
            </w:r>
            <w:r w:rsidR="00236FC5">
              <w:rPr>
                <w:noProof/>
              </w:rPr>
              <w:drawing>
                <wp:inline distT="0" distB="0" distL="0" distR="0" wp14:anchorId="09334F24" wp14:editId="106FE0D6">
                  <wp:extent cx="144145" cy="144145"/>
                  <wp:effectExtent l="0" t="0" r="8255" b="8255"/>
                  <wp:docPr id="27" name="Graphic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145" cy="144145"/>
                          </a:xfrm>
                          <a:prstGeom prst="rect">
                            <a:avLst/>
                          </a:prstGeom>
                        </pic:spPr>
                      </pic:pic>
                    </a:graphicData>
                  </a:graphic>
                </wp:inline>
              </w:drawing>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69AE8C6C">
      <w:r w:rsidRPr="00CC50C7">
        <w:lastRenderedPageBreak/>
        <w:tab/>
      </w:r>
      <w:r w:rsidRPr="00CC50C7">
        <w:tab/>
      </w:r>
      <w:r w:rsidR="00236FC5">
        <w:t>N/A</w:t>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CC50C7" w:rsidR="003C3FD5" w:rsidP="00464AE7" w:rsidRDefault="00464AE7" w14:paraId="4EB0A26E" w14:textId="3AA8720D">
      <w:pPr>
        <w:ind w:left="709"/>
      </w:pPr>
      <w:r>
        <w:t>N/A</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114BEF55" w14:textId="4B257EF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464AE7">
        <w:rPr/>
        <w:t>N</w:t>
      </w:r>
    </w:p>
    <w:p w:rsidRPr="00CC50C7" w:rsidR="003C3FD5" w:rsidP="007C6A5B" w:rsidRDefault="00A20B33" w14:paraId="6F2AF18D" w14:textId="78CDDF02">
      <w:r w:rsidR="48154632">
        <w:rPr/>
        <w:t>N</w:t>
      </w:r>
      <w:r w:rsidR="00464AE7">
        <w:rPr/>
        <w:t>/A</w:t>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rsidRPr="00464AE7">
        <w:rPr>
          <w:color w:val="FF0000"/>
        </w:rPr>
        <w:t>A Project must be innovative (</w:t>
      </w:r>
      <w:proofErr w:type="spellStart"/>
      <w:r w:rsidRPr="00464AE7">
        <w:rPr>
          <w:color w:val="FF0000"/>
        </w:rPr>
        <w:t>ie</w:t>
      </w:r>
      <w:proofErr w:type="spellEnd"/>
      <w:r w:rsidRPr="00464AE7">
        <w:rPr>
          <w:color w:val="FF0000"/>
        </w:rP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r>
        <w:t>.</w:t>
      </w:r>
    </w:p>
    <w:p w:rsidRPr="00644FA3" w:rsidR="0071397E" w:rsidP="00A20B33" w:rsidRDefault="0071397E" w14:paraId="69BD76EB" w14:textId="4094A532">
      <w:pPr>
        <w:pStyle w:val="HeadingNo3"/>
        <w:ind w:left="709" w:hanging="709"/>
      </w:pPr>
      <w:r w:rsidRPr="00644FA3">
        <w:t>Why is the project innovative?</w:t>
      </w:r>
    </w:p>
    <w:p w:rsidR="00D95575" w:rsidP="0063602B" w:rsidRDefault="0071397E" w14:paraId="6D0D563E" w14:textId="79191A1A">
      <w:pPr>
        <w:pStyle w:val="Note"/>
      </w:pPr>
      <w:r>
        <w:t>RIIO-1 projects must include description of why they have not been tried before.</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002F53BC" w:rsidP="002F53BC" w:rsidRDefault="00A26890" w14:paraId="1594B266" w14:textId="0BBFFDDB">
      <w:r>
        <w:t xml:space="preserve">The </w:t>
      </w:r>
      <w:r w:rsidR="002F53BC">
        <w:t xml:space="preserve">ESO is </w:t>
      </w:r>
      <w:r w:rsidR="1F28190B">
        <w:t xml:space="preserve">always </w:t>
      </w:r>
      <w:r w:rsidR="002F53BC">
        <w:t xml:space="preserve">looking for new ways of doing things to improve system operability, discharge licence obligations and ultimately </w:t>
      </w:r>
      <w:r w:rsidR="4178ADA0">
        <w:t>support</w:t>
      </w:r>
      <w:r w:rsidR="002F53BC">
        <w:t xml:space="preserve"> consumers, for example the recent addition of interconnectors to </w:t>
      </w:r>
      <w:r w:rsidR="00F55E39">
        <w:t xml:space="preserve">the </w:t>
      </w:r>
      <w:r w:rsidR="002F53BC">
        <w:t xml:space="preserve">Black Start market framework. Interconnectors fit neatly within </w:t>
      </w:r>
      <w:r w:rsidR="00F55E39">
        <w:t xml:space="preserve">the </w:t>
      </w:r>
      <w:r w:rsidR="002F53BC">
        <w:t xml:space="preserve">current framework as they are a large transmission-connected asset and are well understood. The ability to control, instruct and despatch these providers on the transmission network is already in existence, so the actions required to develop the service from this “new” technology focused on the assessment of the capability of the technology and its impact on restoration. </w:t>
      </w:r>
    </w:p>
    <w:p w:rsidR="00D95575" w:rsidP="002F53BC" w:rsidRDefault="331AB467" w14:paraId="5F4EA61E" w14:textId="70EA47C4">
      <w:r>
        <w:t>This project</w:t>
      </w:r>
      <w:r w:rsidR="002F53BC">
        <w:t xml:space="preserve"> aims to put in place a wholesale, systematic change which is system and process driven to enable contribution from</w:t>
      </w:r>
      <w:r w:rsidR="003E6831">
        <w:t>,</w:t>
      </w:r>
      <w:r w:rsidR="002F53BC">
        <w:t xml:space="preserve"> and coordination of</w:t>
      </w:r>
      <w:r w:rsidR="003E6831">
        <w:t>,</w:t>
      </w:r>
      <w:r w:rsidR="002F53BC">
        <w:t xml:space="preserve"> a far greater number of embedded providers. It aims to achieve this at significant pace, ready for GB-wide rollout. For </w:t>
      </w:r>
      <w:r w:rsidR="003E6831">
        <w:t xml:space="preserve">it </w:t>
      </w:r>
      <w:r w:rsidR="002F53BC">
        <w:t>to be successful, it requires involvement and commitment from the entire industry, and resource</w:t>
      </w:r>
      <w:r w:rsidR="00E17F65">
        <w:t>s</w:t>
      </w:r>
      <w:r w:rsidR="002F53BC">
        <w:t xml:space="preserve"> to be in place that are not currently aligned for System and Network Operators to deliver.</w:t>
      </w:r>
    </w:p>
    <w:p w:rsidRPr="00CC50C7" w:rsidR="00A20B33" w:rsidP="00A20B33" w:rsidRDefault="006B78EE" w14:paraId="3ECDD61C" w14:textId="5A21FBC9">
      <w:r>
        <w:t xml:space="preserve">This project is </w:t>
      </w:r>
      <w:r w:rsidR="00C27CB1">
        <w:t>a</w:t>
      </w:r>
      <w:r>
        <w:t xml:space="preserve"> world-first as r</w:t>
      </w:r>
      <w:r w:rsidR="000A73EA">
        <w:t xml:space="preserve">estarting the </w:t>
      </w:r>
      <w:r>
        <w:t>d</w:t>
      </w:r>
      <w:r w:rsidR="00210A5E">
        <w:t xml:space="preserve">istribution and, subsequently, the transmission network up to </w:t>
      </w:r>
      <w:proofErr w:type="spellStart"/>
      <w:r w:rsidR="00210A5E">
        <w:t>Supergrid</w:t>
      </w:r>
      <w:proofErr w:type="spellEnd"/>
      <w:r w:rsidR="00210A5E">
        <w:t xml:space="preserve"> (400Kv) level</w:t>
      </w:r>
      <w:r>
        <w:t xml:space="preserve"> (</w:t>
      </w:r>
      <w:r w:rsidR="00210A5E">
        <w:t xml:space="preserve">using </w:t>
      </w:r>
      <w:r w:rsidR="00A747FF">
        <w:t>Asynchronous Distributed Energy Resources, such as a combination of a BESS in conjunction with a Solar farm</w:t>
      </w:r>
      <w:r>
        <w:t>)</w:t>
      </w:r>
      <w:r w:rsidR="00C27CB1">
        <w:t xml:space="preserve"> </w:t>
      </w:r>
      <w:r w:rsidR="00A747FF">
        <w:t xml:space="preserve">on the scale </w:t>
      </w:r>
      <w:r w:rsidR="0073328D">
        <w:t>of</w:t>
      </w:r>
      <w:r w:rsidR="00A747FF">
        <w:t xml:space="preserve"> this Live Trial, has</w:t>
      </w:r>
      <w:r w:rsidR="00D939F3">
        <w:t xml:space="preserve">, to the best of our knowledge, </w:t>
      </w:r>
      <w:r w:rsidR="0073328D">
        <w:t xml:space="preserve">not </w:t>
      </w:r>
      <w:r w:rsidR="00D939F3">
        <w:t>been attempted anywhere in the world</w:t>
      </w:r>
      <w:r>
        <w:t>.</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Pr="00644FA3" w:rsidR="0071397E" w:rsidP="007C6A5B" w:rsidRDefault="0071397E" w14:paraId="0F524C63" w14:textId="77777777"/>
    <w:p w:rsidRPr="00644FA3" w:rsidR="0071397E" w:rsidP="00B93447" w:rsidRDefault="0071397E" w14:paraId="63491CD2" w14:textId="77777777">
      <w:pPr>
        <w:pStyle w:val="HeadingNo3"/>
        <w:ind w:left="709" w:hanging="709"/>
      </w:pPr>
      <w:r w:rsidRPr="00644FA3">
        <w:t>Why is the Network Licensee not funding the Project as part of its business as usual activities?</w:t>
      </w:r>
    </w:p>
    <w:p w:rsidR="0069030F" w:rsidP="00122C68" w:rsidRDefault="00122C68" w14:paraId="139A4AD2" w14:textId="53AA7B42">
      <w:r>
        <w:lastRenderedPageBreak/>
        <w:t>ESR</w:t>
      </w:r>
      <w:r w:rsidRPr="00122C68">
        <w:t xml:space="preserve"> technical requirements for DER such as block loading, reactive power absorption and inertia capabilities may vary for different network characteristics and the local DER technology mix. Also, energising from the distribution network may require system adaptations. Only by demonstrating through live system trials along with thorough investigation and analysis, will learn</w:t>
      </w:r>
      <w:r w:rsidR="0044769E">
        <w:t>ings</w:t>
      </w:r>
      <w:r w:rsidRPr="00122C68">
        <w:t xml:space="preserve"> about technical capabilities, options for networks, and how to de-risk and implement this approach in business as usual</w:t>
      </w:r>
      <w:r w:rsidR="0044769E">
        <w:t xml:space="preserve"> be generated</w:t>
      </w:r>
      <w:r w:rsidRPr="00122C68">
        <w:t>.</w:t>
      </w:r>
      <w:r w:rsidR="00705D19">
        <w:t xml:space="preserve">  Thus, there is a clear need to de-risk by </w:t>
      </w:r>
      <w:r w:rsidR="008C554D">
        <w:t>trailing</w:t>
      </w:r>
      <w:r w:rsidR="00705D19">
        <w:t xml:space="preserve"> proposed solutions</w:t>
      </w:r>
      <w:r w:rsidR="00722D50">
        <w:t xml:space="preserve"> in a live, network environment, together with proving the </w:t>
      </w:r>
      <w:r w:rsidR="0044769E">
        <w:t>o</w:t>
      </w:r>
      <w:r w:rsidR="008C554D">
        <w:t>rganisational</w:t>
      </w:r>
      <w:r w:rsidR="009501DB">
        <w:t xml:space="preserve">, </w:t>
      </w:r>
      <w:r w:rsidR="0044769E">
        <w:t>s</w:t>
      </w:r>
      <w:r w:rsidR="009501DB">
        <w:t xml:space="preserve">ystems and </w:t>
      </w:r>
      <w:r w:rsidR="0044769E">
        <w:t>t</w:t>
      </w:r>
      <w:r w:rsidR="009501DB">
        <w:t>elecoms requirements</w:t>
      </w:r>
      <w:r w:rsidR="007A6E60">
        <w:t xml:space="preserve"> and</w:t>
      </w:r>
      <w:r w:rsidR="009501DB">
        <w:t xml:space="preserve"> a new</w:t>
      </w:r>
      <w:r w:rsidR="007A6E60">
        <w:t>,</w:t>
      </w:r>
      <w:r w:rsidR="335A1999">
        <w:t xml:space="preserve"> </w:t>
      </w:r>
      <w:r w:rsidR="009501DB">
        <w:t>innovative commercial framework arrangement and appropriate code changes</w:t>
      </w:r>
      <w:r w:rsidR="008C554D">
        <w:t xml:space="preserve"> for </w:t>
      </w:r>
      <w:r w:rsidR="00453B7A">
        <w:t xml:space="preserve">a </w:t>
      </w:r>
      <w:r w:rsidR="008C554D">
        <w:t>BAU roll-out to succeed.</w:t>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01559C14">
      <w:pPr>
        <w:pStyle w:val="HeadingNo3"/>
        <w:ind w:left="709" w:hanging="709"/>
      </w:pPr>
      <w:r w:rsidRPr="00644FA3">
        <w:t xml:space="preserve">Why can the Project can only be undertaken with the support of NIA? </w:t>
      </w:r>
    </w:p>
    <w:p w:rsidR="0063602B" w:rsidP="36044AD4" w:rsidRDefault="0063602B" w14:paraId="53B198F2" w14:textId="40DFBE9F">
      <w:pPr>
        <w:pStyle w:val="Note"/>
      </w:pPr>
      <w:r w:rsidR="0071397E">
        <w:rPr/>
        <w:t xml:space="preserve">This must include a description of </w:t>
      </w:r>
      <w:r w:rsidR="0071397E">
        <w:rPr/>
        <w:t xml:space="preserve">the </w:t>
      </w:r>
      <w:r w:rsidRPr="36044AD4" w:rsidR="0071397E">
        <w:rPr>
          <w:rStyle w:val="NoteChar"/>
        </w:rPr>
        <w:t>specific</w:t>
      </w:r>
      <w:r w:rsidR="0071397E">
        <w:rPr/>
        <w:t xml:space="preserve"> risks (e.g. commercial, technical, operational or regulatory) associated with the Project</w:t>
      </w:r>
      <w:r w:rsidR="0071397E">
        <w:rPr/>
        <w:t>.</w:t>
      </w:r>
    </w:p>
    <w:p w:rsidR="009C4136" w:rsidP="00191679" w:rsidRDefault="00191679" w14:paraId="6AF5920F" w14:textId="77777777">
      <w:pPr>
        <w:pStyle w:val="ListParagraph"/>
        <w:numPr>
          <w:ilvl w:val="0"/>
          <w:numId w:val="37"/>
        </w:numPr>
      </w:pPr>
      <w:r>
        <w:t>The TRL of the overall DER capability</w:t>
      </w:r>
      <w:r w:rsidR="005D5541">
        <w:t xml:space="preserve"> was</w:t>
      </w:r>
      <w:r>
        <w:t xml:space="preserve"> relatively low</w:t>
      </w:r>
      <w:r w:rsidR="005D5541">
        <w:t xml:space="preserve"> (between 3-5)</w:t>
      </w:r>
      <w:r>
        <w:t>. Therefore, innovation funding is more suitable for exploring the project's potential and increasing the TRL through proof-of-concept prototype tools before transferring into subsequent development.</w:t>
      </w:r>
    </w:p>
    <w:p w:rsidR="009C4136" w:rsidP="00BD669E" w:rsidRDefault="005B5EC8" w14:paraId="52B3A217" w14:textId="77777777">
      <w:pPr>
        <w:pStyle w:val="ListParagraph"/>
        <w:numPr>
          <w:ilvl w:val="0"/>
          <w:numId w:val="37"/>
        </w:numPr>
      </w:pPr>
      <w:r>
        <w:t xml:space="preserve">Ofgem have determined internally that NIA funding is their preferred funding option to cover </w:t>
      </w:r>
      <w:r w:rsidR="0042015F">
        <w:t>of the utilisation of the</w:t>
      </w:r>
      <w:r>
        <w:t xml:space="preserve"> project contingency. An example of unforeseen costs could come from finalisation of the two Participation Agreements, whereby the providers ask for additional/unforeseen costs to be covered and agreed.</w:t>
      </w:r>
    </w:p>
    <w:p w:rsidRPr="00CC50C7" w:rsidR="000A4C48" w:rsidP="36044AD4" w:rsidRDefault="000A4C48" w14:paraId="234C1BDE" w14:textId="0EC8E005">
      <w:pPr>
        <w:pStyle w:val="ListParagraph"/>
        <w:numPr>
          <w:ilvl w:val="0"/>
          <w:numId w:val="37"/>
        </w:numPr>
        <w:rPr/>
      </w:pPr>
      <w:r w:rsidR="005D5541">
        <w:rPr/>
        <w:t>Extending</w:t>
      </w:r>
      <w:r w:rsidR="00191679">
        <w:rPr/>
        <w:t xml:space="preserve"> this project</w:t>
      </w:r>
      <w:r w:rsidR="005D5541">
        <w:rPr/>
        <w:t xml:space="preserve"> to accommodate the </w:t>
      </w:r>
      <w:r w:rsidR="005D5541">
        <w:rPr/>
        <w:t>Redhouse</w:t>
      </w:r>
      <w:r w:rsidR="005D5541">
        <w:rPr/>
        <w:t xml:space="preserve"> Live Trial</w:t>
      </w:r>
      <w:r w:rsidR="00191679">
        <w:rPr/>
        <w:t xml:space="preserve"> with NIA funding will ensure that the project findings can be shared more widely with other interested Network Licensees.</w:t>
      </w:r>
    </w:p>
    <w:p w:rsidRPr="00644FA3" w:rsidR="0071397E" w:rsidP="007C6A5B" w:rsidRDefault="0071397E" w14:paraId="217B9785" w14:textId="5368ABE9">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Please demonstrate below that no unnecessary duplication will occur as a result of the Project.</w:t>
      </w:r>
    </w:p>
    <w:p w:rsidRPr="00CC50C7" w:rsidR="00603591" w:rsidP="00470D8D" w:rsidRDefault="00A44E87" w14:paraId="772678DA" w14:textId="378D33E2">
      <w:r w:rsidR="00A44E87">
        <w:rPr/>
        <w:t>There is no duplication</w:t>
      </w:r>
      <w:r w:rsidR="00A22110">
        <w:rPr/>
        <w:t xml:space="preserve"> of the work being delivered by Distributed </w:t>
      </w:r>
      <w:proofErr w:type="spellStart"/>
      <w:r w:rsidR="00A22110">
        <w:rPr/>
        <w:t>ReStart</w:t>
      </w:r>
      <w:proofErr w:type="spellEnd"/>
      <w:r w:rsidR="00A22110">
        <w:rPr/>
        <w:t xml:space="preserve"> and the proposed </w:t>
      </w:r>
      <w:r w:rsidR="00A44E87">
        <w:rPr/>
        <w:t>Redhouse</w:t>
      </w:r>
      <w:r w:rsidR="00A44E87">
        <w:rPr/>
        <w:t xml:space="preserve"> Live Trial</w:t>
      </w:r>
      <w:r w:rsidR="00A22110">
        <w:rP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367105" w:rsidP="00470D8D" w:rsidRDefault="00B90EF3" w14:paraId="2EFD7B18" w14:textId="438DE39C">
      <w:pPr>
        <w:pStyle w:val="HeadingNo3"/>
        <w:ind w:left="709" w:hanging="709"/>
      </w:pPr>
      <w:r w:rsidRPr="00644FA3">
        <w:t>If applicable, justify why you are undertaking a Project similar to those being carried out by any other Network Licensees.</w:t>
      </w:r>
    </w:p>
    <w:p w:rsidR="003E3A6E" w:rsidP="36044AD4" w:rsidRDefault="00A44E87" w14:paraId="3A75F4FE" w14:textId="7FAAD9C0" w14:noSpellErr="1">
      <w:pPr>
        <w:ind w:left="0"/>
      </w:pPr>
      <w:r w:rsidR="00A44E87">
        <w:rPr/>
        <w:t>N/A</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6C1FD6">
        <w:rPr/>
        <w:t xml:space="preserve"> </w:t>
      </w:r>
    </w:p>
    <w:p w:rsidR="00765B52" w:rsidP="007C6A5B" w:rsidRDefault="003E3A6E" w14:paraId="29C69D76" w14:textId="77777777">
      <w:r w:rsidRPr="0E8B085F">
        <w:rPr>
          <w:rFonts w:cs="Arial"/>
          <w:b/>
          <w:bCs/>
          <w:color w:val="00598E" w:themeColor="accent1"/>
          <w:sz w:val="22"/>
          <w:szCs w:val="22"/>
          <w:u w:val="single"/>
        </w:rPr>
        <w:lastRenderedPageBreak/>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Please provide a list of the relevant foreground IPR that will be generated in the course of the project e.g.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r>
        <w:tab/>
      </w:r>
      <w:r>
        <w:tab/>
      </w:r>
    </w:p>
    <w:p w:rsidR="00E22653" w:rsidP="00D15B5B" w:rsidRDefault="00E22653" w14:paraId="565E49DC" w14:textId="28F7E731">
      <w:r>
        <w:t xml:space="preserve">All the </w:t>
      </w:r>
      <w:r w:rsidR="1723BA37">
        <w:t>workstreams have</w:t>
      </w:r>
      <w:r>
        <w:t xml:space="preserve"> delivered reports that fully satisfy the Project Direction from Ofgem. These have been published on the Key documents webpage of the Distributed </w:t>
      </w:r>
      <w:proofErr w:type="spellStart"/>
      <w:r>
        <w:t>ReStart</w:t>
      </w:r>
      <w:proofErr w:type="spellEnd"/>
      <w:r>
        <w:t xml:space="preserve"> website</w:t>
      </w:r>
      <w:r w:rsidR="00D15B5B">
        <w:t>:</w:t>
      </w:r>
      <w:r w:rsidR="00EF0C60">
        <w:t xml:space="preserve"> </w:t>
      </w:r>
      <w:hyperlink r:id="rId20">
        <w:r w:rsidRPr="0AE366C7" w:rsidR="00D15B5B">
          <w:rPr>
            <w:rStyle w:val="Hyperlink"/>
          </w:rPr>
          <w:t xml:space="preserve">Distributed </w:t>
        </w:r>
        <w:proofErr w:type="spellStart"/>
        <w:r w:rsidRPr="0AE366C7" w:rsidR="00D15B5B">
          <w:rPr>
            <w:rStyle w:val="Hyperlink"/>
          </w:rPr>
          <w:t>ReStart</w:t>
        </w:r>
        <w:proofErr w:type="spellEnd"/>
        <w:r w:rsidRPr="0AE366C7" w:rsidR="00D15B5B">
          <w:rPr>
            <w:rStyle w:val="Hyperlink"/>
          </w:rPr>
          <w:t xml:space="preserve"> | National Grid ESO</w:t>
        </w:r>
      </w:hyperlink>
      <w:r w:rsidR="00D15B5B">
        <w:t xml:space="preserve">. </w:t>
      </w:r>
      <w:r w:rsidDel="00D15B5B" w:rsidR="00D15B5B">
        <w:t xml:space="preserve"> </w:t>
      </w:r>
      <w:r w:rsidR="002D5BCA">
        <w:t xml:space="preserve">The final PET Report (Part 3) will also be </w:t>
      </w:r>
      <w:r w:rsidR="00500E53">
        <w:t xml:space="preserve">published on </w:t>
      </w:r>
      <w:r w:rsidR="00D15B5B">
        <w:t xml:space="preserve">the </w:t>
      </w:r>
      <w:r w:rsidR="00500E53">
        <w:t>project website at the end of October 2023.</w:t>
      </w:r>
    </w:p>
    <w:p w:rsidRPr="007E0B97" w:rsidR="006C1FD6" w:rsidP="007C6A5B" w:rsidRDefault="00AF0F2C" w14:paraId="181E29D0" w14:textId="327357EB">
      <w:r>
        <w:t xml:space="preserve">More detail on the </w:t>
      </w:r>
      <w:r w:rsidR="00AA6D9C">
        <w:t>relevant foreground IPR</w:t>
      </w:r>
      <w:r w:rsidR="004F2980">
        <w:t xml:space="preserve"> can be found in</w:t>
      </w:r>
      <w:r w:rsidR="00765B52">
        <w:t xml:space="preserve"> section </w:t>
      </w:r>
      <w:r w:rsidR="005375F5">
        <w:t>5.3, p</w:t>
      </w:r>
      <w:r w:rsidR="003308E5">
        <w:t>age</w:t>
      </w:r>
      <w:r w:rsidR="005375F5">
        <w:t xml:space="preserve"> 34</w:t>
      </w:r>
      <w:r w:rsidR="00765B52">
        <w:t xml:space="preserve"> of </w:t>
      </w:r>
      <w:r w:rsidR="004F2980">
        <w:t xml:space="preserve">the </w:t>
      </w:r>
      <w:r w:rsidR="00765B52">
        <w:t>original NIC Submission Document</w:t>
      </w:r>
      <w:r w:rsidR="004F2980">
        <w:t xml:space="preserve"> </w:t>
      </w:r>
      <w:hyperlink w:history="1" r:id="rId21">
        <w:r w:rsidRPr="00765B52" w:rsidR="00765B52">
          <w:rPr>
            <w:rStyle w:val="Hyperlink"/>
          </w:rPr>
          <w:t>here</w:t>
        </w:r>
      </w:hyperlink>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22">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23">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Pr="0046433B" w:rsidR="00ED7513" w:rsidP="00ED7513" w:rsidRDefault="00ED7513" w14:paraId="552FC2DB" w14:textId="55C5411A">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managed mailbox </w:t>
      </w:r>
      <w:hyperlink w:history="1" r:id="rId24">
        <w:r w:rsidRPr="0046433B">
          <w:rPr>
            <w:rStyle w:val="Hyperlink"/>
            <w:rFonts w:asciiTheme="minorHAnsi" w:hAnsiTheme="minorHAnsi" w:cstheme="minorHAnsi"/>
          </w:rPr>
          <w:t>innovation@nationalgrideso.com</w:t>
        </w:r>
      </w:hyperlink>
    </w:p>
    <w:p w:rsidR="0046433B" w:rsidP="00ED7513" w:rsidRDefault="0046433B" w14:paraId="15DB1643" w14:textId="77777777">
      <w:pPr>
        <w:rPr>
          <w:rFonts w:asciiTheme="minorHAnsi" w:hAnsiTheme="minorHAnsi" w:cstheme="minorHAnsi"/>
        </w:rPr>
      </w:pPr>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25">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6"/>
      <w:footerReference w:type="default" r:id="rId27"/>
      <w:headerReference w:type="first" r:id="rId28"/>
      <w:footerReference w:type="first" r:id="rId29"/>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HC" w:author="Horne(ESO), Charlotte" w:date="2023-01-16T11:29:00Z" w:id="3">
    <w:p w:rsidR="00C259BC" w:rsidRDefault="00C259BC" w14:paraId="506D356A" w14:textId="5C4D9ED0">
      <w:pPr>
        <w:pStyle w:val="CommentText"/>
      </w:pPr>
      <w:r>
        <w:rPr>
          <w:rStyle w:val="CommentReference"/>
        </w:rPr>
        <w:annotationRef/>
      </w:r>
      <w:r>
        <w:t>This is a RIIO-2 project through NIA</w:t>
      </w:r>
    </w:p>
  </w:comment>
  <w:comment w:initials="HC" w:author="Horne(ESO), Charlotte" w:date="2023-01-16T11:30:00Z" w:id="4">
    <w:p w:rsidR="00C259BC" w:rsidRDefault="00C259BC" w14:paraId="28D278BE" w14:textId="32D672D8">
      <w:pPr>
        <w:pStyle w:val="CommentText"/>
      </w:pPr>
      <w:r>
        <w:rPr>
          <w:rStyle w:val="CommentReference"/>
        </w:rPr>
        <w:annotationRef/>
      </w:r>
      <w:r>
        <w:t>Not needed as this is RIIO2</w:t>
      </w:r>
    </w:p>
  </w:comment>
  <w:comment w:initials="HC" w:author="Horne(ESO), Charlotte" w:date="2023-01-16T11:30:00Z" w:id="5">
    <w:p w:rsidR="00EC0F4F" w:rsidRDefault="00EC0F4F" w14:paraId="6E0DC78D" w14:textId="52055B25">
      <w:pPr>
        <w:pStyle w:val="CommentText"/>
      </w:pPr>
      <w:r>
        <w:rPr>
          <w:rStyle w:val="CommentReference"/>
        </w:rPr>
        <w:annotationRef/>
      </w:r>
      <w:r>
        <w:t xml:space="preserve">High TRL of project </w:t>
      </w:r>
      <w:r w:rsidR="00B960F3">
        <w:t xml:space="preserve">and trials completed </w:t>
      </w:r>
      <w:r>
        <w:t>suggests not just a research project, can anything further be provided here?</w:t>
      </w:r>
      <w:r w:rsidR="00B960F3">
        <w:t xml:space="preserve"> – Add in CBA details from NIC project</w:t>
      </w:r>
    </w:p>
  </w:comment>
  <w:comment w:initials="HC" w:author="Horne(ESO), Charlotte" w:date="2023-01-16T12:09:00Z" w:id="8">
    <w:p w:rsidR="00B960F3" w:rsidRDefault="00B960F3" w14:paraId="32868AC3" w14:textId="6AF7D6B9">
      <w:pPr>
        <w:pStyle w:val="CommentText"/>
      </w:pPr>
      <w:r>
        <w:rPr>
          <w:rStyle w:val="CommentReference"/>
        </w:rPr>
        <w:annotationRef/>
      </w:r>
      <w:r>
        <w:t xml:space="preserve">Select </w:t>
      </w:r>
      <w:r w:rsidR="00EC161E">
        <w:t>categories below instead of RIIO1 above</w:t>
      </w:r>
    </w:p>
  </w:comment>
</w:comments>
</file>

<file path=word/commentsExtended.xml><?xml version="1.0" encoding="utf-8"?>
<w15:commentsEx xmlns:mc="http://schemas.openxmlformats.org/markup-compatibility/2006" xmlns:w15="http://schemas.microsoft.com/office/word/2012/wordml" mc:Ignorable="w15">
  <w15:commentEx w15:done="1" w15:paraId="506D356A"/>
  <w15:commentEx w15:done="1" w15:paraId="28D278BE"/>
  <w15:commentEx w15:done="1" w15:paraId="6E0DC78D"/>
  <w15:commentEx w15:done="1" w15:paraId="32868AC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6FB3A7" w16cex:dateUtc="2023-01-16T11:29:00Z"/>
  <w16cex:commentExtensible w16cex:durableId="276FB3CB" w16cex:dateUtc="2023-01-16T11:30:00Z"/>
  <w16cex:commentExtensible w16cex:durableId="276FB3DA" w16cex:dateUtc="2023-01-16T11:30:00Z"/>
  <w16cex:commentExtensible w16cex:durableId="276FBCE2" w16cex:dateUtc="2023-01-16T12:09:00Z"/>
</w16cex:commentsExtensible>
</file>

<file path=word/commentsIds.xml><?xml version="1.0" encoding="utf-8"?>
<w16cid:commentsIds xmlns:mc="http://schemas.openxmlformats.org/markup-compatibility/2006" xmlns:w16cid="http://schemas.microsoft.com/office/word/2016/wordml/cid" mc:Ignorable="w16cid">
  <w16cid:commentId w16cid:paraId="506D356A" w16cid:durableId="276FB3A7"/>
  <w16cid:commentId w16cid:paraId="28D278BE" w16cid:durableId="276FB3CB"/>
  <w16cid:commentId w16cid:paraId="6E0DC78D" w16cid:durableId="276FB3DA"/>
  <w16cid:commentId w16cid:paraId="32868AC3" w16cid:durableId="276FBC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CC3" w:rsidP="00297315" w:rsidRDefault="009B2CC3" w14:paraId="3A1460B3" w14:textId="77777777">
      <w:r>
        <w:separator/>
      </w:r>
    </w:p>
  </w:endnote>
  <w:endnote w:type="continuationSeparator" w:id="0">
    <w:p w:rsidR="009B2CC3" w:rsidP="00297315" w:rsidRDefault="009B2CC3" w14:paraId="1FF67E38" w14:textId="77777777">
      <w:r>
        <w:continuationSeparator/>
      </w:r>
    </w:p>
  </w:endnote>
  <w:endnote w:type="continuationNotice" w:id="1">
    <w:p w:rsidR="009B2CC3" w:rsidRDefault="009B2CC3" w14:paraId="2DD0994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CC3" w:rsidP="00297315" w:rsidRDefault="009B2CC3" w14:paraId="0EFA77A3" w14:textId="77777777">
      <w:r>
        <w:separator/>
      </w:r>
    </w:p>
  </w:footnote>
  <w:footnote w:type="continuationSeparator" w:id="0">
    <w:p w:rsidR="009B2CC3" w:rsidP="00297315" w:rsidRDefault="009B2CC3" w14:paraId="6FB52D32" w14:textId="77777777">
      <w:r>
        <w:continuationSeparator/>
      </w:r>
    </w:p>
  </w:footnote>
  <w:footnote w:type="continuationNotice" w:id="1">
    <w:p w:rsidR="009B2CC3" w:rsidRDefault="009B2CC3" w14:paraId="02FCCE0A"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43427"/>
    <w:multiLevelType w:val="hybridMultilevel"/>
    <w:tmpl w:val="EF0A1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5911C7"/>
    <w:multiLevelType w:val="hybridMultilevel"/>
    <w:tmpl w:val="716012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8D3563"/>
    <w:multiLevelType w:val="hybridMultilevel"/>
    <w:tmpl w:val="BC34CE90"/>
    <w:lvl w:ilvl="0" w:tplc="FF888E30">
      <w:start w:val="1"/>
      <w:numFmt w:val="bullet"/>
      <w:lvlText w:val=""/>
      <w:lvlJc w:val="left"/>
      <w:pPr>
        <w:tabs>
          <w:tab w:val="num" w:pos="720"/>
        </w:tabs>
        <w:ind w:left="720" w:hanging="360"/>
      </w:pPr>
      <w:rPr>
        <w:rFonts w:hint="default" w:ascii="Wingdings" w:hAnsi="Wingdings"/>
      </w:rPr>
    </w:lvl>
    <w:lvl w:ilvl="1" w:tplc="2C866706" w:tentative="1">
      <w:start w:val="1"/>
      <w:numFmt w:val="bullet"/>
      <w:lvlText w:val=""/>
      <w:lvlJc w:val="left"/>
      <w:pPr>
        <w:tabs>
          <w:tab w:val="num" w:pos="1440"/>
        </w:tabs>
        <w:ind w:left="1440" w:hanging="360"/>
      </w:pPr>
      <w:rPr>
        <w:rFonts w:hint="default" w:ascii="Wingdings" w:hAnsi="Wingdings"/>
      </w:rPr>
    </w:lvl>
    <w:lvl w:ilvl="2" w:tplc="E74CEFBE" w:tentative="1">
      <w:start w:val="1"/>
      <w:numFmt w:val="bullet"/>
      <w:lvlText w:val=""/>
      <w:lvlJc w:val="left"/>
      <w:pPr>
        <w:tabs>
          <w:tab w:val="num" w:pos="2160"/>
        </w:tabs>
        <w:ind w:left="2160" w:hanging="360"/>
      </w:pPr>
      <w:rPr>
        <w:rFonts w:hint="default" w:ascii="Wingdings" w:hAnsi="Wingdings"/>
      </w:rPr>
    </w:lvl>
    <w:lvl w:ilvl="3" w:tplc="CCBCFEC8" w:tentative="1">
      <w:start w:val="1"/>
      <w:numFmt w:val="bullet"/>
      <w:lvlText w:val=""/>
      <w:lvlJc w:val="left"/>
      <w:pPr>
        <w:tabs>
          <w:tab w:val="num" w:pos="2880"/>
        </w:tabs>
        <w:ind w:left="2880" w:hanging="360"/>
      </w:pPr>
      <w:rPr>
        <w:rFonts w:hint="default" w:ascii="Wingdings" w:hAnsi="Wingdings"/>
      </w:rPr>
    </w:lvl>
    <w:lvl w:ilvl="4" w:tplc="E58245B4" w:tentative="1">
      <w:start w:val="1"/>
      <w:numFmt w:val="bullet"/>
      <w:lvlText w:val=""/>
      <w:lvlJc w:val="left"/>
      <w:pPr>
        <w:tabs>
          <w:tab w:val="num" w:pos="3600"/>
        </w:tabs>
        <w:ind w:left="3600" w:hanging="360"/>
      </w:pPr>
      <w:rPr>
        <w:rFonts w:hint="default" w:ascii="Wingdings" w:hAnsi="Wingdings"/>
      </w:rPr>
    </w:lvl>
    <w:lvl w:ilvl="5" w:tplc="887C996C" w:tentative="1">
      <w:start w:val="1"/>
      <w:numFmt w:val="bullet"/>
      <w:lvlText w:val=""/>
      <w:lvlJc w:val="left"/>
      <w:pPr>
        <w:tabs>
          <w:tab w:val="num" w:pos="4320"/>
        </w:tabs>
        <w:ind w:left="4320" w:hanging="360"/>
      </w:pPr>
      <w:rPr>
        <w:rFonts w:hint="default" w:ascii="Wingdings" w:hAnsi="Wingdings"/>
      </w:rPr>
    </w:lvl>
    <w:lvl w:ilvl="6" w:tplc="350C6318" w:tentative="1">
      <w:start w:val="1"/>
      <w:numFmt w:val="bullet"/>
      <w:lvlText w:val=""/>
      <w:lvlJc w:val="left"/>
      <w:pPr>
        <w:tabs>
          <w:tab w:val="num" w:pos="5040"/>
        </w:tabs>
        <w:ind w:left="5040" w:hanging="360"/>
      </w:pPr>
      <w:rPr>
        <w:rFonts w:hint="default" w:ascii="Wingdings" w:hAnsi="Wingdings"/>
      </w:rPr>
    </w:lvl>
    <w:lvl w:ilvl="7" w:tplc="2946CDE2" w:tentative="1">
      <w:start w:val="1"/>
      <w:numFmt w:val="bullet"/>
      <w:lvlText w:val=""/>
      <w:lvlJc w:val="left"/>
      <w:pPr>
        <w:tabs>
          <w:tab w:val="num" w:pos="5760"/>
        </w:tabs>
        <w:ind w:left="5760" w:hanging="360"/>
      </w:pPr>
      <w:rPr>
        <w:rFonts w:hint="default" w:ascii="Wingdings" w:hAnsi="Wingdings"/>
      </w:rPr>
    </w:lvl>
    <w:lvl w:ilvl="8" w:tplc="FFAC2CCC"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7805B0"/>
    <w:multiLevelType w:val="hybridMultilevel"/>
    <w:tmpl w:val="DF3484C2"/>
    <w:lvl w:ilvl="0" w:tplc="FF888E30">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A2C4AE2"/>
    <w:multiLevelType w:val="hybridMultilevel"/>
    <w:tmpl w:val="FFBA1B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ADC2578"/>
    <w:multiLevelType w:val="multilevel"/>
    <w:tmpl w:val="38C070A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57423C"/>
    <w:multiLevelType w:val="hybridMultilevel"/>
    <w:tmpl w:val="6C56B3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FF524AE"/>
    <w:multiLevelType w:val="hybridMultilevel"/>
    <w:tmpl w:val="C79EB4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20451D7F"/>
    <w:multiLevelType w:val="hybridMultilevel"/>
    <w:tmpl w:val="9236B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8B51CC"/>
    <w:multiLevelType w:val="hybridMultilevel"/>
    <w:tmpl w:val="8B0E20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27611A"/>
    <w:multiLevelType w:val="hybridMultilevel"/>
    <w:tmpl w:val="CDF25F98"/>
    <w:lvl w:ilvl="0" w:tplc="B442BC54">
      <w:start w:val="1"/>
      <w:numFmt w:val="bullet"/>
      <w:lvlText w:val=""/>
      <w:lvlJc w:val="left"/>
      <w:pPr>
        <w:tabs>
          <w:tab w:val="num" w:pos="720"/>
        </w:tabs>
        <w:ind w:left="720" w:hanging="360"/>
      </w:pPr>
      <w:rPr>
        <w:rFonts w:hint="default" w:ascii="Wingdings" w:hAnsi="Wingdings"/>
      </w:rPr>
    </w:lvl>
    <w:lvl w:ilvl="1" w:tplc="98C666AE" w:tentative="1">
      <w:start w:val="1"/>
      <w:numFmt w:val="bullet"/>
      <w:lvlText w:val=""/>
      <w:lvlJc w:val="left"/>
      <w:pPr>
        <w:tabs>
          <w:tab w:val="num" w:pos="1440"/>
        </w:tabs>
        <w:ind w:left="1440" w:hanging="360"/>
      </w:pPr>
      <w:rPr>
        <w:rFonts w:hint="default" w:ascii="Wingdings" w:hAnsi="Wingdings"/>
      </w:rPr>
    </w:lvl>
    <w:lvl w:ilvl="2" w:tplc="B9FEE6FE" w:tentative="1">
      <w:start w:val="1"/>
      <w:numFmt w:val="bullet"/>
      <w:lvlText w:val=""/>
      <w:lvlJc w:val="left"/>
      <w:pPr>
        <w:tabs>
          <w:tab w:val="num" w:pos="2160"/>
        </w:tabs>
        <w:ind w:left="2160" w:hanging="360"/>
      </w:pPr>
      <w:rPr>
        <w:rFonts w:hint="default" w:ascii="Wingdings" w:hAnsi="Wingdings"/>
      </w:rPr>
    </w:lvl>
    <w:lvl w:ilvl="3" w:tplc="48FC6702" w:tentative="1">
      <w:start w:val="1"/>
      <w:numFmt w:val="bullet"/>
      <w:lvlText w:val=""/>
      <w:lvlJc w:val="left"/>
      <w:pPr>
        <w:tabs>
          <w:tab w:val="num" w:pos="2880"/>
        </w:tabs>
        <w:ind w:left="2880" w:hanging="360"/>
      </w:pPr>
      <w:rPr>
        <w:rFonts w:hint="default" w:ascii="Wingdings" w:hAnsi="Wingdings"/>
      </w:rPr>
    </w:lvl>
    <w:lvl w:ilvl="4" w:tplc="38660144" w:tentative="1">
      <w:start w:val="1"/>
      <w:numFmt w:val="bullet"/>
      <w:lvlText w:val=""/>
      <w:lvlJc w:val="left"/>
      <w:pPr>
        <w:tabs>
          <w:tab w:val="num" w:pos="3600"/>
        </w:tabs>
        <w:ind w:left="3600" w:hanging="360"/>
      </w:pPr>
      <w:rPr>
        <w:rFonts w:hint="default" w:ascii="Wingdings" w:hAnsi="Wingdings"/>
      </w:rPr>
    </w:lvl>
    <w:lvl w:ilvl="5" w:tplc="F6D6FA3A" w:tentative="1">
      <w:start w:val="1"/>
      <w:numFmt w:val="bullet"/>
      <w:lvlText w:val=""/>
      <w:lvlJc w:val="left"/>
      <w:pPr>
        <w:tabs>
          <w:tab w:val="num" w:pos="4320"/>
        </w:tabs>
        <w:ind w:left="4320" w:hanging="360"/>
      </w:pPr>
      <w:rPr>
        <w:rFonts w:hint="default" w:ascii="Wingdings" w:hAnsi="Wingdings"/>
      </w:rPr>
    </w:lvl>
    <w:lvl w:ilvl="6" w:tplc="4A061ED4" w:tentative="1">
      <w:start w:val="1"/>
      <w:numFmt w:val="bullet"/>
      <w:lvlText w:val=""/>
      <w:lvlJc w:val="left"/>
      <w:pPr>
        <w:tabs>
          <w:tab w:val="num" w:pos="5040"/>
        </w:tabs>
        <w:ind w:left="5040" w:hanging="360"/>
      </w:pPr>
      <w:rPr>
        <w:rFonts w:hint="default" w:ascii="Wingdings" w:hAnsi="Wingdings"/>
      </w:rPr>
    </w:lvl>
    <w:lvl w:ilvl="7" w:tplc="2A22C7FA" w:tentative="1">
      <w:start w:val="1"/>
      <w:numFmt w:val="bullet"/>
      <w:lvlText w:val=""/>
      <w:lvlJc w:val="left"/>
      <w:pPr>
        <w:tabs>
          <w:tab w:val="num" w:pos="5760"/>
        </w:tabs>
        <w:ind w:left="5760" w:hanging="360"/>
      </w:pPr>
      <w:rPr>
        <w:rFonts w:hint="default" w:ascii="Wingdings" w:hAnsi="Wingdings"/>
      </w:rPr>
    </w:lvl>
    <w:lvl w:ilvl="8" w:tplc="4B464614"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D2763FD"/>
    <w:multiLevelType w:val="hybridMultilevel"/>
    <w:tmpl w:val="434C0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47AF4"/>
    <w:multiLevelType w:val="hybridMultilevel"/>
    <w:tmpl w:val="6ADE5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A046C8"/>
    <w:multiLevelType w:val="hybridMultilevel"/>
    <w:tmpl w:val="BE8804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A00600"/>
    <w:multiLevelType w:val="hybridMultilevel"/>
    <w:tmpl w:val="B1F0D92A"/>
    <w:lvl w:ilvl="0" w:tplc="C37E48B0">
      <w:start w:val="1"/>
      <w:numFmt w:val="bullet"/>
      <w:lvlText w:val="•"/>
      <w:lvlJc w:val="left"/>
      <w:pPr>
        <w:tabs>
          <w:tab w:val="num" w:pos="720"/>
        </w:tabs>
        <w:ind w:left="720" w:hanging="360"/>
      </w:pPr>
      <w:rPr>
        <w:rFonts w:hint="default" w:ascii="Arial" w:hAnsi="Arial"/>
      </w:rPr>
    </w:lvl>
    <w:lvl w:ilvl="1" w:tplc="D43ED6CC" w:tentative="1">
      <w:start w:val="1"/>
      <w:numFmt w:val="bullet"/>
      <w:lvlText w:val="•"/>
      <w:lvlJc w:val="left"/>
      <w:pPr>
        <w:tabs>
          <w:tab w:val="num" w:pos="1440"/>
        </w:tabs>
        <w:ind w:left="1440" w:hanging="360"/>
      </w:pPr>
      <w:rPr>
        <w:rFonts w:hint="default" w:ascii="Arial" w:hAnsi="Arial"/>
      </w:rPr>
    </w:lvl>
    <w:lvl w:ilvl="2" w:tplc="DB68C864" w:tentative="1">
      <w:start w:val="1"/>
      <w:numFmt w:val="bullet"/>
      <w:lvlText w:val="•"/>
      <w:lvlJc w:val="left"/>
      <w:pPr>
        <w:tabs>
          <w:tab w:val="num" w:pos="2160"/>
        </w:tabs>
        <w:ind w:left="2160" w:hanging="360"/>
      </w:pPr>
      <w:rPr>
        <w:rFonts w:hint="default" w:ascii="Arial" w:hAnsi="Arial"/>
      </w:rPr>
    </w:lvl>
    <w:lvl w:ilvl="3" w:tplc="50FC6364" w:tentative="1">
      <w:start w:val="1"/>
      <w:numFmt w:val="bullet"/>
      <w:lvlText w:val="•"/>
      <w:lvlJc w:val="left"/>
      <w:pPr>
        <w:tabs>
          <w:tab w:val="num" w:pos="2880"/>
        </w:tabs>
        <w:ind w:left="2880" w:hanging="360"/>
      </w:pPr>
      <w:rPr>
        <w:rFonts w:hint="default" w:ascii="Arial" w:hAnsi="Arial"/>
      </w:rPr>
    </w:lvl>
    <w:lvl w:ilvl="4" w:tplc="589E0EC2" w:tentative="1">
      <w:start w:val="1"/>
      <w:numFmt w:val="bullet"/>
      <w:lvlText w:val="•"/>
      <w:lvlJc w:val="left"/>
      <w:pPr>
        <w:tabs>
          <w:tab w:val="num" w:pos="3600"/>
        </w:tabs>
        <w:ind w:left="3600" w:hanging="360"/>
      </w:pPr>
      <w:rPr>
        <w:rFonts w:hint="default" w:ascii="Arial" w:hAnsi="Arial"/>
      </w:rPr>
    </w:lvl>
    <w:lvl w:ilvl="5" w:tplc="6DC49900" w:tentative="1">
      <w:start w:val="1"/>
      <w:numFmt w:val="bullet"/>
      <w:lvlText w:val="•"/>
      <w:lvlJc w:val="left"/>
      <w:pPr>
        <w:tabs>
          <w:tab w:val="num" w:pos="4320"/>
        </w:tabs>
        <w:ind w:left="4320" w:hanging="360"/>
      </w:pPr>
      <w:rPr>
        <w:rFonts w:hint="default" w:ascii="Arial" w:hAnsi="Arial"/>
      </w:rPr>
    </w:lvl>
    <w:lvl w:ilvl="6" w:tplc="34CCCE20" w:tentative="1">
      <w:start w:val="1"/>
      <w:numFmt w:val="bullet"/>
      <w:lvlText w:val="•"/>
      <w:lvlJc w:val="left"/>
      <w:pPr>
        <w:tabs>
          <w:tab w:val="num" w:pos="5040"/>
        </w:tabs>
        <w:ind w:left="5040" w:hanging="360"/>
      </w:pPr>
      <w:rPr>
        <w:rFonts w:hint="default" w:ascii="Arial" w:hAnsi="Arial"/>
      </w:rPr>
    </w:lvl>
    <w:lvl w:ilvl="7" w:tplc="2CD2F93E" w:tentative="1">
      <w:start w:val="1"/>
      <w:numFmt w:val="bullet"/>
      <w:lvlText w:val="•"/>
      <w:lvlJc w:val="left"/>
      <w:pPr>
        <w:tabs>
          <w:tab w:val="num" w:pos="5760"/>
        </w:tabs>
        <w:ind w:left="5760" w:hanging="360"/>
      </w:pPr>
      <w:rPr>
        <w:rFonts w:hint="default" w:ascii="Arial" w:hAnsi="Arial"/>
      </w:rPr>
    </w:lvl>
    <w:lvl w:ilvl="8" w:tplc="59347E6C"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B34559"/>
    <w:multiLevelType w:val="hybridMultilevel"/>
    <w:tmpl w:val="597C4518"/>
    <w:lvl w:ilvl="0" w:tplc="FF888E30">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DF18BF"/>
    <w:multiLevelType w:val="hybridMultilevel"/>
    <w:tmpl w:val="382E96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50C05"/>
    <w:multiLevelType w:val="hybridMultilevel"/>
    <w:tmpl w:val="BB4026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7A06F3"/>
    <w:multiLevelType w:val="hybridMultilevel"/>
    <w:tmpl w:val="A89E648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665D5CA6"/>
    <w:multiLevelType w:val="hybridMultilevel"/>
    <w:tmpl w:val="078A86B0"/>
    <w:lvl w:ilvl="0" w:tplc="96247F0C">
      <w:start w:val="1"/>
      <w:numFmt w:val="bullet"/>
      <w:lvlText w:val="•"/>
      <w:lvlJc w:val="left"/>
      <w:pPr>
        <w:tabs>
          <w:tab w:val="num" w:pos="720"/>
        </w:tabs>
        <w:ind w:left="720" w:hanging="360"/>
      </w:pPr>
      <w:rPr>
        <w:rFonts w:hint="default" w:ascii="Arial" w:hAnsi="Arial"/>
      </w:rPr>
    </w:lvl>
    <w:lvl w:ilvl="1" w:tplc="9594B1F4">
      <w:numFmt w:val="bullet"/>
      <w:lvlText w:val="•"/>
      <w:lvlJc w:val="left"/>
      <w:pPr>
        <w:tabs>
          <w:tab w:val="num" w:pos="1440"/>
        </w:tabs>
        <w:ind w:left="1440" w:hanging="360"/>
      </w:pPr>
      <w:rPr>
        <w:rFonts w:hint="default" w:ascii="Arial" w:hAnsi="Arial"/>
      </w:rPr>
    </w:lvl>
    <w:lvl w:ilvl="2" w:tplc="70EEF418" w:tentative="1">
      <w:start w:val="1"/>
      <w:numFmt w:val="bullet"/>
      <w:lvlText w:val="•"/>
      <w:lvlJc w:val="left"/>
      <w:pPr>
        <w:tabs>
          <w:tab w:val="num" w:pos="2160"/>
        </w:tabs>
        <w:ind w:left="2160" w:hanging="360"/>
      </w:pPr>
      <w:rPr>
        <w:rFonts w:hint="default" w:ascii="Arial" w:hAnsi="Arial"/>
      </w:rPr>
    </w:lvl>
    <w:lvl w:ilvl="3" w:tplc="FEF2356A" w:tentative="1">
      <w:start w:val="1"/>
      <w:numFmt w:val="bullet"/>
      <w:lvlText w:val="•"/>
      <w:lvlJc w:val="left"/>
      <w:pPr>
        <w:tabs>
          <w:tab w:val="num" w:pos="2880"/>
        </w:tabs>
        <w:ind w:left="2880" w:hanging="360"/>
      </w:pPr>
      <w:rPr>
        <w:rFonts w:hint="default" w:ascii="Arial" w:hAnsi="Arial"/>
      </w:rPr>
    </w:lvl>
    <w:lvl w:ilvl="4" w:tplc="77E65410" w:tentative="1">
      <w:start w:val="1"/>
      <w:numFmt w:val="bullet"/>
      <w:lvlText w:val="•"/>
      <w:lvlJc w:val="left"/>
      <w:pPr>
        <w:tabs>
          <w:tab w:val="num" w:pos="3600"/>
        </w:tabs>
        <w:ind w:left="3600" w:hanging="360"/>
      </w:pPr>
      <w:rPr>
        <w:rFonts w:hint="default" w:ascii="Arial" w:hAnsi="Arial"/>
      </w:rPr>
    </w:lvl>
    <w:lvl w:ilvl="5" w:tplc="6D9C7CFA" w:tentative="1">
      <w:start w:val="1"/>
      <w:numFmt w:val="bullet"/>
      <w:lvlText w:val="•"/>
      <w:lvlJc w:val="left"/>
      <w:pPr>
        <w:tabs>
          <w:tab w:val="num" w:pos="4320"/>
        </w:tabs>
        <w:ind w:left="4320" w:hanging="360"/>
      </w:pPr>
      <w:rPr>
        <w:rFonts w:hint="default" w:ascii="Arial" w:hAnsi="Arial"/>
      </w:rPr>
    </w:lvl>
    <w:lvl w:ilvl="6" w:tplc="0D84CE00" w:tentative="1">
      <w:start w:val="1"/>
      <w:numFmt w:val="bullet"/>
      <w:lvlText w:val="•"/>
      <w:lvlJc w:val="left"/>
      <w:pPr>
        <w:tabs>
          <w:tab w:val="num" w:pos="5040"/>
        </w:tabs>
        <w:ind w:left="5040" w:hanging="360"/>
      </w:pPr>
      <w:rPr>
        <w:rFonts w:hint="default" w:ascii="Arial" w:hAnsi="Arial"/>
      </w:rPr>
    </w:lvl>
    <w:lvl w:ilvl="7" w:tplc="5A4CAA1C" w:tentative="1">
      <w:start w:val="1"/>
      <w:numFmt w:val="bullet"/>
      <w:lvlText w:val="•"/>
      <w:lvlJc w:val="left"/>
      <w:pPr>
        <w:tabs>
          <w:tab w:val="num" w:pos="5760"/>
        </w:tabs>
        <w:ind w:left="5760" w:hanging="360"/>
      </w:pPr>
      <w:rPr>
        <w:rFonts w:hint="default" w:ascii="Arial" w:hAnsi="Arial"/>
      </w:rPr>
    </w:lvl>
    <w:lvl w:ilvl="8" w:tplc="63FAC962"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5055D"/>
    <w:multiLevelType w:val="hybridMultilevel"/>
    <w:tmpl w:val="FEA20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37"/>
  </w:num>
  <w:num w:numId="3">
    <w:abstractNumId w:val="2"/>
  </w:num>
  <w:num w:numId="4">
    <w:abstractNumId w:val="38"/>
  </w:num>
  <w:num w:numId="5">
    <w:abstractNumId w:val="11"/>
  </w:num>
  <w:num w:numId="6">
    <w:abstractNumId w:val="25"/>
  </w:num>
  <w:num w:numId="7">
    <w:abstractNumId w:val="17"/>
  </w:num>
  <w:num w:numId="8">
    <w:abstractNumId w:val="20"/>
  </w:num>
  <w:num w:numId="9">
    <w:abstractNumId w:val="33"/>
  </w:num>
  <w:num w:numId="10">
    <w:abstractNumId w:val="36"/>
  </w:num>
  <w:num w:numId="11">
    <w:abstractNumId w:val="0"/>
  </w:num>
  <w:num w:numId="12">
    <w:abstractNumId w:val="22"/>
  </w:num>
  <w:num w:numId="13">
    <w:abstractNumId w:val="34"/>
  </w:num>
  <w:num w:numId="14">
    <w:abstractNumId w:val="16"/>
  </w:num>
  <w:num w:numId="15">
    <w:abstractNumId w:val="3"/>
  </w:num>
  <w:num w:numId="16">
    <w:abstractNumId w:val="27"/>
  </w:num>
  <w:num w:numId="17">
    <w:abstractNumId w:val="5"/>
  </w:num>
  <w:num w:numId="18">
    <w:abstractNumId w:val="29"/>
  </w:num>
  <w:num w:numId="19">
    <w:abstractNumId w:val="24"/>
  </w:num>
  <w:num w:numId="20">
    <w:abstractNumId w:val="32"/>
  </w:num>
  <w:num w:numId="21">
    <w:abstractNumId w:val="18"/>
  </w:num>
  <w:num w:numId="22">
    <w:abstractNumId w:val="7"/>
  </w:num>
  <w:num w:numId="23">
    <w:abstractNumId w:val="10"/>
  </w:num>
  <w:num w:numId="24">
    <w:abstractNumId w:val="9"/>
  </w:num>
  <w:num w:numId="25">
    <w:abstractNumId w:val="30"/>
  </w:num>
  <w:num w:numId="26">
    <w:abstractNumId w:val="28"/>
  </w:num>
  <w:num w:numId="27">
    <w:abstractNumId w:val="6"/>
  </w:num>
  <w:num w:numId="28">
    <w:abstractNumId w:val="15"/>
  </w:num>
  <w:num w:numId="29">
    <w:abstractNumId w:val="12"/>
  </w:num>
  <w:num w:numId="30">
    <w:abstractNumId w:val="8"/>
  </w:num>
  <w:num w:numId="31">
    <w:abstractNumId w:val="26"/>
  </w:num>
  <w:num w:numId="32">
    <w:abstractNumId w:val="1"/>
  </w:num>
  <w:num w:numId="33">
    <w:abstractNumId w:val="19"/>
  </w:num>
  <w:num w:numId="34">
    <w:abstractNumId w:val="35"/>
  </w:num>
  <w:num w:numId="35">
    <w:abstractNumId w:val="31"/>
  </w:num>
  <w:num w:numId="36">
    <w:abstractNumId w:val="21"/>
  </w:num>
  <w:num w:numId="37">
    <w:abstractNumId w:val="23"/>
  </w:num>
  <w:num w:numId="38">
    <w:abstractNumId w:val="13"/>
  </w:num>
  <w:num w:numId="39">
    <w:abstractNumId w:val="14"/>
  </w:num>
</w:numbering>
</file>

<file path=word/people.xml><?xml version="1.0" encoding="utf-8"?>
<w15:people xmlns:mc="http://schemas.openxmlformats.org/markup-compatibility/2006" xmlns:w15="http://schemas.microsoft.com/office/word/2012/wordml" mc:Ignorable="w15">
  <w15:person w15:author="Horne(ESO), Charlotte">
    <w15:presenceInfo w15:providerId="AD" w15:userId="S::Charlotte.Horne@uk.nationalgrid.com::790bcd35-3f59-47b6-b19e-07e6615606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AF0"/>
    <w:rsid w:val="00004111"/>
    <w:rsid w:val="000067B3"/>
    <w:rsid w:val="0001471A"/>
    <w:rsid w:val="00021D5C"/>
    <w:rsid w:val="000233C5"/>
    <w:rsid w:val="00023E46"/>
    <w:rsid w:val="00031EC5"/>
    <w:rsid w:val="000344FF"/>
    <w:rsid w:val="0003771A"/>
    <w:rsid w:val="000442E3"/>
    <w:rsid w:val="00047BA8"/>
    <w:rsid w:val="00054EFB"/>
    <w:rsid w:val="00062B99"/>
    <w:rsid w:val="00071758"/>
    <w:rsid w:val="000722FA"/>
    <w:rsid w:val="0008320D"/>
    <w:rsid w:val="000835C0"/>
    <w:rsid w:val="000841DF"/>
    <w:rsid w:val="0009103D"/>
    <w:rsid w:val="00092C77"/>
    <w:rsid w:val="0009327C"/>
    <w:rsid w:val="0009623B"/>
    <w:rsid w:val="000A366F"/>
    <w:rsid w:val="000A4C48"/>
    <w:rsid w:val="000A73EA"/>
    <w:rsid w:val="000B4538"/>
    <w:rsid w:val="000B4D52"/>
    <w:rsid w:val="000D02D3"/>
    <w:rsid w:val="000D206F"/>
    <w:rsid w:val="000D320E"/>
    <w:rsid w:val="000D45F7"/>
    <w:rsid w:val="000D465C"/>
    <w:rsid w:val="000E0132"/>
    <w:rsid w:val="000E053C"/>
    <w:rsid w:val="000E2873"/>
    <w:rsid w:val="000E6C14"/>
    <w:rsid w:val="000E79FA"/>
    <w:rsid w:val="000F19A3"/>
    <w:rsid w:val="000F1E92"/>
    <w:rsid w:val="0010183C"/>
    <w:rsid w:val="001026D0"/>
    <w:rsid w:val="00102DAA"/>
    <w:rsid w:val="001036C0"/>
    <w:rsid w:val="00105785"/>
    <w:rsid w:val="00106E84"/>
    <w:rsid w:val="00107594"/>
    <w:rsid w:val="00107A45"/>
    <w:rsid w:val="00112B09"/>
    <w:rsid w:val="001138F1"/>
    <w:rsid w:val="0011392E"/>
    <w:rsid w:val="00122C68"/>
    <w:rsid w:val="001236FC"/>
    <w:rsid w:val="00124123"/>
    <w:rsid w:val="001259DF"/>
    <w:rsid w:val="00126268"/>
    <w:rsid w:val="00132F03"/>
    <w:rsid w:val="00143CB9"/>
    <w:rsid w:val="00144ACD"/>
    <w:rsid w:val="00150833"/>
    <w:rsid w:val="001527D1"/>
    <w:rsid w:val="00154C2C"/>
    <w:rsid w:val="00157130"/>
    <w:rsid w:val="0015734B"/>
    <w:rsid w:val="00160DB6"/>
    <w:rsid w:val="00161118"/>
    <w:rsid w:val="00161F6B"/>
    <w:rsid w:val="0016517D"/>
    <w:rsid w:val="00167802"/>
    <w:rsid w:val="001742E9"/>
    <w:rsid w:val="00183AF6"/>
    <w:rsid w:val="00184884"/>
    <w:rsid w:val="001904B7"/>
    <w:rsid w:val="00191679"/>
    <w:rsid w:val="00191DFE"/>
    <w:rsid w:val="00194214"/>
    <w:rsid w:val="001968D3"/>
    <w:rsid w:val="001A11F4"/>
    <w:rsid w:val="001A36E5"/>
    <w:rsid w:val="001A638C"/>
    <w:rsid w:val="001A6444"/>
    <w:rsid w:val="001B211E"/>
    <w:rsid w:val="001B4A03"/>
    <w:rsid w:val="001C0867"/>
    <w:rsid w:val="001C2165"/>
    <w:rsid w:val="001C4063"/>
    <w:rsid w:val="001C7157"/>
    <w:rsid w:val="001D56C2"/>
    <w:rsid w:val="001E1D16"/>
    <w:rsid w:val="001E2D71"/>
    <w:rsid w:val="001F2B26"/>
    <w:rsid w:val="002007D5"/>
    <w:rsid w:val="002027B1"/>
    <w:rsid w:val="002034B7"/>
    <w:rsid w:val="00210A5E"/>
    <w:rsid w:val="002116FB"/>
    <w:rsid w:val="002118A3"/>
    <w:rsid w:val="002140FC"/>
    <w:rsid w:val="00215D63"/>
    <w:rsid w:val="00216FA7"/>
    <w:rsid w:val="00227FBE"/>
    <w:rsid w:val="00230EB6"/>
    <w:rsid w:val="002312F6"/>
    <w:rsid w:val="002322FD"/>
    <w:rsid w:val="00233A65"/>
    <w:rsid w:val="00236FC5"/>
    <w:rsid w:val="00254119"/>
    <w:rsid w:val="00254922"/>
    <w:rsid w:val="00255322"/>
    <w:rsid w:val="00255D53"/>
    <w:rsid w:val="00261E82"/>
    <w:rsid w:val="00262DD5"/>
    <w:rsid w:val="00264105"/>
    <w:rsid w:val="002703D0"/>
    <w:rsid w:val="00275FE7"/>
    <w:rsid w:val="0027620B"/>
    <w:rsid w:val="00283542"/>
    <w:rsid w:val="00287455"/>
    <w:rsid w:val="0029024D"/>
    <w:rsid w:val="00292FC5"/>
    <w:rsid w:val="002937CF"/>
    <w:rsid w:val="00295A4A"/>
    <w:rsid w:val="00296ACA"/>
    <w:rsid w:val="00297315"/>
    <w:rsid w:val="002A0F83"/>
    <w:rsid w:val="002A35A0"/>
    <w:rsid w:val="002A6210"/>
    <w:rsid w:val="002A6340"/>
    <w:rsid w:val="002A7329"/>
    <w:rsid w:val="002A7632"/>
    <w:rsid w:val="002B3292"/>
    <w:rsid w:val="002C2EA8"/>
    <w:rsid w:val="002D33D0"/>
    <w:rsid w:val="002D5BCA"/>
    <w:rsid w:val="002D5ECC"/>
    <w:rsid w:val="002D7145"/>
    <w:rsid w:val="002E151C"/>
    <w:rsid w:val="002E4D6B"/>
    <w:rsid w:val="002F22B7"/>
    <w:rsid w:val="002F36CC"/>
    <w:rsid w:val="002F4ECE"/>
    <w:rsid w:val="002F53BC"/>
    <w:rsid w:val="002F6AA9"/>
    <w:rsid w:val="003005E3"/>
    <w:rsid w:val="003023DA"/>
    <w:rsid w:val="00302484"/>
    <w:rsid w:val="003048A9"/>
    <w:rsid w:val="00312EB4"/>
    <w:rsid w:val="00317005"/>
    <w:rsid w:val="00317A94"/>
    <w:rsid w:val="00320467"/>
    <w:rsid w:val="0032066D"/>
    <w:rsid w:val="00326741"/>
    <w:rsid w:val="003308E5"/>
    <w:rsid w:val="003333B9"/>
    <w:rsid w:val="003370FE"/>
    <w:rsid w:val="003417B8"/>
    <w:rsid w:val="003438FE"/>
    <w:rsid w:val="00347F36"/>
    <w:rsid w:val="00357B10"/>
    <w:rsid w:val="0036134C"/>
    <w:rsid w:val="00366250"/>
    <w:rsid w:val="00367105"/>
    <w:rsid w:val="00370386"/>
    <w:rsid w:val="003719FE"/>
    <w:rsid w:val="00374F82"/>
    <w:rsid w:val="00381E2A"/>
    <w:rsid w:val="003861E4"/>
    <w:rsid w:val="00386C9E"/>
    <w:rsid w:val="00390ADD"/>
    <w:rsid w:val="00396369"/>
    <w:rsid w:val="00397D31"/>
    <w:rsid w:val="003A0AD8"/>
    <w:rsid w:val="003A4B75"/>
    <w:rsid w:val="003A54D4"/>
    <w:rsid w:val="003B6ACC"/>
    <w:rsid w:val="003C060A"/>
    <w:rsid w:val="003C0893"/>
    <w:rsid w:val="003C186A"/>
    <w:rsid w:val="003C33AF"/>
    <w:rsid w:val="003C3FD5"/>
    <w:rsid w:val="003C4371"/>
    <w:rsid w:val="003C52F7"/>
    <w:rsid w:val="003C5677"/>
    <w:rsid w:val="003C59EF"/>
    <w:rsid w:val="003D12B9"/>
    <w:rsid w:val="003D171C"/>
    <w:rsid w:val="003D5571"/>
    <w:rsid w:val="003D7B6F"/>
    <w:rsid w:val="003E1948"/>
    <w:rsid w:val="003E3A6E"/>
    <w:rsid w:val="003E5F36"/>
    <w:rsid w:val="003E6831"/>
    <w:rsid w:val="003E7C4A"/>
    <w:rsid w:val="003F4A0D"/>
    <w:rsid w:val="003F5EDA"/>
    <w:rsid w:val="003F65B0"/>
    <w:rsid w:val="003F6A45"/>
    <w:rsid w:val="003F7698"/>
    <w:rsid w:val="00400C41"/>
    <w:rsid w:val="00401BC5"/>
    <w:rsid w:val="00401FB8"/>
    <w:rsid w:val="00403D57"/>
    <w:rsid w:val="0042015F"/>
    <w:rsid w:val="00420171"/>
    <w:rsid w:val="00422530"/>
    <w:rsid w:val="004237B8"/>
    <w:rsid w:val="00425616"/>
    <w:rsid w:val="004277BB"/>
    <w:rsid w:val="00427DC8"/>
    <w:rsid w:val="00427EDE"/>
    <w:rsid w:val="0043275D"/>
    <w:rsid w:val="004361DC"/>
    <w:rsid w:val="00444758"/>
    <w:rsid w:val="0044769E"/>
    <w:rsid w:val="00453B7A"/>
    <w:rsid w:val="00453E82"/>
    <w:rsid w:val="00454360"/>
    <w:rsid w:val="00454D71"/>
    <w:rsid w:val="00456751"/>
    <w:rsid w:val="00456EE7"/>
    <w:rsid w:val="0046433B"/>
    <w:rsid w:val="00464501"/>
    <w:rsid w:val="00464AE7"/>
    <w:rsid w:val="00465EF0"/>
    <w:rsid w:val="00467038"/>
    <w:rsid w:val="00470D8D"/>
    <w:rsid w:val="00475A02"/>
    <w:rsid w:val="0049128D"/>
    <w:rsid w:val="004913B9"/>
    <w:rsid w:val="004917EC"/>
    <w:rsid w:val="0049279A"/>
    <w:rsid w:val="00493087"/>
    <w:rsid w:val="004951A0"/>
    <w:rsid w:val="004B1948"/>
    <w:rsid w:val="004B4084"/>
    <w:rsid w:val="004B425A"/>
    <w:rsid w:val="004B5D07"/>
    <w:rsid w:val="004C0E6C"/>
    <w:rsid w:val="004C2409"/>
    <w:rsid w:val="004C590C"/>
    <w:rsid w:val="004D0A09"/>
    <w:rsid w:val="004D2B2B"/>
    <w:rsid w:val="004D2B68"/>
    <w:rsid w:val="004D4EE8"/>
    <w:rsid w:val="004E1280"/>
    <w:rsid w:val="004E749F"/>
    <w:rsid w:val="004F0C70"/>
    <w:rsid w:val="004F1DC4"/>
    <w:rsid w:val="004F2375"/>
    <w:rsid w:val="004F2980"/>
    <w:rsid w:val="004F66AE"/>
    <w:rsid w:val="004F68DF"/>
    <w:rsid w:val="00500E53"/>
    <w:rsid w:val="0050338D"/>
    <w:rsid w:val="005034C3"/>
    <w:rsid w:val="00507647"/>
    <w:rsid w:val="00510D01"/>
    <w:rsid w:val="00520BD1"/>
    <w:rsid w:val="00530ADE"/>
    <w:rsid w:val="0053257A"/>
    <w:rsid w:val="00533EE3"/>
    <w:rsid w:val="00535E81"/>
    <w:rsid w:val="005375F5"/>
    <w:rsid w:val="00541241"/>
    <w:rsid w:val="005419A2"/>
    <w:rsid w:val="00546172"/>
    <w:rsid w:val="00547294"/>
    <w:rsid w:val="0055175D"/>
    <w:rsid w:val="0055178D"/>
    <w:rsid w:val="00551C35"/>
    <w:rsid w:val="00554535"/>
    <w:rsid w:val="00561548"/>
    <w:rsid w:val="0056193F"/>
    <w:rsid w:val="005670CB"/>
    <w:rsid w:val="00570427"/>
    <w:rsid w:val="00570EBB"/>
    <w:rsid w:val="00574C18"/>
    <w:rsid w:val="00577DC9"/>
    <w:rsid w:val="005859C3"/>
    <w:rsid w:val="00585CA0"/>
    <w:rsid w:val="00585FCD"/>
    <w:rsid w:val="005873B5"/>
    <w:rsid w:val="00590E4E"/>
    <w:rsid w:val="00591039"/>
    <w:rsid w:val="005960D7"/>
    <w:rsid w:val="005A2CF9"/>
    <w:rsid w:val="005A50A5"/>
    <w:rsid w:val="005A73CD"/>
    <w:rsid w:val="005B05B4"/>
    <w:rsid w:val="005B2C5D"/>
    <w:rsid w:val="005B36EE"/>
    <w:rsid w:val="005B4B62"/>
    <w:rsid w:val="005B5EC8"/>
    <w:rsid w:val="005D1113"/>
    <w:rsid w:val="005D2C20"/>
    <w:rsid w:val="005D5541"/>
    <w:rsid w:val="005D5DD6"/>
    <w:rsid w:val="005D5FC0"/>
    <w:rsid w:val="005E16AA"/>
    <w:rsid w:val="005F079D"/>
    <w:rsid w:val="006019B9"/>
    <w:rsid w:val="00603591"/>
    <w:rsid w:val="00605A6C"/>
    <w:rsid w:val="0060618C"/>
    <w:rsid w:val="0060780B"/>
    <w:rsid w:val="006100D7"/>
    <w:rsid w:val="0061107B"/>
    <w:rsid w:val="006169C9"/>
    <w:rsid w:val="00617F0E"/>
    <w:rsid w:val="0061CE1A"/>
    <w:rsid w:val="00625C94"/>
    <w:rsid w:val="006328F7"/>
    <w:rsid w:val="00634F22"/>
    <w:rsid w:val="0063602B"/>
    <w:rsid w:val="00637B5B"/>
    <w:rsid w:val="00641BF9"/>
    <w:rsid w:val="00644FA3"/>
    <w:rsid w:val="00653B03"/>
    <w:rsid w:val="00662271"/>
    <w:rsid w:val="00671E4B"/>
    <w:rsid w:val="00671EB6"/>
    <w:rsid w:val="00686335"/>
    <w:rsid w:val="00687EEF"/>
    <w:rsid w:val="0069030F"/>
    <w:rsid w:val="00695748"/>
    <w:rsid w:val="00697FEC"/>
    <w:rsid w:val="006A26C3"/>
    <w:rsid w:val="006A6AFA"/>
    <w:rsid w:val="006B0A60"/>
    <w:rsid w:val="006B20CC"/>
    <w:rsid w:val="006B78EE"/>
    <w:rsid w:val="006C1C01"/>
    <w:rsid w:val="006C1FD6"/>
    <w:rsid w:val="006C5ADA"/>
    <w:rsid w:val="006D0FE0"/>
    <w:rsid w:val="006D1D16"/>
    <w:rsid w:val="006D1F0A"/>
    <w:rsid w:val="006D2B54"/>
    <w:rsid w:val="006D2D30"/>
    <w:rsid w:val="006D5008"/>
    <w:rsid w:val="006D511F"/>
    <w:rsid w:val="006E0C8B"/>
    <w:rsid w:val="006E290C"/>
    <w:rsid w:val="006E4599"/>
    <w:rsid w:val="00700932"/>
    <w:rsid w:val="0070209F"/>
    <w:rsid w:val="007047F8"/>
    <w:rsid w:val="00705D19"/>
    <w:rsid w:val="00712437"/>
    <w:rsid w:val="0071397E"/>
    <w:rsid w:val="00722D50"/>
    <w:rsid w:val="007273DC"/>
    <w:rsid w:val="007318C9"/>
    <w:rsid w:val="00731975"/>
    <w:rsid w:val="00732511"/>
    <w:rsid w:val="00732F12"/>
    <w:rsid w:val="0073328D"/>
    <w:rsid w:val="0073600F"/>
    <w:rsid w:val="00743174"/>
    <w:rsid w:val="00751773"/>
    <w:rsid w:val="00754EF6"/>
    <w:rsid w:val="0075769C"/>
    <w:rsid w:val="00757A1C"/>
    <w:rsid w:val="00760666"/>
    <w:rsid w:val="007607C8"/>
    <w:rsid w:val="00761043"/>
    <w:rsid w:val="00765B52"/>
    <w:rsid w:val="007672F8"/>
    <w:rsid w:val="007733F3"/>
    <w:rsid w:val="007736A1"/>
    <w:rsid w:val="00773836"/>
    <w:rsid w:val="00773CD0"/>
    <w:rsid w:val="00775641"/>
    <w:rsid w:val="007758C0"/>
    <w:rsid w:val="00784AB3"/>
    <w:rsid w:val="00785561"/>
    <w:rsid w:val="00787F2E"/>
    <w:rsid w:val="00790973"/>
    <w:rsid w:val="00792CA7"/>
    <w:rsid w:val="0079663C"/>
    <w:rsid w:val="007A1045"/>
    <w:rsid w:val="007A3D40"/>
    <w:rsid w:val="007A4734"/>
    <w:rsid w:val="007A6E54"/>
    <w:rsid w:val="007A6E60"/>
    <w:rsid w:val="007B0231"/>
    <w:rsid w:val="007B7AF2"/>
    <w:rsid w:val="007C00AB"/>
    <w:rsid w:val="007C297A"/>
    <w:rsid w:val="007C6A5B"/>
    <w:rsid w:val="007C7B35"/>
    <w:rsid w:val="007D5F90"/>
    <w:rsid w:val="007E0B97"/>
    <w:rsid w:val="007E60B0"/>
    <w:rsid w:val="007E733F"/>
    <w:rsid w:val="007F0F27"/>
    <w:rsid w:val="007F1881"/>
    <w:rsid w:val="00800E43"/>
    <w:rsid w:val="00806AD0"/>
    <w:rsid w:val="00811622"/>
    <w:rsid w:val="00814802"/>
    <w:rsid w:val="008156E2"/>
    <w:rsid w:val="00817F02"/>
    <w:rsid w:val="008249A2"/>
    <w:rsid w:val="00826F71"/>
    <w:rsid w:val="00841564"/>
    <w:rsid w:val="008428AA"/>
    <w:rsid w:val="00842A9E"/>
    <w:rsid w:val="008500D7"/>
    <w:rsid w:val="00855F38"/>
    <w:rsid w:val="00856187"/>
    <w:rsid w:val="0086069B"/>
    <w:rsid w:val="00860BB8"/>
    <w:rsid w:val="00864000"/>
    <w:rsid w:val="00875F99"/>
    <w:rsid w:val="0088279E"/>
    <w:rsid w:val="00892DC4"/>
    <w:rsid w:val="00896408"/>
    <w:rsid w:val="008975E3"/>
    <w:rsid w:val="008A73A9"/>
    <w:rsid w:val="008B2A26"/>
    <w:rsid w:val="008B352E"/>
    <w:rsid w:val="008B7863"/>
    <w:rsid w:val="008C3819"/>
    <w:rsid w:val="008C554D"/>
    <w:rsid w:val="008C6B07"/>
    <w:rsid w:val="008D1290"/>
    <w:rsid w:val="008D13E8"/>
    <w:rsid w:val="008D5F06"/>
    <w:rsid w:val="008E06DD"/>
    <w:rsid w:val="008E19D5"/>
    <w:rsid w:val="008E3BEF"/>
    <w:rsid w:val="008F5151"/>
    <w:rsid w:val="008F619E"/>
    <w:rsid w:val="0090086C"/>
    <w:rsid w:val="00901BF5"/>
    <w:rsid w:val="00903274"/>
    <w:rsid w:val="009035FF"/>
    <w:rsid w:val="00910FF6"/>
    <w:rsid w:val="009124A3"/>
    <w:rsid w:val="00913BDE"/>
    <w:rsid w:val="009149C4"/>
    <w:rsid w:val="009272B5"/>
    <w:rsid w:val="00940D3B"/>
    <w:rsid w:val="00946BC4"/>
    <w:rsid w:val="009501DB"/>
    <w:rsid w:val="00952018"/>
    <w:rsid w:val="009620AF"/>
    <w:rsid w:val="009655E8"/>
    <w:rsid w:val="00965956"/>
    <w:rsid w:val="00971316"/>
    <w:rsid w:val="009724DE"/>
    <w:rsid w:val="00973081"/>
    <w:rsid w:val="00975C54"/>
    <w:rsid w:val="009824CA"/>
    <w:rsid w:val="00982DC2"/>
    <w:rsid w:val="00983557"/>
    <w:rsid w:val="0098375F"/>
    <w:rsid w:val="0098797F"/>
    <w:rsid w:val="0099063A"/>
    <w:rsid w:val="009A4C0B"/>
    <w:rsid w:val="009A6BD5"/>
    <w:rsid w:val="009B2CC3"/>
    <w:rsid w:val="009B4762"/>
    <w:rsid w:val="009C0AA7"/>
    <w:rsid w:val="009C293C"/>
    <w:rsid w:val="009C3125"/>
    <w:rsid w:val="009C4136"/>
    <w:rsid w:val="009C4B6F"/>
    <w:rsid w:val="009C4C69"/>
    <w:rsid w:val="009D04E8"/>
    <w:rsid w:val="009D0CDD"/>
    <w:rsid w:val="009E0826"/>
    <w:rsid w:val="009E278F"/>
    <w:rsid w:val="009E41EB"/>
    <w:rsid w:val="009F0D17"/>
    <w:rsid w:val="009F12D8"/>
    <w:rsid w:val="00A0008B"/>
    <w:rsid w:val="00A02F02"/>
    <w:rsid w:val="00A03267"/>
    <w:rsid w:val="00A0488B"/>
    <w:rsid w:val="00A048DE"/>
    <w:rsid w:val="00A05930"/>
    <w:rsid w:val="00A071CF"/>
    <w:rsid w:val="00A1275F"/>
    <w:rsid w:val="00A14B60"/>
    <w:rsid w:val="00A20B33"/>
    <w:rsid w:val="00A22110"/>
    <w:rsid w:val="00A23C55"/>
    <w:rsid w:val="00A241D6"/>
    <w:rsid w:val="00A26890"/>
    <w:rsid w:val="00A27F84"/>
    <w:rsid w:val="00A3221C"/>
    <w:rsid w:val="00A3323D"/>
    <w:rsid w:val="00A33477"/>
    <w:rsid w:val="00A37DA3"/>
    <w:rsid w:val="00A44E87"/>
    <w:rsid w:val="00A521E1"/>
    <w:rsid w:val="00A5717C"/>
    <w:rsid w:val="00A57BD0"/>
    <w:rsid w:val="00A57C44"/>
    <w:rsid w:val="00A57D59"/>
    <w:rsid w:val="00A620B1"/>
    <w:rsid w:val="00A626ED"/>
    <w:rsid w:val="00A63D37"/>
    <w:rsid w:val="00A728CC"/>
    <w:rsid w:val="00A747FF"/>
    <w:rsid w:val="00A74FDC"/>
    <w:rsid w:val="00A75370"/>
    <w:rsid w:val="00A80D98"/>
    <w:rsid w:val="00A829E5"/>
    <w:rsid w:val="00A84267"/>
    <w:rsid w:val="00A85578"/>
    <w:rsid w:val="00A86D1C"/>
    <w:rsid w:val="00A91562"/>
    <w:rsid w:val="00A97CE4"/>
    <w:rsid w:val="00AA39BD"/>
    <w:rsid w:val="00AA4233"/>
    <w:rsid w:val="00AA6D9C"/>
    <w:rsid w:val="00AB0725"/>
    <w:rsid w:val="00AB17BD"/>
    <w:rsid w:val="00AB5D6F"/>
    <w:rsid w:val="00AC36F5"/>
    <w:rsid w:val="00AC7139"/>
    <w:rsid w:val="00AE28A6"/>
    <w:rsid w:val="00AF0F2C"/>
    <w:rsid w:val="00AF4B18"/>
    <w:rsid w:val="00AF5E0F"/>
    <w:rsid w:val="00AF6D5E"/>
    <w:rsid w:val="00AF7D96"/>
    <w:rsid w:val="00B01F28"/>
    <w:rsid w:val="00B044BA"/>
    <w:rsid w:val="00B07E27"/>
    <w:rsid w:val="00B11339"/>
    <w:rsid w:val="00B1175B"/>
    <w:rsid w:val="00B22DF2"/>
    <w:rsid w:val="00B2461F"/>
    <w:rsid w:val="00B251F9"/>
    <w:rsid w:val="00B2638E"/>
    <w:rsid w:val="00B26D01"/>
    <w:rsid w:val="00B308CE"/>
    <w:rsid w:val="00B337CD"/>
    <w:rsid w:val="00B34849"/>
    <w:rsid w:val="00B34D5B"/>
    <w:rsid w:val="00B403AA"/>
    <w:rsid w:val="00B443A4"/>
    <w:rsid w:val="00B47E73"/>
    <w:rsid w:val="00B56AA3"/>
    <w:rsid w:val="00B60CFB"/>
    <w:rsid w:val="00B622E7"/>
    <w:rsid w:val="00B63204"/>
    <w:rsid w:val="00B63215"/>
    <w:rsid w:val="00B6376E"/>
    <w:rsid w:val="00B63EAD"/>
    <w:rsid w:val="00B65EBE"/>
    <w:rsid w:val="00B6767D"/>
    <w:rsid w:val="00B72C76"/>
    <w:rsid w:val="00B746EA"/>
    <w:rsid w:val="00B75902"/>
    <w:rsid w:val="00B77868"/>
    <w:rsid w:val="00B81BFB"/>
    <w:rsid w:val="00B83046"/>
    <w:rsid w:val="00B83C77"/>
    <w:rsid w:val="00B84E5D"/>
    <w:rsid w:val="00B8519E"/>
    <w:rsid w:val="00B86B17"/>
    <w:rsid w:val="00B90A3D"/>
    <w:rsid w:val="00B90EF3"/>
    <w:rsid w:val="00B93447"/>
    <w:rsid w:val="00B960F3"/>
    <w:rsid w:val="00B9772F"/>
    <w:rsid w:val="00BA0A62"/>
    <w:rsid w:val="00BA2FCF"/>
    <w:rsid w:val="00BA7354"/>
    <w:rsid w:val="00BA7534"/>
    <w:rsid w:val="00BB0DAF"/>
    <w:rsid w:val="00BB14B8"/>
    <w:rsid w:val="00BB1740"/>
    <w:rsid w:val="00BB5C0F"/>
    <w:rsid w:val="00BC3299"/>
    <w:rsid w:val="00BC72A0"/>
    <w:rsid w:val="00BD31DC"/>
    <w:rsid w:val="00BD3AB4"/>
    <w:rsid w:val="00BD3EF5"/>
    <w:rsid w:val="00BD669E"/>
    <w:rsid w:val="00BE117C"/>
    <w:rsid w:val="00BE3973"/>
    <w:rsid w:val="00BE465E"/>
    <w:rsid w:val="00BE4758"/>
    <w:rsid w:val="00BE4AF3"/>
    <w:rsid w:val="00BE5150"/>
    <w:rsid w:val="00BE51EF"/>
    <w:rsid w:val="00BF70DB"/>
    <w:rsid w:val="00C02871"/>
    <w:rsid w:val="00C045E1"/>
    <w:rsid w:val="00C050A6"/>
    <w:rsid w:val="00C1105E"/>
    <w:rsid w:val="00C15600"/>
    <w:rsid w:val="00C2152F"/>
    <w:rsid w:val="00C2323F"/>
    <w:rsid w:val="00C24FC0"/>
    <w:rsid w:val="00C259BC"/>
    <w:rsid w:val="00C27CB1"/>
    <w:rsid w:val="00C4483F"/>
    <w:rsid w:val="00C45266"/>
    <w:rsid w:val="00C45350"/>
    <w:rsid w:val="00C5223D"/>
    <w:rsid w:val="00C555D7"/>
    <w:rsid w:val="00C56180"/>
    <w:rsid w:val="00C5754C"/>
    <w:rsid w:val="00C61956"/>
    <w:rsid w:val="00C61F09"/>
    <w:rsid w:val="00C71413"/>
    <w:rsid w:val="00C73F77"/>
    <w:rsid w:val="00C82CC8"/>
    <w:rsid w:val="00C83F25"/>
    <w:rsid w:val="00C87409"/>
    <w:rsid w:val="00C87489"/>
    <w:rsid w:val="00C92C7F"/>
    <w:rsid w:val="00C96234"/>
    <w:rsid w:val="00CA2BF6"/>
    <w:rsid w:val="00CB1C4F"/>
    <w:rsid w:val="00CB5ACB"/>
    <w:rsid w:val="00CB614E"/>
    <w:rsid w:val="00CB6A62"/>
    <w:rsid w:val="00CC50C7"/>
    <w:rsid w:val="00CC71F4"/>
    <w:rsid w:val="00CC7245"/>
    <w:rsid w:val="00CC7391"/>
    <w:rsid w:val="00CD12A6"/>
    <w:rsid w:val="00CD30CF"/>
    <w:rsid w:val="00CD3E7A"/>
    <w:rsid w:val="00CD4140"/>
    <w:rsid w:val="00CE1F07"/>
    <w:rsid w:val="00CE21BF"/>
    <w:rsid w:val="00CE6EA5"/>
    <w:rsid w:val="00CF50D9"/>
    <w:rsid w:val="00CF6157"/>
    <w:rsid w:val="00CF62E8"/>
    <w:rsid w:val="00D07421"/>
    <w:rsid w:val="00D1035E"/>
    <w:rsid w:val="00D155DD"/>
    <w:rsid w:val="00D15B5B"/>
    <w:rsid w:val="00D22BC5"/>
    <w:rsid w:val="00D22D06"/>
    <w:rsid w:val="00D25413"/>
    <w:rsid w:val="00D33B67"/>
    <w:rsid w:val="00D34903"/>
    <w:rsid w:val="00D4528C"/>
    <w:rsid w:val="00D457AB"/>
    <w:rsid w:val="00D460B3"/>
    <w:rsid w:val="00D47A5A"/>
    <w:rsid w:val="00D565CD"/>
    <w:rsid w:val="00D62973"/>
    <w:rsid w:val="00D66357"/>
    <w:rsid w:val="00D701A7"/>
    <w:rsid w:val="00D730E3"/>
    <w:rsid w:val="00D74152"/>
    <w:rsid w:val="00D76535"/>
    <w:rsid w:val="00D77451"/>
    <w:rsid w:val="00D800F0"/>
    <w:rsid w:val="00D82A9D"/>
    <w:rsid w:val="00D85A78"/>
    <w:rsid w:val="00D85DAD"/>
    <w:rsid w:val="00D9173A"/>
    <w:rsid w:val="00D939F3"/>
    <w:rsid w:val="00D95575"/>
    <w:rsid w:val="00D95829"/>
    <w:rsid w:val="00D96D65"/>
    <w:rsid w:val="00DA3C4F"/>
    <w:rsid w:val="00DB5168"/>
    <w:rsid w:val="00DB7528"/>
    <w:rsid w:val="00DC16BE"/>
    <w:rsid w:val="00DC3583"/>
    <w:rsid w:val="00DC3D29"/>
    <w:rsid w:val="00DC6BD3"/>
    <w:rsid w:val="00DD3603"/>
    <w:rsid w:val="00DD4E11"/>
    <w:rsid w:val="00DD6AE6"/>
    <w:rsid w:val="00DDA51C"/>
    <w:rsid w:val="00DE02A0"/>
    <w:rsid w:val="00DF12D8"/>
    <w:rsid w:val="00DF2E41"/>
    <w:rsid w:val="00DF618E"/>
    <w:rsid w:val="00DF6F39"/>
    <w:rsid w:val="00E01A72"/>
    <w:rsid w:val="00E072A2"/>
    <w:rsid w:val="00E10FEE"/>
    <w:rsid w:val="00E1200A"/>
    <w:rsid w:val="00E127B6"/>
    <w:rsid w:val="00E1440F"/>
    <w:rsid w:val="00E152A7"/>
    <w:rsid w:val="00E17F65"/>
    <w:rsid w:val="00E22653"/>
    <w:rsid w:val="00E23188"/>
    <w:rsid w:val="00E232E5"/>
    <w:rsid w:val="00E37FFE"/>
    <w:rsid w:val="00E45752"/>
    <w:rsid w:val="00E56F89"/>
    <w:rsid w:val="00E604A3"/>
    <w:rsid w:val="00E63B0C"/>
    <w:rsid w:val="00E64F35"/>
    <w:rsid w:val="00E67595"/>
    <w:rsid w:val="00E769AF"/>
    <w:rsid w:val="00E803B1"/>
    <w:rsid w:val="00E858A3"/>
    <w:rsid w:val="00E94896"/>
    <w:rsid w:val="00E94997"/>
    <w:rsid w:val="00E96719"/>
    <w:rsid w:val="00EA07B4"/>
    <w:rsid w:val="00EA7FBF"/>
    <w:rsid w:val="00EB05B3"/>
    <w:rsid w:val="00EC0F4F"/>
    <w:rsid w:val="00EC161E"/>
    <w:rsid w:val="00EC2DD1"/>
    <w:rsid w:val="00EC3D59"/>
    <w:rsid w:val="00ED6812"/>
    <w:rsid w:val="00ED7513"/>
    <w:rsid w:val="00EE0052"/>
    <w:rsid w:val="00EE153A"/>
    <w:rsid w:val="00EF0C60"/>
    <w:rsid w:val="00EF57B6"/>
    <w:rsid w:val="00EF64B8"/>
    <w:rsid w:val="00F0075E"/>
    <w:rsid w:val="00F02C62"/>
    <w:rsid w:val="00F02CD2"/>
    <w:rsid w:val="00F02E88"/>
    <w:rsid w:val="00F045A8"/>
    <w:rsid w:val="00F0499E"/>
    <w:rsid w:val="00F04C73"/>
    <w:rsid w:val="00F05627"/>
    <w:rsid w:val="00F05EA5"/>
    <w:rsid w:val="00F05F77"/>
    <w:rsid w:val="00F0745A"/>
    <w:rsid w:val="00F1481B"/>
    <w:rsid w:val="00F16FBF"/>
    <w:rsid w:val="00F17764"/>
    <w:rsid w:val="00F17B2B"/>
    <w:rsid w:val="00F23D15"/>
    <w:rsid w:val="00F2463C"/>
    <w:rsid w:val="00F41ACC"/>
    <w:rsid w:val="00F41F04"/>
    <w:rsid w:val="00F4406B"/>
    <w:rsid w:val="00F47743"/>
    <w:rsid w:val="00F47EC4"/>
    <w:rsid w:val="00F50877"/>
    <w:rsid w:val="00F53BB8"/>
    <w:rsid w:val="00F54C5C"/>
    <w:rsid w:val="00F55162"/>
    <w:rsid w:val="00F55C43"/>
    <w:rsid w:val="00F55E39"/>
    <w:rsid w:val="00F565B3"/>
    <w:rsid w:val="00F620BF"/>
    <w:rsid w:val="00F816AA"/>
    <w:rsid w:val="00F840CA"/>
    <w:rsid w:val="00F84149"/>
    <w:rsid w:val="00F844AD"/>
    <w:rsid w:val="00F84825"/>
    <w:rsid w:val="00F86B23"/>
    <w:rsid w:val="00F90F9E"/>
    <w:rsid w:val="00F915EF"/>
    <w:rsid w:val="00F917E9"/>
    <w:rsid w:val="00F94647"/>
    <w:rsid w:val="00F97337"/>
    <w:rsid w:val="00FA7770"/>
    <w:rsid w:val="00FA7C40"/>
    <w:rsid w:val="00FB1A65"/>
    <w:rsid w:val="00FB7278"/>
    <w:rsid w:val="00FC3C09"/>
    <w:rsid w:val="00FC4D03"/>
    <w:rsid w:val="00FD3262"/>
    <w:rsid w:val="00FD63A7"/>
    <w:rsid w:val="00FD7376"/>
    <w:rsid w:val="00FE0A53"/>
    <w:rsid w:val="00FE0BF5"/>
    <w:rsid w:val="00FE430A"/>
    <w:rsid w:val="00FE65AB"/>
    <w:rsid w:val="00FF1817"/>
    <w:rsid w:val="00FF2788"/>
    <w:rsid w:val="00FF4FA0"/>
    <w:rsid w:val="010D2885"/>
    <w:rsid w:val="0248E85D"/>
    <w:rsid w:val="044CAF2F"/>
    <w:rsid w:val="05D31E61"/>
    <w:rsid w:val="05E099A8"/>
    <w:rsid w:val="0691E8BC"/>
    <w:rsid w:val="069F3A0B"/>
    <w:rsid w:val="0AE366C7"/>
    <w:rsid w:val="0B31EB41"/>
    <w:rsid w:val="0E8B085F"/>
    <w:rsid w:val="118BF91C"/>
    <w:rsid w:val="1582DFE5"/>
    <w:rsid w:val="1723BA37"/>
    <w:rsid w:val="18C4DCB4"/>
    <w:rsid w:val="1907B67C"/>
    <w:rsid w:val="1F28190B"/>
    <w:rsid w:val="249EDEC5"/>
    <w:rsid w:val="2A119D39"/>
    <w:rsid w:val="2B0339DC"/>
    <w:rsid w:val="2B5E9F94"/>
    <w:rsid w:val="2B99D0C9"/>
    <w:rsid w:val="2D493DFB"/>
    <w:rsid w:val="30814789"/>
    <w:rsid w:val="30C40212"/>
    <w:rsid w:val="32CCAA12"/>
    <w:rsid w:val="331AB467"/>
    <w:rsid w:val="335A1999"/>
    <w:rsid w:val="36044AD4"/>
    <w:rsid w:val="37019467"/>
    <w:rsid w:val="374495E3"/>
    <w:rsid w:val="37A98046"/>
    <w:rsid w:val="3833C189"/>
    <w:rsid w:val="3D93D539"/>
    <w:rsid w:val="3F367F6B"/>
    <w:rsid w:val="4178ADA0"/>
    <w:rsid w:val="42FD9A14"/>
    <w:rsid w:val="4322DA5F"/>
    <w:rsid w:val="46C3B708"/>
    <w:rsid w:val="47419150"/>
    <w:rsid w:val="48154632"/>
    <w:rsid w:val="4A727DBE"/>
    <w:rsid w:val="4AD994DA"/>
    <w:rsid w:val="4C5806F5"/>
    <w:rsid w:val="4E4560D4"/>
    <w:rsid w:val="4E658D06"/>
    <w:rsid w:val="4EC1145D"/>
    <w:rsid w:val="5082C31D"/>
    <w:rsid w:val="50959BCF"/>
    <w:rsid w:val="55C3D23F"/>
    <w:rsid w:val="5630BF48"/>
    <w:rsid w:val="57C57BA6"/>
    <w:rsid w:val="587EC9F9"/>
    <w:rsid w:val="5A1A9A5A"/>
    <w:rsid w:val="5A974362"/>
    <w:rsid w:val="5C289068"/>
    <w:rsid w:val="5DDC8DA1"/>
    <w:rsid w:val="5F564B66"/>
    <w:rsid w:val="6070BFBC"/>
    <w:rsid w:val="61145448"/>
    <w:rsid w:val="61848F3D"/>
    <w:rsid w:val="62762671"/>
    <w:rsid w:val="63324E0D"/>
    <w:rsid w:val="636A7EFC"/>
    <w:rsid w:val="63B878CA"/>
    <w:rsid w:val="656D7A81"/>
    <w:rsid w:val="68506100"/>
    <w:rsid w:val="68E4054F"/>
    <w:rsid w:val="68EDEB13"/>
    <w:rsid w:val="69EC3161"/>
    <w:rsid w:val="6A173E16"/>
    <w:rsid w:val="6A950552"/>
    <w:rsid w:val="6B200B25"/>
    <w:rsid w:val="6B48F901"/>
    <w:rsid w:val="6CCBA105"/>
    <w:rsid w:val="6CCF888C"/>
    <w:rsid w:val="745B6107"/>
    <w:rsid w:val="758CC31E"/>
    <w:rsid w:val="767E2C4D"/>
    <w:rsid w:val="7B89BC6D"/>
    <w:rsid w:val="7D20C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5752"/>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unhideWhenUsed/>
    <w:rsid w:val="00ED7513"/>
    <w:rPr>
      <w:color w:val="605E5C"/>
      <w:shd w:val="clear" w:color="auto" w:fill="E1DFDD"/>
    </w:rPr>
  </w:style>
  <w:style w:type="paragraph" w:styleId="BodyText">
    <w:name w:val="Body Text"/>
    <w:basedOn w:val="Normal"/>
    <w:link w:val="BodyTextChar"/>
    <w:uiPriority w:val="1"/>
    <w:qFormat/>
    <w:rsid w:val="00191DFE"/>
    <w:pPr>
      <w:widowControl w:val="0"/>
      <w:autoSpaceDE w:val="0"/>
      <w:autoSpaceDN w:val="0"/>
      <w:spacing w:before="0" w:after="0"/>
    </w:pPr>
    <w:rPr>
      <w:rFonts w:eastAsia="Arial" w:cs="Arial"/>
      <w:szCs w:val="20"/>
      <w:lang w:eastAsia="en-US"/>
    </w:rPr>
  </w:style>
  <w:style w:type="character" w:styleId="BodyTextChar" w:customStyle="1">
    <w:name w:val="Body Text Char"/>
    <w:basedOn w:val="DefaultParagraphFont"/>
    <w:link w:val="BodyText"/>
    <w:uiPriority w:val="1"/>
    <w:rsid w:val="00191DFE"/>
    <w:rPr>
      <w:rFonts w:ascii="Arial" w:hAnsi="Arial" w:eastAsia="Arial" w:cs="Arial"/>
      <w:sz w:val="20"/>
      <w:szCs w:val="20"/>
    </w:rPr>
  </w:style>
  <w:style w:type="character" w:styleId="FollowedHyperlink">
    <w:name w:val="FollowedHyperlink"/>
    <w:basedOn w:val="DefaultParagraphFont"/>
    <w:uiPriority w:val="99"/>
    <w:semiHidden/>
    <w:unhideWhenUsed/>
    <w:rsid w:val="00B960F3"/>
    <w:rPr>
      <w:color w:val="4378A8" w:themeColor="followedHyperlink"/>
      <w:u w:val="single"/>
    </w:rPr>
  </w:style>
  <w:style w:type="paragraph" w:styleId="NormalWeb">
    <w:name w:val="Normal (Web)"/>
    <w:basedOn w:val="Normal"/>
    <w:uiPriority w:val="99"/>
    <w:semiHidden/>
    <w:unhideWhenUsed/>
    <w:rsid w:val="00F50877"/>
    <w:rPr>
      <w:rFonts w:ascii="Times New Roman" w:hAnsi="Times New Roman"/>
      <w:sz w:val="24"/>
    </w:rPr>
  </w:style>
  <w:style w:type="table" w:styleId="TableGrid2" w:customStyle="1">
    <w:name w:val="Table Grid2"/>
    <w:basedOn w:val="TableNormal"/>
    <w:next w:val="TableGrid"/>
    <w:uiPriority w:val="39"/>
    <w:rsid w:val="00312EB4"/>
    <w:rPr>
      <w:sz w:val="22"/>
      <w:szCs w:val="22"/>
    </w:rPr>
    <w:tblPr>
      <w:tblInd w:w="0" w:type="nil"/>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tion">
    <w:name w:val="Mention"/>
    <w:basedOn w:val="DefaultParagraphFont"/>
    <w:uiPriority w:val="99"/>
    <w:unhideWhenUsed/>
    <w:rsid w:val="006E45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4131">
      <w:bodyDiv w:val="1"/>
      <w:marLeft w:val="0"/>
      <w:marRight w:val="0"/>
      <w:marTop w:val="0"/>
      <w:marBottom w:val="0"/>
      <w:divBdr>
        <w:top w:val="none" w:sz="0" w:space="0" w:color="auto"/>
        <w:left w:val="none" w:sz="0" w:space="0" w:color="auto"/>
        <w:bottom w:val="none" w:sz="0" w:space="0" w:color="auto"/>
        <w:right w:val="none" w:sz="0" w:space="0" w:color="auto"/>
      </w:divBdr>
    </w:div>
    <w:div w:id="366301355">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tionalgrideso.com/news/world-first-renewable-energy-market-trial-hits-major-milestone" TargetMode="External" Id="rId13" /><Relationship Type="http://schemas.openxmlformats.org/officeDocument/2006/relationships/hyperlink" Target="https://www.nationalgrideso.com/document/271831/download"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nationalgrideso.com/document/140731/download" TargetMode="External" Id="rId21" /><Relationship Type="http://schemas.openxmlformats.org/officeDocument/2006/relationships/settings" Target="settings.xml" Id="rId7" /><Relationship Type="http://schemas.openxmlformats.org/officeDocument/2006/relationships/image" Target="media/image2.svg" Id="rId12" /><Relationship Type="http://schemas.microsoft.com/office/2018/08/relationships/commentsExtensible" Target="commentsExtensible.xml" Id="rId17" /><Relationship Type="http://schemas.openxmlformats.org/officeDocument/2006/relationships/hyperlink" Target="https://www.nationalgrideso.com/document/168191/download" TargetMode="Externa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s://www.nationalgrideso.com/future-energy/projects/distributed-restart"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innovation@nationalgrideso.com" TargetMode="External" Id="rId24" /><Relationship Type="http://schemas.openxmlformats.org/officeDocument/2006/relationships/theme" Target="theme/theme1.xml" Id="rId32"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yperlink" Target="https://www.nationalgrideso.com/future-energy/innovation" TargetMode="External" Id="rId23" /><Relationship Type="http://schemas.openxmlformats.org/officeDocument/2006/relationships/header" Target="header2.xml" Id="rId28" /><Relationship Type="http://schemas.openxmlformats.org/officeDocument/2006/relationships/endnotes" Target="endnotes.xml" Id="rId10"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hyperlink" Target="https://smarter.energynetworks.org" TargetMode="External"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hyperlink" Target="https://www.nationalgrideso.com/document/271831/download" TargetMode="External" Id="R3d7c22e26dac4173" /></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8E2EC-CF12-47AA-BFE8-53DA19964882}">
  <ds:schemaRefs>
    <ds:schemaRef ds:uri="http://purl.org/dc/terms/"/>
    <ds:schemaRef ds:uri="http://schemas.microsoft.com/office/infopath/2007/PartnerControls"/>
    <ds:schemaRef ds:uri="http://schemas.microsoft.com/office/2006/documentManagement/types"/>
    <ds:schemaRef ds:uri="f9f36907-376f-4565-8e03-d5dbfca1682b"/>
    <ds:schemaRef ds:uri="http://schemas.microsoft.com/office/2006/metadata/properties"/>
    <ds:schemaRef ds:uri="http://purl.org/dc/elements/1.1/"/>
    <ds:schemaRef ds:uri="cadce026-d35b-4a62-a2ee-1436bb44fb55"/>
    <ds:schemaRef ds:uri="http://schemas.openxmlformats.org/package/2006/metadata/core-properties"/>
    <ds:schemaRef ds:uri="35b117e3-8a72-427a-86e8-2abd2210387f"/>
    <ds:schemaRef ds:uri="http://www.w3.org/XML/1998/namespace"/>
    <ds:schemaRef ds:uri="http://purl.org/dc/dcmitype/"/>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5C812254-E6DF-4989-BBF5-E067A6057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190</cp:revision>
  <cp:lastPrinted>2020-10-16T10:33:00Z</cp:lastPrinted>
  <dcterms:created xsi:type="dcterms:W3CDTF">2023-01-27T17:03:00Z</dcterms:created>
  <dcterms:modified xsi:type="dcterms:W3CDTF">2023-05-03T13:58:35Z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