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dtPr>
          <w:sdtEndPr/>
          <w:sdtContent>
            <w:tc>
              <w:tcPr>
                <w:tcW w:w="6338" w:type="dxa"/>
                <w:gridSpan w:val="2"/>
              </w:tcPr>
              <w:p w14:paraId="76DC739F" w14:textId="206EB1E5" w:rsidR="005D189C" w:rsidRPr="00CF795B" w:rsidRDefault="006B77C8" w:rsidP="001643F5">
                <w:pPr>
                  <w:rPr>
                    <w:sz w:val="24"/>
                  </w:rPr>
                </w:pPr>
                <w:r>
                  <w:rPr>
                    <w:sz w:val="24"/>
                  </w:rPr>
                  <w:t>Phil Moseley</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dtPr>
          <w:sdtEndPr/>
          <w:sdtContent>
            <w:tc>
              <w:tcPr>
                <w:tcW w:w="6338" w:type="dxa"/>
                <w:gridSpan w:val="2"/>
              </w:tcPr>
              <w:p w14:paraId="0C814B78" w14:textId="7EAD3010" w:rsidR="005D189C" w:rsidRDefault="006B77C8" w:rsidP="001643F5">
                <w:pPr>
                  <w:rPr>
                    <w:sz w:val="24"/>
                  </w:rPr>
                </w:pPr>
                <w:r>
                  <w:rPr>
                    <w:sz w:val="24"/>
                  </w:rPr>
                  <w:t xml:space="preserve"> </w:t>
                </w:r>
                <w:sdt>
                  <w:sdtPr>
                    <w:rPr>
                      <w:sz w:val="24"/>
                    </w:rPr>
                    <w:id w:val="1790233252"/>
                    <w:placeholder>
                      <w:docPart w:val="3CBCBC904548405F8E293D6E7FD0A6E8"/>
                    </w:placeholder>
                  </w:sdtPr>
                  <w:sdtEndPr/>
                  <w:sdtContent>
                    <w:r>
                      <w:rPr>
                        <w:sz w:val="24"/>
                      </w:rPr>
                      <w:t>National Grid Electricity Distribution</w:t>
                    </w:r>
                  </w:sdtContent>
                </w:sdt>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dtPr>
          <w:sdtEndPr/>
          <w:sdtContent>
            <w:tc>
              <w:tcPr>
                <w:tcW w:w="6338" w:type="dxa"/>
                <w:gridSpan w:val="2"/>
              </w:tcPr>
              <w:p w14:paraId="0FFD8A05" w14:textId="79090150" w:rsidR="005D189C" w:rsidRDefault="006B77C8" w:rsidP="001643F5">
                <w:pPr>
                  <w:rPr>
                    <w:sz w:val="24"/>
                  </w:rPr>
                </w:pPr>
                <w:r>
                  <w:rPr>
                    <w:sz w:val="24"/>
                  </w:rPr>
                  <w:t>pjmoseley@nationalgrid.co.uk</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dtPr>
          <w:sdtEndPr/>
          <w:sdtContent>
            <w:tc>
              <w:tcPr>
                <w:tcW w:w="6338" w:type="dxa"/>
                <w:gridSpan w:val="2"/>
              </w:tcPr>
              <w:p w14:paraId="269879CE" w14:textId="6B7D4A8F" w:rsidR="005D189C" w:rsidRDefault="006B77C8" w:rsidP="001643F5">
                <w:pPr>
                  <w:rPr>
                    <w:sz w:val="24"/>
                  </w:rPr>
                </w:pPr>
                <w:r>
                  <w:t xml:space="preserve"> </w:t>
                </w:r>
                <w:r w:rsidRPr="006B77C8">
                  <w:rPr>
                    <w:sz w:val="24"/>
                  </w:rPr>
                  <w:t xml:space="preserve">+44 (0)7709 838074 </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E52854"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E52854"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2B7CD5DA" w:rsidR="005D189C" w:rsidRDefault="00E52854" w:rsidP="002F05C7">
            <w:pPr>
              <w:spacing w:after="0"/>
              <w:rPr>
                <w:rFonts w:cstheme="minorHAnsi"/>
              </w:rPr>
            </w:pPr>
            <w:sdt>
              <w:sdtPr>
                <w:rPr>
                  <w:rFonts w:cstheme="minorHAnsi"/>
                </w:rPr>
                <w:id w:val="1557049818"/>
                <w14:checkbox>
                  <w14:checked w14:val="1"/>
                  <w14:checkedState w14:val="2612" w14:font="MS Gothic"/>
                  <w14:uncheckedState w14:val="2610" w14:font="MS Gothic"/>
                </w14:checkbox>
              </w:sdtPr>
              <w:sdtEndPr/>
              <w:sdtContent>
                <w:r w:rsidR="006B77C8">
                  <w:rPr>
                    <w:rFonts w:ascii="MS Gothic" w:eastAsia="MS Gothic" w:hAnsi="MS Gothic" w:cstheme="minorHAnsi" w:hint="eastAsia"/>
                  </w:rPr>
                  <w:t>☒</w:t>
                </w:r>
              </w:sdtContent>
            </w:sdt>
            <w:r w:rsidR="005D189C">
              <w:rPr>
                <w:rFonts w:cstheme="minorHAnsi"/>
              </w:rPr>
              <w:t>Distribution Network Operator</w:t>
            </w:r>
          </w:p>
          <w:p w14:paraId="4F07C511" w14:textId="77777777" w:rsidR="005D189C" w:rsidRDefault="00E52854"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E52854"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E52854"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E52854"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E52854"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E52854"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E52854"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E52854"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E52854" w:rsidP="002F05C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29849A54" w:rsidR="005D189C" w:rsidRPr="009329E0" w:rsidRDefault="00E52854"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EndPr/>
              <w:sdtContent>
                <w:r w:rsidR="00B02AC0">
                  <w:rPr>
                    <w:rFonts w:ascii="MS Gothic" w:eastAsia="MS Gothic" w:hAnsi="MS Gothic" w:hint="eastAsia"/>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970AD88" w:rsidR="005D189C" w:rsidRDefault="00E52854"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B02AC0">
                  <w:rPr>
                    <w:rFonts w:ascii="MS Gothic" w:eastAsia="MS Gothic" w:hAnsi="MS Gothic" w:cstheme="minorHAnsi" w:hint="eastAsia"/>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lastRenderedPageBreak/>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b/>
          <w:bCs/>
          <w:color w:val="3F0731"/>
          <w:sz w:val="24"/>
          <w:szCs w:val="24"/>
          <w:lang w:eastAsia="en-GB"/>
        </w:rPr>
        <w:t>For reference, (for consultation questions 5 &amp; 6) the Electricity Balancing Regulation (EBR) Article 3 Objectives and regulatory aspects are:</w:t>
      </w:r>
      <w:r w:rsidRPr="00D20873">
        <w:rPr>
          <w:rFonts w:ascii="Arial" w:eastAsia="Times New Roman" w:hAnsi="Arial" w:cs="Arial"/>
          <w:color w:val="3F0731"/>
          <w:sz w:val="24"/>
          <w:szCs w:val="24"/>
          <w:lang w:eastAsia="en-GB"/>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fostering effective competition, non-discrimination and transparency in balancing markets;</w:t>
      </w:r>
      <w:r w:rsidRPr="00D20873">
        <w:rPr>
          <w:rFonts w:ascii="Arial" w:eastAsia="Times New Roman" w:hAnsi="Arial" w:cs="Arial"/>
          <w:lang w:eastAsia="en-GB"/>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enhancing efficiency of balancing as well as efficiency of national balancing markets;</w:t>
      </w:r>
      <w:r w:rsidRPr="00D20873">
        <w:rPr>
          <w:rFonts w:ascii="Arial" w:eastAsia="Times New Roman" w:hAnsi="Arial" w:cs="Arial"/>
          <w:lang w:eastAsia="en-GB"/>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integrating balancing markets and promoting the possibilities for exchanges of balancing services while contributing to operational security;</w:t>
      </w:r>
      <w:r w:rsidRPr="00D20873">
        <w:rPr>
          <w:rFonts w:ascii="Arial" w:eastAsia="Times New Roman" w:hAnsi="Arial" w:cs="Arial"/>
          <w:lang w:eastAsia="en-GB"/>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lang w:eastAsia="en-GB"/>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lang w:eastAsia="en-GB"/>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lang w:eastAsia="en-GB"/>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lang w:eastAsia="en-GB"/>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sz w:val="24"/>
                <w:szCs w:val="24"/>
                <w:lang w:eastAsia="en-GB"/>
              </w:rPr>
            </w:pPr>
            <w:r w:rsidRPr="00D20873">
              <w:rPr>
                <w:rFonts w:ascii="Arial" w:eastAsia="Times New Roman" w:hAnsi="Arial" w:cs="Arial"/>
                <w:b/>
                <w:bCs/>
                <w:color w:val="FFFFFF"/>
                <w:lang w:eastAsia="en-GB"/>
              </w:rPr>
              <w:t>What is the EBR?</w:t>
            </w:r>
            <w:r w:rsidRPr="00D20873">
              <w:rPr>
                <w:rFonts w:ascii="Arial" w:eastAsia="Times New Roman" w:hAnsi="Arial" w:cs="Arial"/>
                <w:color w:val="FFFFFF"/>
                <w:lang w:eastAsia="en-GB"/>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rsidP="001643F5">
            <w:pPr>
              <w:rPr>
                <w:rFonts w:cs="Arial"/>
                <w:sz w:val="24"/>
              </w:rPr>
            </w:pPr>
            <w:r w:rsidRPr="009E1BFB">
              <w:rPr>
                <w:rFonts w:cs="Arial"/>
                <w:sz w:val="24"/>
              </w:rPr>
              <w:t>1</w:t>
            </w:r>
          </w:p>
        </w:tc>
        <w:tc>
          <w:tcPr>
            <w:tcW w:w="2691" w:type="dxa"/>
            <w:vMerge w:val="restart"/>
          </w:tcPr>
          <w:p w14:paraId="38C1493A" w14:textId="77777777" w:rsidR="005D189C" w:rsidRPr="009E1BFB" w:rsidRDefault="005D189C" w:rsidP="001643F5">
            <w:pPr>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15A9FBF7" w:rsidR="005D189C" w:rsidRDefault="005D189C" w:rsidP="001643F5">
            <w:pPr>
              <w:pStyle w:val="BodyText"/>
              <w:rPr>
                <w:sz w:val="24"/>
              </w:rPr>
            </w:pPr>
            <w:r>
              <w:rPr>
                <w:sz w:val="24"/>
              </w:rPr>
              <w:t xml:space="preserve">Mark the Objectives which you believe </w:t>
            </w:r>
            <w:r w:rsidR="001248F0">
              <w:rPr>
                <w:sz w:val="24"/>
              </w:rPr>
              <w:t>the Original Solution b</w:t>
            </w:r>
            <w:r>
              <w:rPr>
                <w:sz w:val="24"/>
              </w:rPr>
              <w:t>etter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rsidP="001643F5">
            <w:pPr>
              <w:rPr>
                <w:rFonts w:cs="Arial"/>
                <w:sz w:val="24"/>
              </w:rPr>
            </w:pPr>
          </w:p>
        </w:tc>
        <w:tc>
          <w:tcPr>
            <w:tcW w:w="2691" w:type="dxa"/>
            <w:vMerge/>
          </w:tcPr>
          <w:p w14:paraId="67735C12" w14:textId="77777777" w:rsidR="005D189C" w:rsidRPr="009E1BFB" w:rsidRDefault="005D189C" w:rsidP="001643F5">
            <w:pPr>
              <w:rPr>
                <w:rFonts w:cs="Arial"/>
                <w:bCs/>
                <w:sz w:val="24"/>
              </w:rPr>
            </w:pPr>
          </w:p>
        </w:tc>
        <w:tc>
          <w:tcPr>
            <w:tcW w:w="1817" w:type="dxa"/>
          </w:tcPr>
          <w:p w14:paraId="4FA00F28" w14:textId="77777777" w:rsidR="005D189C" w:rsidRPr="00867B72" w:rsidRDefault="005D189C" w:rsidP="001643F5">
            <w:pPr>
              <w:pStyle w:val="BodyText"/>
              <w:rPr>
                <w:sz w:val="24"/>
              </w:rPr>
            </w:pPr>
            <w:r>
              <w:rPr>
                <w:sz w:val="24"/>
              </w:rPr>
              <w:t>Original</w:t>
            </w:r>
          </w:p>
        </w:tc>
        <w:tc>
          <w:tcPr>
            <w:tcW w:w="4536" w:type="dxa"/>
          </w:tcPr>
          <w:p w14:paraId="4A724B98" w14:textId="32503E45" w:rsidR="005D189C" w:rsidRPr="00867B72" w:rsidRDefault="00E52854" w:rsidP="001643F5">
            <w:pPr>
              <w:pStyle w:val="BodyText"/>
              <w:rPr>
                <w:sz w:val="24"/>
              </w:rPr>
            </w:pPr>
            <w:sdt>
              <w:sdtPr>
                <w:rPr>
                  <w:sz w:val="24"/>
                </w:rPr>
                <w:id w:val="1238833316"/>
                <w14:checkbox>
                  <w14:checked w14:val="0"/>
                  <w14:checkedState w14:val="2612" w14:font="MS Gothic"/>
                  <w14:uncheckedState w14:val="2610" w14:font="MS Gothic"/>
                </w14:checkbox>
              </w:sdtPr>
              <w:sdtEndPr/>
              <w:sdtContent>
                <w:r w:rsidR="00D906A5">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EndPr/>
              <w:sdtContent>
                <w:r w:rsidR="00D906A5">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EndPr/>
              <w:sdtContent>
                <w:r w:rsidR="00D906A5">
                  <w:rPr>
                    <w:rFonts w:ascii="MS Gothic" w:eastAsia="MS Gothic" w:hAnsi="MS Gothic" w:hint="eastAsia"/>
                    <w:sz w:val="24"/>
                  </w:rPr>
                  <w:t>☐</w:t>
                </w:r>
              </w:sdtContent>
            </w:sdt>
            <w:r w:rsidR="005D189C">
              <w:rPr>
                <w:sz w:val="24"/>
              </w:rPr>
              <w:t xml:space="preserve">D   </w:t>
            </w:r>
            <w:sdt>
              <w:sdtPr>
                <w:rPr>
                  <w:sz w:val="24"/>
                </w:rPr>
                <w:id w:val="-1696069163"/>
                <w14:checkbox>
                  <w14:checked w14:val="1"/>
                  <w14:checkedState w14:val="2612" w14:font="MS Gothic"/>
                  <w14:uncheckedState w14:val="2610" w14:font="MS Gothic"/>
                </w14:checkbox>
              </w:sdtPr>
              <w:sdtEndPr/>
              <w:sdtContent>
                <w:r w:rsidR="00D906A5">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rsidP="001643F5">
            <w:pPr>
              <w:rPr>
                <w:rFonts w:cs="Arial"/>
                <w:sz w:val="24"/>
              </w:rPr>
            </w:pPr>
          </w:p>
        </w:tc>
        <w:tc>
          <w:tcPr>
            <w:tcW w:w="2691" w:type="dxa"/>
            <w:vMerge/>
          </w:tcPr>
          <w:p w14:paraId="6BADF45B" w14:textId="77777777" w:rsidR="005D189C" w:rsidRPr="009E1BFB" w:rsidRDefault="005D189C" w:rsidP="001643F5">
            <w:pPr>
              <w:rPr>
                <w:sz w:val="24"/>
              </w:rPr>
            </w:pPr>
          </w:p>
        </w:tc>
        <w:sdt>
          <w:sdtPr>
            <w:rPr>
              <w:sz w:val="24"/>
            </w:rPr>
            <w:id w:val="-1760202611"/>
            <w:placeholder>
              <w:docPart w:val="9F42A725A7364C7ABBBB2675CBCC01B8"/>
            </w:placeholder>
          </w:sdtPr>
          <w:sdtEndPr/>
          <w:sdtContent>
            <w:tc>
              <w:tcPr>
                <w:tcW w:w="6353" w:type="dxa"/>
                <w:gridSpan w:val="2"/>
              </w:tcPr>
              <w:p w14:paraId="0B8424A6" w14:textId="253CCD50" w:rsidR="005D189C" w:rsidRDefault="00B02AC0" w:rsidP="001643F5">
                <w:pPr>
                  <w:pStyle w:val="BodyText"/>
                  <w:rPr>
                    <w:sz w:val="24"/>
                  </w:rPr>
                </w:pPr>
                <w:r>
                  <w:rPr>
                    <w:sz w:val="24"/>
                  </w:rPr>
                  <w:t>Yes, although the benefits are unlikely to be realised immediately after implementation.</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rsidP="001643F5">
            <w:pPr>
              <w:rPr>
                <w:rFonts w:cs="Arial"/>
                <w:sz w:val="24"/>
              </w:rPr>
            </w:pPr>
            <w:r>
              <w:rPr>
                <w:rFonts w:cs="Arial"/>
                <w:sz w:val="24"/>
              </w:rPr>
              <w:t>2</w:t>
            </w:r>
          </w:p>
        </w:tc>
        <w:tc>
          <w:tcPr>
            <w:tcW w:w="2691" w:type="dxa"/>
            <w:vMerge w:val="restart"/>
          </w:tcPr>
          <w:p w14:paraId="4235A41F" w14:textId="77777777" w:rsidR="005D189C" w:rsidRPr="00CF795B" w:rsidRDefault="005D189C" w:rsidP="001643F5">
            <w:pPr>
              <w:rPr>
                <w:bCs/>
                <w:sz w:val="24"/>
              </w:rPr>
            </w:pPr>
            <w:r w:rsidRPr="00CF795B">
              <w:rPr>
                <w:sz w:val="24"/>
              </w:rPr>
              <w:t>Do you support the proposed implementation approach?</w:t>
            </w:r>
          </w:p>
        </w:tc>
        <w:tc>
          <w:tcPr>
            <w:tcW w:w="6353" w:type="dxa"/>
            <w:gridSpan w:val="2"/>
          </w:tcPr>
          <w:p w14:paraId="1EE61521" w14:textId="32718C3C" w:rsidR="005D189C" w:rsidRDefault="00E52854" w:rsidP="001643F5">
            <w:pPr>
              <w:rPr>
                <w:rFonts w:cs="Arial"/>
                <w:sz w:val="24"/>
              </w:rPr>
            </w:pPr>
            <w:sdt>
              <w:sdtPr>
                <w:rPr>
                  <w:rFonts w:cs="Arial"/>
                  <w:sz w:val="24"/>
                </w:rPr>
                <w:id w:val="1523353888"/>
                <w14:checkbox>
                  <w14:checked w14:val="1"/>
                  <w14:checkedState w14:val="2612" w14:font="MS Gothic"/>
                  <w14:uncheckedState w14:val="2610" w14:font="MS Gothic"/>
                </w14:checkbox>
              </w:sdtPr>
              <w:sdtEndPr/>
              <w:sdtContent>
                <w:r w:rsidR="00B02AC0">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E52854" w:rsidP="001643F5">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rsidP="001643F5">
            <w:pPr>
              <w:rPr>
                <w:rFonts w:cs="Arial"/>
                <w:sz w:val="24"/>
              </w:rPr>
            </w:pPr>
          </w:p>
        </w:tc>
        <w:tc>
          <w:tcPr>
            <w:tcW w:w="2691" w:type="dxa"/>
            <w:vMerge/>
          </w:tcPr>
          <w:p w14:paraId="784C3AD1" w14:textId="77777777" w:rsidR="005D189C" w:rsidRPr="00CF795B" w:rsidRDefault="005D189C" w:rsidP="001643F5">
            <w:pPr>
              <w:rPr>
                <w:sz w:val="24"/>
              </w:rPr>
            </w:pPr>
          </w:p>
        </w:tc>
        <w:sdt>
          <w:sdtPr>
            <w:rPr>
              <w:rFonts w:cs="Arial"/>
              <w:sz w:val="24"/>
            </w:rPr>
            <w:id w:val="812528405"/>
            <w:placeholder>
              <w:docPart w:val="4C3457F8B5904F61940EED90B43AE02B"/>
            </w:placeholder>
            <w:showingPlcHdr/>
          </w:sdtPr>
          <w:sdtEndPr/>
          <w:sdtContent>
            <w:tc>
              <w:tcPr>
                <w:tcW w:w="6353" w:type="dxa"/>
                <w:gridSpan w:val="2"/>
              </w:tcPr>
              <w:p w14:paraId="1F795166" w14:textId="77777777" w:rsidR="005D189C" w:rsidRDefault="005D189C" w:rsidP="001643F5">
                <w:pPr>
                  <w:rPr>
                    <w:rFonts w:cs="Arial"/>
                    <w:sz w:val="24"/>
                  </w:rPr>
                </w:pPr>
                <w:r w:rsidRPr="004C39B5">
                  <w:rPr>
                    <w:rStyle w:val="PlaceholderText"/>
                  </w:rPr>
                  <w:t>Click or tap here to enter text.</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rsidP="001643F5">
            <w:pPr>
              <w:rPr>
                <w:rFonts w:cs="Arial"/>
                <w:sz w:val="24"/>
              </w:rPr>
            </w:pPr>
            <w:r>
              <w:rPr>
                <w:rFonts w:cs="Arial"/>
                <w:sz w:val="24"/>
              </w:rPr>
              <w:t>3</w:t>
            </w:r>
          </w:p>
        </w:tc>
        <w:tc>
          <w:tcPr>
            <w:tcW w:w="2691" w:type="dxa"/>
          </w:tcPr>
          <w:p w14:paraId="12B90F72" w14:textId="77777777" w:rsidR="005D189C" w:rsidRPr="00CF795B" w:rsidRDefault="005D189C" w:rsidP="001643F5">
            <w:pPr>
              <w:rPr>
                <w:bCs/>
                <w:sz w:val="24"/>
              </w:rPr>
            </w:pPr>
            <w:r w:rsidRPr="00CF795B">
              <w:rPr>
                <w:bCs/>
                <w:sz w:val="24"/>
              </w:rPr>
              <w:t>Do you have any other comments?</w:t>
            </w:r>
          </w:p>
        </w:tc>
        <w:sdt>
          <w:sdtPr>
            <w:rPr>
              <w:rFonts w:cs="Arial"/>
              <w:sz w:val="24"/>
            </w:rPr>
            <w:id w:val="-290751180"/>
            <w:placeholder>
              <w:docPart w:val="85EC6E2E12454AEFADCECA34B5045BF2"/>
            </w:placeholder>
          </w:sdtPr>
          <w:sdtEndPr/>
          <w:sdtContent>
            <w:tc>
              <w:tcPr>
                <w:tcW w:w="6353" w:type="dxa"/>
                <w:gridSpan w:val="2"/>
              </w:tcPr>
              <w:p w14:paraId="60925297" w14:textId="25230822" w:rsidR="005D189C" w:rsidRPr="00CF795B" w:rsidRDefault="00B02AC0" w:rsidP="001643F5">
                <w:pPr>
                  <w:rPr>
                    <w:rFonts w:cs="Arial"/>
                    <w:sz w:val="24"/>
                  </w:rPr>
                </w:pPr>
                <w:r>
                  <w:rPr>
                    <w:rFonts w:cs="Arial"/>
                    <w:sz w:val="24"/>
                  </w:rPr>
                  <w:t>Yes, please see the table provided under Other Comments.</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rsidP="001643F5">
            <w:pPr>
              <w:rPr>
                <w:rFonts w:cs="Arial"/>
                <w:sz w:val="24"/>
              </w:rPr>
            </w:pPr>
            <w:r>
              <w:rPr>
                <w:rFonts w:cs="Arial"/>
                <w:sz w:val="24"/>
              </w:rPr>
              <w:t>4</w:t>
            </w:r>
          </w:p>
        </w:tc>
        <w:tc>
          <w:tcPr>
            <w:tcW w:w="2691" w:type="dxa"/>
            <w:vMerge w:val="restart"/>
          </w:tcPr>
          <w:p w14:paraId="6C11747D" w14:textId="77777777" w:rsidR="005D189C" w:rsidRPr="00A10CD1" w:rsidRDefault="005D189C" w:rsidP="001643F5">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356A46AD" w:rsidR="005D189C" w:rsidRDefault="00E52854" w:rsidP="001643F5">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3" w:history="1">
              <w:r w:rsidR="005D189C" w:rsidRPr="00D135CB">
                <w:rPr>
                  <w:rStyle w:val="Hyperlink"/>
                  <w:rFonts w:cs="Arial"/>
                  <w:sz w:val="16"/>
                  <w:szCs w:val="16"/>
                </w:rPr>
                <w:t>Workgroup Consultation</w:t>
              </w:r>
            </w:hyperlink>
            <w:r w:rsidR="005D189C" w:rsidRPr="00D135CB">
              <w:rPr>
                <w:rFonts w:cs="Arial"/>
                <w:sz w:val="16"/>
                <w:szCs w:val="16"/>
              </w:rPr>
              <w:t xml:space="preserve"> Section</w:t>
            </w:r>
            <w:r w:rsidR="005D189C">
              <w:rPr>
                <w:rFonts w:cs="Arial"/>
                <w:sz w:val="16"/>
                <w:szCs w:val="16"/>
              </w:rPr>
              <w:t>)</w:t>
            </w:r>
          </w:p>
          <w:p w14:paraId="72BA07E2" w14:textId="16A6AA38" w:rsidR="005D189C" w:rsidRPr="00CF795B" w:rsidRDefault="00E52854" w:rsidP="001643F5">
            <w:pPr>
              <w:rPr>
                <w:rFonts w:cs="Arial"/>
                <w:sz w:val="24"/>
              </w:rPr>
            </w:pPr>
            <w:sdt>
              <w:sdtPr>
                <w:rPr>
                  <w:rFonts w:cs="Arial"/>
                  <w:sz w:val="24"/>
                </w:rPr>
                <w:id w:val="1075547356"/>
                <w14:checkbox>
                  <w14:checked w14:val="1"/>
                  <w14:checkedState w14:val="2612" w14:font="MS Gothic"/>
                  <w14:uncheckedState w14:val="2610" w14:font="MS Gothic"/>
                </w14:checkbox>
              </w:sdtPr>
              <w:sdtEndPr/>
              <w:sdtContent>
                <w:r w:rsidR="00B02AC0">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rsidP="001643F5">
            <w:pPr>
              <w:rPr>
                <w:rFonts w:cs="Arial"/>
                <w:sz w:val="24"/>
              </w:rPr>
            </w:pPr>
          </w:p>
        </w:tc>
        <w:tc>
          <w:tcPr>
            <w:tcW w:w="2691" w:type="dxa"/>
            <w:vMerge/>
          </w:tcPr>
          <w:p w14:paraId="45A4B5B9" w14:textId="77777777" w:rsidR="005D189C" w:rsidRPr="00CF795B" w:rsidRDefault="005D189C" w:rsidP="001643F5">
            <w:pPr>
              <w:pStyle w:val="BodyText"/>
              <w:rPr>
                <w:rFonts w:cs="Arial"/>
                <w:sz w:val="24"/>
              </w:rPr>
            </w:pPr>
          </w:p>
        </w:tc>
        <w:sdt>
          <w:sdtPr>
            <w:rPr>
              <w:rFonts w:cs="Arial"/>
              <w:sz w:val="24"/>
            </w:rPr>
            <w:id w:val="-1628392579"/>
            <w:placeholder>
              <w:docPart w:val="DD81F019FF874AA8B0AAFDF284555213"/>
            </w:placeholder>
            <w:showingPlcHdr/>
          </w:sdtPr>
          <w:sdtEndPr/>
          <w:sdtContent>
            <w:tc>
              <w:tcPr>
                <w:tcW w:w="6353" w:type="dxa"/>
                <w:gridSpan w:val="2"/>
              </w:tcPr>
              <w:p w14:paraId="5ADC5FE2" w14:textId="77777777" w:rsidR="005D189C" w:rsidRDefault="005D189C" w:rsidP="001643F5">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rsidP="001643F5">
            <w:pPr>
              <w:rPr>
                <w:rFonts w:cs="Arial"/>
                <w:sz w:val="24"/>
              </w:rPr>
            </w:pPr>
            <w:r>
              <w:rPr>
                <w:rFonts w:cs="Arial"/>
                <w:sz w:val="24"/>
              </w:rPr>
              <w:t>5</w:t>
            </w:r>
          </w:p>
        </w:tc>
        <w:tc>
          <w:tcPr>
            <w:tcW w:w="2691" w:type="dxa"/>
            <w:vMerge w:val="restart"/>
          </w:tcPr>
          <w:p w14:paraId="1D21BFE0" w14:textId="77777777" w:rsidR="005D189C" w:rsidRPr="007A2F7E" w:rsidRDefault="005D189C" w:rsidP="001643F5">
            <w:pPr>
              <w:rPr>
                <w:rFonts w:cs="Arial"/>
                <w:sz w:val="24"/>
              </w:rPr>
            </w:pPr>
            <w:bookmarkStart w:id="1" w:name="_Hlk184210695"/>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bookmarkEnd w:id="1"/>
          </w:p>
        </w:tc>
        <w:tc>
          <w:tcPr>
            <w:tcW w:w="6353" w:type="dxa"/>
            <w:gridSpan w:val="2"/>
          </w:tcPr>
          <w:p w14:paraId="32CAACCC" w14:textId="3EF60F71" w:rsidR="005D189C" w:rsidRDefault="00E52854" w:rsidP="001643F5">
            <w:pPr>
              <w:rPr>
                <w:rFonts w:cs="Arial"/>
                <w:sz w:val="24"/>
              </w:rPr>
            </w:pPr>
            <w:sdt>
              <w:sdtPr>
                <w:rPr>
                  <w:rFonts w:cs="Arial"/>
                  <w:sz w:val="24"/>
                </w:rPr>
                <w:id w:val="-1082061382"/>
                <w14:checkbox>
                  <w14:checked w14:val="1"/>
                  <w14:checkedState w14:val="2612" w14:font="MS Gothic"/>
                  <w14:uncheckedState w14:val="2610" w14:font="MS Gothic"/>
                </w14:checkbox>
              </w:sdtPr>
              <w:sdtEndPr/>
              <w:sdtContent>
                <w:r w:rsidR="00B02AC0">
                  <w:rPr>
                    <w:rFonts w:ascii="MS Gothic" w:eastAsia="MS Gothic" w:hAnsi="MS Gothic" w:cs="Arial" w:hint="eastAsia"/>
                    <w:sz w:val="24"/>
                  </w:rPr>
                  <w:t>☒</w:t>
                </w:r>
              </w:sdtContent>
            </w:sdt>
            <w:r w:rsidR="005D189C">
              <w:rPr>
                <w:rFonts w:cs="Arial"/>
                <w:sz w:val="24"/>
              </w:rPr>
              <w:t>Yes</w:t>
            </w:r>
          </w:p>
          <w:p w14:paraId="2453DF55" w14:textId="77777777" w:rsidR="005D189C" w:rsidRDefault="00E52854" w:rsidP="001643F5">
            <w:pPr>
              <w:rPr>
                <w:rFonts w:cs="Arial"/>
                <w:sz w:val="24"/>
              </w:rPr>
            </w:pPr>
            <w:sdt>
              <w:sdtPr>
                <w:rPr>
                  <w:rFonts w:cs="Arial"/>
                  <w:sz w:val="24"/>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0F7447CE" w14:textId="77777777" w:rsidTr="00E5610A">
        <w:trPr>
          <w:trHeight w:val="600"/>
        </w:trPr>
        <w:tc>
          <w:tcPr>
            <w:tcW w:w="483" w:type="dxa"/>
            <w:vMerge/>
          </w:tcPr>
          <w:p w14:paraId="36106505" w14:textId="77777777" w:rsidR="005D189C" w:rsidRDefault="005D189C" w:rsidP="001643F5">
            <w:pPr>
              <w:rPr>
                <w:rFonts w:cs="Arial"/>
                <w:sz w:val="24"/>
              </w:rPr>
            </w:pPr>
          </w:p>
        </w:tc>
        <w:tc>
          <w:tcPr>
            <w:tcW w:w="2691" w:type="dxa"/>
            <w:vMerge/>
          </w:tcPr>
          <w:p w14:paraId="2E003407" w14:textId="77777777" w:rsidR="005D189C" w:rsidRPr="007A2F7E" w:rsidRDefault="005D189C" w:rsidP="001643F5">
            <w:pPr>
              <w:rPr>
                <w:rFonts w:cs="Arial"/>
                <w:sz w:val="24"/>
              </w:rPr>
            </w:pPr>
          </w:p>
        </w:tc>
        <w:sdt>
          <w:sdtPr>
            <w:rPr>
              <w:rFonts w:cs="Arial"/>
              <w:sz w:val="24"/>
            </w:rPr>
            <w:id w:val="-1780401312"/>
            <w:placeholder>
              <w:docPart w:val="8DFFFC27F72E478980179D9E856ED831"/>
            </w:placeholder>
          </w:sdtPr>
          <w:sdtEndPr/>
          <w:sdtContent>
            <w:tc>
              <w:tcPr>
                <w:tcW w:w="6353" w:type="dxa"/>
                <w:gridSpan w:val="2"/>
              </w:tcPr>
              <w:p w14:paraId="58D8C7C2" w14:textId="32613DC2" w:rsidR="005D189C" w:rsidRDefault="00B02AC0" w:rsidP="001643F5">
                <w:pPr>
                  <w:rPr>
                    <w:rFonts w:cs="Arial"/>
                    <w:sz w:val="24"/>
                  </w:rPr>
                </w:pPr>
                <w:r>
                  <w:rPr>
                    <w:rFonts w:cs="Arial"/>
                    <w:sz w:val="24"/>
                  </w:rPr>
                  <w:t>Several minor typographical errors that require correction are noted.</w:t>
                </w:r>
              </w:p>
            </w:tc>
          </w:sdtContent>
        </w:sdt>
      </w:tr>
      <w:tr w:rsidR="008D395E" w14:paraId="0E65E895" w14:textId="77777777" w:rsidTr="00E5610A">
        <w:trPr>
          <w:trHeight w:val="600"/>
        </w:trPr>
        <w:tc>
          <w:tcPr>
            <w:tcW w:w="483" w:type="dxa"/>
          </w:tcPr>
          <w:p w14:paraId="4CC5B033" w14:textId="422DD681" w:rsidR="008D395E" w:rsidRDefault="008D395E" w:rsidP="008D395E">
            <w:pPr>
              <w:rPr>
                <w:rFonts w:cs="Arial"/>
                <w:sz w:val="24"/>
              </w:rPr>
            </w:pPr>
            <w:r>
              <w:rPr>
                <w:rFonts w:cs="Arial"/>
                <w:sz w:val="24"/>
              </w:rPr>
              <w:t>6</w:t>
            </w:r>
          </w:p>
        </w:tc>
        <w:tc>
          <w:tcPr>
            <w:tcW w:w="2691" w:type="dxa"/>
          </w:tcPr>
          <w:p w14:paraId="5705819F" w14:textId="5128E63D" w:rsidR="008D395E" w:rsidRPr="007A2F7E" w:rsidRDefault="008D395E" w:rsidP="008D395E">
            <w:pPr>
              <w:rPr>
                <w:rFonts w:cs="Arial"/>
                <w:sz w:val="24"/>
              </w:rPr>
            </w:pPr>
            <w:bookmarkStart w:id="2" w:name="_Hlk184213291"/>
            <w:r w:rsidRPr="007A2F7E">
              <w:rPr>
                <w:rFonts w:cs="Arial"/>
                <w:sz w:val="24"/>
              </w:rPr>
              <w:t xml:space="preserve">Do you agree with the Workgroup’s assessment that </w:t>
            </w:r>
            <w:r>
              <w:rPr>
                <w:rFonts w:cs="Arial"/>
                <w:sz w:val="24"/>
              </w:rPr>
              <w:t xml:space="preserve">the </w:t>
            </w:r>
            <w:r w:rsidRPr="00BF2D67">
              <w:rPr>
                <w:rFonts w:cs="Arial"/>
                <w:sz w:val="24"/>
              </w:rPr>
              <w:t>modification</w:t>
            </w:r>
            <w:r w:rsidR="007937C1" w:rsidRPr="00BF2D67">
              <w:rPr>
                <w:rFonts w:cs="Arial"/>
                <w:sz w:val="24"/>
              </w:rPr>
              <w:t xml:space="preserve"> </w:t>
            </w:r>
            <w:bookmarkStart w:id="3" w:name="_Hlk184213312"/>
            <w:r w:rsidRPr="00BF2D67">
              <w:rPr>
                <w:rFonts w:cs="Arial"/>
                <w:sz w:val="24"/>
              </w:rPr>
              <w:t>does not</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Pr="00B07976">
              <w:rPr>
                <w:rFonts w:cs="Arial"/>
                <w:sz w:val="24"/>
              </w:rPr>
              <w:t>Code?</w:t>
            </w:r>
            <w:r w:rsidRPr="007A2F7E">
              <w:rPr>
                <w:rFonts w:cs="Arial"/>
                <w:sz w:val="24"/>
              </w:rPr>
              <w:t xml:space="preserve">   </w:t>
            </w:r>
            <w:bookmarkEnd w:id="2"/>
            <w:bookmarkEnd w:id="3"/>
          </w:p>
        </w:tc>
        <w:tc>
          <w:tcPr>
            <w:tcW w:w="6353" w:type="dxa"/>
            <w:gridSpan w:val="2"/>
          </w:tcPr>
          <w:p w14:paraId="15B5F36D" w14:textId="4893C631" w:rsidR="008D395E" w:rsidRDefault="00E52854" w:rsidP="008D395E">
            <w:pPr>
              <w:rPr>
                <w:rFonts w:cs="Arial"/>
                <w:sz w:val="24"/>
              </w:rPr>
            </w:pPr>
            <w:sdt>
              <w:sdtPr>
                <w:rPr>
                  <w:rFonts w:cs="Arial"/>
                  <w:sz w:val="24"/>
                </w:rPr>
                <w:id w:val="718092493"/>
                <w14:checkbox>
                  <w14:checked w14:val="1"/>
                  <w14:checkedState w14:val="2612" w14:font="MS Gothic"/>
                  <w14:uncheckedState w14:val="2610" w14:font="MS Gothic"/>
                </w14:checkbox>
              </w:sdtPr>
              <w:sdtEndPr/>
              <w:sdtContent>
                <w:r w:rsidR="00B02AC0">
                  <w:rPr>
                    <w:rFonts w:ascii="MS Gothic" w:eastAsia="MS Gothic" w:hAnsi="MS Gothic" w:cs="Arial" w:hint="eastAsia"/>
                    <w:sz w:val="24"/>
                  </w:rPr>
                  <w:t>☒</w:t>
                </w:r>
              </w:sdtContent>
            </w:sdt>
            <w:r w:rsidR="008D395E">
              <w:rPr>
                <w:rFonts w:cs="Arial"/>
                <w:sz w:val="24"/>
              </w:rPr>
              <w:t>Yes</w:t>
            </w:r>
          </w:p>
          <w:p w14:paraId="094A9C96" w14:textId="00486B6D" w:rsidR="008D395E" w:rsidRDefault="00E52854" w:rsidP="008D395E">
            <w:pPr>
              <w:rPr>
                <w:rFonts w:cs="Arial"/>
                <w:sz w:val="24"/>
              </w:rPr>
            </w:pPr>
            <w:sdt>
              <w:sdtPr>
                <w:rPr>
                  <w:rFonts w:cs="Arial"/>
                  <w:sz w:val="24"/>
                </w:rPr>
                <w:id w:val="1852599810"/>
                <w14:checkbox>
                  <w14:checked w14:val="0"/>
                  <w14:checkedState w14:val="2612" w14:font="MS Gothic"/>
                  <w14:uncheckedState w14:val="2610" w14:font="MS Gothic"/>
                </w14:checkbox>
              </w:sdtPr>
              <w:sdtEndPr/>
              <w:sdtContent>
                <w:r w:rsidR="008D395E">
                  <w:rPr>
                    <w:rFonts w:ascii="MS Gothic" w:eastAsia="MS Gothic" w:hAnsi="MS Gothic" w:cs="Arial" w:hint="eastAsia"/>
                    <w:sz w:val="24"/>
                  </w:rPr>
                  <w:t>☐</w:t>
                </w:r>
              </w:sdtContent>
            </w:sdt>
            <w:r w:rsidR="008D395E">
              <w:rPr>
                <w:rFonts w:cs="Arial"/>
                <w:sz w:val="24"/>
              </w:rPr>
              <w:t>No</w:t>
            </w:r>
          </w:p>
        </w:tc>
      </w:tr>
    </w:tbl>
    <w:p w14:paraId="7AF353A5" w14:textId="77777777" w:rsidR="005D189C" w:rsidRDefault="005D189C" w:rsidP="005D189C">
      <w:pPr>
        <w:pStyle w:val="BodyText"/>
        <w:ind w:right="-97"/>
        <w:rPr>
          <w:b/>
          <w:sz w:val="24"/>
        </w:rPr>
      </w:pPr>
    </w:p>
    <w:p w14:paraId="51D69907" w14:textId="77777777" w:rsidR="00894FA2" w:rsidRDefault="00894FA2" w:rsidP="005D189C">
      <w:pPr>
        <w:pStyle w:val="BodyText"/>
        <w:ind w:right="-97"/>
        <w:rPr>
          <w:b/>
          <w:sz w:val="24"/>
        </w:rPr>
      </w:pPr>
    </w:p>
    <w:p w14:paraId="5934B3F3" w14:textId="77777777" w:rsidR="00894FA2" w:rsidRDefault="00894FA2" w:rsidP="6A9F20CB">
      <w:pPr>
        <w:pStyle w:val="BodyText"/>
        <w:ind w:right="-97"/>
        <w:rPr>
          <w:b/>
          <w:sz w:val="24"/>
        </w:rPr>
      </w:pPr>
    </w:p>
    <w:p w14:paraId="68F75057" w14:textId="674EF15F" w:rsidR="6A9F20CB"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2671"/>
        <w:gridCol w:w="6239"/>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335568">
        <w:trPr>
          <w:trHeight w:val="264"/>
        </w:trPr>
        <w:tc>
          <w:tcPr>
            <w:tcW w:w="617" w:type="dxa"/>
          </w:tcPr>
          <w:p w14:paraId="5D5303E0" w14:textId="7579CA24" w:rsidR="005D189C" w:rsidRPr="00CF795B" w:rsidRDefault="007937C1" w:rsidP="001643F5">
            <w:pPr>
              <w:rPr>
                <w:rFonts w:cs="Arial"/>
                <w:sz w:val="24"/>
              </w:rPr>
            </w:pPr>
            <w:r>
              <w:rPr>
                <w:rFonts w:cs="Arial"/>
                <w:sz w:val="24"/>
              </w:rPr>
              <w:t>7</w:t>
            </w:r>
          </w:p>
        </w:tc>
        <w:tc>
          <w:tcPr>
            <w:tcW w:w="2671" w:type="dxa"/>
          </w:tcPr>
          <w:p w14:paraId="54C8904D" w14:textId="6F09B7FC" w:rsidR="005D189C" w:rsidRPr="00CF795B" w:rsidRDefault="00D135CB" w:rsidP="001643F5">
            <w:pPr>
              <w:rPr>
                <w:rFonts w:cs="Arial"/>
                <w:bCs/>
                <w:sz w:val="24"/>
              </w:rPr>
            </w:pPr>
            <w:r w:rsidRPr="00D135CB">
              <w:rPr>
                <w:rFonts w:cs="Arial"/>
                <w:bCs/>
                <w:sz w:val="24"/>
              </w:rPr>
              <w:t>Do you agree that Option 4 represents to the best solution to providing an enhanced data exchange without a significant increase in the number of forecasting schedules exchanged</w:t>
            </w:r>
            <w:r>
              <w:rPr>
                <w:rFonts w:cs="Arial"/>
                <w:bCs/>
                <w:sz w:val="24"/>
              </w:rPr>
              <w:t>?</w:t>
            </w:r>
          </w:p>
        </w:tc>
        <w:sdt>
          <w:sdtPr>
            <w:rPr>
              <w:sz w:val="24"/>
            </w:rPr>
            <w:id w:val="1288306168"/>
            <w:placeholder>
              <w:docPart w:val="CB76363D310145CFA8AFCB8772B0E0AD"/>
            </w:placeholder>
          </w:sdtPr>
          <w:sdtEndPr/>
          <w:sdtContent>
            <w:tc>
              <w:tcPr>
                <w:tcW w:w="6239" w:type="dxa"/>
              </w:tcPr>
              <w:p w14:paraId="2D54B157" w14:textId="682FA246" w:rsidR="005D189C" w:rsidRPr="00881C25" w:rsidRDefault="00B02AC0" w:rsidP="001643F5">
                <w:pPr>
                  <w:pStyle w:val="BodyText"/>
                  <w:rPr>
                    <w:sz w:val="24"/>
                    <w:szCs w:val="24"/>
                  </w:rPr>
                </w:pPr>
                <w:r w:rsidRPr="004B72BC">
                  <w:rPr>
                    <w:rStyle w:val="PlaceholderText"/>
                    <w:color w:val="auto"/>
                    <w:sz w:val="24"/>
                    <w:szCs w:val="24"/>
                  </w:rPr>
                  <w:t xml:space="preserve">Yes, although </w:t>
                </w:r>
                <w:r w:rsidR="00427E5E" w:rsidRPr="004B72BC">
                  <w:rPr>
                    <w:rStyle w:val="PlaceholderText"/>
                    <w:color w:val="auto"/>
                    <w:sz w:val="24"/>
                    <w:szCs w:val="24"/>
                  </w:rPr>
                  <w:t>NESO and/or TOs may wish some Network Operators to provide BSP demand (option 1) in certain cases. This could be where the behaviour of sub-transmission and transmission systems are highly dependent on each other.</w:t>
                </w:r>
                <w:r w:rsidR="00881C25">
                  <w:rPr>
                    <w:rStyle w:val="PlaceholderText"/>
                    <w:color w:val="auto"/>
                    <w:sz w:val="24"/>
                    <w:szCs w:val="24"/>
                  </w:rPr>
                  <w:t xml:space="preserve"> This appears to be provided for in </w:t>
                </w:r>
                <w:r w:rsidR="00881C25" w:rsidRPr="00881C25">
                  <w:rPr>
                    <w:rStyle w:val="PlaceholderText"/>
                    <w:color w:val="auto"/>
                    <w:sz w:val="24"/>
                    <w:szCs w:val="24"/>
                  </w:rPr>
                  <w:t>PC.9.3.1</w:t>
                </w:r>
                <w:r w:rsidR="00881C25">
                  <w:rPr>
                    <w:rStyle w:val="PlaceholderText"/>
                    <w:color w:val="auto"/>
                    <w:sz w:val="24"/>
                    <w:szCs w:val="24"/>
                  </w:rPr>
                  <w:t>.</w:t>
                </w:r>
              </w:p>
            </w:tc>
          </w:sdtContent>
        </w:sdt>
      </w:tr>
      <w:tr w:rsidR="005D189C" w:rsidRPr="00CF795B" w14:paraId="3B076C9A" w14:textId="77777777" w:rsidTr="00335568">
        <w:trPr>
          <w:trHeight w:val="264"/>
        </w:trPr>
        <w:tc>
          <w:tcPr>
            <w:tcW w:w="617" w:type="dxa"/>
          </w:tcPr>
          <w:p w14:paraId="7732A4CB" w14:textId="65D51713" w:rsidR="005D189C" w:rsidRPr="00335568" w:rsidRDefault="00335568" w:rsidP="001643F5">
            <w:pPr>
              <w:rPr>
                <w:rFonts w:cs="Arial"/>
                <w:strike/>
                <w:sz w:val="24"/>
              </w:rPr>
            </w:pPr>
            <w:r w:rsidRPr="00335568">
              <w:rPr>
                <w:rFonts w:cs="Arial"/>
                <w:sz w:val="24"/>
              </w:rPr>
              <w:t>8</w:t>
            </w:r>
          </w:p>
        </w:tc>
        <w:tc>
          <w:tcPr>
            <w:tcW w:w="2671" w:type="dxa"/>
          </w:tcPr>
          <w:p w14:paraId="6CE8E7F8" w14:textId="618A6463" w:rsidR="005D189C" w:rsidRPr="00CF795B" w:rsidRDefault="00D135CB" w:rsidP="001643F5">
            <w:pPr>
              <w:rPr>
                <w:bCs/>
                <w:sz w:val="24"/>
              </w:rPr>
            </w:pPr>
            <w:r w:rsidRPr="00D135CB">
              <w:rPr>
                <w:bCs/>
                <w:sz w:val="24"/>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r>
              <w:rPr>
                <w:bCs/>
                <w:sz w:val="24"/>
              </w:rPr>
              <w:t>?</w:t>
            </w:r>
          </w:p>
        </w:tc>
        <w:sdt>
          <w:sdtPr>
            <w:rPr>
              <w:rFonts w:cs="Arial"/>
              <w:sz w:val="24"/>
            </w:rPr>
            <w:id w:val="1898010333"/>
            <w:placeholder>
              <w:docPart w:val="CB76363D310145CFA8AFCB8772B0E0AD"/>
            </w:placeholder>
          </w:sdtPr>
          <w:sdtEndPr/>
          <w:sdtContent>
            <w:tc>
              <w:tcPr>
                <w:tcW w:w="6239" w:type="dxa"/>
              </w:tcPr>
              <w:p w14:paraId="3E180869" w14:textId="4FBB29C6" w:rsidR="005D189C" w:rsidRPr="00CF795B" w:rsidRDefault="004B72BC" w:rsidP="001643F5">
                <w:pPr>
                  <w:rPr>
                    <w:rFonts w:cs="Arial"/>
                    <w:sz w:val="24"/>
                  </w:rPr>
                </w:pPr>
                <w:r>
                  <w:rPr>
                    <w:rFonts w:cs="Arial"/>
                    <w:sz w:val="24"/>
                  </w:rPr>
                  <w:t>Yes, I agree there is a risk but it is marginal and can be effectively managed with ad-hoc data exchanges, where necessary.</w:t>
                </w:r>
              </w:p>
            </w:tc>
          </w:sdtContent>
        </w:sdt>
      </w:tr>
      <w:tr w:rsidR="005D189C" w:rsidRPr="00CF795B" w14:paraId="30DF5FD4" w14:textId="77777777" w:rsidTr="00335568">
        <w:trPr>
          <w:trHeight w:val="264"/>
        </w:trPr>
        <w:tc>
          <w:tcPr>
            <w:tcW w:w="617" w:type="dxa"/>
          </w:tcPr>
          <w:p w14:paraId="26DE1C39" w14:textId="26B989A7" w:rsidR="005D189C" w:rsidRPr="00335568" w:rsidRDefault="00335568" w:rsidP="001643F5">
            <w:pPr>
              <w:rPr>
                <w:rFonts w:cs="Arial"/>
                <w:sz w:val="24"/>
              </w:rPr>
            </w:pPr>
            <w:r w:rsidRPr="00335568">
              <w:rPr>
                <w:rFonts w:cs="Arial"/>
                <w:sz w:val="24"/>
              </w:rPr>
              <w:t>9</w:t>
            </w:r>
          </w:p>
        </w:tc>
        <w:tc>
          <w:tcPr>
            <w:tcW w:w="2671" w:type="dxa"/>
          </w:tcPr>
          <w:p w14:paraId="31ED8D1A" w14:textId="16DE96EF" w:rsidR="005D189C" w:rsidRPr="00CF795B" w:rsidRDefault="00D135CB" w:rsidP="001643F5">
            <w:pPr>
              <w:rPr>
                <w:bCs/>
                <w:sz w:val="24"/>
              </w:rPr>
            </w:pPr>
            <w:r w:rsidRPr="00D135CB">
              <w:rPr>
                <w:bCs/>
                <w:sz w:val="24"/>
              </w:rPr>
              <w:t xml:space="preserve">This modification proposal relates to annual planning data exchanges only. The provision of data to support a new connection (PC.4) will remain unchanged and not directly supported with CIM models. This is </w:t>
            </w:r>
            <w:r w:rsidRPr="00D135CB">
              <w:rPr>
                <w:bCs/>
                <w:sz w:val="24"/>
              </w:rPr>
              <w:lastRenderedPageBreak/>
              <w:t>because the data requirements within PC.4 are not covered by CGMES v3 and would require significant extensions not justified by the benefits. Do you agree with this position of the Workgroup</w:t>
            </w:r>
            <w:r>
              <w:rPr>
                <w:bCs/>
                <w:sz w:val="24"/>
              </w:rPr>
              <w:t>?</w:t>
            </w:r>
          </w:p>
        </w:tc>
        <w:sdt>
          <w:sdtPr>
            <w:rPr>
              <w:rFonts w:cs="Arial"/>
              <w:sz w:val="24"/>
            </w:rPr>
            <w:id w:val="-1609494894"/>
            <w:placeholder>
              <w:docPart w:val="CB76363D310145CFA8AFCB8772B0E0AD"/>
            </w:placeholder>
          </w:sdtPr>
          <w:sdtEndPr/>
          <w:sdtContent>
            <w:tc>
              <w:tcPr>
                <w:tcW w:w="6239" w:type="dxa"/>
              </w:tcPr>
              <w:p w14:paraId="014AE27C" w14:textId="39358B3F" w:rsidR="005D189C" w:rsidRPr="00CF795B" w:rsidRDefault="00F9574E" w:rsidP="001643F5">
                <w:pPr>
                  <w:rPr>
                    <w:rFonts w:cs="Arial"/>
                    <w:sz w:val="24"/>
                  </w:rPr>
                </w:pPr>
                <w:r>
                  <w:rPr>
                    <w:rFonts w:cs="Arial"/>
                    <w:sz w:val="24"/>
                  </w:rPr>
                  <w:t>Yes, in principle.</w:t>
                </w:r>
              </w:p>
            </w:tc>
          </w:sdtContent>
        </w:sdt>
      </w:tr>
      <w:tr w:rsidR="00335568" w:rsidRPr="00CF795B" w14:paraId="1B0A8A3E" w14:textId="77777777" w:rsidTr="00335568">
        <w:trPr>
          <w:trHeight w:val="264"/>
        </w:trPr>
        <w:tc>
          <w:tcPr>
            <w:tcW w:w="617" w:type="dxa"/>
          </w:tcPr>
          <w:p w14:paraId="17F9DDD5" w14:textId="39E38DF5" w:rsidR="00335568" w:rsidRPr="00335568" w:rsidRDefault="00335568" w:rsidP="00592539">
            <w:pPr>
              <w:rPr>
                <w:rFonts w:cs="Arial"/>
                <w:color w:val="FF0000"/>
                <w:sz w:val="24"/>
              </w:rPr>
            </w:pPr>
            <w:r>
              <w:rPr>
                <w:rFonts w:cs="Arial"/>
                <w:color w:val="FF0000"/>
                <w:sz w:val="24"/>
              </w:rPr>
              <w:t>10</w:t>
            </w:r>
          </w:p>
        </w:tc>
        <w:tc>
          <w:tcPr>
            <w:tcW w:w="2671" w:type="dxa"/>
          </w:tcPr>
          <w:p w14:paraId="67BFFE2E" w14:textId="394FD829" w:rsidR="00335568" w:rsidRPr="00335568" w:rsidRDefault="00335568" w:rsidP="00592539">
            <w:pPr>
              <w:rPr>
                <w:rFonts w:cs="Arial"/>
                <w:bCs/>
                <w:color w:val="FF0000"/>
                <w:sz w:val="24"/>
              </w:rPr>
            </w:pPr>
            <w:r w:rsidRPr="00335568">
              <w:rPr>
                <w:rFonts w:cs="Arial"/>
                <w:bCs/>
                <w:color w:val="FF0000"/>
                <w:sz w:val="24"/>
              </w:rPr>
              <w:t>Is the delivery timescale of January 2026 to transition to a CIM data exchange methodology reasonable and practically achievable?</w:t>
            </w:r>
          </w:p>
        </w:tc>
        <w:tc>
          <w:tcPr>
            <w:tcW w:w="6239" w:type="dxa"/>
          </w:tcPr>
          <w:p w14:paraId="2EC9E64A" w14:textId="555D89E9" w:rsidR="00F9574E" w:rsidRDefault="00F9574E" w:rsidP="00592539">
            <w:pPr>
              <w:pStyle w:val="BodyText"/>
              <w:rPr>
                <w:sz w:val="24"/>
              </w:rPr>
            </w:pPr>
            <w:bookmarkStart w:id="4" w:name="_Hlk188370289"/>
            <w:r>
              <w:rPr>
                <w:sz w:val="24"/>
              </w:rPr>
              <w:t>We feel it important to highlight that Network Operators’ ability to implement the CIM data exchange methodology</w:t>
            </w:r>
            <w:r w:rsidR="000969A1">
              <w:rPr>
                <w:sz w:val="24"/>
              </w:rPr>
              <w:t>,</w:t>
            </w:r>
            <w:r>
              <w:rPr>
                <w:sz w:val="24"/>
              </w:rPr>
              <w:t xml:space="preserve"> specified in GC0139</w:t>
            </w:r>
            <w:r w:rsidR="000969A1">
              <w:rPr>
                <w:sz w:val="24"/>
              </w:rPr>
              <w:t>,</w:t>
            </w:r>
            <w:r>
              <w:rPr>
                <w:sz w:val="24"/>
              </w:rPr>
              <w:t xml:space="preserve"> is </w:t>
            </w:r>
            <w:r w:rsidR="005C231B">
              <w:rPr>
                <w:sz w:val="24"/>
              </w:rPr>
              <w:t>critically</w:t>
            </w:r>
            <w:r>
              <w:rPr>
                <w:sz w:val="24"/>
              </w:rPr>
              <w:t xml:space="preserve"> dependent on suitable implementations being made available by software vendors</w:t>
            </w:r>
            <w:r w:rsidR="00EC5689">
              <w:rPr>
                <w:sz w:val="24"/>
              </w:rPr>
              <w:t xml:space="preserve"> sufficiently </w:t>
            </w:r>
            <w:r w:rsidR="000969A1">
              <w:rPr>
                <w:sz w:val="24"/>
              </w:rPr>
              <w:t>in advance of the implementation deadline.</w:t>
            </w:r>
            <w:r w:rsidR="00E32F58">
              <w:rPr>
                <w:sz w:val="24"/>
              </w:rPr>
              <w:t xml:space="preserve"> We request the following be considered and inform a revised implementation date.</w:t>
            </w:r>
            <w:bookmarkEnd w:id="4"/>
          </w:p>
          <w:p w14:paraId="513C8D51" w14:textId="12768BDB" w:rsidR="00AB2EB6" w:rsidRPr="00AB2EB6" w:rsidRDefault="00AB2EB6" w:rsidP="00592539">
            <w:pPr>
              <w:pStyle w:val="BodyText"/>
              <w:rPr>
                <w:b/>
                <w:bCs/>
                <w:sz w:val="24"/>
                <w:u w:val="single"/>
              </w:rPr>
            </w:pPr>
            <w:r>
              <w:rPr>
                <w:b/>
                <w:bCs/>
                <w:sz w:val="24"/>
                <w:u w:val="single"/>
              </w:rPr>
              <w:t>GB-CIM Implementations</w:t>
            </w:r>
          </w:p>
          <w:p w14:paraId="21B47156" w14:textId="56AE8C31" w:rsidR="00F54516" w:rsidRDefault="00F54516" w:rsidP="000969A1">
            <w:pPr>
              <w:pStyle w:val="BodyText"/>
              <w:rPr>
                <w:sz w:val="24"/>
              </w:rPr>
            </w:pPr>
            <w:r>
              <w:rPr>
                <w:sz w:val="24"/>
              </w:rPr>
              <w:t>W</w:t>
            </w:r>
            <w:r w:rsidR="00F9574E">
              <w:rPr>
                <w:sz w:val="24"/>
              </w:rPr>
              <w:t xml:space="preserve">e are aware of </w:t>
            </w:r>
            <w:r>
              <w:rPr>
                <w:sz w:val="24"/>
              </w:rPr>
              <w:t xml:space="preserve">only </w:t>
            </w:r>
            <w:r w:rsidR="00F9574E">
              <w:rPr>
                <w:sz w:val="24"/>
              </w:rPr>
              <w:t xml:space="preserve">three software vendors </w:t>
            </w:r>
            <w:r w:rsidR="0077518F">
              <w:rPr>
                <w:sz w:val="24"/>
              </w:rPr>
              <w:t>having</w:t>
            </w:r>
            <w:r w:rsidR="00F9574E">
              <w:rPr>
                <w:sz w:val="24"/>
              </w:rPr>
              <w:t xml:space="preserve"> </w:t>
            </w:r>
            <w:r>
              <w:rPr>
                <w:sz w:val="24"/>
              </w:rPr>
              <w:t xml:space="preserve">started to </w:t>
            </w:r>
            <w:r w:rsidR="00F9574E">
              <w:rPr>
                <w:sz w:val="24"/>
              </w:rPr>
              <w:t>implement</w:t>
            </w:r>
            <w:r>
              <w:rPr>
                <w:sz w:val="24"/>
              </w:rPr>
              <w:t xml:space="preserve"> </w:t>
            </w:r>
            <w:r w:rsidR="00F9574E">
              <w:rPr>
                <w:sz w:val="24"/>
              </w:rPr>
              <w:t xml:space="preserve">support for GB CIM. </w:t>
            </w:r>
            <w:r>
              <w:rPr>
                <w:sz w:val="24"/>
              </w:rPr>
              <w:t xml:space="preserve">These </w:t>
            </w:r>
            <w:r w:rsidR="000969A1">
              <w:rPr>
                <w:sz w:val="24"/>
              </w:rPr>
              <w:t>implementations are still in active development</w:t>
            </w:r>
            <w:r>
              <w:rPr>
                <w:sz w:val="24"/>
              </w:rPr>
              <w:t xml:space="preserve"> and may not support all the required CIM layers/profiles by the proposed GC0139 implementation deadline.</w:t>
            </w:r>
          </w:p>
          <w:p w14:paraId="01452373" w14:textId="35839116" w:rsidR="009969C3" w:rsidRDefault="009969C3" w:rsidP="000969A1">
            <w:pPr>
              <w:pStyle w:val="BodyText"/>
              <w:rPr>
                <w:sz w:val="24"/>
              </w:rPr>
            </w:pPr>
            <w:r>
              <w:rPr>
                <w:sz w:val="24"/>
              </w:rPr>
              <w:t xml:space="preserve">Additionally, support for GB-CIM will be required in software familiar to the Network Operators, and with sufficient time for them to </w:t>
            </w:r>
            <w:r w:rsidRPr="009969C3">
              <w:rPr>
                <w:sz w:val="24"/>
              </w:rPr>
              <w:t xml:space="preserve">implement the necessary internal data and processes to support the </w:t>
            </w:r>
            <w:r>
              <w:rPr>
                <w:sz w:val="24"/>
              </w:rPr>
              <w:t xml:space="preserve">GC0139 </w:t>
            </w:r>
            <w:r w:rsidRPr="009969C3">
              <w:rPr>
                <w:sz w:val="24"/>
              </w:rPr>
              <w:t>CIM data exchange methodology</w:t>
            </w:r>
            <w:r>
              <w:rPr>
                <w:sz w:val="24"/>
              </w:rPr>
              <w:t>.</w:t>
            </w:r>
          </w:p>
          <w:p w14:paraId="0B5F764B" w14:textId="33A29DAD" w:rsidR="009969C3" w:rsidRDefault="009969C3" w:rsidP="000969A1">
            <w:pPr>
              <w:pStyle w:val="BodyText"/>
              <w:rPr>
                <w:sz w:val="24"/>
              </w:rPr>
            </w:pPr>
            <w:r>
              <w:rPr>
                <w:sz w:val="24"/>
              </w:rPr>
              <w:t xml:space="preserve">Therefore, we recommend engaging relevant software vendors to establish their GB-CIM implementation timescales, and for this to </w:t>
            </w:r>
            <w:r w:rsidR="00D61BAD">
              <w:rPr>
                <w:sz w:val="24"/>
              </w:rPr>
              <w:t xml:space="preserve">inform a suitable </w:t>
            </w:r>
            <w:r>
              <w:rPr>
                <w:sz w:val="24"/>
              </w:rPr>
              <w:t>GC0139 implementation deadline.</w:t>
            </w:r>
          </w:p>
          <w:p w14:paraId="21707651" w14:textId="4D2639A6" w:rsidR="00F54516" w:rsidRPr="009969C3" w:rsidRDefault="009969C3" w:rsidP="000969A1">
            <w:pPr>
              <w:pStyle w:val="BodyText"/>
              <w:rPr>
                <w:b/>
                <w:bCs/>
                <w:sz w:val="24"/>
                <w:u w:val="single"/>
              </w:rPr>
            </w:pPr>
            <w:r w:rsidRPr="009969C3">
              <w:rPr>
                <w:b/>
                <w:bCs/>
                <w:sz w:val="24"/>
                <w:u w:val="single"/>
              </w:rPr>
              <w:t>GB-CIM Interoperability</w:t>
            </w:r>
          </w:p>
          <w:p w14:paraId="11E557AE" w14:textId="171BC259" w:rsidR="009969C3" w:rsidRDefault="009969C3" w:rsidP="009969C3">
            <w:pPr>
              <w:pStyle w:val="BodyText"/>
              <w:rPr>
                <w:sz w:val="24"/>
              </w:rPr>
            </w:pPr>
            <w:r>
              <w:rPr>
                <w:sz w:val="24"/>
              </w:rPr>
              <w:t xml:space="preserve">Interoperability of GB-CIM files has proven challenging due to software vendors’ different interpretations of GB-CIM, and of the underlying CGMES 3.0 standard. </w:t>
            </w:r>
          </w:p>
          <w:p w14:paraId="106F70B3" w14:textId="1EFB7C9E" w:rsidR="009969C3" w:rsidRDefault="009969C3" w:rsidP="009969C3">
            <w:pPr>
              <w:pStyle w:val="BodyText"/>
              <w:rPr>
                <w:sz w:val="24"/>
              </w:rPr>
            </w:pPr>
            <w:r>
              <w:rPr>
                <w:sz w:val="24"/>
              </w:rPr>
              <w:t xml:space="preserve">Establishment of a governing body for GB-CIM is seen to be crucial in overcoming these challenges, as </w:t>
            </w:r>
            <w:r>
              <w:rPr>
                <w:sz w:val="24"/>
              </w:rPr>
              <w:lastRenderedPageBreak/>
              <w:t>highlighted by the consultation document and LTDS CIM and Technical CIM Working Groups.</w:t>
            </w:r>
          </w:p>
          <w:p w14:paraId="4B8727B1" w14:textId="7946232F" w:rsidR="0022412C" w:rsidRDefault="00B06B53" w:rsidP="00B06B53">
            <w:pPr>
              <w:pStyle w:val="BodyText"/>
              <w:rPr>
                <w:sz w:val="24"/>
              </w:rPr>
            </w:pPr>
            <w:r>
              <w:rPr>
                <w:sz w:val="24"/>
              </w:rPr>
              <w:t>Whilst effort is currently being made to establish a governing body for GB-CIM, it may come with insufficient time to provide software vendors the time needed to amend their GB-CIM implementations and ensure interoperability.</w:t>
            </w:r>
          </w:p>
        </w:tc>
      </w:tr>
      <w:tr w:rsidR="00335568" w:rsidRPr="00CF795B" w14:paraId="4AB1E0D2" w14:textId="77777777" w:rsidTr="00335568">
        <w:trPr>
          <w:trHeight w:val="264"/>
        </w:trPr>
        <w:tc>
          <w:tcPr>
            <w:tcW w:w="617" w:type="dxa"/>
          </w:tcPr>
          <w:p w14:paraId="2AA54F86" w14:textId="53410302" w:rsidR="00335568" w:rsidRPr="00335568" w:rsidRDefault="00335568" w:rsidP="00592539">
            <w:pPr>
              <w:rPr>
                <w:rFonts w:cs="Arial"/>
                <w:color w:val="FF0000"/>
                <w:sz w:val="24"/>
              </w:rPr>
            </w:pPr>
            <w:r>
              <w:rPr>
                <w:rFonts w:cs="Arial"/>
                <w:color w:val="FF0000"/>
                <w:sz w:val="24"/>
              </w:rPr>
              <w:lastRenderedPageBreak/>
              <w:t>11</w:t>
            </w:r>
          </w:p>
        </w:tc>
        <w:tc>
          <w:tcPr>
            <w:tcW w:w="2671" w:type="dxa"/>
          </w:tcPr>
          <w:p w14:paraId="22E88D4A" w14:textId="7B03FEAC" w:rsidR="00335568" w:rsidRPr="00335568" w:rsidRDefault="00335568" w:rsidP="00592539">
            <w:pPr>
              <w:rPr>
                <w:rFonts w:cs="Arial"/>
                <w:bCs/>
                <w:color w:val="FF0000"/>
                <w:sz w:val="24"/>
              </w:rPr>
            </w:pPr>
            <w:r w:rsidRPr="00335568">
              <w:rPr>
                <w:rFonts w:cs="Arial"/>
                <w:bCs/>
                <w:color w:val="FF0000"/>
                <w:sz w:val="24"/>
              </w:rPr>
              <w:t>Do you envisage that any costs would be incurred to implement these proposals over and above any changes associated with implementing other CIM data exchanges and those associated with the existing data exchanges?</w:t>
            </w:r>
          </w:p>
        </w:tc>
        <w:tc>
          <w:tcPr>
            <w:tcW w:w="6239" w:type="dxa"/>
          </w:tcPr>
          <w:p w14:paraId="5A5AA460" w14:textId="37D31AAD" w:rsidR="00335568" w:rsidRDefault="00E10D12" w:rsidP="00592539">
            <w:pPr>
              <w:pStyle w:val="BodyText"/>
              <w:rPr>
                <w:sz w:val="24"/>
              </w:rPr>
            </w:pPr>
            <w:r>
              <w:rPr>
                <w:sz w:val="24"/>
              </w:rPr>
              <w:t xml:space="preserve">GC0139 proposes </w:t>
            </w:r>
            <w:r w:rsidRPr="00E10D12">
              <w:rPr>
                <w:sz w:val="24"/>
              </w:rPr>
              <w:t>Network Operators and NESO</w:t>
            </w:r>
            <w:r>
              <w:rPr>
                <w:sz w:val="24"/>
              </w:rPr>
              <w:t xml:space="preserve"> exchange </w:t>
            </w:r>
            <w:r w:rsidRPr="00E10D12">
              <w:rPr>
                <w:sz w:val="24"/>
              </w:rPr>
              <w:t>enhanced level</w:t>
            </w:r>
            <w:r>
              <w:rPr>
                <w:sz w:val="24"/>
              </w:rPr>
              <w:t>s</w:t>
            </w:r>
            <w:r w:rsidRPr="00E10D12">
              <w:rPr>
                <w:sz w:val="24"/>
              </w:rPr>
              <w:t xml:space="preserve"> of planning data</w:t>
            </w:r>
            <w:r>
              <w:rPr>
                <w:sz w:val="24"/>
              </w:rPr>
              <w:t>. Whilst most of this data may be available or captured as part of existing business processes, some of the enhanced data will be specific to GC0139 and will require modification and extension of existing business processes.</w:t>
            </w:r>
          </w:p>
          <w:p w14:paraId="4E811FE8" w14:textId="0C9503C9" w:rsidR="00E10D12" w:rsidRDefault="00E10D12" w:rsidP="00592539">
            <w:pPr>
              <w:pStyle w:val="BodyText"/>
              <w:rPr>
                <w:sz w:val="24"/>
              </w:rPr>
            </w:pPr>
          </w:p>
        </w:tc>
      </w:tr>
    </w:tbl>
    <w:p w14:paraId="5FDDB72D" w14:textId="4B2B84FE" w:rsidR="00F4613D" w:rsidRDefault="00F4613D" w:rsidP="1058F1FE">
      <w:pPr>
        <w:ind w:right="-97"/>
        <w:rPr>
          <w:b/>
          <w:bCs/>
          <w:sz w:val="24"/>
          <w:szCs w:val="24"/>
        </w:rPr>
      </w:pPr>
    </w:p>
    <w:p w14:paraId="1FCAD4DC" w14:textId="77777777" w:rsidR="007E54EA" w:rsidRDefault="007E54EA">
      <w:pPr>
        <w:spacing w:after="120" w:line="240" w:lineRule="auto"/>
        <w:rPr>
          <w:b/>
          <w:bCs/>
          <w:sz w:val="24"/>
          <w:szCs w:val="24"/>
        </w:rPr>
      </w:pPr>
      <w:r>
        <w:rPr>
          <w:b/>
          <w:bCs/>
          <w:sz w:val="24"/>
          <w:szCs w:val="24"/>
        </w:rPr>
        <w:br w:type="page"/>
      </w:r>
    </w:p>
    <w:p w14:paraId="5F99F2B7" w14:textId="75D8F8B9" w:rsidR="006B77C8" w:rsidRDefault="006B77C8" w:rsidP="1058F1FE">
      <w:pPr>
        <w:ind w:right="-97"/>
        <w:rPr>
          <w:b/>
          <w:bCs/>
          <w:sz w:val="24"/>
          <w:szCs w:val="24"/>
        </w:rPr>
      </w:pPr>
      <w:r>
        <w:rPr>
          <w:b/>
          <w:bCs/>
          <w:sz w:val="24"/>
          <w:szCs w:val="24"/>
        </w:rPr>
        <w:lastRenderedPageBreak/>
        <w:t>Other Comments</w:t>
      </w:r>
    </w:p>
    <w:tbl>
      <w:tblPr>
        <w:tblStyle w:val="TableGrid"/>
        <w:tblW w:w="0" w:type="auto"/>
        <w:tblLook w:val="04A0" w:firstRow="1" w:lastRow="0" w:firstColumn="1" w:lastColumn="0" w:noHBand="0" w:noVBand="1"/>
      </w:tblPr>
      <w:tblGrid>
        <w:gridCol w:w="1166"/>
        <w:gridCol w:w="1584"/>
        <w:gridCol w:w="1465"/>
        <w:gridCol w:w="3056"/>
        <w:gridCol w:w="2465"/>
      </w:tblGrid>
      <w:tr w:rsidR="007E54EA" w14:paraId="37679F66" w14:textId="77777777" w:rsidTr="005D06BC">
        <w:tc>
          <w:tcPr>
            <w:tcW w:w="1166" w:type="dxa"/>
            <w:shd w:val="clear" w:color="auto" w:fill="70E85E" w:themeFill="accent6"/>
          </w:tcPr>
          <w:p w14:paraId="0893A29A" w14:textId="57238D50" w:rsidR="007E54EA" w:rsidRDefault="007E54EA" w:rsidP="1058F1FE">
            <w:pPr>
              <w:ind w:right="-97"/>
              <w:rPr>
                <w:b/>
                <w:bCs/>
                <w:sz w:val="24"/>
                <w:szCs w:val="24"/>
              </w:rPr>
            </w:pPr>
            <w:r>
              <w:rPr>
                <w:b/>
                <w:bCs/>
                <w:sz w:val="24"/>
                <w:szCs w:val="24"/>
              </w:rPr>
              <w:t>Annex</w:t>
            </w:r>
          </w:p>
        </w:tc>
        <w:tc>
          <w:tcPr>
            <w:tcW w:w="1584" w:type="dxa"/>
            <w:shd w:val="clear" w:color="auto" w:fill="70E85E" w:themeFill="accent6"/>
          </w:tcPr>
          <w:p w14:paraId="1A4FEFE9" w14:textId="3CC5BA94" w:rsidR="007E54EA" w:rsidRDefault="007E54EA" w:rsidP="1058F1FE">
            <w:pPr>
              <w:ind w:right="-97"/>
              <w:rPr>
                <w:b/>
                <w:bCs/>
                <w:sz w:val="24"/>
                <w:szCs w:val="24"/>
              </w:rPr>
            </w:pPr>
            <w:r>
              <w:rPr>
                <w:b/>
                <w:bCs/>
                <w:sz w:val="24"/>
                <w:szCs w:val="24"/>
              </w:rPr>
              <w:t>Document</w:t>
            </w:r>
          </w:p>
        </w:tc>
        <w:tc>
          <w:tcPr>
            <w:tcW w:w="1465" w:type="dxa"/>
            <w:shd w:val="clear" w:color="auto" w:fill="70E85E" w:themeFill="accent6"/>
          </w:tcPr>
          <w:p w14:paraId="0C492FC0" w14:textId="55D25E43" w:rsidR="007E54EA" w:rsidRDefault="007E54EA" w:rsidP="1058F1FE">
            <w:pPr>
              <w:ind w:right="-97"/>
              <w:rPr>
                <w:b/>
                <w:bCs/>
                <w:sz w:val="24"/>
                <w:szCs w:val="24"/>
              </w:rPr>
            </w:pPr>
            <w:r>
              <w:rPr>
                <w:b/>
                <w:bCs/>
                <w:sz w:val="24"/>
                <w:szCs w:val="24"/>
              </w:rPr>
              <w:t>Section / Clause</w:t>
            </w:r>
          </w:p>
        </w:tc>
        <w:tc>
          <w:tcPr>
            <w:tcW w:w="3056" w:type="dxa"/>
            <w:shd w:val="clear" w:color="auto" w:fill="70E85E" w:themeFill="accent6"/>
          </w:tcPr>
          <w:p w14:paraId="07B386EE" w14:textId="1A1AAC1A" w:rsidR="007E54EA" w:rsidRDefault="007E54EA" w:rsidP="1058F1FE">
            <w:pPr>
              <w:ind w:right="-97"/>
              <w:rPr>
                <w:b/>
                <w:bCs/>
                <w:sz w:val="24"/>
                <w:szCs w:val="24"/>
              </w:rPr>
            </w:pPr>
            <w:r>
              <w:rPr>
                <w:b/>
                <w:bCs/>
                <w:sz w:val="24"/>
                <w:szCs w:val="24"/>
              </w:rPr>
              <w:t>Comment</w:t>
            </w:r>
          </w:p>
        </w:tc>
        <w:tc>
          <w:tcPr>
            <w:tcW w:w="2465" w:type="dxa"/>
            <w:shd w:val="clear" w:color="auto" w:fill="70E85E" w:themeFill="accent6"/>
          </w:tcPr>
          <w:p w14:paraId="0D4BFE4E" w14:textId="42E49E4A" w:rsidR="007E54EA" w:rsidRDefault="007E54EA" w:rsidP="1058F1FE">
            <w:pPr>
              <w:ind w:right="-97"/>
              <w:rPr>
                <w:b/>
                <w:bCs/>
                <w:sz w:val="24"/>
                <w:szCs w:val="24"/>
              </w:rPr>
            </w:pPr>
            <w:r>
              <w:rPr>
                <w:b/>
                <w:bCs/>
                <w:sz w:val="24"/>
                <w:szCs w:val="24"/>
              </w:rPr>
              <w:t>Proposal</w:t>
            </w:r>
          </w:p>
        </w:tc>
      </w:tr>
      <w:tr w:rsidR="007E54EA" w:rsidRPr="003114F3" w14:paraId="3C634A6A" w14:textId="77777777" w:rsidTr="005D06BC">
        <w:tc>
          <w:tcPr>
            <w:tcW w:w="1166" w:type="dxa"/>
            <w:shd w:val="clear" w:color="auto" w:fill="E2FADE" w:themeFill="accent6" w:themeFillTint="33"/>
          </w:tcPr>
          <w:p w14:paraId="5CC63974" w14:textId="34E52BD7" w:rsidR="007E54EA" w:rsidRPr="003114F3" w:rsidRDefault="007E54EA" w:rsidP="1058F1FE">
            <w:pPr>
              <w:ind w:right="-97"/>
              <w:rPr>
                <w:sz w:val="20"/>
                <w:szCs w:val="20"/>
              </w:rPr>
            </w:pPr>
            <w:r>
              <w:rPr>
                <w:sz w:val="20"/>
                <w:szCs w:val="20"/>
              </w:rPr>
              <w:t>N/A</w:t>
            </w:r>
          </w:p>
        </w:tc>
        <w:tc>
          <w:tcPr>
            <w:tcW w:w="1584" w:type="dxa"/>
            <w:shd w:val="clear" w:color="auto" w:fill="E2FADE" w:themeFill="accent6" w:themeFillTint="33"/>
          </w:tcPr>
          <w:p w14:paraId="34E29693" w14:textId="22D19177" w:rsidR="007E54EA" w:rsidRPr="003114F3" w:rsidRDefault="007E54EA" w:rsidP="1058F1FE">
            <w:pPr>
              <w:ind w:right="-97"/>
              <w:rPr>
                <w:sz w:val="20"/>
                <w:szCs w:val="20"/>
              </w:rPr>
            </w:pPr>
            <w:r w:rsidRPr="003114F3">
              <w:rPr>
                <w:sz w:val="20"/>
                <w:szCs w:val="20"/>
              </w:rPr>
              <w:t>Consultation Document</w:t>
            </w:r>
          </w:p>
        </w:tc>
        <w:tc>
          <w:tcPr>
            <w:tcW w:w="1465" w:type="dxa"/>
            <w:shd w:val="clear" w:color="auto" w:fill="E2FADE" w:themeFill="accent6" w:themeFillTint="33"/>
          </w:tcPr>
          <w:p w14:paraId="5E344B07" w14:textId="2FB481A6" w:rsidR="007E54EA" w:rsidRDefault="007E54EA" w:rsidP="1058F1FE">
            <w:pPr>
              <w:ind w:right="-97"/>
              <w:rPr>
                <w:sz w:val="20"/>
                <w:szCs w:val="20"/>
              </w:rPr>
            </w:pPr>
            <w:r>
              <w:rPr>
                <w:sz w:val="20"/>
                <w:szCs w:val="20"/>
              </w:rPr>
              <w:t>Executive Summary</w:t>
            </w:r>
          </w:p>
        </w:tc>
        <w:tc>
          <w:tcPr>
            <w:tcW w:w="3056" w:type="dxa"/>
            <w:shd w:val="clear" w:color="auto" w:fill="E2FADE" w:themeFill="accent6" w:themeFillTint="33"/>
          </w:tcPr>
          <w:p w14:paraId="73B74816" w14:textId="6EB9851B" w:rsidR="007E54EA" w:rsidRPr="003114F3" w:rsidRDefault="007E54EA" w:rsidP="1058F1FE">
            <w:pPr>
              <w:ind w:right="-97"/>
              <w:rPr>
                <w:sz w:val="20"/>
                <w:szCs w:val="20"/>
              </w:rPr>
            </w:pPr>
            <w:r>
              <w:rPr>
                <w:sz w:val="20"/>
                <w:szCs w:val="20"/>
              </w:rPr>
              <w:t xml:space="preserve">List of interactions does not include reference to LTDS Reform, who have adopted the governance role for the “GB CIM” (the informal name for CGMES 3.0 plus extensions less deviations intended) intended for grid model data exchange in the LTDS and Grid Code. </w:t>
            </w:r>
            <w:proofErr w:type="gramStart"/>
            <w:r>
              <w:rPr>
                <w:sz w:val="20"/>
                <w:szCs w:val="20"/>
              </w:rPr>
              <w:t>Other</w:t>
            </w:r>
            <w:proofErr w:type="gramEnd"/>
            <w:r>
              <w:rPr>
                <w:sz w:val="20"/>
                <w:szCs w:val="20"/>
              </w:rPr>
              <w:t xml:space="preserve"> key interacts listed later on in the document are also missing.</w:t>
            </w:r>
          </w:p>
        </w:tc>
        <w:tc>
          <w:tcPr>
            <w:tcW w:w="2465" w:type="dxa"/>
            <w:shd w:val="clear" w:color="auto" w:fill="E2FADE" w:themeFill="accent6" w:themeFillTint="33"/>
          </w:tcPr>
          <w:p w14:paraId="59556728" w14:textId="0609C231" w:rsidR="007E54EA" w:rsidRPr="003114F3" w:rsidRDefault="007E54EA" w:rsidP="1058F1FE">
            <w:pPr>
              <w:ind w:right="-97"/>
              <w:rPr>
                <w:sz w:val="20"/>
                <w:szCs w:val="20"/>
              </w:rPr>
            </w:pPr>
            <w:r>
              <w:rPr>
                <w:sz w:val="20"/>
                <w:szCs w:val="20"/>
              </w:rPr>
              <w:t>Consider adding interaction with LTDS Reform and other missing interactions included later on in the document.</w:t>
            </w:r>
          </w:p>
        </w:tc>
      </w:tr>
      <w:tr w:rsidR="007E54EA" w:rsidRPr="003114F3" w14:paraId="4FE89CF1" w14:textId="77777777" w:rsidTr="005D06BC">
        <w:tc>
          <w:tcPr>
            <w:tcW w:w="1166" w:type="dxa"/>
            <w:shd w:val="clear" w:color="auto" w:fill="E2FADE" w:themeFill="accent6" w:themeFillTint="33"/>
          </w:tcPr>
          <w:p w14:paraId="27E70786" w14:textId="45D203DF" w:rsidR="007E54EA" w:rsidRPr="003114F3" w:rsidRDefault="007E54EA" w:rsidP="1058F1FE">
            <w:pPr>
              <w:ind w:right="-97"/>
              <w:rPr>
                <w:sz w:val="20"/>
                <w:szCs w:val="20"/>
              </w:rPr>
            </w:pPr>
            <w:r>
              <w:rPr>
                <w:sz w:val="20"/>
                <w:szCs w:val="20"/>
              </w:rPr>
              <w:t>N/A</w:t>
            </w:r>
          </w:p>
        </w:tc>
        <w:tc>
          <w:tcPr>
            <w:tcW w:w="1584" w:type="dxa"/>
            <w:shd w:val="clear" w:color="auto" w:fill="E2FADE" w:themeFill="accent6" w:themeFillTint="33"/>
          </w:tcPr>
          <w:p w14:paraId="482A9907" w14:textId="3B96EBF6" w:rsidR="007E54EA" w:rsidRPr="003114F3" w:rsidRDefault="007E54EA" w:rsidP="1058F1FE">
            <w:pPr>
              <w:ind w:right="-97"/>
              <w:rPr>
                <w:sz w:val="20"/>
                <w:szCs w:val="20"/>
              </w:rPr>
            </w:pPr>
            <w:r w:rsidRPr="003114F3">
              <w:rPr>
                <w:sz w:val="20"/>
                <w:szCs w:val="20"/>
              </w:rPr>
              <w:t>Consultation Document</w:t>
            </w:r>
          </w:p>
        </w:tc>
        <w:tc>
          <w:tcPr>
            <w:tcW w:w="1465" w:type="dxa"/>
            <w:shd w:val="clear" w:color="auto" w:fill="E2FADE" w:themeFill="accent6" w:themeFillTint="33"/>
          </w:tcPr>
          <w:p w14:paraId="07D96558" w14:textId="666CE5FA" w:rsidR="007E54EA" w:rsidRDefault="007E54EA" w:rsidP="1058F1FE">
            <w:pPr>
              <w:ind w:right="-97"/>
              <w:rPr>
                <w:sz w:val="20"/>
                <w:szCs w:val="20"/>
              </w:rPr>
            </w:pPr>
            <w:r>
              <w:rPr>
                <w:sz w:val="20"/>
                <w:szCs w:val="20"/>
              </w:rPr>
              <w:t>What is the solution?</w:t>
            </w:r>
          </w:p>
        </w:tc>
        <w:tc>
          <w:tcPr>
            <w:tcW w:w="3056" w:type="dxa"/>
            <w:shd w:val="clear" w:color="auto" w:fill="E2FADE" w:themeFill="accent6" w:themeFillTint="33"/>
          </w:tcPr>
          <w:p w14:paraId="253D7730" w14:textId="172F2CE1" w:rsidR="007E54EA" w:rsidRPr="003114F3" w:rsidRDefault="007E54EA" w:rsidP="1058F1FE">
            <w:pPr>
              <w:ind w:right="-97"/>
              <w:rPr>
                <w:sz w:val="20"/>
                <w:szCs w:val="20"/>
              </w:rPr>
            </w:pPr>
            <w:r>
              <w:rPr>
                <w:sz w:val="20"/>
                <w:szCs w:val="20"/>
              </w:rPr>
              <w:t>There is a figure labelled as a table, which is also too small to interpret.</w:t>
            </w:r>
          </w:p>
        </w:tc>
        <w:tc>
          <w:tcPr>
            <w:tcW w:w="2465" w:type="dxa"/>
            <w:shd w:val="clear" w:color="auto" w:fill="E2FADE" w:themeFill="accent6" w:themeFillTint="33"/>
          </w:tcPr>
          <w:p w14:paraId="42123784" w14:textId="78475392" w:rsidR="007E54EA" w:rsidRPr="003114F3" w:rsidRDefault="007E54EA" w:rsidP="1058F1FE">
            <w:pPr>
              <w:ind w:right="-97"/>
              <w:rPr>
                <w:sz w:val="20"/>
                <w:szCs w:val="20"/>
              </w:rPr>
            </w:pPr>
            <w:r>
              <w:rPr>
                <w:sz w:val="20"/>
                <w:szCs w:val="20"/>
              </w:rPr>
              <w:t>Relabel as a table and ensure readability.</w:t>
            </w:r>
          </w:p>
        </w:tc>
      </w:tr>
      <w:tr w:rsidR="007E54EA" w:rsidRPr="003114F3" w14:paraId="0873AC2C" w14:textId="77777777" w:rsidTr="005D06BC">
        <w:tc>
          <w:tcPr>
            <w:tcW w:w="1166" w:type="dxa"/>
            <w:shd w:val="clear" w:color="auto" w:fill="E2FADE" w:themeFill="accent6" w:themeFillTint="33"/>
          </w:tcPr>
          <w:p w14:paraId="724C0AEA" w14:textId="24EB66F1" w:rsidR="007E54EA" w:rsidRDefault="007E54EA" w:rsidP="1058F1FE">
            <w:pPr>
              <w:ind w:right="-97"/>
              <w:rPr>
                <w:sz w:val="20"/>
                <w:szCs w:val="20"/>
              </w:rPr>
            </w:pPr>
            <w:r>
              <w:rPr>
                <w:sz w:val="20"/>
                <w:szCs w:val="20"/>
              </w:rPr>
              <w:t>N/A</w:t>
            </w:r>
          </w:p>
        </w:tc>
        <w:tc>
          <w:tcPr>
            <w:tcW w:w="1584" w:type="dxa"/>
            <w:shd w:val="clear" w:color="auto" w:fill="E2FADE" w:themeFill="accent6" w:themeFillTint="33"/>
          </w:tcPr>
          <w:p w14:paraId="29D9A929" w14:textId="65185A46" w:rsidR="007E54EA" w:rsidRPr="003114F3" w:rsidRDefault="007E54EA" w:rsidP="1058F1FE">
            <w:pPr>
              <w:ind w:right="-97"/>
              <w:rPr>
                <w:sz w:val="20"/>
                <w:szCs w:val="20"/>
              </w:rPr>
            </w:pPr>
            <w:r>
              <w:rPr>
                <w:sz w:val="20"/>
                <w:szCs w:val="20"/>
              </w:rPr>
              <w:t>Consultation Document</w:t>
            </w:r>
          </w:p>
        </w:tc>
        <w:tc>
          <w:tcPr>
            <w:tcW w:w="1465" w:type="dxa"/>
            <w:shd w:val="clear" w:color="auto" w:fill="E2FADE" w:themeFill="accent6" w:themeFillTint="33"/>
          </w:tcPr>
          <w:p w14:paraId="50E2DACA" w14:textId="456DB776" w:rsidR="007E54EA" w:rsidRDefault="007E54EA" w:rsidP="1058F1FE">
            <w:pPr>
              <w:ind w:right="-97"/>
              <w:rPr>
                <w:sz w:val="20"/>
                <w:szCs w:val="20"/>
              </w:rPr>
            </w:pPr>
            <w:r>
              <w:rPr>
                <w:sz w:val="20"/>
                <w:szCs w:val="20"/>
              </w:rPr>
              <w:t>When will this change take place?</w:t>
            </w:r>
          </w:p>
        </w:tc>
        <w:tc>
          <w:tcPr>
            <w:tcW w:w="3056" w:type="dxa"/>
            <w:shd w:val="clear" w:color="auto" w:fill="E2FADE" w:themeFill="accent6" w:themeFillTint="33"/>
          </w:tcPr>
          <w:p w14:paraId="1E3B5B0B" w14:textId="3A119DE3" w:rsidR="007E54EA" w:rsidRPr="003114F3" w:rsidRDefault="007E54EA" w:rsidP="1058F1FE">
            <w:pPr>
              <w:ind w:right="-97"/>
              <w:rPr>
                <w:sz w:val="20"/>
                <w:szCs w:val="20"/>
              </w:rPr>
            </w:pPr>
            <w:r>
              <w:rPr>
                <w:sz w:val="20"/>
                <w:szCs w:val="20"/>
              </w:rPr>
              <w:t>Have power system software vendors been consulted regarding the implementation date of 1</w:t>
            </w:r>
            <w:r w:rsidRPr="00EE52AB">
              <w:rPr>
                <w:sz w:val="20"/>
                <w:szCs w:val="20"/>
                <w:vertAlign w:val="superscript"/>
              </w:rPr>
              <w:t>st</w:t>
            </w:r>
            <w:r>
              <w:rPr>
                <w:sz w:val="20"/>
                <w:szCs w:val="20"/>
              </w:rPr>
              <w:t xml:space="preserve"> January 2026?</w:t>
            </w:r>
          </w:p>
        </w:tc>
        <w:tc>
          <w:tcPr>
            <w:tcW w:w="2465" w:type="dxa"/>
            <w:shd w:val="clear" w:color="auto" w:fill="E2FADE" w:themeFill="accent6" w:themeFillTint="33"/>
          </w:tcPr>
          <w:p w14:paraId="662083F8" w14:textId="41471929" w:rsidR="007E54EA" w:rsidRPr="003114F3" w:rsidRDefault="007E54EA" w:rsidP="1058F1FE">
            <w:pPr>
              <w:ind w:right="-97"/>
              <w:rPr>
                <w:sz w:val="20"/>
                <w:szCs w:val="20"/>
              </w:rPr>
            </w:pPr>
            <w:r>
              <w:rPr>
                <w:sz w:val="20"/>
                <w:szCs w:val="20"/>
              </w:rPr>
              <w:t>Clarify if consideration has been given to power system software vendors’ abilities to implement GB CIM’s requirements, and if vendors have confirmed this is realistic.</w:t>
            </w:r>
          </w:p>
        </w:tc>
      </w:tr>
      <w:tr w:rsidR="007E54EA" w:rsidRPr="003114F3" w14:paraId="03DCEBC4" w14:textId="77777777" w:rsidTr="005D06BC">
        <w:tc>
          <w:tcPr>
            <w:tcW w:w="1166" w:type="dxa"/>
            <w:shd w:val="clear" w:color="auto" w:fill="FDF8DE" w:themeFill="accent5" w:themeFillTint="33"/>
          </w:tcPr>
          <w:p w14:paraId="73E7DEA4" w14:textId="40129DBF" w:rsidR="007E54EA" w:rsidRDefault="007E54EA" w:rsidP="007E54EA">
            <w:pPr>
              <w:ind w:right="-97"/>
              <w:rPr>
                <w:sz w:val="20"/>
                <w:szCs w:val="20"/>
              </w:rPr>
            </w:pPr>
            <w:r>
              <w:rPr>
                <w:sz w:val="20"/>
                <w:szCs w:val="20"/>
              </w:rPr>
              <w:t>Annex 1</w:t>
            </w:r>
          </w:p>
        </w:tc>
        <w:tc>
          <w:tcPr>
            <w:tcW w:w="1584" w:type="dxa"/>
            <w:shd w:val="clear" w:color="auto" w:fill="FDF8DE" w:themeFill="accent5" w:themeFillTint="33"/>
          </w:tcPr>
          <w:p w14:paraId="07B419B4" w14:textId="79C2C529" w:rsidR="007E54EA" w:rsidRDefault="007E54EA" w:rsidP="00592539">
            <w:pPr>
              <w:ind w:right="-97"/>
              <w:rPr>
                <w:sz w:val="20"/>
                <w:szCs w:val="20"/>
              </w:rPr>
            </w:pPr>
            <w:r>
              <w:rPr>
                <w:sz w:val="20"/>
                <w:szCs w:val="20"/>
              </w:rPr>
              <w:t>Proposal</w:t>
            </w:r>
          </w:p>
        </w:tc>
        <w:tc>
          <w:tcPr>
            <w:tcW w:w="6986" w:type="dxa"/>
            <w:gridSpan w:val="3"/>
            <w:shd w:val="clear" w:color="auto" w:fill="FDF8DE" w:themeFill="accent5" w:themeFillTint="33"/>
            <w:vAlign w:val="center"/>
          </w:tcPr>
          <w:p w14:paraId="234AB3B5" w14:textId="77777777" w:rsidR="007E54EA" w:rsidRDefault="007E54EA" w:rsidP="00592539">
            <w:pPr>
              <w:ind w:right="-97"/>
              <w:jc w:val="center"/>
              <w:rPr>
                <w:sz w:val="20"/>
                <w:szCs w:val="20"/>
              </w:rPr>
            </w:pPr>
            <w:r>
              <w:rPr>
                <w:sz w:val="20"/>
                <w:szCs w:val="20"/>
              </w:rPr>
              <w:t>No comment</w:t>
            </w:r>
          </w:p>
        </w:tc>
      </w:tr>
      <w:tr w:rsidR="007E54EA" w:rsidRPr="003114F3" w14:paraId="026A3CD4" w14:textId="77777777" w:rsidTr="005D06BC">
        <w:tc>
          <w:tcPr>
            <w:tcW w:w="1166" w:type="dxa"/>
            <w:shd w:val="clear" w:color="auto" w:fill="E2FADE" w:themeFill="accent6" w:themeFillTint="33"/>
          </w:tcPr>
          <w:p w14:paraId="5D15254C" w14:textId="1CFD8799" w:rsidR="007E54EA" w:rsidRDefault="007E54EA" w:rsidP="00592539">
            <w:pPr>
              <w:ind w:right="-97"/>
              <w:rPr>
                <w:sz w:val="20"/>
                <w:szCs w:val="20"/>
              </w:rPr>
            </w:pPr>
            <w:r>
              <w:rPr>
                <w:sz w:val="20"/>
                <w:szCs w:val="20"/>
              </w:rPr>
              <w:t>Annex 2</w:t>
            </w:r>
          </w:p>
        </w:tc>
        <w:tc>
          <w:tcPr>
            <w:tcW w:w="1584" w:type="dxa"/>
            <w:shd w:val="clear" w:color="auto" w:fill="E2FADE" w:themeFill="accent6" w:themeFillTint="33"/>
          </w:tcPr>
          <w:p w14:paraId="718599DD" w14:textId="6E7A5540" w:rsidR="007E54EA" w:rsidRPr="003114F3" w:rsidRDefault="007E54EA" w:rsidP="00592539">
            <w:pPr>
              <w:ind w:right="-97"/>
              <w:rPr>
                <w:sz w:val="20"/>
                <w:szCs w:val="20"/>
              </w:rPr>
            </w:pPr>
            <w:r>
              <w:rPr>
                <w:sz w:val="20"/>
                <w:szCs w:val="20"/>
              </w:rPr>
              <w:t>Terms of Reference</w:t>
            </w:r>
          </w:p>
        </w:tc>
        <w:tc>
          <w:tcPr>
            <w:tcW w:w="1465" w:type="dxa"/>
            <w:shd w:val="clear" w:color="auto" w:fill="E2FADE" w:themeFill="accent6" w:themeFillTint="33"/>
          </w:tcPr>
          <w:p w14:paraId="2D6CA33B" w14:textId="335B4EA1" w:rsidR="007E54EA" w:rsidRDefault="007E54EA" w:rsidP="00592539">
            <w:pPr>
              <w:ind w:right="-97"/>
              <w:rPr>
                <w:sz w:val="20"/>
                <w:szCs w:val="20"/>
              </w:rPr>
            </w:pPr>
            <w:r>
              <w:rPr>
                <w:sz w:val="20"/>
                <w:szCs w:val="20"/>
              </w:rPr>
              <w:t>Membership</w:t>
            </w:r>
          </w:p>
        </w:tc>
        <w:tc>
          <w:tcPr>
            <w:tcW w:w="3056" w:type="dxa"/>
            <w:shd w:val="clear" w:color="auto" w:fill="E2FADE" w:themeFill="accent6" w:themeFillTint="33"/>
          </w:tcPr>
          <w:p w14:paraId="3BBED04C" w14:textId="45A10254" w:rsidR="007E54EA" w:rsidRPr="003114F3" w:rsidRDefault="007E54EA" w:rsidP="00592539">
            <w:pPr>
              <w:ind w:right="-97"/>
              <w:rPr>
                <w:sz w:val="20"/>
                <w:szCs w:val="20"/>
              </w:rPr>
            </w:pPr>
            <w:r>
              <w:rPr>
                <w:sz w:val="20"/>
                <w:szCs w:val="20"/>
              </w:rPr>
              <w:t>Table of membership is inaccurate.</w:t>
            </w:r>
          </w:p>
        </w:tc>
        <w:tc>
          <w:tcPr>
            <w:tcW w:w="2465" w:type="dxa"/>
            <w:shd w:val="clear" w:color="auto" w:fill="E2FADE" w:themeFill="accent6" w:themeFillTint="33"/>
          </w:tcPr>
          <w:p w14:paraId="68FF27A6" w14:textId="77777777" w:rsidR="005C231B" w:rsidRDefault="005C231B" w:rsidP="00592539">
            <w:pPr>
              <w:ind w:right="-97"/>
              <w:rPr>
                <w:sz w:val="20"/>
                <w:szCs w:val="20"/>
              </w:rPr>
            </w:pPr>
            <w:r>
              <w:rPr>
                <w:sz w:val="20"/>
                <w:szCs w:val="20"/>
              </w:rPr>
              <w:t xml:space="preserve">If the table is intended to represent those originally involved in the </w:t>
            </w:r>
            <w:proofErr w:type="gramStart"/>
            <w:r>
              <w:rPr>
                <w:sz w:val="20"/>
                <w:szCs w:val="20"/>
              </w:rPr>
              <w:t>workgroup</w:t>
            </w:r>
            <w:proofErr w:type="gramEnd"/>
            <w:r>
              <w:rPr>
                <w:sz w:val="20"/>
                <w:szCs w:val="20"/>
              </w:rPr>
              <w:t xml:space="preserve"> then the following amendments are required:</w:t>
            </w:r>
          </w:p>
          <w:p w14:paraId="1A6D035A" w14:textId="2746C9A5" w:rsidR="007E54EA" w:rsidRDefault="007E54EA" w:rsidP="005C231B">
            <w:pPr>
              <w:pStyle w:val="ListParagraph"/>
              <w:numPr>
                <w:ilvl w:val="0"/>
                <w:numId w:val="27"/>
              </w:numPr>
              <w:ind w:right="-97"/>
              <w:rPr>
                <w:sz w:val="20"/>
                <w:szCs w:val="20"/>
              </w:rPr>
            </w:pPr>
            <w:r w:rsidRPr="005C231B">
              <w:rPr>
                <w:sz w:val="20"/>
                <w:szCs w:val="20"/>
              </w:rPr>
              <w:t>David Tuffery represented Western Power Distribution</w:t>
            </w:r>
            <w:r w:rsidR="005C231B">
              <w:rPr>
                <w:sz w:val="20"/>
                <w:szCs w:val="20"/>
              </w:rPr>
              <w:t>, not NGET.</w:t>
            </w:r>
          </w:p>
          <w:p w14:paraId="24A7AE27" w14:textId="77777777" w:rsidR="005C231B" w:rsidRDefault="005C231B" w:rsidP="005C231B">
            <w:pPr>
              <w:ind w:right="-97"/>
              <w:rPr>
                <w:sz w:val="20"/>
                <w:szCs w:val="20"/>
              </w:rPr>
            </w:pPr>
            <w:r>
              <w:rPr>
                <w:sz w:val="20"/>
                <w:szCs w:val="20"/>
              </w:rPr>
              <w:t xml:space="preserve">If the table is intended to represent current workgroup </w:t>
            </w:r>
            <w:proofErr w:type="gramStart"/>
            <w:r>
              <w:rPr>
                <w:sz w:val="20"/>
                <w:szCs w:val="20"/>
              </w:rPr>
              <w:t>membership</w:t>
            </w:r>
            <w:proofErr w:type="gramEnd"/>
            <w:r>
              <w:rPr>
                <w:sz w:val="20"/>
                <w:szCs w:val="20"/>
              </w:rPr>
              <w:t xml:space="preserve"> then the following amendments are required:</w:t>
            </w:r>
          </w:p>
          <w:p w14:paraId="42E0EBA6" w14:textId="77777777" w:rsidR="005C231B" w:rsidRDefault="005C231B" w:rsidP="005C231B">
            <w:pPr>
              <w:pStyle w:val="ListParagraph"/>
              <w:numPr>
                <w:ilvl w:val="0"/>
                <w:numId w:val="27"/>
              </w:numPr>
              <w:ind w:right="-97"/>
              <w:rPr>
                <w:sz w:val="20"/>
                <w:szCs w:val="20"/>
              </w:rPr>
            </w:pPr>
            <w:r w:rsidRPr="005C231B">
              <w:rPr>
                <w:sz w:val="20"/>
                <w:szCs w:val="20"/>
              </w:rPr>
              <w:t>David Tuffery</w:t>
            </w:r>
            <w:r>
              <w:rPr>
                <w:sz w:val="20"/>
                <w:szCs w:val="20"/>
              </w:rPr>
              <w:t xml:space="preserve"> removed;</w:t>
            </w:r>
          </w:p>
          <w:p w14:paraId="2C28347F" w14:textId="77777777" w:rsidR="005C231B" w:rsidRDefault="005C231B" w:rsidP="005C231B">
            <w:pPr>
              <w:pStyle w:val="ListParagraph"/>
              <w:numPr>
                <w:ilvl w:val="0"/>
                <w:numId w:val="27"/>
              </w:numPr>
              <w:ind w:right="-97"/>
              <w:rPr>
                <w:sz w:val="20"/>
                <w:szCs w:val="20"/>
              </w:rPr>
            </w:pPr>
            <w:r>
              <w:rPr>
                <w:sz w:val="20"/>
                <w:szCs w:val="20"/>
              </w:rPr>
              <w:lastRenderedPageBreak/>
              <w:t>Liam McSweeney removed;</w:t>
            </w:r>
          </w:p>
          <w:p w14:paraId="6F72E302" w14:textId="77777777" w:rsidR="005C231B" w:rsidRDefault="005C231B" w:rsidP="005C231B">
            <w:pPr>
              <w:pStyle w:val="ListParagraph"/>
              <w:numPr>
                <w:ilvl w:val="0"/>
                <w:numId w:val="27"/>
              </w:numPr>
              <w:ind w:right="-97"/>
              <w:rPr>
                <w:sz w:val="20"/>
                <w:szCs w:val="20"/>
              </w:rPr>
            </w:pPr>
            <w:r>
              <w:rPr>
                <w:sz w:val="20"/>
                <w:szCs w:val="20"/>
              </w:rPr>
              <w:t>Phil Moseley (NGED) added</w:t>
            </w:r>
          </w:p>
          <w:p w14:paraId="2249C07D" w14:textId="21D125A5" w:rsidR="005C231B" w:rsidRPr="005C231B" w:rsidRDefault="005C231B" w:rsidP="005C231B">
            <w:pPr>
              <w:ind w:right="-97"/>
              <w:rPr>
                <w:sz w:val="20"/>
                <w:szCs w:val="20"/>
              </w:rPr>
            </w:pPr>
            <w:r>
              <w:rPr>
                <w:sz w:val="20"/>
                <w:szCs w:val="20"/>
              </w:rPr>
              <w:t xml:space="preserve">References to Western Power Distribution should be replaced with </w:t>
            </w:r>
            <w:r w:rsidRPr="005C231B">
              <w:rPr>
                <w:sz w:val="20"/>
                <w:szCs w:val="20"/>
              </w:rPr>
              <w:t>National Grid Electricity Distribution</w:t>
            </w:r>
            <w:r>
              <w:rPr>
                <w:sz w:val="20"/>
                <w:szCs w:val="20"/>
              </w:rPr>
              <w:t>.</w:t>
            </w:r>
          </w:p>
        </w:tc>
      </w:tr>
      <w:tr w:rsidR="007E54EA" w:rsidRPr="003114F3" w14:paraId="7D0056B6" w14:textId="77777777" w:rsidTr="005D06BC">
        <w:tc>
          <w:tcPr>
            <w:tcW w:w="1166" w:type="dxa"/>
            <w:shd w:val="clear" w:color="auto" w:fill="FDF8DE" w:themeFill="accent5" w:themeFillTint="33"/>
          </w:tcPr>
          <w:p w14:paraId="0E34CB5E" w14:textId="77777777" w:rsidR="007E54EA" w:rsidRDefault="007E54EA" w:rsidP="00B0017F">
            <w:pPr>
              <w:ind w:right="-97"/>
              <w:rPr>
                <w:sz w:val="20"/>
                <w:szCs w:val="20"/>
              </w:rPr>
            </w:pPr>
            <w:r>
              <w:rPr>
                <w:sz w:val="20"/>
                <w:szCs w:val="20"/>
              </w:rPr>
              <w:lastRenderedPageBreak/>
              <w:t>Annexes</w:t>
            </w:r>
          </w:p>
          <w:p w14:paraId="59F65729" w14:textId="1A6A9F7B" w:rsidR="007E54EA" w:rsidRDefault="007E54EA" w:rsidP="00B0017F">
            <w:pPr>
              <w:ind w:right="-97"/>
              <w:rPr>
                <w:sz w:val="20"/>
                <w:szCs w:val="20"/>
              </w:rPr>
            </w:pPr>
            <w:r>
              <w:rPr>
                <w:sz w:val="20"/>
                <w:szCs w:val="20"/>
              </w:rPr>
              <w:t>3 &amp; 7</w:t>
            </w:r>
          </w:p>
        </w:tc>
        <w:tc>
          <w:tcPr>
            <w:tcW w:w="1584" w:type="dxa"/>
            <w:shd w:val="clear" w:color="auto" w:fill="FDF8DE" w:themeFill="accent5" w:themeFillTint="33"/>
          </w:tcPr>
          <w:p w14:paraId="4920AE9F" w14:textId="57E6D0DE" w:rsidR="007E54EA" w:rsidRPr="00F564FA" w:rsidRDefault="007E54EA" w:rsidP="00B0017F">
            <w:pPr>
              <w:ind w:right="-97"/>
              <w:rPr>
                <w:sz w:val="20"/>
                <w:szCs w:val="20"/>
              </w:rPr>
            </w:pPr>
            <w:r>
              <w:rPr>
                <w:sz w:val="20"/>
                <w:szCs w:val="20"/>
              </w:rPr>
              <w:t>Various</w:t>
            </w:r>
          </w:p>
        </w:tc>
        <w:tc>
          <w:tcPr>
            <w:tcW w:w="1465" w:type="dxa"/>
            <w:shd w:val="clear" w:color="auto" w:fill="FDF8DE" w:themeFill="accent5" w:themeFillTint="33"/>
          </w:tcPr>
          <w:p w14:paraId="05D7E10F" w14:textId="77777777" w:rsidR="007E54EA" w:rsidRPr="00DD4272" w:rsidRDefault="007E54EA" w:rsidP="00B0017F">
            <w:pPr>
              <w:ind w:right="-97"/>
              <w:rPr>
                <w:sz w:val="20"/>
                <w:szCs w:val="20"/>
              </w:rPr>
            </w:pPr>
            <w:r>
              <w:rPr>
                <w:sz w:val="20"/>
                <w:szCs w:val="20"/>
              </w:rPr>
              <w:t>Various</w:t>
            </w:r>
          </w:p>
        </w:tc>
        <w:tc>
          <w:tcPr>
            <w:tcW w:w="3056" w:type="dxa"/>
            <w:shd w:val="clear" w:color="auto" w:fill="FDF8DE" w:themeFill="accent5" w:themeFillTint="33"/>
          </w:tcPr>
          <w:p w14:paraId="45E1A104" w14:textId="77777777" w:rsidR="007E54EA" w:rsidRDefault="007E54EA" w:rsidP="00B0017F">
            <w:pPr>
              <w:ind w:right="-97"/>
              <w:rPr>
                <w:sz w:val="20"/>
                <w:szCs w:val="20"/>
              </w:rPr>
            </w:pPr>
            <w:r>
              <w:rPr>
                <w:sz w:val="20"/>
                <w:szCs w:val="20"/>
              </w:rPr>
              <w:t>Misalignment between references to schedules in legal text and those available in Annex 7. For example, 21h and 24; 21g and 23.</w:t>
            </w:r>
          </w:p>
        </w:tc>
        <w:tc>
          <w:tcPr>
            <w:tcW w:w="2465" w:type="dxa"/>
            <w:shd w:val="clear" w:color="auto" w:fill="FDF8DE" w:themeFill="accent5" w:themeFillTint="33"/>
          </w:tcPr>
          <w:p w14:paraId="7BEAE281" w14:textId="77777777" w:rsidR="007E54EA" w:rsidRDefault="007E54EA" w:rsidP="00B0017F">
            <w:pPr>
              <w:ind w:right="-97"/>
              <w:rPr>
                <w:sz w:val="20"/>
                <w:szCs w:val="20"/>
              </w:rPr>
            </w:pPr>
            <w:r>
              <w:rPr>
                <w:sz w:val="20"/>
                <w:szCs w:val="20"/>
              </w:rPr>
              <w:t>Provide a list of schedules and ensure correct references in legal text.</w:t>
            </w:r>
          </w:p>
        </w:tc>
      </w:tr>
      <w:tr w:rsidR="007E54EA" w:rsidRPr="003114F3" w14:paraId="5D9C5D97" w14:textId="77777777" w:rsidTr="005D06BC">
        <w:tc>
          <w:tcPr>
            <w:tcW w:w="1166" w:type="dxa"/>
            <w:shd w:val="clear" w:color="auto" w:fill="E2FADE" w:themeFill="accent6" w:themeFillTint="33"/>
          </w:tcPr>
          <w:p w14:paraId="30E93F1C" w14:textId="1A77665D" w:rsidR="007E54EA" w:rsidRDefault="007E54EA" w:rsidP="00B0017F">
            <w:pPr>
              <w:ind w:right="-97"/>
              <w:rPr>
                <w:sz w:val="20"/>
                <w:szCs w:val="20"/>
              </w:rPr>
            </w:pPr>
            <w:r>
              <w:rPr>
                <w:sz w:val="20"/>
                <w:szCs w:val="20"/>
              </w:rPr>
              <w:t>Annex 3</w:t>
            </w:r>
          </w:p>
        </w:tc>
        <w:tc>
          <w:tcPr>
            <w:tcW w:w="1584" w:type="dxa"/>
            <w:shd w:val="clear" w:color="auto" w:fill="E2FADE" w:themeFill="accent6" w:themeFillTint="33"/>
          </w:tcPr>
          <w:p w14:paraId="110B7B08" w14:textId="71EEB785" w:rsidR="007E54EA" w:rsidRPr="00F564FA" w:rsidRDefault="007E54EA" w:rsidP="00B0017F">
            <w:pPr>
              <w:ind w:right="-97"/>
              <w:rPr>
                <w:sz w:val="20"/>
                <w:szCs w:val="20"/>
              </w:rPr>
            </w:pPr>
            <w:r w:rsidRPr="00F564FA">
              <w:rPr>
                <w:sz w:val="20"/>
                <w:szCs w:val="20"/>
              </w:rPr>
              <w:t>Glossary and Definitions (Draft)</w:t>
            </w:r>
          </w:p>
        </w:tc>
        <w:tc>
          <w:tcPr>
            <w:tcW w:w="1465" w:type="dxa"/>
            <w:shd w:val="clear" w:color="auto" w:fill="E2FADE" w:themeFill="accent6" w:themeFillTint="33"/>
          </w:tcPr>
          <w:p w14:paraId="007B9F94" w14:textId="65FC1343" w:rsidR="007E54EA" w:rsidRPr="00DD4272" w:rsidRDefault="007E54EA" w:rsidP="00B0017F">
            <w:pPr>
              <w:ind w:right="-97"/>
              <w:rPr>
                <w:sz w:val="20"/>
                <w:szCs w:val="20"/>
              </w:rPr>
            </w:pPr>
            <w:r>
              <w:rPr>
                <w:sz w:val="20"/>
                <w:szCs w:val="20"/>
              </w:rPr>
              <w:t>Latent Demand</w:t>
            </w:r>
          </w:p>
        </w:tc>
        <w:tc>
          <w:tcPr>
            <w:tcW w:w="3056" w:type="dxa"/>
            <w:shd w:val="clear" w:color="auto" w:fill="E2FADE" w:themeFill="accent6" w:themeFillTint="33"/>
          </w:tcPr>
          <w:p w14:paraId="21A590B0" w14:textId="77777777" w:rsidR="007E54EA" w:rsidRDefault="007E54EA" w:rsidP="00B0017F">
            <w:pPr>
              <w:ind w:right="-97"/>
              <w:rPr>
                <w:sz w:val="20"/>
                <w:szCs w:val="20"/>
              </w:rPr>
            </w:pPr>
            <w:r>
              <w:rPr>
                <w:sz w:val="20"/>
                <w:szCs w:val="20"/>
              </w:rPr>
              <w:t>Latent Demand definition uses inconsistent formatting.</w:t>
            </w:r>
          </w:p>
        </w:tc>
        <w:tc>
          <w:tcPr>
            <w:tcW w:w="2465" w:type="dxa"/>
            <w:shd w:val="clear" w:color="auto" w:fill="E2FADE" w:themeFill="accent6" w:themeFillTint="33"/>
          </w:tcPr>
          <w:p w14:paraId="67AC71F3" w14:textId="77777777" w:rsidR="007E54EA" w:rsidRDefault="007E54EA" w:rsidP="00B0017F">
            <w:pPr>
              <w:ind w:right="-97"/>
              <w:rPr>
                <w:sz w:val="20"/>
                <w:szCs w:val="20"/>
              </w:rPr>
            </w:pPr>
            <w:r>
              <w:rPr>
                <w:sz w:val="20"/>
                <w:szCs w:val="20"/>
              </w:rPr>
              <w:t>Adopt consistent formatting.</w:t>
            </w:r>
          </w:p>
        </w:tc>
      </w:tr>
      <w:tr w:rsidR="007E54EA" w:rsidRPr="003114F3" w14:paraId="263B2E05" w14:textId="77777777" w:rsidTr="005D06BC">
        <w:tc>
          <w:tcPr>
            <w:tcW w:w="1166" w:type="dxa"/>
            <w:shd w:val="clear" w:color="auto" w:fill="E2FADE" w:themeFill="accent6" w:themeFillTint="33"/>
          </w:tcPr>
          <w:p w14:paraId="132ABD96" w14:textId="39B1D65B" w:rsidR="007E54EA" w:rsidRDefault="007E54EA" w:rsidP="007E54EA">
            <w:pPr>
              <w:ind w:right="-97"/>
              <w:rPr>
                <w:sz w:val="20"/>
                <w:szCs w:val="20"/>
              </w:rPr>
            </w:pPr>
            <w:r>
              <w:rPr>
                <w:sz w:val="20"/>
                <w:szCs w:val="20"/>
              </w:rPr>
              <w:t>Annex 3</w:t>
            </w:r>
          </w:p>
        </w:tc>
        <w:tc>
          <w:tcPr>
            <w:tcW w:w="1584" w:type="dxa"/>
            <w:shd w:val="clear" w:color="auto" w:fill="E2FADE" w:themeFill="accent6" w:themeFillTint="33"/>
          </w:tcPr>
          <w:p w14:paraId="52BF5800" w14:textId="248D52F4" w:rsidR="007E54EA" w:rsidRDefault="007E54EA" w:rsidP="007E54EA">
            <w:pPr>
              <w:ind w:right="-97"/>
              <w:rPr>
                <w:sz w:val="20"/>
                <w:szCs w:val="20"/>
              </w:rPr>
            </w:pPr>
            <w:r w:rsidRPr="00F564FA">
              <w:rPr>
                <w:sz w:val="20"/>
                <w:szCs w:val="20"/>
              </w:rPr>
              <w:t>Glossary and Definitions (Draft)</w:t>
            </w:r>
          </w:p>
        </w:tc>
        <w:tc>
          <w:tcPr>
            <w:tcW w:w="1465" w:type="dxa"/>
            <w:shd w:val="clear" w:color="auto" w:fill="E2FADE" w:themeFill="accent6" w:themeFillTint="33"/>
          </w:tcPr>
          <w:p w14:paraId="119FD24B" w14:textId="048299DF" w:rsidR="007E54EA" w:rsidRPr="00F564FA" w:rsidRDefault="007E54EA" w:rsidP="007E54EA">
            <w:pPr>
              <w:ind w:right="-97"/>
              <w:rPr>
                <w:sz w:val="20"/>
                <w:szCs w:val="20"/>
              </w:rPr>
            </w:pPr>
            <w:r w:rsidRPr="00F564FA">
              <w:rPr>
                <w:sz w:val="20"/>
                <w:szCs w:val="20"/>
              </w:rPr>
              <w:t>National Electricity Transmission System Demand</w:t>
            </w:r>
          </w:p>
        </w:tc>
        <w:tc>
          <w:tcPr>
            <w:tcW w:w="3056" w:type="dxa"/>
            <w:shd w:val="clear" w:color="auto" w:fill="E2FADE" w:themeFill="accent6" w:themeFillTint="33"/>
          </w:tcPr>
          <w:p w14:paraId="3B533601" w14:textId="77CDF435" w:rsidR="007E54EA" w:rsidRDefault="007E54EA" w:rsidP="007E54EA">
            <w:pPr>
              <w:ind w:right="-97"/>
              <w:rPr>
                <w:sz w:val="20"/>
                <w:szCs w:val="20"/>
              </w:rPr>
            </w:pPr>
            <w:r w:rsidRPr="00F564FA">
              <w:rPr>
                <w:sz w:val="20"/>
                <w:szCs w:val="20"/>
              </w:rPr>
              <w:t>National Electricity Transmission System Demand</w:t>
            </w:r>
            <w:r>
              <w:rPr>
                <w:sz w:val="20"/>
                <w:szCs w:val="20"/>
              </w:rPr>
              <w:t xml:space="preserve"> definition </w:t>
            </w:r>
            <w:r w:rsidR="00DC055E">
              <w:rPr>
                <w:sz w:val="20"/>
                <w:szCs w:val="20"/>
              </w:rPr>
              <w:t xml:space="preserve">is presumably </w:t>
            </w:r>
            <w:r>
              <w:rPr>
                <w:sz w:val="20"/>
                <w:szCs w:val="20"/>
              </w:rPr>
              <w:t>not indented properly.</w:t>
            </w:r>
          </w:p>
        </w:tc>
        <w:tc>
          <w:tcPr>
            <w:tcW w:w="2465" w:type="dxa"/>
            <w:shd w:val="clear" w:color="auto" w:fill="E2FADE" w:themeFill="accent6" w:themeFillTint="33"/>
          </w:tcPr>
          <w:p w14:paraId="024B8508" w14:textId="48EC0CEE" w:rsidR="007E54EA" w:rsidRDefault="007E54EA" w:rsidP="007E54EA">
            <w:pPr>
              <w:ind w:right="-97"/>
              <w:rPr>
                <w:sz w:val="20"/>
                <w:szCs w:val="20"/>
              </w:rPr>
            </w:pPr>
            <w:r>
              <w:rPr>
                <w:sz w:val="20"/>
                <w:szCs w:val="20"/>
              </w:rPr>
              <w:t>Indent last bullet point</w:t>
            </w:r>
            <w:r w:rsidR="00DC055E">
              <w:rPr>
                <w:sz w:val="20"/>
                <w:szCs w:val="20"/>
              </w:rPr>
              <w:t xml:space="preserve"> if intended.</w:t>
            </w:r>
          </w:p>
        </w:tc>
      </w:tr>
      <w:tr w:rsidR="005E2F59" w:rsidRPr="003114F3" w14:paraId="0665DFB6" w14:textId="77777777" w:rsidTr="005D06BC">
        <w:tc>
          <w:tcPr>
            <w:tcW w:w="1166" w:type="dxa"/>
            <w:shd w:val="clear" w:color="auto" w:fill="FDF8DE" w:themeFill="accent5" w:themeFillTint="33"/>
          </w:tcPr>
          <w:p w14:paraId="1520254F" w14:textId="4674C4FB" w:rsidR="005E2F59" w:rsidRDefault="005E2F59" w:rsidP="005E2F59">
            <w:pPr>
              <w:ind w:right="-97"/>
              <w:rPr>
                <w:sz w:val="20"/>
                <w:szCs w:val="20"/>
              </w:rPr>
            </w:pPr>
            <w:r>
              <w:rPr>
                <w:sz w:val="20"/>
                <w:szCs w:val="20"/>
              </w:rPr>
              <w:t>Annex 3</w:t>
            </w:r>
          </w:p>
        </w:tc>
        <w:tc>
          <w:tcPr>
            <w:tcW w:w="1584" w:type="dxa"/>
            <w:shd w:val="clear" w:color="auto" w:fill="FDF8DE" w:themeFill="accent5" w:themeFillTint="33"/>
          </w:tcPr>
          <w:p w14:paraId="0D4406CB" w14:textId="08B5A21C" w:rsidR="005E2F59" w:rsidRPr="00F564FA" w:rsidRDefault="005E2F59" w:rsidP="005E2F59">
            <w:pPr>
              <w:ind w:right="-97"/>
              <w:rPr>
                <w:sz w:val="20"/>
                <w:szCs w:val="20"/>
              </w:rPr>
            </w:pPr>
            <w:r>
              <w:rPr>
                <w:sz w:val="20"/>
                <w:szCs w:val="20"/>
              </w:rPr>
              <w:t>Planning Code (Draft)</w:t>
            </w:r>
          </w:p>
        </w:tc>
        <w:tc>
          <w:tcPr>
            <w:tcW w:w="1465" w:type="dxa"/>
            <w:shd w:val="clear" w:color="auto" w:fill="FDF8DE" w:themeFill="accent5" w:themeFillTint="33"/>
          </w:tcPr>
          <w:p w14:paraId="05C54AFA" w14:textId="0E459F77" w:rsidR="005E2F59" w:rsidRPr="00F564FA" w:rsidRDefault="005E2F59" w:rsidP="005E2F59">
            <w:pPr>
              <w:ind w:right="-97"/>
              <w:rPr>
                <w:sz w:val="20"/>
                <w:szCs w:val="20"/>
              </w:rPr>
            </w:pPr>
            <w:r w:rsidRPr="005E2F59">
              <w:rPr>
                <w:sz w:val="20"/>
                <w:szCs w:val="20"/>
              </w:rPr>
              <w:t>PC.9.3.3.8</w:t>
            </w:r>
          </w:p>
        </w:tc>
        <w:tc>
          <w:tcPr>
            <w:tcW w:w="3056" w:type="dxa"/>
            <w:shd w:val="clear" w:color="auto" w:fill="FDF8DE" w:themeFill="accent5" w:themeFillTint="33"/>
          </w:tcPr>
          <w:p w14:paraId="7CDA1941" w14:textId="06E81C86" w:rsidR="005E2F59" w:rsidRPr="00F564FA" w:rsidRDefault="005E2F59" w:rsidP="005E2F59">
            <w:pPr>
              <w:ind w:right="-97"/>
              <w:rPr>
                <w:sz w:val="20"/>
                <w:szCs w:val="20"/>
              </w:rPr>
            </w:pPr>
            <w:r>
              <w:rPr>
                <w:sz w:val="20"/>
                <w:szCs w:val="20"/>
              </w:rPr>
              <w:t>Typographical error – no schedule number mentioned.</w:t>
            </w:r>
          </w:p>
        </w:tc>
        <w:tc>
          <w:tcPr>
            <w:tcW w:w="2465" w:type="dxa"/>
            <w:shd w:val="clear" w:color="auto" w:fill="FDF8DE" w:themeFill="accent5" w:themeFillTint="33"/>
          </w:tcPr>
          <w:p w14:paraId="5607DAE8" w14:textId="0F764898" w:rsidR="005E2F59" w:rsidRDefault="005E2F59" w:rsidP="005E2F59">
            <w:pPr>
              <w:ind w:right="-97"/>
              <w:rPr>
                <w:sz w:val="20"/>
                <w:szCs w:val="20"/>
              </w:rPr>
            </w:pPr>
            <w:r>
              <w:rPr>
                <w:sz w:val="20"/>
                <w:szCs w:val="20"/>
              </w:rPr>
              <w:t>Add correct schedule number, presumably 26 was intended.</w:t>
            </w:r>
          </w:p>
        </w:tc>
      </w:tr>
      <w:tr w:rsidR="008E5E4B" w:rsidRPr="003114F3" w14:paraId="4BFC3856" w14:textId="77777777" w:rsidTr="005D06BC">
        <w:tc>
          <w:tcPr>
            <w:tcW w:w="1166" w:type="dxa"/>
            <w:shd w:val="clear" w:color="auto" w:fill="FDF8DE" w:themeFill="accent5" w:themeFillTint="33"/>
          </w:tcPr>
          <w:p w14:paraId="29B16271" w14:textId="5429FB92"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151A5C13" w14:textId="69A50227"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2F4B0245" w14:textId="36ED8393" w:rsidR="008E5E4B" w:rsidRPr="005E2F59" w:rsidRDefault="008E5E4B" w:rsidP="008E5E4B">
            <w:pPr>
              <w:ind w:right="-97"/>
              <w:rPr>
                <w:sz w:val="20"/>
                <w:szCs w:val="20"/>
              </w:rPr>
            </w:pPr>
            <w:r w:rsidRPr="008E5E4B">
              <w:rPr>
                <w:sz w:val="20"/>
                <w:szCs w:val="20"/>
              </w:rPr>
              <w:t>PC.9.4.2.2.3</w:t>
            </w:r>
          </w:p>
        </w:tc>
        <w:tc>
          <w:tcPr>
            <w:tcW w:w="3056" w:type="dxa"/>
            <w:shd w:val="clear" w:color="auto" w:fill="FDF8DE" w:themeFill="accent5" w:themeFillTint="33"/>
          </w:tcPr>
          <w:p w14:paraId="6BA2E1D6" w14:textId="78294B16" w:rsidR="008E5E4B" w:rsidRDefault="008E5E4B" w:rsidP="008E5E4B">
            <w:pPr>
              <w:ind w:right="-97"/>
              <w:rPr>
                <w:sz w:val="20"/>
                <w:szCs w:val="20"/>
              </w:rPr>
            </w:pPr>
            <w:r>
              <w:rPr>
                <w:sz w:val="20"/>
                <w:szCs w:val="20"/>
              </w:rPr>
              <w:t xml:space="preserve">References to </w:t>
            </w:r>
            <w:r w:rsidRPr="008E5E4B">
              <w:rPr>
                <w:sz w:val="20"/>
                <w:szCs w:val="20"/>
              </w:rPr>
              <w:t>PC.G.8.2</w:t>
            </w:r>
            <w:r>
              <w:rPr>
                <w:sz w:val="20"/>
                <w:szCs w:val="20"/>
              </w:rPr>
              <w:t>, which seemingly does not exist.</w:t>
            </w:r>
          </w:p>
        </w:tc>
        <w:tc>
          <w:tcPr>
            <w:tcW w:w="2465" w:type="dxa"/>
            <w:shd w:val="clear" w:color="auto" w:fill="FDF8DE" w:themeFill="accent5" w:themeFillTint="33"/>
          </w:tcPr>
          <w:p w14:paraId="62BEC79A" w14:textId="7123726C" w:rsidR="008E5E4B" w:rsidRDefault="008E5E4B" w:rsidP="008E5E4B">
            <w:pPr>
              <w:ind w:right="-97"/>
              <w:rPr>
                <w:sz w:val="20"/>
                <w:szCs w:val="20"/>
              </w:rPr>
            </w:pPr>
            <w:r>
              <w:rPr>
                <w:sz w:val="20"/>
                <w:szCs w:val="20"/>
              </w:rPr>
              <w:t xml:space="preserve">Correct – perhaps </w:t>
            </w:r>
            <w:r w:rsidRPr="008E5E4B">
              <w:rPr>
                <w:sz w:val="20"/>
                <w:szCs w:val="20"/>
              </w:rPr>
              <w:t>PC.G.8.1</w:t>
            </w:r>
            <w:r>
              <w:rPr>
                <w:sz w:val="20"/>
                <w:szCs w:val="20"/>
              </w:rPr>
              <w:t xml:space="preserve"> was intended?</w:t>
            </w:r>
          </w:p>
        </w:tc>
      </w:tr>
      <w:tr w:rsidR="008E5E4B" w:rsidRPr="003114F3" w14:paraId="5E292DCC" w14:textId="77777777" w:rsidTr="005D06BC">
        <w:tc>
          <w:tcPr>
            <w:tcW w:w="1166" w:type="dxa"/>
            <w:shd w:val="clear" w:color="auto" w:fill="FDF8DE" w:themeFill="accent5" w:themeFillTint="33"/>
          </w:tcPr>
          <w:p w14:paraId="609B2388" w14:textId="6FD49A8B"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3AAF1277" w14:textId="4A39C713"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696434F2" w14:textId="2A1A53F8" w:rsidR="008E5E4B" w:rsidRDefault="008E5E4B" w:rsidP="008E5E4B">
            <w:pPr>
              <w:ind w:right="-97"/>
              <w:rPr>
                <w:sz w:val="20"/>
                <w:szCs w:val="20"/>
              </w:rPr>
            </w:pPr>
            <w:r w:rsidRPr="00B43614">
              <w:rPr>
                <w:sz w:val="20"/>
                <w:szCs w:val="20"/>
              </w:rPr>
              <w:t>PC.10.3.1.2</w:t>
            </w:r>
            <w:r>
              <w:rPr>
                <w:sz w:val="20"/>
                <w:szCs w:val="20"/>
              </w:rPr>
              <w:t xml:space="preserve"> &amp; </w:t>
            </w:r>
            <w:r w:rsidRPr="00B43614">
              <w:rPr>
                <w:sz w:val="20"/>
                <w:szCs w:val="20"/>
              </w:rPr>
              <w:t>PC.10.3.1.3</w:t>
            </w:r>
          </w:p>
        </w:tc>
        <w:tc>
          <w:tcPr>
            <w:tcW w:w="3056" w:type="dxa"/>
            <w:shd w:val="clear" w:color="auto" w:fill="FDF8DE" w:themeFill="accent5" w:themeFillTint="33"/>
          </w:tcPr>
          <w:p w14:paraId="44502053" w14:textId="0C881823" w:rsidR="008E5E4B" w:rsidRDefault="008E5E4B" w:rsidP="008E5E4B">
            <w:pPr>
              <w:ind w:right="-97"/>
              <w:rPr>
                <w:sz w:val="20"/>
                <w:szCs w:val="20"/>
              </w:rPr>
            </w:pPr>
            <w:r>
              <w:rPr>
                <w:sz w:val="20"/>
                <w:szCs w:val="20"/>
              </w:rPr>
              <w:t xml:space="preserve">Date and time of most recent summer NETS minimum and </w:t>
            </w:r>
            <w:r w:rsidRPr="00B43614">
              <w:rPr>
                <w:sz w:val="20"/>
                <w:szCs w:val="20"/>
              </w:rPr>
              <w:t xml:space="preserve">winter NETS peak </w:t>
            </w:r>
            <w:r>
              <w:rPr>
                <w:sz w:val="20"/>
                <w:szCs w:val="20"/>
              </w:rPr>
              <w:t>may be available in advance of weeks 43 and 17.</w:t>
            </w:r>
          </w:p>
        </w:tc>
        <w:tc>
          <w:tcPr>
            <w:tcW w:w="2465" w:type="dxa"/>
            <w:shd w:val="clear" w:color="auto" w:fill="FDF8DE" w:themeFill="accent5" w:themeFillTint="33"/>
          </w:tcPr>
          <w:p w14:paraId="50F4E605" w14:textId="70476D5E" w:rsidR="008E5E4B" w:rsidRDefault="008E5E4B" w:rsidP="008E5E4B">
            <w:pPr>
              <w:ind w:right="-97"/>
              <w:rPr>
                <w:sz w:val="20"/>
                <w:szCs w:val="20"/>
              </w:rPr>
            </w:pPr>
            <w:r>
              <w:rPr>
                <w:sz w:val="20"/>
                <w:szCs w:val="20"/>
              </w:rPr>
              <w:t>Consider altering wording to permit earlier communication of dates and times from NESO, where possible.</w:t>
            </w:r>
          </w:p>
        </w:tc>
      </w:tr>
      <w:tr w:rsidR="008E5E4B" w:rsidRPr="003114F3" w14:paraId="6C78A317" w14:textId="77777777" w:rsidTr="005D06BC">
        <w:tc>
          <w:tcPr>
            <w:tcW w:w="1166" w:type="dxa"/>
            <w:shd w:val="clear" w:color="auto" w:fill="FDF8DE" w:themeFill="accent5" w:themeFillTint="33"/>
          </w:tcPr>
          <w:p w14:paraId="2BCA04FF" w14:textId="6D6DAB40"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002E8395" w14:textId="234FA080"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76C74D4D" w14:textId="66384AA6" w:rsidR="008E5E4B" w:rsidRDefault="008E5E4B" w:rsidP="008E5E4B">
            <w:pPr>
              <w:ind w:right="-97"/>
              <w:rPr>
                <w:sz w:val="20"/>
                <w:szCs w:val="20"/>
              </w:rPr>
            </w:pPr>
            <w:r w:rsidRPr="00DC055E">
              <w:rPr>
                <w:sz w:val="20"/>
                <w:szCs w:val="20"/>
              </w:rPr>
              <w:t>PC.G.1.3.2.1</w:t>
            </w:r>
          </w:p>
          <w:p w14:paraId="137A8F8C" w14:textId="54DC0AC9" w:rsidR="008E5E4B" w:rsidRDefault="008E5E4B" w:rsidP="008E5E4B">
            <w:pPr>
              <w:ind w:right="-97"/>
              <w:rPr>
                <w:sz w:val="20"/>
                <w:szCs w:val="20"/>
              </w:rPr>
            </w:pPr>
          </w:p>
        </w:tc>
        <w:tc>
          <w:tcPr>
            <w:tcW w:w="3056" w:type="dxa"/>
            <w:shd w:val="clear" w:color="auto" w:fill="FDF8DE" w:themeFill="accent5" w:themeFillTint="33"/>
          </w:tcPr>
          <w:p w14:paraId="5FE1ABFA" w14:textId="7DC3E293" w:rsidR="008E5E4B" w:rsidRDefault="008E5E4B" w:rsidP="008E5E4B">
            <w:pPr>
              <w:ind w:right="-97"/>
              <w:rPr>
                <w:sz w:val="20"/>
                <w:szCs w:val="20"/>
              </w:rPr>
            </w:pPr>
            <w:r>
              <w:rPr>
                <w:sz w:val="20"/>
                <w:szCs w:val="20"/>
              </w:rPr>
              <w:t>Short-circuit currents are ambiguous.</w:t>
            </w:r>
          </w:p>
        </w:tc>
        <w:tc>
          <w:tcPr>
            <w:tcW w:w="2465" w:type="dxa"/>
            <w:shd w:val="clear" w:color="auto" w:fill="FDF8DE" w:themeFill="accent5" w:themeFillTint="33"/>
          </w:tcPr>
          <w:p w14:paraId="6F8F6DEA" w14:textId="03E29626" w:rsidR="008E5E4B" w:rsidRDefault="008E5E4B" w:rsidP="008E5E4B">
            <w:pPr>
              <w:ind w:right="-97"/>
              <w:rPr>
                <w:sz w:val="20"/>
                <w:szCs w:val="20"/>
              </w:rPr>
            </w:pPr>
            <w:r>
              <w:rPr>
                <w:sz w:val="20"/>
                <w:szCs w:val="20"/>
              </w:rPr>
              <w:t>Consider adoption of defined short-circuit current terms from IEC60909, e.g. “Initial symmetrical short-circuit current (</w:t>
            </w:r>
            <w:proofErr w:type="spellStart"/>
            <w:proofErr w:type="gramStart"/>
            <w:r>
              <w:rPr>
                <w:sz w:val="20"/>
                <w:szCs w:val="20"/>
              </w:rPr>
              <w:t>I”k</w:t>
            </w:r>
            <w:proofErr w:type="spellEnd"/>
            <w:proofErr w:type="gramEnd"/>
            <w:r>
              <w:rPr>
                <w:sz w:val="20"/>
                <w:szCs w:val="20"/>
              </w:rPr>
              <w:t xml:space="preserve">). These clarify the format (i.e. Peak or RMS) and the </w:t>
            </w:r>
            <w:proofErr w:type="gramStart"/>
            <w:r>
              <w:rPr>
                <w:sz w:val="20"/>
                <w:szCs w:val="20"/>
              </w:rPr>
              <w:t>time period</w:t>
            </w:r>
            <w:proofErr w:type="gramEnd"/>
            <w:r>
              <w:rPr>
                <w:sz w:val="20"/>
                <w:szCs w:val="20"/>
              </w:rPr>
              <w:t xml:space="preserve"> the current is requested at.</w:t>
            </w:r>
          </w:p>
        </w:tc>
      </w:tr>
      <w:tr w:rsidR="008E5E4B" w:rsidRPr="003114F3" w14:paraId="55AA7FF7" w14:textId="77777777" w:rsidTr="005D06BC">
        <w:tc>
          <w:tcPr>
            <w:tcW w:w="1166" w:type="dxa"/>
            <w:shd w:val="clear" w:color="auto" w:fill="FDF8DE" w:themeFill="accent5" w:themeFillTint="33"/>
          </w:tcPr>
          <w:p w14:paraId="4BC19F0D" w14:textId="7953A233" w:rsidR="008E5E4B" w:rsidRDefault="008E5E4B" w:rsidP="008E5E4B">
            <w:pPr>
              <w:ind w:right="-97"/>
              <w:rPr>
                <w:sz w:val="20"/>
                <w:szCs w:val="20"/>
              </w:rPr>
            </w:pPr>
            <w:r>
              <w:rPr>
                <w:sz w:val="20"/>
                <w:szCs w:val="20"/>
              </w:rPr>
              <w:lastRenderedPageBreak/>
              <w:t>Annex 3</w:t>
            </w:r>
          </w:p>
        </w:tc>
        <w:tc>
          <w:tcPr>
            <w:tcW w:w="1584" w:type="dxa"/>
            <w:shd w:val="clear" w:color="auto" w:fill="FDF8DE" w:themeFill="accent5" w:themeFillTint="33"/>
          </w:tcPr>
          <w:p w14:paraId="5DFF9973" w14:textId="18826E9F"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5EDA9969" w14:textId="033C2E36" w:rsidR="008E5E4B" w:rsidRDefault="008E5E4B" w:rsidP="008E5E4B">
            <w:pPr>
              <w:ind w:right="-97"/>
              <w:rPr>
                <w:sz w:val="20"/>
                <w:szCs w:val="20"/>
              </w:rPr>
            </w:pPr>
            <w:r w:rsidRPr="00DC055E">
              <w:rPr>
                <w:sz w:val="20"/>
                <w:szCs w:val="20"/>
              </w:rPr>
              <w:t>PC.G.1.3.2.1</w:t>
            </w:r>
          </w:p>
          <w:p w14:paraId="36C571A9" w14:textId="1B775536" w:rsidR="008E5E4B" w:rsidRDefault="008E5E4B" w:rsidP="008E5E4B">
            <w:pPr>
              <w:ind w:right="-97"/>
              <w:rPr>
                <w:sz w:val="20"/>
                <w:szCs w:val="20"/>
              </w:rPr>
            </w:pPr>
            <w:r>
              <w:rPr>
                <w:sz w:val="20"/>
                <w:szCs w:val="20"/>
              </w:rPr>
              <w:t>a) vi</w:t>
            </w:r>
          </w:p>
          <w:p w14:paraId="31AEC7EA" w14:textId="77777777" w:rsidR="008E5E4B" w:rsidRPr="00DC055E" w:rsidRDefault="008E5E4B" w:rsidP="008E5E4B">
            <w:pPr>
              <w:ind w:right="-97"/>
              <w:rPr>
                <w:sz w:val="20"/>
                <w:szCs w:val="20"/>
              </w:rPr>
            </w:pPr>
          </w:p>
        </w:tc>
        <w:tc>
          <w:tcPr>
            <w:tcW w:w="3056" w:type="dxa"/>
            <w:shd w:val="clear" w:color="auto" w:fill="FDF8DE" w:themeFill="accent5" w:themeFillTint="33"/>
          </w:tcPr>
          <w:p w14:paraId="19382E82" w14:textId="7F62537D" w:rsidR="008E5E4B" w:rsidRDefault="008E5E4B" w:rsidP="008E5E4B">
            <w:pPr>
              <w:ind w:right="-97"/>
              <w:rPr>
                <w:sz w:val="20"/>
                <w:szCs w:val="20"/>
              </w:rPr>
            </w:pPr>
            <w:r>
              <w:rPr>
                <w:sz w:val="20"/>
                <w:szCs w:val="20"/>
              </w:rPr>
              <w:t>Decaying component current in ambiguous</w:t>
            </w:r>
          </w:p>
        </w:tc>
        <w:tc>
          <w:tcPr>
            <w:tcW w:w="2465" w:type="dxa"/>
            <w:shd w:val="clear" w:color="auto" w:fill="FDF8DE" w:themeFill="accent5" w:themeFillTint="33"/>
          </w:tcPr>
          <w:p w14:paraId="1B5CE42E" w14:textId="064B8024" w:rsidR="008E5E4B" w:rsidRDefault="008E5E4B" w:rsidP="008E5E4B">
            <w:pPr>
              <w:ind w:right="-97"/>
              <w:rPr>
                <w:sz w:val="20"/>
                <w:szCs w:val="20"/>
              </w:rPr>
            </w:pPr>
            <w:r>
              <w:rPr>
                <w:sz w:val="20"/>
                <w:szCs w:val="20"/>
              </w:rPr>
              <w:t>Clarify intended data.</w:t>
            </w:r>
          </w:p>
        </w:tc>
      </w:tr>
      <w:tr w:rsidR="008E5E4B" w:rsidRPr="003114F3" w14:paraId="60411ECD" w14:textId="77777777" w:rsidTr="005D06BC">
        <w:tc>
          <w:tcPr>
            <w:tcW w:w="1166" w:type="dxa"/>
            <w:shd w:val="clear" w:color="auto" w:fill="FDF8DE" w:themeFill="accent5" w:themeFillTint="33"/>
          </w:tcPr>
          <w:p w14:paraId="2D7EAD35" w14:textId="353A71D8"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6FC79C73" w14:textId="1E2E4BE7"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57C9CB95" w14:textId="0B7E30AA" w:rsidR="008E5E4B" w:rsidRPr="00DC055E" w:rsidRDefault="008E5E4B" w:rsidP="008E5E4B">
            <w:pPr>
              <w:ind w:right="-97"/>
              <w:rPr>
                <w:sz w:val="20"/>
                <w:szCs w:val="20"/>
              </w:rPr>
            </w:pPr>
            <w:r w:rsidRPr="000F310F">
              <w:rPr>
                <w:sz w:val="20"/>
                <w:szCs w:val="20"/>
              </w:rPr>
              <w:t>PC.G.1.3.3</w:t>
            </w:r>
            <w:r>
              <w:rPr>
                <w:sz w:val="20"/>
                <w:szCs w:val="20"/>
              </w:rPr>
              <w:t xml:space="preserve"> a) iii) i)</w:t>
            </w:r>
          </w:p>
        </w:tc>
        <w:tc>
          <w:tcPr>
            <w:tcW w:w="3056" w:type="dxa"/>
            <w:shd w:val="clear" w:color="auto" w:fill="FDF8DE" w:themeFill="accent5" w:themeFillTint="33"/>
          </w:tcPr>
          <w:p w14:paraId="7393EADE" w14:textId="7D00536A" w:rsidR="008E5E4B" w:rsidRDefault="008E5E4B" w:rsidP="008E5E4B">
            <w:pPr>
              <w:ind w:right="-97"/>
              <w:rPr>
                <w:sz w:val="20"/>
                <w:szCs w:val="20"/>
              </w:rPr>
            </w:pPr>
            <w:r>
              <w:rPr>
                <w:sz w:val="20"/>
                <w:szCs w:val="20"/>
              </w:rPr>
              <w:t>DC time constant not applicable to BS116 rated switchgear.</w:t>
            </w:r>
          </w:p>
        </w:tc>
        <w:tc>
          <w:tcPr>
            <w:tcW w:w="2465" w:type="dxa"/>
            <w:shd w:val="clear" w:color="auto" w:fill="FDF8DE" w:themeFill="accent5" w:themeFillTint="33"/>
          </w:tcPr>
          <w:p w14:paraId="0CA63B64" w14:textId="57C67BD6" w:rsidR="008E5E4B" w:rsidRDefault="008E5E4B" w:rsidP="008E5E4B">
            <w:pPr>
              <w:ind w:right="-97"/>
              <w:rPr>
                <w:sz w:val="20"/>
                <w:szCs w:val="20"/>
              </w:rPr>
            </w:pPr>
            <w:r>
              <w:rPr>
                <w:sz w:val="20"/>
                <w:szCs w:val="20"/>
              </w:rPr>
              <w:t>Consider clarifying what ought to be provided where a DC TC is not necessarily valid/available.</w:t>
            </w:r>
          </w:p>
        </w:tc>
      </w:tr>
      <w:tr w:rsidR="008E5E4B" w:rsidRPr="003114F3" w14:paraId="4C75DDE7" w14:textId="77777777" w:rsidTr="005D06BC">
        <w:tc>
          <w:tcPr>
            <w:tcW w:w="1166" w:type="dxa"/>
            <w:shd w:val="clear" w:color="auto" w:fill="FDF8DE" w:themeFill="accent5" w:themeFillTint="33"/>
          </w:tcPr>
          <w:p w14:paraId="685C82EF" w14:textId="5658CDE2"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4017E736" w14:textId="27DF4C5E"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700DDB08" w14:textId="174C2E4C" w:rsidR="008E5E4B" w:rsidRPr="00DC055E" w:rsidRDefault="008E5E4B" w:rsidP="008E5E4B">
            <w:pPr>
              <w:ind w:right="-97"/>
              <w:rPr>
                <w:sz w:val="20"/>
                <w:szCs w:val="20"/>
              </w:rPr>
            </w:pPr>
            <w:r w:rsidRPr="000D1DF7">
              <w:rPr>
                <w:sz w:val="20"/>
                <w:szCs w:val="20"/>
              </w:rPr>
              <w:t>PC.G.1.3.4</w:t>
            </w:r>
            <w:r>
              <w:rPr>
                <w:sz w:val="20"/>
                <w:szCs w:val="20"/>
              </w:rPr>
              <w:t xml:space="preserve"> a) ii) iii)</w:t>
            </w:r>
          </w:p>
        </w:tc>
        <w:tc>
          <w:tcPr>
            <w:tcW w:w="3056" w:type="dxa"/>
            <w:shd w:val="clear" w:color="auto" w:fill="FDF8DE" w:themeFill="accent5" w:themeFillTint="33"/>
          </w:tcPr>
          <w:p w14:paraId="5E98A8A2" w14:textId="7D56694E" w:rsidR="008E5E4B" w:rsidRDefault="008E5E4B" w:rsidP="008E5E4B">
            <w:pPr>
              <w:ind w:right="-97"/>
              <w:rPr>
                <w:sz w:val="20"/>
                <w:szCs w:val="20"/>
              </w:rPr>
            </w:pPr>
            <w:r>
              <w:rPr>
                <w:sz w:val="20"/>
                <w:szCs w:val="20"/>
              </w:rPr>
              <w:t>Type of tap changer is unlikely to be known in the majority of cases and is unlikely to be required where the reverse power limit is provided.</w:t>
            </w:r>
          </w:p>
        </w:tc>
        <w:tc>
          <w:tcPr>
            <w:tcW w:w="2465" w:type="dxa"/>
            <w:shd w:val="clear" w:color="auto" w:fill="FDF8DE" w:themeFill="accent5" w:themeFillTint="33"/>
          </w:tcPr>
          <w:p w14:paraId="218A29E4" w14:textId="773BB0CC" w:rsidR="008E5E4B" w:rsidRDefault="008E5E4B" w:rsidP="008E5E4B">
            <w:pPr>
              <w:ind w:right="-97"/>
              <w:rPr>
                <w:sz w:val="20"/>
                <w:szCs w:val="20"/>
              </w:rPr>
            </w:pPr>
            <w:r>
              <w:rPr>
                <w:sz w:val="20"/>
                <w:szCs w:val="20"/>
              </w:rPr>
              <w:t>Consider removal of this requirement.</w:t>
            </w:r>
          </w:p>
        </w:tc>
      </w:tr>
      <w:tr w:rsidR="008E5E4B" w:rsidRPr="003114F3" w14:paraId="4768C5EB" w14:textId="77777777" w:rsidTr="005D06BC">
        <w:tc>
          <w:tcPr>
            <w:tcW w:w="1166" w:type="dxa"/>
            <w:shd w:val="clear" w:color="auto" w:fill="FDF8DE" w:themeFill="accent5" w:themeFillTint="33"/>
          </w:tcPr>
          <w:p w14:paraId="2E0213C9" w14:textId="77777777"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20BDDCF0" w14:textId="77777777"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2ED1B1A4" w14:textId="20401BCE" w:rsidR="008E5E4B" w:rsidRPr="00DC055E" w:rsidRDefault="008E5E4B" w:rsidP="008E5E4B">
            <w:pPr>
              <w:ind w:right="-97"/>
              <w:rPr>
                <w:sz w:val="20"/>
                <w:szCs w:val="20"/>
              </w:rPr>
            </w:pPr>
            <w:r w:rsidRPr="000D1DF7">
              <w:rPr>
                <w:sz w:val="20"/>
                <w:szCs w:val="20"/>
              </w:rPr>
              <w:t>PC.G.1.3.</w:t>
            </w:r>
            <w:r>
              <w:rPr>
                <w:sz w:val="20"/>
                <w:szCs w:val="20"/>
              </w:rPr>
              <w:t>5 a) b)</w:t>
            </w:r>
          </w:p>
        </w:tc>
        <w:tc>
          <w:tcPr>
            <w:tcW w:w="3056" w:type="dxa"/>
            <w:shd w:val="clear" w:color="auto" w:fill="FDF8DE" w:themeFill="accent5" w:themeFillTint="33"/>
          </w:tcPr>
          <w:p w14:paraId="3D989ADF" w14:textId="0A8899F2" w:rsidR="008E5E4B" w:rsidRDefault="008E5E4B" w:rsidP="008E5E4B">
            <w:pPr>
              <w:ind w:right="-97"/>
              <w:rPr>
                <w:sz w:val="20"/>
                <w:szCs w:val="20"/>
              </w:rPr>
            </w:pPr>
            <w:r>
              <w:rPr>
                <w:sz w:val="20"/>
                <w:szCs w:val="20"/>
              </w:rPr>
              <w:t>Length of circuit not applicable to equivalent circuits (e.g. those determined by network reduction).</w:t>
            </w:r>
          </w:p>
        </w:tc>
        <w:tc>
          <w:tcPr>
            <w:tcW w:w="2465" w:type="dxa"/>
            <w:shd w:val="clear" w:color="auto" w:fill="FDF8DE" w:themeFill="accent5" w:themeFillTint="33"/>
          </w:tcPr>
          <w:p w14:paraId="227A42FE" w14:textId="5E97F879" w:rsidR="008E5E4B" w:rsidRDefault="008E5E4B" w:rsidP="008E5E4B">
            <w:pPr>
              <w:ind w:right="-97"/>
              <w:rPr>
                <w:sz w:val="20"/>
                <w:szCs w:val="20"/>
              </w:rPr>
            </w:pPr>
            <w:r>
              <w:rPr>
                <w:sz w:val="20"/>
                <w:szCs w:val="20"/>
              </w:rPr>
              <w:t>Consider making this an optional requirement.</w:t>
            </w:r>
          </w:p>
        </w:tc>
      </w:tr>
      <w:tr w:rsidR="008E5E4B" w:rsidRPr="003114F3" w14:paraId="0CAC8346" w14:textId="77777777" w:rsidTr="005D06BC">
        <w:tc>
          <w:tcPr>
            <w:tcW w:w="1166" w:type="dxa"/>
            <w:shd w:val="clear" w:color="auto" w:fill="FDF8DE" w:themeFill="accent5" w:themeFillTint="33"/>
          </w:tcPr>
          <w:p w14:paraId="4A989FB3" w14:textId="4F477A8D"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5C3371F7" w14:textId="043548DF"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3CA7E5B3" w14:textId="406A8629" w:rsidR="008E5E4B" w:rsidRPr="00DC055E" w:rsidRDefault="008E5E4B" w:rsidP="008E5E4B">
            <w:pPr>
              <w:ind w:right="-97"/>
              <w:rPr>
                <w:sz w:val="20"/>
                <w:szCs w:val="20"/>
              </w:rPr>
            </w:pPr>
            <w:r w:rsidRPr="000D1DF7">
              <w:rPr>
                <w:sz w:val="20"/>
                <w:szCs w:val="20"/>
              </w:rPr>
              <w:t>PC.G.1.3.</w:t>
            </w:r>
            <w:r>
              <w:rPr>
                <w:sz w:val="20"/>
                <w:szCs w:val="20"/>
              </w:rPr>
              <w:t>5 a) c)</w:t>
            </w:r>
          </w:p>
        </w:tc>
        <w:tc>
          <w:tcPr>
            <w:tcW w:w="3056" w:type="dxa"/>
            <w:shd w:val="clear" w:color="auto" w:fill="FDF8DE" w:themeFill="accent5" w:themeFillTint="33"/>
          </w:tcPr>
          <w:p w14:paraId="1023DD1F" w14:textId="63BF33AD" w:rsidR="008E5E4B" w:rsidRDefault="008E5E4B" w:rsidP="008E5E4B">
            <w:pPr>
              <w:ind w:right="-97"/>
              <w:rPr>
                <w:sz w:val="20"/>
                <w:szCs w:val="20"/>
              </w:rPr>
            </w:pPr>
            <w:r w:rsidRPr="00932C2B">
              <w:rPr>
                <w:sz w:val="20"/>
                <w:szCs w:val="20"/>
              </w:rPr>
              <w:t>Max permitted temperature at the end of the short circuit</w:t>
            </w:r>
            <w:r>
              <w:rPr>
                <w:sz w:val="20"/>
                <w:szCs w:val="20"/>
              </w:rPr>
              <w:t xml:space="preserve"> not known in many cases.</w:t>
            </w:r>
          </w:p>
        </w:tc>
        <w:tc>
          <w:tcPr>
            <w:tcW w:w="2465" w:type="dxa"/>
            <w:shd w:val="clear" w:color="auto" w:fill="FDF8DE" w:themeFill="accent5" w:themeFillTint="33"/>
          </w:tcPr>
          <w:p w14:paraId="4AE6A09D" w14:textId="6C49F824" w:rsidR="008E5E4B" w:rsidRDefault="008E5E4B" w:rsidP="008E5E4B">
            <w:pPr>
              <w:ind w:right="-97"/>
              <w:rPr>
                <w:sz w:val="20"/>
                <w:szCs w:val="20"/>
              </w:rPr>
            </w:pPr>
            <w:r>
              <w:rPr>
                <w:sz w:val="20"/>
                <w:szCs w:val="20"/>
              </w:rPr>
              <w:t>Consider removal of this requirement.</w:t>
            </w:r>
          </w:p>
        </w:tc>
      </w:tr>
      <w:tr w:rsidR="008E5E4B" w:rsidRPr="003114F3" w14:paraId="7BEF2A55" w14:textId="77777777" w:rsidTr="005D06BC">
        <w:tc>
          <w:tcPr>
            <w:tcW w:w="1166" w:type="dxa"/>
            <w:shd w:val="clear" w:color="auto" w:fill="FDF8DE" w:themeFill="accent5" w:themeFillTint="33"/>
          </w:tcPr>
          <w:p w14:paraId="44457996" w14:textId="77777777"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38563613" w14:textId="77777777"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5E6554C9" w14:textId="77FE6D1A" w:rsidR="008E5E4B" w:rsidRPr="00DC055E" w:rsidRDefault="008E5E4B" w:rsidP="008E5E4B">
            <w:pPr>
              <w:ind w:right="-97"/>
              <w:rPr>
                <w:sz w:val="20"/>
                <w:szCs w:val="20"/>
              </w:rPr>
            </w:pPr>
            <w:r w:rsidRPr="000D1DF7">
              <w:rPr>
                <w:sz w:val="20"/>
                <w:szCs w:val="20"/>
              </w:rPr>
              <w:t>PC.G.1.3.</w:t>
            </w:r>
            <w:r>
              <w:rPr>
                <w:sz w:val="20"/>
                <w:szCs w:val="20"/>
              </w:rPr>
              <w:t>5 a) g)</w:t>
            </w:r>
          </w:p>
        </w:tc>
        <w:tc>
          <w:tcPr>
            <w:tcW w:w="3056" w:type="dxa"/>
            <w:shd w:val="clear" w:color="auto" w:fill="FDF8DE" w:themeFill="accent5" w:themeFillTint="33"/>
          </w:tcPr>
          <w:p w14:paraId="707293B6" w14:textId="7B34B0E3" w:rsidR="008E5E4B" w:rsidRDefault="008E5E4B" w:rsidP="008E5E4B">
            <w:pPr>
              <w:ind w:right="-97"/>
              <w:rPr>
                <w:sz w:val="20"/>
                <w:szCs w:val="20"/>
              </w:rPr>
            </w:pPr>
            <w:r>
              <w:rPr>
                <w:sz w:val="20"/>
                <w:szCs w:val="20"/>
              </w:rPr>
              <w:t>Negative sequence impedance is the same as positive sequence, apart from equivalent circuits (e.g. those determined by network reduction).</w:t>
            </w:r>
          </w:p>
        </w:tc>
        <w:tc>
          <w:tcPr>
            <w:tcW w:w="2465" w:type="dxa"/>
            <w:shd w:val="clear" w:color="auto" w:fill="FDF8DE" w:themeFill="accent5" w:themeFillTint="33"/>
          </w:tcPr>
          <w:p w14:paraId="76998E25" w14:textId="77777777" w:rsidR="008E5E4B" w:rsidRDefault="008E5E4B" w:rsidP="008E5E4B">
            <w:pPr>
              <w:ind w:right="-97"/>
              <w:rPr>
                <w:sz w:val="20"/>
                <w:szCs w:val="20"/>
              </w:rPr>
            </w:pPr>
            <w:r>
              <w:rPr>
                <w:sz w:val="20"/>
                <w:szCs w:val="20"/>
              </w:rPr>
              <w:t>Consider making this an optional requirement.</w:t>
            </w:r>
          </w:p>
        </w:tc>
      </w:tr>
      <w:tr w:rsidR="008E5E4B" w:rsidRPr="003114F3" w14:paraId="6DF0CB89" w14:textId="77777777" w:rsidTr="005D06BC">
        <w:tc>
          <w:tcPr>
            <w:tcW w:w="1166" w:type="dxa"/>
            <w:shd w:val="clear" w:color="auto" w:fill="FDF8DE" w:themeFill="accent5" w:themeFillTint="33"/>
          </w:tcPr>
          <w:p w14:paraId="2133B5C8" w14:textId="17A0828C"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57D18E67" w14:textId="03BCF274"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1D50E09C" w14:textId="7D3A5810" w:rsidR="008E5E4B" w:rsidRPr="00DC055E" w:rsidRDefault="008E5E4B" w:rsidP="008E5E4B">
            <w:pPr>
              <w:ind w:right="-97"/>
              <w:rPr>
                <w:sz w:val="20"/>
                <w:szCs w:val="20"/>
              </w:rPr>
            </w:pPr>
            <w:r w:rsidRPr="0067797F">
              <w:rPr>
                <w:sz w:val="20"/>
                <w:szCs w:val="20"/>
              </w:rPr>
              <w:t>PC.G.1.3.5</w:t>
            </w:r>
          </w:p>
        </w:tc>
        <w:tc>
          <w:tcPr>
            <w:tcW w:w="3056" w:type="dxa"/>
            <w:shd w:val="clear" w:color="auto" w:fill="FDF8DE" w:themeFill="accent5" w:themeFillTint="33"/>
          </w:tcPr>
          <w:p w14:paraId="42C57652" w14:textId="01429C6C" w:rsidR="008E5E4B" w:rsidRDefault="008E5E4B" w:rsidP="008E5E4B">
            <w:pPr>
              <w:ind w:right="-97"/>
              <w:rPr>
                <w:sz w:val="20"/>
                <w:szCs w:val="20"/>
              </w:rPr>
            </w:pPr>
            <w:r>
              <w:rPr>
                <w:sz w:val="20"/>
                <w:szCs w:val="20"/>
              </w:rPr>
              <w:t>Z</w:t>
            </w:r>
            <w:r w:rsidRPr="0067797F">
              <w:rPr>
                <w:sz w:val="20"/>
                <w:szCs w:val="20"/>
              </w:rPr>
              <w:t>ero sequence mutual coupling</w:t>
            </w:r>
            <w:r>
              <w:rPr>
                <w:sz w:val="20"/>
                <w:szCs w:val="20"/>
              </w:rPr>
              <w:t xml:space="preserve"> does not include the ‘other’ circuit.</w:t>
            </w:r>
          </w:p>
        </w:tc>
        <w:tc>
          <w:tcPr>
            <w:tcW w:w="2465" w:type="dxa"/>
            <w:shd w:val="clear" w:color="auto" w:fill="FDF8DE" w:themeFill="accent5" w:themeFillTint="33"/>
          </w:tcPr>
          <w:p w14:paraId="2C5903BA" w14:textId="4C0A6D08" w:rsidR="008E5E4B" w:rsidRDefault="008E5E4B" w:rsidP="008E5E4B">
            <w:pPr>
              <w:ind w:right="-97"/>
              <w:rPr>
                <w:sz w:val="20"/>
                <w:szCs w:val="20"/>
              </w:rPr>
            </w:pPr>
            <w:r>
              <w:rPr>
                <w:sz w:val="20"/>
                <w:szCs w:val="20"/>
              </w:rPr>
              <w:t>Add the ‘other’ circuit to which ‘this’ circuit is coupled.</w:t>
            </w:r>
          </w:p>
        </w:tc>
      </w:tr>
      <w:tr w:rsidR="008E5E4B" w:rsidRPr="003114F3" w14:paraId="17472B39" w14:textId="77777777" w:rsidTr="005D06BC">
        <w:tc>
          <w:tcPr>
            <w:tcW w:w="1166" w:type="dxa"/>
            <w:shd w:val="clear" w:color="auto" w:fill="FDF8DE" w:themeFill="accent5" w:themeFillTint="33"/>
          </w:tcPr>
          <w:p w14:paraId="151318C1" w14:textId="7B8A6E30"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18A9593E" w14:textId="08B212D0"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33D1562F" w14:textId="66337353" w:rsidR="008E5E4B" w:rsidRPr="00DC055E" w:rsidRDefault="008E5E4B" w:rsidP="008E5E4B">
            <w:pPr>
              <w:ind w:right="-97"/>
              <w:rPr>
                <w:sz w:val="20"/>
                <w:szCs w:val="20"/>
              </w:rPr>
            </w:pPr>
            <w:r w:rsidRPr="00892930">
              <w:rPr>
                <w:sz w:val="20"/>
                <w:szCs w:val="20"/>
              </w:rPr>
              <w:t>PC.G.1.4.1</w:t>
            </w:r>
            <w:r>
              <w:rPr>
                <w:sz w:val="20"/>
                <w:szCs w:val="20"/>
              </w:rPr>
              <w:t xml:space="preserve"> a)</w:t>
            </w:r>
          </w:p>
        </w:tc>
        <w:tc>
          <w:tcPr>
            <w:tcW w:w="3056" w:type="dxa"/>
            <w:shd w:val="clear" w:color="auto" w:fill="FDF8DE" w:themeFill="accent5" w:themeFillTint="33"/>
          </w:tcPr>
          <w:p w14:paraId="00E4232E" w14:textId="36529ECF" w:rsidR="008E5E4B" w:rsidRDefault="008E5E4B" w:rsidP="008E5E4B">
            <w:pPr>
              <w:ind w:right="-97"/>
              <w:rPr>
                <w:sz w:val="20"/>
                <w:szCs w:val="20"/>
              </w:rPr>
            </w:pPr>
            <w:r>
              <w:rPr>
                <w:sz w:val="20"/>
                <w:szCs w:val="20"/>
              </w:rPr>
              <w:t>Several parameters unavailable in many cases – v) vi) vii) viii) x) xi)</w:t>
            </w:r>
          </w:p>
        </w:tc>
        <w:tc>
          <w:tcPr>
            <w:tcW w:w="2465" w:type="dxa"/>
            <w:shd w:val="clear" w:color="auto" w:fill="FDF8DE" w:themeFill="accent5" w:themeFillTint="33"/>
          </w:tcPr>
          <w:p w14:paraId="4B264C3A" w14:textId="01B9A38C" w:rsidR="008E5E4B" w:rsidRDefault="008E5E4B" w:rsidP="008E5E4B">
            <w:pPr>
              <w:ind w:right="-97"/>
              <w:rPr>
                <w:sz w:val="20"/>
                <w:szCs w:val="20"/>
              </w:rPr>
            </w:pPr>
            <w:r>
              <w:rPr>
                <w:sz w:val="20"/>
                <w:szCs w:val="20"/>
              </w:rPr>
              <w:t>Consider making this an optional requirement.</w:t>
            </w:r>
          </w:p>
        </w:tc>
      </w:tr>
      <w:tr w:rsidR="008E5E4B" w:rsidRPr="003114F3" w14:paraId="39C0F41E" w14:textId="77777777" w:rsidTr="005D06BC">
        <w:tc>
          <w:tcPr>
            <w:tcW w:w="1166" w:type="dxa"/>
            <w:shd w:val="clear" w:color="auto" w:fill="FDF8DE" w:themeFill="accent5" w:themeFillTint="33"/>
          </w:tcPr>
          <w:p w14:paraId="1D0185FD" w14:textId="379E6446"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5E7DFE58" w14:textId="5279A413"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22936218" w14:textId="63EDC34E" w:rsidR="008E5E4B" w:rsidRPr="00DC055E" w:rsidRDefault="008E5E4B" w:rsidP="008E5E4B">
            <w:pPr>
              <w:ind w:right="-97"/>
              <w:rPr>
                <w:sz w:val="20"/>
                <w:szCs w:val="20"/>
              </w:rPr>
            </w:pPr>
            <w:r w:rsidRPr="00892930">
              <w:rPr>
                <w:sz w:val="20"/>
                <w:szCs w:val="20"/>
              </w:rPr>
              <w:t>PC.G.1.4.1</w:t>
            </w:r>
          </w:p>
        </w:tc>
        <w:tc>
          <w:tcPr>
            <w:tcW w:w="3056" w:type="dxa"/>
            <w:shd w:val="clear" w:color="auto" w:fill="FDF8DE" w:themeFill="accent5" w:themeFillTint="33"/>
          </w:tcPr>
          <w:p w14:paraId="0B26EA52" w14:textId="37CB67DD" w:rsidR="008E5E4B" w:rsidRDefault="008E5E4B" w:rsidP="008E5E4B">
            <w:pPr>
              <w:ind w:right="-97"/>
              <w:rPr>
                <w:sz w:val="20"/>
                <w:szCs w:val="20"/>
              </w:rPr>
            </w:pPr>
            <w:r>
              <w:rPr>
                <w:sz w:val="20"/>
                <w:szCs w:val="20"/>
              </w:rPr>
              <w:t>Several parameters unavailable in many cases – xii) xiii) xv)</w:t>
            </w:r>
          </w:p>
        </w:tc>
        <w:tc>
          <w:tcPr>
            <w:tcW w:w="2465" w:type="dxa"/>
            <w:shd w:val="clear" w:color="auto" w:fill="FDF8DE" w:themeFill="accent5" w:themeFillTint="33"/>
          </w:tcPr>
          <w:p w14:paraId="6EF7F6B8" w14:textId="299C687C" w:rsidR="008E5E4B" w:rsidRDefault="008E5E4B" w:rsidP="008E5E4B">
            <w:pPr>
              <w:ind w:right="-97"/>
              <w:rPr>
                <w:sz w:val="20"/>
                <w:szCs w:val="20"/>
              </w:rPr>
            </w:pPr>
            <w:r>
              <w:rPr>
                <w:sz w:val="20"/>
                <w:szCs w:val="20"/>
              </w:rPr>
              <w:t>Consider making this an optional requirement.</w:t>
            </w:r>
          </w:p>
        </w:tc>
      </w:tr>
      <w:tr w:rsidR="008E5E4B" w:rsidRPr="003114F3" w14:paraId="33F34504" w14:textId="77777777" w:rsidTr="005D06BC">
        <w:tc>
          <w:tcPr>
            <w:tcW w:w="1166" w:type="dxa"/>
            <w:shd w:val="clear" w:color="auto" w:fill="FDF8DE" w:themeFill="accent5" w:themeFillTint="33"/>
          </w:tcPr>
          <w:p w14:paraId="258BF499" w14:textId="3F31A904"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053369A0" w14:textId="6F2DC376"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2067E303" w14:textId="0A608DDB" w:rsidR="008E5E4B" w:rsidRPr="00DC055E" w:rsidRDefault="008E5E4B" w:rsidP="008E5E4B">
            <w:pPr>
              <w:ind w:right="-97"/>
              <w:rPr>
                <w:sz w:val="20"/>
                <w:szCs w:val="20"/>
              </w:rPr>
            </w:pPr>
            <w:r w:rsidRPr="00892930">
              <w:rPr>
                <w:sz w:val="20"/>
                <w:szCs w:val="20"/>
              </w:rPr>
              <w:t>PC.G.1.4.2</w:t>
            </w:r>
            <w:r>
              <w:rPr>
                <w:sz w:val="20"/>
                <w:szCs w:val="20"/>
              </w:rPr>
              <w:t xml:space="preserve"> &amp; </w:t>
            </w:r>
            <w:r w:rsidRPr="00D31DD8">
              <w:rPr>
                <w:sz w:val="20"/>
                <w:szCs w:val="20"/>
              </w:rPr>
              <w:t>PC.G.1.4.3</w:t>
            </w:r>
            <w:r>
              <w:rPr>
                <w:sz w:val="20"/>
                <w:szCs w:val="20"/>
              </w:rPr>
              <w:t xml:space="preserve"> &amp; </w:t>
            </w:r>
            <w:r w:rsidRPr="00D31DD8">
              <w:rPr>
                <w:sz w:val="20"/>
                <w:szCs w:val="20"/>
              </w:rPr>
              <w:t>PC.G.1.4.4</w:t>
            </w:r>
            <w:r>
              <w:rPr>
                <w:sz w:val="20"/>
                <w:szCs w:val="20"/>
              </w:rPr>
              <w:t xml:space="preserve"> &amp; </w:t>
            </w:r>
            <w:r w:rsidRPr="00D31DD8">
              <w:rPr>
                <w:sz w:val="20"/>
                <w:szCs w:val="20"/>
              </w:rPr>
              <w:t>PC.G.1.4.5</w:t>
            </w:r>
          </w:p>
        </w:tc>
        <w:tc>
          <w:tcPr>
            <w:tcW w:w="3056" w:type="dxa"/>
            <w:shd w:val="clear" w:color="auto" w:fill="FDF8DE" w:themeFill="accent5" w:themeFillTint="33"/>
          </w:tcPr>
          <w:p w14:paraId="4C7CB34B" w14:textId="7CE51D5D" w:rsidR="008E5E4B" w:rsidRDefault="008E5E4B" w:rsidP="008E5E4B">
            <w:pPr>
              <w:ind w:right="-97"/>
              <w:rPr>
                <w:sz w:val="20"/>
                <w:szCs w:val="20"/>
              </w:rPr>
            </w:pPr>
            <w:r>
              <w:rPr>
                <w:sz w:val="20"/>
                <w:szCs w:val="20"/>
              </w:rPr>
              <w:t xml:space="preserve">Insufficient attributes to fulfil the requirements of </w:t>
            </w:r>
            <w:r w:rsidRPr="00892930">
              <w:rPr>
                <w:sz w:val="20"/>
                <w:szCs w:val="20"/>
              </w:rPr>
              <w:t>PC.9.4.1.1</w:t>
            </w:r>
            <w:r>
              <w:rPr>
                <w:sz w:val="20"/>
                <w:szCs w:val="20"/>
              </w:rPr>
              <w:t xml:space="preserve"> b) – short-circuit calculations in accordance with EREC G74.</w:t>
            </w:r>
          </w:p>
        </w:tc>
        <w:tc>
          <w:tcPr>
            <w:tcW w:w="2465" w:type="dxa"/>
            <w:shd w:val="clear" w:color="auto" w:fill="FDF8DE" w:themeFill="accent5" w:themeFillTint="33"/>
          </w:tcPr>
          <w:p w14:paraId="66F72FD7" w14:textId="56C41731" w:rsidR="008E5E4B" w:rsidRDefault="008E5E4B" w:rsidP="008E5E4B">
            <w:pPr>
              <w:ind w:right="-97"/>
              <w:rPr>
                <w:sz w:val="20"/>
                <w:szCs w:val="20"/>
              </w:rPr>
            </w:pPr>
            <w:r>
              <w:rPr>
                <w:sz w:val="20"/>
                <w:szCs w:val="20"/>
              </w:rPr>
              <w:t xml:space="preserve">Add necessary attributes to fulfil requirements of </w:t>
            </w:r>
            <w:r w:rsidRPr="00892930">
              <w:rPr>
                <w:sz w:val="20"/>
                <w:szCs w:val="20"/>
              </w:rPr>
              <w:t>PC.9.4.1.1</w:t>
            </w:r>
            <w:r>
              <w:rPr>
                <w:sz w:val="20"/>
                <w:szCs w:val="20"/>
              </w:rPr>
              <w:t>.</w:t>
            </w:r>
          </w:p>
        </w:tc>
      </w:tr>
      <w:tr w:rsidR="008E5E4B" w:rsidRPr="003114F3" w14:paraId="6BC74165" w14:textId="77777777" w:rsidTr="005D06BC">
        <w:tc>
          <w:tcPr>
            <w:tcW w:w="1166" w:type="dxa"/>
            <w:shd w:val="clear" w:color="auto" w:fill="FDF8DE" w:themeFill="accent5" w:themeFillTint="33"/>
          </w:tcPr>
          <w:p w14:paraId="7F79A2A8" w14:textId="6BE7904C"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786205BB" w14:textId="2D97B11E"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6382DD21" w14:textId="35291F3C" w:rsidR="008E5E4B" w:rsidRPr="00DC055E" w:rsidRDefault="008E5E4B" w:rsidP="008E5E4B">
            <w:pPr>
              <w:ind w:right="-97"/>
              <w:rPr>
                <w:sz w:val="20"/>
                <w:szCs w:val="20"/>
              </w:rPr>
            </w:pPr>
            <w:r w:rsidRPr="00D31DD8">
              <w:rPr>
                <w:sz w:val="20"/>
                <w:szCs w:val="20"/>
              </w:rPr>
              <w:t>PC.G.1.4.6</w:t>
            </w:r>
            <w:r>
              <w:rPr>
                <w:sz w:val="20"/>
                <w:szCs w:val="20"/>
              </w:rPr>
              <w:t xml:space="preserve"> v)</w:t>
            </w:r>
          </w:p>
        </w:tc>
        <w:tc>
          <w:tcPr>
            <w:tcW w:w="3056" w:type="dxa"/>
            <w:shd w:val="clear" w:color="auto" w:fill="FDF8DE" w:themeFill="accent5" w:themeFillTint="33"/>
          </w:tcPr>
          <w:p w14:paraId="2E6A211E" w14:textId="5FA70BED" w:rsidR="008E5E4B" w:rsidRDefault="008E5E4B" w:rsidP="008E5E4B">
            <w:pPr>
              <w:ind w:right="-97"/>
              <w:rPr>
                <w:sz w:val="20"/>
                <w:szCs w:val="20"/>
              </w:rPr>
            </w:pPr>
            <w:r w:rsidRPr="00D31DD8">
              <w:rPr>
                <w:sz w:val="20"/>
                <w:szCs w:val="20"/>
              </w:rPr>
              <w:t>Load response components</w:t>
            </w:r>
            <w:r>
              <w:rPr>
                <w:sz w:val="20"/>
                <w:szCs w:val="20"/>
              </w:rPr>
              <w:t xml:space="preserve"> often unknown or assumed.</w:t>
            </w:r>
          </w:p>
        </w:tc>
        <w:tc>
          <w:tcPr>
            <w:tcW w:w="2465" w:type="dxa"/>
            <w:shd w:val="clear" w:color="auto" w:fill="FDF8DE" w:themeFill="accent5" w:themeFillTint="33"/>
          </w:tcPr>
          <w:p w14:paraId="3885457B" w14:textId="5497CC82" w:rsidR="008E5E4B" w:rsidRDefault="008E5E4B" w:rsidP="008E5E4B">
            <w:pPr>
              <w:ind w:right="-97"/>
              <w:rPr>
                <w:sz w:val="20"/>
                <w:szCs w:val="20"/>
              </w:rPr>
            </w:pPr>
            <w:r>
              <w:rPr>
                <w:sz w:val="20"/>
                <w:szCs w:val="20"/>
              </w:rPr>
              <w:t>Consider making this an optional requirement.</w:t>
            </w:r>
          </w:p>
        </w:tc>
      </w:tr>
      <w:tr w:rsidR="008E5E4B" w:rsidRPr="003114F3" w14:paraId="45DFFCDD" w14:textId="77777777" w:rsidTr="005D06BC">
        <w:tc>
          <w:tcPr>
            <w:tcW w:w="1166" w:type="dxa"/>
            <w:shd w:val="clear" w:color="auto" w:fill="FDF8DE" w:themeFill="accent5" w:themeFillTint="33"/>
          </w:tcPr>
          <w:p w14:paraId="5EC1D463" w14:textId="5C122934" w:rsidR="008E5E4B" w:rsidRDefault="008E5E4B" w:rsidP="008E5E4B">
            <w:pPr>
              <w:ind w:right="-97"/>
              <w:rPr>
                <w:sz w:val="20"/>
                <w:szCs w:val="20"/>
              </w:rPr>
            </w:pPr>
            <w:r>
              <w:rPr>
                <w:sz w:val="20"/>
                <w:szCs w:val="20"/>
              </w:rPr>
              <w:lastRenderedPageBreak/>
              <w:t>Annex 3</w:t>
            </w:r>
          </w:p>
        </w:tc>
        <w:tc>
          <w:tcPr>
            <w:tcW w:w="1584" w:type="dxa"/>
            <w:shd w:val="clear" w:color="auto" w:fill="FDF8DE" w:themeFill="accent5" w:themeFillTint="33"/>
          </w:tcPr>
          <w:p w14:paraId="4CFDC6AF" w14:textId="3FC38F6D"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3EBC16EB" w14:textId="29571A67" w:rsidR="008E5E4B" w:rsidRPr="00DC055E" w:rsidRDefault="008E5E4B" w:rsidP="008E5E4B">
            <w:pPr>
              <w:ind w:right="-97"/>
              <w:rPr>
                <w:sz w:val="20"/>
                <w:szCs w:val="20"/>
              </w:rPr>
            </w:pPr>
            <w:r w:rsidRPr="00A723AD">
              <w:rPr>
                <w:sz w:val="20"/>
                <w:szCs w:val="20"/>
              </w:rPr>
              <w:t>PC.G.1.4.7</w:t>
            </w:r>
            <w:r>
              <w:rPr>
                <w:sz w:val="20"/>
                <w:szCs w:val="20"/>
              </w:rPr>
              <w:t xml:space="preserve"> a) ii)</w:t>
            </w:r>
          </w:p>
        </w:tc>
        <w:tc>
          <w:tcPr>
            <w:tcW w:w="3056" w:type="dxa"/>
            <w:shd w:val="clear" w:color="auto" w:fill="FDF8DE" w:themeFill="accent5" w:themeFillTint="33"/>
          </w:tcPr>
          <w:p w14:paraId="50C80C10" w14:textId="7F8465AA" w:rsidR="008E5E4B" w:rsidRDefault="008E5E4B" w:rsidP="008E5E4B">
            <w:pPr>
              <w:ind w:right="-97"/>
              <w:rPr>
                <w:sz w:val="20"/>
                <w:szCs w:val="20"/>
              </w:rPr>
            </w:pPr>
            <w:r>
              <w:rPr>
                <w:sz w:val="20"/>
                <w:szCs w:val="20"/>
              </w:rPr>
              <w:t>Aggregate fault current is vague and deviates from use of “short-circuit current” elsewhere in the document.</w:t>
            </w:r>
          </w:p>
        </w:tc>
        <w:tc>
          <w:tcPr>
            <w:tcW w:w="2465" w:type="dxa"/>
            <w:shd w:val="clear" w:color="auto" w:fill="FDF8DE" w:themeFill="accent5" w:themeFillTint="33"/>
          </w:tcPr>
          <w:p w14:paraId="2583A1B9" w14:textId="526D61C6" w:rsidR="008E5E4B" w:rsidRDefault="008E5E4B" w:rsidP="008E5E4B">
            <w:pPr>
              <w:ind w:right="-97"/>
              <w:rPr>
                <w:sz w:val="20"/>
                <w:szCs w:val="20"/>
              </w:rPr>
            </w:pPr>
            <w:r>
              <w:rPr>
                <w:sz w:val="20"/>
                <w:szCs w:val="20"/>
              </w:rPr>
              <w:t>Elaborate on the actual short-circuit currents which are required.</w:t>
            </w:r>
          </w:p>
        </w:tc>
      </w:tr>
      <w:tr w:rsidR="008E5E4B" w:rsidRPr="003114F3" w14:paraId="5CC5BEDB" w14:textId="77777777" w:rsidTr="005D06BC">
        <w:tc>
          <w:tcPr>
            <w:tcW w:w="1166" w:type="dxa"/>
            <w:shd w:val="clear" w:color="auto" w:fill="FDF8DE" w:themeFill="accent5" w:themeFillTint="33"/>
          </w:tcPr>
          <w:p w14:paraId="14598228" w14:textId="14FDA805"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48E2F9B8" w14:textId="62237765"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4692E2BB" w14:textId="1E644B4B" w:rsidR="008E5E4B" w:rsidRPr="00DC055E" w:rsidRDefault="008E5E4B" w:rsidP="008E5E4B">
            <w:pPr>
              <w:ind w:right="-97"/>
              <w:rPr>
                <w:sz w:val="20"/>
                <w:szCs w:val="20"/>
              </w:rPr>
            </w:pPr>
            <w:r w:rsidRPr="00557751">
              <w:rPr>
                <w:sz w:val="20"/>
                <w:szCs w:val="20"/>
              </w:rPr>
              <w:t>PC.G.1.5.1</w:t>
            </w:r>
            <w:r>
              <w:rPr>
                <w:sz w:val="20"/>
                <w:szCs w:val="20"/>
              </w:rPr>
              <w:t xml:space="preserve"> a) iii) &amp; iv)</w:t>
            </w:r>
          </w:p>
        </w:tc>
        <w:tc>
          <w:tcPr>
            <w:tcW w:w="3056" w:type="dxa"/>
            <w:shd w:val="clear" w:color="auto" w:fill="FDF8DE" w:themeFill="accent5" w:themeFillTint="33"/>
          </w:tcPr>
          <w:p w14:paraId="0C110670" w14:textId="09075D98" w:rsidR="008E5E4B" w:rsidRDefault="008E5E4B" w:rsidP="008E5E4B">
            <w:pPr>
              <w:ind w:right="-97"/>
              <w:rPr>
                <w:sz w:val="20"/>
                <w:szCs w:val="20"/>
              </w:rPr>
            </w:pPr>
            <w:r>
              <w:rPr>
                <w:sz w:val="20"/>
                <w:szCs w:val="20"/>
              </w:rPr>
              <w:t>Format of required short-circuit currents is ambiguous.</w:t>
            </w:r>
          </w:p>
        </w:tc>
        <w:tc>
          <w:tcPr>
            <w:tcW w:w="2465" w:type="dxa"/>
            <w:shd w:val="clear" w:color="auto" w:fill="FDF8DE" w:themeFill="accent5" w:themeFillTint="33"/>
          </w:tcPr>
          <w:p w14:paraId="0430BCC0" w14:textId="1F3916AA" w:rsidR="008E5E4B" w:rsidRDefault="008E5E4B" w:rsidP="008E5E4B">
            <w:pPr>
              <w:ind w:right="-97"/>
              <w:rPr>
                <w:sz w:val="20"/>
                <w:szCs w:val="20"/>
              </w:rPr>
            </w:pPr>
            <w:r>
              <w:rPr>
                <w:sz w:val="20"/>
                <w:szCs w:val="20"/>
              </w:rPr>
              <w:t>Elaborate on the actual short-circuit currents which are required.</w:t>
            </w:r>
          </w:p>
        </w:tc>
      </w:tr>
      <w:tr w:rsidR="008E5E4B" w:rsidRPr="003114F3" w14:paraId="4AA747B0" w14:textId="77777777" w:rsidTr="005D06BC">
        <w:tc>
          <w:tcPr>
            <w:tcW w:w="1166" w:type="dxa"/>
            <w:shd w:val="clear" w:color="auto" w:fill="FDF8DE" w:themeFill="accent5" w:themeFillTint="33"/>
          </w:tcPr>
          <w:p w14:paraId="0337BD8F" w14:textId="69F49660"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0C6FD7C4" w14:textId="6739DA68"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39B53241" w14:textId="1D77F85D" w:rsidR="008E5E4B" w:rsidRPr="00DC055E" w:rsidRDefault="008E5E4B" w:rsidP="008E5E4B">
            <w:pPr>
              <w:ind w:right="-97"/>
              <w:rPr>
                <w:sz w:val="20"/>
                <w:szCs w:val="20"/>
              </w:rPr>
            </w:pPr>
            <w:r w:rsidRPr="00557751">
              <w:rPr>
                <w:sz w:val="20"/>
                <w:szCs w:val="20"/>
              </w:rPr>
              <w:t>PC.G.1.5.2</w:t>
            </w:r>
            <w:r>
              <w:rPr>
                <w:sz w:val="20"/>
                <w:szCs w:val="20"/>
              </w:rPr>
              <w:t xml:space="preserve"> a) ii) &amp; iii)</w:t>
            </w:r>
          </w:p>
        </w:tc>
        <w:tc>
          <w:tcPr>
            <w:tcW w:w="3056" w:type="dxa"/>
            <w:shd w:val="clear" w:color="auto" w:fill="FDF8DE" w:themeFill="accent5" w:themeFillTint="33"/>
          </w:tcPr>
          <w:p w14:paraId="7755ACFC" w14:textId="284EF09C" w:rsidR="008E5E4B" w:rsidRDefault="008E5E4B" w:rsidP="008E5E4B">
            <w:pPr>
              <w:ind w:right="-97"/>
              <w:rPr>
                <w:sz w:val="20"/>
                <w:szCs w:val="20"/>
              </w:rPr>
            </w:pPr>
            <w:r>
              <w:rPr>
                <w:sz w:val="20"/>
                <w:szCs w:val="20"/>
              </w:rPr>
              <w:t>Format of required short-circuit currents is ambiguous.</w:t>
            </w:r>
          </w:p>
        </w:tc>
        <w:tc>
          <w:tcPr>
            <w:tcW w:w="2465" w:type="dxa"/>
            <w:shd w:val="clear" w:color="auto" w:fill="FDF8DE" w:themeFill="accent5" w:themeFillTint="33"/>
          </w:tcPr>
          <w:p w14:paraId="2CDA381C" w14:textId="6C2734BF" w:rsidR="008E5E4B" w:rsidRDefault="008E5E4B" w:rsidP="008E5E4B">
            <w:pPr>
              <w:ind w:right="-97"/>
              <w:rPr>
                <w:sz w:val="20"/>
                <w:szCs w:val="20"/>
              </w:rPr>
            </w:pPr>
            <w:r>
              <w:rPr>
                <w:sz w:val="20"/>
                <w:szCs w:val="20"/>
              </w:rPr>
              <w:t>Elaborate on the actual short-circuit currents which are required.</w:t>
            </w:r>
          </w:p>
        </w:tc>
      </w:tr>
      <w:tr w:rsidR="008E5E4B" w:rsidRPr="003114F3" w14:paraId="2848A3D1" w14:textId="77777777" w:rsidTr="005D06BC">
        <w:tc>
          <w:tcPr>
            <w:tcW w:w="1166" w:type="dxa"/>
            <w:shd w:val="clear" w:color="auto" w:fill="FDF8DE" w:themeFill="accent5" w:themeFillTint="33"/>
          </w:tcPr>
          <w:p w14:paraId="49F35C27" w14:textId="5346C1D9" w:rsidR="008E5E4B" w:rsidRDefault="008E5E4B" w:rsidP="008E5E4B">
            <w:pPr>
              <w:ind w:right="-97"/>
              <w:rPr>
                <w:sz w:val="20"/>
                <w:szCs w:val="20"/>
              </w:rPr>
            </w:pPr>
            <w:r>
              <w:rPr>
                <w:sz w:val="20"/>
                <w:szCs w:val="20"/>
              </w:rPr>
              <w:t>Annex 3</w:t>
            </w:r>
          </w:p>
        </w:tc>
        <w:tc>
          <w:tcPr>
            <w:tcW w:w="1584" w:type="dxa"/>
            <w:shd w:val="clear" w:color="auto" w:fill="FDF8DE" w:themeFill="accent5" w:themeFillTint="33"/>
          </w:tcPr>
          <w:p w14:paraId="182311B9" w14:textId="5C877587" w:rsidR="008E5E4B" w:rsidRDefault="008E5E4B" w:rsidP="008E5E4B">
            <w:pPr>
              <w:ind w:right="-97"/>
              <w:rPr>
                <w:sz w:val="20"/>
                <w:szCs w:val="20"/>
              </w:rPr>
            </w:pPr>
            <w:r>
              <w:rPr>
                <w:sz w:val="20"/>
                <w:szCs w:val="20"/>
              </w:rPr>
              <w:t>Planning Code (Draft)</w:t>
            </w:r>
          </w:p>
        </w:tc>
        <w:tc>
          <w:tcPr>
            <w:tcW w:w="1465" w:type="dxa"/>
            <w:shd w:val="clear" w:color="auto" w:fill="FDF8DE" w:themeFill="accent5" w:themeFillTint="33"/>
          </w:tcPr>
          <w:p w14:paraId="146B999C" w14:textId="30E428A9" w:rsidR="008E5E4B" w:rsidRPr="00DC055E" w:rsidRDefault="008E5E4B" w:rsidP="008E5E4B">
            <w:pPr>
              <w:ind w:right="-97"/>
              <w:rPr>
                <w:sz w:val="20"/>
                <w:szCs w:val="20"/>
              </w:rPr>
            </w:pPr>
            <w:r w:rsidRPr="00090714">
              <w:rPr>
                <w:sz w:val="20"/>
                <w:szCs w:val="20"/>
              </w:rPr>
              <w:t>PC.G.9.1</w:t>
            </w:r>
          </w:p>
        </w:tc>
        <w:tc>
          <w:tcPr>
            <w:tcW w:w="3056" w:type="dxa"/>
            <w:shd w:val="clear" w:color="auto" w:fill="FDF8DE" w:themeFill="accent5" w:themeFillTint="33"/>
          </w:tcPr>
          <w:p w14:paraId="7EF0C05F" w14:textId="0E9AD0BA" w:rsidR="008E5E4B" w:rsidRDefault="008E5E4B" w:rsidP="008E5E4B">
            <w:pPr>
              <w:ind w:right="-97"/>
              <w:rPr>
                <w:sz w:val="20"/>
                <w:szCs w:val="20"/>
              </w:rPr>
            </w:pPr>
            <w:r>
              <w:rPr>
                <w:sz w:val="20"/>
                <w:szCs w:val="20"/>
              </w:rPr>
              <w:t>Planning Code Data Exchange Timeline is very helpful, but could be simplified.</w:t>
            </w:r>
          </w:p>
        </w:tc>
        <w:tc>
          <w:tcPr>
            <w:tcW w:w="2465" w:type="dxa"/>
            <w:shd w:val="clear" w:color="auto" w:fill="FDF8DE" w:themeFill="accent5" w:themeFillTint="33"/>
          </w:tcPr>
          <w:p w14:paraId="75110062" w14:textId="4941CF43" w:rsidR="008E5E4B" w:rsidRDefault="008E5E4B" w:rsidP="008E5E4B">
            <w:pPr>
              <w:ind w:right="-97"/>
              <w:rPr>
                <w:sz w:val="20"/>
                <w:szCs w:val="20"/>
              </w:rPr>
            </w:pPr>
            <w:r>
              <w:rPr>
                <w:sz w:val="20"/>
                <w:szCs w:val="20"/>
              </w:rPr>
              <w:t>There are a few lines that are unnecessarily crossed (e.g. Previous Winter MD Date &amp; Time overlaps the Week 28 data flow). Remove unnecessary overlaps.</w:t>
            </w:r>
          </w:p>
        </w:tc>
      </w:tr>
      <w:tr w:rsidR="008E5E4B" w:rsidRPr="003114F3" w14:paraId="3C4936F0" w14:textId="77777777" w:rsidTr="005D06BC">
        <w:tc>
          <w:tcPr>
            <w:tcW w:w="1166" w:type="dxa"/>
            <w:shd w:val="clear" w:color="auto" w:fill="E2FADE" w:themeFill="accent6" w:themeFillTint="33"/>
          </w:tcPr>
          <w:p w14:paraId="243C6A84" w14:textId="0FC254FD" w:rsidR="008E5E4B" w:rsidRDefault="008E5E4B" w:rsidP="008E5E4B">
            <w:pPr>
              <w:ind w:right="-97"/>
              <w:rPr>
                <w:sz w:val="20"/>
                <w:szCs w:val="20"/>
              </w:rPr>
            </w:pPr>
            <w:r>
              <w:rPr>
                <w:sz w:val="20"/>
                <w:szCs w:val="20"/>
              </w:rPr>
              <w:t>Annex 3</w:t>
            </w:r>
          </w:p>
        </w:tc>
        <w:tc>
          <w:tcPr>
            <w:tcW w:w="1584" w:type="dxa"/>
            <w:shd w:val="clear" w:color="auto" w:fill="E2FADE" w:themeFill="accent6" w:themeFillTint="33"/>
          </w:tcPr>
          <w:p w14:paraId="3CCF060C" w14:textId="0D337C77" w:rsidR="008E5E4B" w:rsidRDefault="008E5E4B" w:rsidP="008E5E4B">
            <w:pPr>
              <w:ind w:right="-97"/>
              <w:rPr>
                <w:sz w:val="20"/>
                <w:szCs w:val="20"/>
              </w:rPr>
            </w:pPr>
            <w:r>
              <w:rPr>
                <w:sz w:val="20"/>
                <w:szCs w:val="20"/>
              </w:rPr>
              <w:t>DRC (Draft)</w:t>
            </w:r>
          </w:p>
        </w:tc>
        <w:tc>
          <w:tcPr>
            <w:tcW w:w="1465" w:type="dxa"/>
            <w:shd w:val="clear" w:color="auto" w:fill="E2FADE" w:themeFill="accent6" w:themeFillTint="33"/>
          </w:tcPr>
          <w:p w14:paraId="6D27C7C2" w14:textId="1417711A" w:rsidR="008E5E4B" w:rsidRPr="00DC055E" w:rsidRDefault="008E5E4B" w:rsidP="008E5E4B">
            <w:pPr>
              <w:ind w:right="-97"/>
              <w:rPr>
                <w:sz w:val="20"/>
                <w:szCs w:val="20"/>
              </w:rPr>
            </w:pPr>
            <w:r>
              <w:rPr>
                <w:sz w:val="20"/>
                <w:szCs w:val="20"/>
              </w:rPr>
              <w:t>(PC.9) Schedules 23 to 30B</w:t>
            </w:r>
          </w:p>
        </w:tc>
        <w:tc>
          <w:tcPr>
            <w:tcW w:w="3056" w:type="dxa"/>
            <w:shd w:val="clear" w:color="auto" w:fill="E2FADE" w:themeFill="accent6" w:themeFillTint="33"/>
          </w:tcPr>
          <w:p w14:paraId="2A274FAB" w14:textId="1714BDB1" w:rsidR="008E5E4B" w:rsidRDefault="008E5E4B" w:rsidP="008E5E4B">
            <w:pPr>
              <w:ind w:right="-97"/>
              <w:rPr>
                <w:sz w:val="20"/>
                <w:szCs w:val="20"/>
              </w:rPr>
            </w:pPr>
            <w:r>
              <w:rPr>
                <w:sz w:val="20"/>
                <w:szCs w:val="20"/>
              </w:rPr>
              <w:t>Title of the screenshot in the document does not align with the title of the document itself.</w:t>
            </w:r>
          </w:p>
        </w:tc>
        <w:tc>
          <w:tcPr>
            <w:tcW w:w="2465" w:type="dxa"/>
            <w:shd w:val="clear" w:color="auto" w:fill="E2FADE" w:themeFill="accent6" w:themeFillTint="33"/>
          </w:tcPr>
          <w:p w14:paraId="41282611" w14:textId="025C4A26" w:rsidR="008E5E4B" w:rsidRDefault="008E5E4B" w:rsidP="008E5E4B">
            <w:pPr>
              <w:ind w:right="-97"/>
              <w:rPr>
                <w:sz w:val="20"/>
                <w:szCs w:val="20"/>
              </w:rPr>
            </w:pPr>
            <w:r>
              <w:rPr>
                <w:sz w:val="20"/>
                <w:szCs w:val="20"/>
              </w:rPr>
              <w:t>Correct the titles for all schedules as appropriate, paying particular attention to the inclusion or exclusion of generation equalling 1 MW.</w:t>
            </w:r>
          </w:p>
        </w:tc>
      </w:tr>
      <w:tr w:rsidR="008E5E4B" w:rsidRPr="003114F3" w14:paraId="4D8BEB5E" w14:textId="77777777" w:rsidTr="005D06BC">
        <w:tc>
          <w:tcPr>
            <w:tcW w:w="1166" w:type="dxa"/>
            <w:shd w:val="clear" w:color="auto" w:fill="FDF8DE" w:themeFill="accent5" w:themeFillTint="33"/>
          </w:tcPr>
          <w:p w14:paraId="71481F7D" w14:textId="53426B80" w:rsidR="008E5E4B" w:rsidRDefault="008E5E4B" w:rsidP="008E5E4B">
            <w:pPr>
              <w:ind w:right="-97"/>
              <w:rPr>
                <w:sz w:val="20"/>
                <w:szCs w:val="20"/>
              </w:rPr>
            </w:pPr>
            <w:r>
              <w:rPr>
                <w:sz w:val="20"/>
                <w:szCs w:val="20"/>
              </w:rPr>
              <w:t>Annex 4</w:t>
            </w:r>
          </w:p>
        </w:tc>
        <w:tc>
          <w:tcPr>
            <w:tcW w:w="1584" w:type="dxa"/>
            <w:shd w:val="clear" w:color="auto" w:fill="FDF8DE" w:themeFill="accent5" w:themeFillTint="33"/>
          </w:tcPr>
          <w:p w14:paraId="7658B355" w14:textId="3622FDBE" w:rsidR="008E5E4B" w:rsidRDefault="008E5E4B" w:rsidP="008E5E4B">
            <w:pPr>
              <w:ind w:right="-97"/>
              <w:rPr>
                <w:sz w:val="20"/>
                <w:szCs w:val="20"/>
              </w:rPr>
            </w:pPr>
            <w:r>
              <w:rPr>
                <w:sz w:val="20"/>
                <w:szCs w:val="20"/>
              </w:rPr>
              <w:t>Consultation Presentation</w:t>
            </w:r>
          </w:p>
        </w:tc>
        <w:tc>
          <w:tcPr>
            <w:tcW w:w="1465" w:type="dxa"/>
            <w:shd w:val="clear" w:color="auto" w:fill="FDF8DE" w:themeFill="accent5" w:themeFillTint="33"/>
          </w:tcPr>
          <w:p w14:paraId="43E4BE03" w14:textId="0E13931F" w:rsidR="008E5E4B" w:rsidRDefault="008E5E4B" w:rsidP="008E5E4B">
            <w:pPr>
              <w:ind w:right="-97"/>
              <w:rPr>
                <w:sz w:val="20"/>
                <w:szCs w:val="20"/>
              </w:rPr>
            </w:pPr>
            <w:r>
              <w:rPr>
                <w:sz w:val="20"/>
                <w:szCs w:val="20"/>
              </w:rPr>
              <w:t>Various</w:t>
            </w:r>
          </w:p>
        </w:tc>
        <w:tc>
          <w:tcPr>
            <w:tcW w:w="3056" w:type="dxa"/>
            <w:shd w:val="clear" w:color="auto" w:fill="FDF8DE" w:themeFill="accent5" w:themeFillTint="33"/>
          </w:tcPr>
          <w:p w14:paraId="395A55ED" w14:textId="615C6051" w:rsidR="008E5E4B" w:rsidRDefault="008E5E4B" w:rsidP="008E5E4B">
            <w:pPr>
              <w:ind w:right="-97"/>
              <w:rPr>
                <w:sz w:val="20"/>
                <w:szCs w:val="20"/>
              </w:rPr>
            </w:pPr>
            <w:r w:rsidRPr="00D84219">
              <w:rPr>
                <w:sz w:val="20"/>
                <w:szCs w:val="20"/>
              </w:rPr>
              <w:t xml:space="preserve">Diagrams </w:t>
            </w:r>
            <w:r>
              <w:rPr>
                <w:sz w:val="20"/>
                <w:szCs w:val="20"/>
              </w:rPr>
              <w:t>and tables</w:t>
            </w:r>
            <w:r w:rsidRPr="00D84219">
              <w:rPr>
                <w:sz w:val="20"/>
                <w:szCs w:val="20"/>
              </w:rPr>
              <w:t xml:space="preserve"> useful to understand proposal and changes.</w:t>
            </w:r>
          </w:p>
        </w:tc>
        <w:tc>
          <w:tcPr>
            <w:tcW w:w="2465" w:type="dxa"/>
            <w:shd w:val="clear" w:color="auto" w:fill="FDF8DE" w:themeFill="accent5" w:themeFillTint="33"/>
          </w:tcPr>
          <w:p w14:paraId="599F40F5" w14:textId="2D7C3FBE" w:rsidR="008E5E4B" w:rsidRDefault="008E5E4B" w:rsidP="008E5E4B">
            <w:pPr>
              <w:ind w:right="-97"/>
              <w:rPr>
                <w:sz w:val="20"/>
                <w:szCs w:val="20"/>
              </w:rPr>
            </w:pPr>
            <w:r>
              <w:rPr>
                <w:sz w:val="20"/>
                <w:szCs w:val="20"/>
              </w:rPr>
              <w:t xml:space="preserve">Consider further use of such diagrams and table when explaining the change. </w:t>
            </w:r>
          </w:p>
        </w:tc>
      </w:tr>
      <w:tr w:rsidR="008E5E4B" w:rsidRPr="003114F3" w14:paraId="63F891CE" w14:textId="77777777" w:rsidTr="005D06BC">
        <w:tc>
          <w:tcPr>
            <w:tcW w:w="1166" w:type="dxa"/>
            <w:shd w:val="clear" w:color="auto" w:fill="E2FADE" w:themeFill="accent6" w:themeFillTint="33"/>
          </w:tcPr>
          <w:p w14:paraId="7C89236F" w14:textId="5A22B90E" w:rsidR="008E5E4B" w:rsidRDefault="008E5E4B" w:rsidP="008E5E4B">
            <w:pPr>
              <w:ind w:right="-97"/>
              <w:rPr>
                <w:sz w:val="20"/>
                <w:szCs w:val="20"/>
              </w:rPr>
            </w:pPr>
            <w:r>
              <w:rPr>
                <w:sz w:val="20"/>
                <w:szCs w:val="20"/>
              </w:rPr>
              <w:t>Annex 5</w:t>
            </w:r>
          </w:p>
        </w:tc>
        <w:tc>
          <w:tcPr>
            <w:tcW w:w="1584" w:type="dxa"/>
            <w:shd w:val="clear" w:color="auto" w:fill="E2FADE" w:themeFill="accent6" w:themeFillTint="33"/>
          </w:tcPr>
          <w:p w14:paraId="17D9AD03" w14:textId="16A1BDED" w:rsidR="008E5E4B" w:rsidRDefault="008E5E4B" w:rsidP="008E5E4B">
            <w:pPr>
              <w:ind w:right="-97"/>
              <w:rPr>
                <w:sz w:val="20"/>
                <w:szCs w:val="20"/>
              </w:rPr>
            </w:pPr>
            <w:r>
              <w:rPr>
                <w:sz w:val="20"/>
                <w:szCs w:val="20"/>
              </w:rPr>
              <w:t>Costs and Implementation</w:t>
            </w:r>
          </w:p>
        </w:tc>
        <w:tc>
          <w:tcPr>
            <w:tcW w:w="6986" w:type="dxa"/>
            <w:gridSpan w:val="3"/>
            <w:shd w:val="clear" w:color="auto" w:fill="E2FADE" w:themeFill="accent6" w:themeFillTint="33"/>
            <w:vAlign w:val="center"/>
          </w:tcPr>
          <w:p w14:paraId="14CEFE25" w14:textId="77777777" w:rsidR="008E5E4B" w:rsidRDefault="008E5E4B" w:rsidP="008E5E4B">
            <w:pPr>
              <w:ind w:right="-97"/>
              <w:jc w:val="center"/>
              <w:rPr>
                <w:sz w:val="20"/>
                <w:szCs w:val="20"/>
              </w:rPr>
            </w:pPr>
            <w:r>
              <w:rPr>
                <w:sz w:val="20"/>
                <w:szCs w:val="20"/>
              </w:rPr>
              <w:t>No comment</w:t>
            </w:r>
          </w:p>
        </w:tc>
      </w:tr>
      <w:tr w:rsidR="008E5E4B" w:rsidRPr="003114F3" w14:paraId="65B6101D" w14:textId="77777777" w:rsidTr="005D06BC">
        <w:tc>
          <w:tcPr>
            <w:tcW w:w="1166" w:type="dxa"/>
            <w:shd w:val="clear" w:color="auto" w:fill="FDF8DE" w:themeFill="accent5" w:themeFillTint="33"/>
          </w:tcPr>
          <w:p w14:paraId="7EADDF33" w14:textId="2763C5A4" w:rsidR="008E5E4B" w:rsidRDefault="008E5E4B" w:rsidP="008E5E4B">
            <w:pPr>
              <w:ind w:right="-97"/>
              <w:rPr>
                <w:sz w:val="20"/>
                <w:szCs w:val="20"/>
              </w:rPr>
            </w:pPr>
            <w:r>
              <w:rPr>
                <w:sz w:val="20"/>
                <w:szCs w:val="20"/>
              </w:rPr>
              <w:t>Annex 6</w:t>
            </w:r>
          </w:p>
        </w:tc>
        <w:tc>
          <w:tcPr>
            <w:tcW w:w="1584" w:type="dxa"/>
            <w:shd w:val="clear" w:color="auto" w:fill="FDF8DE" w:themeFill="accent5" w:themeFillTint="33"/>
          </w:tcPr>
          <w:p w14:paraId="069A0973" w14:textId="12B36E33" w:rsidR="008E5E4B" w:rsidRDefault="008E5E4B" w:rsidP="008E5E4B">
            <w:pPr>
              <w:ind w:right="-97"/>
              <w:rPr>
                <w:sz w:val="20"/>
                <w:szCs w:val="20"/>
              </w:rPr>
            </w:pPr>
            <w:r>
              <w:rPr>
                <w:sz w:val="20"/>
                <w:szCs w:val="20"/>
              </w:rPr>
              <w:t>Data Exchange Options</w:t>
            </w:r>
          </w:p>
        </w:tc>
        <w:tc>
          <w:tcPr>
            <w:tcW w:w="1465" w:type="dxa"/>
            <w:shd w:val="clear" w:color="auto" w:fill="FDF8DE" w:themeFill="accent5" w:themeFillTint="33"/>
          </w:tcPr>
          <w:p w14:paraId="5E692531" w14:textId="5222E0E0" w:rsidR="008E5E4B" w:rsidRDefault="008E5E4B" w:rsidP="008E5E4B">
            <w:pPr>
              <w:ind w:right="-97"/>
              <w:rPr>
                <w:sz w:val="20"/>
                <w:szCs w:val="20"/>
              </w:rPr>
            </w:pPr>
            <w:r>
              <w:rPr>
                <w:sz w:val="20"/>
                <w:szCs w:val="20"/>
              </w:rPr>
              <w:t>N/A</w:t>
            </w:r>
          </w:p>
        </w:tc>
        <w:tc>
          <w:tcPr>
            <w:tcW w:w="3056" w:type="dxa"/>
            <w:shd w:val="clear" w:color="auto" w:fill="FDF8DE" w:themeFill="accent5" w:themeFillTint="33"/>
          </w:tcPr>
          <w:p w14:paraId="02C4AD49" w14:textId="15B4C499" w:rsidR="008E5E4B" w:rsidRDefault="008E5E4B" w:rsidP="008E5E4B">
            <w:pPr>
              <w:ind w:right="-97"/>
              <w:rPr>
                <w:sz w:val="20"/>
                <w:szCs w:val="20"/>
              </w:rPr>
            </w:pPr>
            <w:r>
              <w:rPr>
                <w:sz w:val="20"/>
                <w:szCs w:val="20"/>
              </w:rPr>
              <w:t>It was only clear what each option was intending to optimise after reviewing all four.</w:t>
            </w:r>
          </w:p>
        </w:tc>
        <w:tc>
          <w:tcPr>
            <w:tcW w:w="2465" w:type="dxa"/>
            <w:shd w:val="clear" w:color="auto" w:fill="FDF8DE" w:themeFill="accent5" w:themeFillTint="33"/>
          </w:tcPr>
          <w:p w14:paraId="4E386CE3" w14:textId="6F47FC03" w:rsidR="008E5E4B" w:rsidRDefault="008E5E4B" w:rsidP="008E5E4B">
            <w:pPr>
              <w:ind w:right="-97"/>
              <w:rPr>
                <w:sz w:val="20"/>
                <w:szCs w:val="20"/>
              </w:rPr>
            </w:pPr>
            <w:r>
              <w:rPr>
                <w:sz w:val="20"/>
                <w:szCs w:val="20"/>
              </w:rPr>
              <w:t>Consider adding a summary slide.</w:t>
            </w:r>
          </w:p>
        </w:tc>
      </w:tr>
      <w:tr w:rsidR="008E5E4B" w:rsidRPr="003114F3" w14:paraId="54A0A704" w14:textId="77777777" w:rsidTr="005D06BC">
        <w:tc>
          <w:tcPr>
            <w:tcW w:w="1166" w:type="dxa"/>
            <w:shd w:val="clear" w:color="auto" w:fill="FDF8DE" w:themeFill="accent5" w:themeFillTint="33"/>
          </w:tcPr>
          <w:p w14:paraId="5177F91E" w14:textId="77777777" w:rsidR="008E5E4B" w:rsidRDefault="008E5E4B" w:rsidP="008E5E4B">
            <w:pPr>
              <w:ind w:right="-97"/>
              <w:rPr>
                <w:sz w:val="20"/>
                <w:szCs w:val="20"/>
              </w:rPr>
            </w:pPr>
            <w:r>
              <w:rPr>
                <w:sz w:val="20"/>
                <w:szCs w:val="20"/>
              </w:rPr>
              <w:t>Annex 6</w:t>
            </w:r>
          </w:p>
        </w:tc>
        <w:tc>
          <w:tcPr>
            <w:tcW w:w="1584" w:type="dxa"/>
            <w:shd w:val="clear" w:color="auto" w:fill="FDF8DE" w:themeFill="accent5" w:themeFillTint="33"/>
          </w:tcPr>
          <w:p w14:paraId="029CD682" w14:textId="77777777" w:rsidR="008E5E4B" w:rsidRDefault="008E5E4B" w:rsidP="008E5E4B">
            <w:pPr>
              <w:ind w:right="-97"/>
              <w:rPr>
                <w:sz w:val="20"/>
                <w:szCs w:val="20"/>
              </w:rPr>
            </w:pPr>
            <w:r>
              <w:rPr>
                <w:sz w:val="20"/>
                <w:szCs w:val="20"/>
              </w:rPr>
              <w:t>Data Exchange Options</w:t>
            </w:r>
          </w:p>
        </w:tc>
        <w:tc>
          <w:tcPr>
            <w:tcW w:w="1465" w:type="dxa"/>
            <w:shd w:val="clear" w:color="auto" w:fill="FDF8DE" w:themeFill="accent5" w:themeFillTint="33"/>
          </w:tcPr>
          <w:p w14:paraId="55DDEE33" w14:textId="77777777" w:rsidR="008E5E4B" w:rsidRDefault="008E5E4B" w:rsidP="008E5E4B">
            <w:pPr>
              <w:ind w:right="-97"/>
              <w:rPr>
                <w:sz w:val="20"/>
                <w:szCs w:val="20"/>
              </w:rPr>
            </w:pPr>
            <w:r w:rsidRPr="006E642B">
              <w:rPr>
                <w:sz w:val="20"/>
                <w:szCs w:val="20"/>
              </w:rPr>
              <w:t>28 User's Total System Active</w:t>
            </w:r>
          </w:p>
        </w:tc>
        <w:tc>
          <w:tcPr>
            <w:tcW w:w="5521" w:type="dxa"/>
            <w:gridSpan w:val="2"/>
            <w:shd w:val="clear" w:color="auto" w:fill="FDF8DE" w:themeFill="accent5" w:themeFillTint="33"/>
            <w:vAlign w:val="center"/>
          </w:tcPr>
          <w:p w14:paraId="3E08047B" w14:textId="77777777" w:rsidR="008E5E4B" w:rsidRDefault="008E5E4B" w:rsidP="008E5E4B">
            <w:pPr>
              <w:ind w:right="-97"/>
              <w:jc w:val="center"/>
              <w:rPr>
                <w:sz w:val="20"/>
                <w:szCs w:val="20"/>
              </w:rPr>
            </w:pPr>
            <w:r>
              <w:rPr>
                <w:sz w:val="20"/>
                <w:szCs w:val="20"/>
              </w:rPr>
              <w:t>No comment</w:t>
            </w:r>
          </w:p>
        </w:tc>
      </w:tr>
      <w:tr w:rsidR="008E5E4B" w:rsidRPr="003114F3" w14:paraId="3F0BE2E9" w14:textId="77777777" w:rsidTr="005D06BC">
        <w:tc>
          <w:tcPr>
            <w:tcW w:w="1166" w:type="dxa"/>
            <w:shd w:val="clear" w:color="auto" w:fill="FDF8DE" w:themeFill="accent5" w:themeFillTint="33"/>
          </w:tcPr>
          <w:p w14:paraId="32343778" w14:textId="77777777" w:rsidR="008E5E4B" w:rsidRDefault="008E5E4B" w:rsidP="008E5E4B">
            <w:pPr>
              <w:ind w:right="-97"/>
              <w:rPr>
                <w:sz w:val="20"/>
                <w:szCs w:val="20"/>
              </w:rPr>
            </w:pPr>
            <w:r>
              <w:rPr>
                <w:sz w:val="20"/>
                <w:szCs w:val="20"/>
              </w:rPr>
              <w:t>Annex 6</w:t>
            </w:r>
          </w:p>
        </w:tc>
        <w:tc>
          <w:tcPr>
            <w:tcW w:w="1584" w:type="dxa"/>
            <w:shd w:val="clear" w:color="auto" w:fill="FDF8DE" w:themeFill="accent5" w:themeFillTint="33"/>
          </w:tcPr>
          <w:p w14:paraId="1840C978" w14:textId="77777777" w:rsidR="008E5E4B" w:rsidRDefault="008E5E4B" w:rsidP="008E5E4B">
            <w:pPr>
              <w:ind w:right="-97"/>
              <w:rPr>
                <w:sz w:val="20"/>
                <w:szCs w:val="20"/>
              </w:rPr>
            </w:pPr>
            <w:r>
              <w:rPr>
                <w:sz w:val="20"/>
                <w:szCs w:val="20"/>
              </w:rPr>
              <w:t>Data Exchange Options</w:t>
            </w:r>
          </w:p>
        </w:tc>
        <w:tc>
          <w:tcPr>
            <w:tcW w:w="1465" w:type="dxa"/>
            <w:shd w:val="clear" w:color="auto" w:fill="FDF8DE" w:themeFill="accent5" w:themeFillTint="33"/>
          </w:tcPr>
          <w:p w14:paraId="087DB007" w14:textId="77777777" w:rsidR="008E5E4B" w:rsidRDefault="008E5E4B" w:rsidP="008E5E4B">
            <w:pPr>
              <w:ind w:right="-97"/>
              <w:rPr>
                <w:sz w:val="20"/>
                <w:szCs w:val="20"/>
              </w:rPr>
            </w:pPr>
            <w:r w:rsidRPr="00DD4272">
              <w:rPr>
                <w:sz w:val="20"/>
                <w:szCs w:val="20"/>
              </w:rPr>
              <w:t xml:space="preserve">29a Auto Low Freq </w:t>
            </w:r>
            <w:proofErr w:type="spellStart"/>
            <w:r w:rsidRPr="00DD4272">
              <w:rPr>
                <w:sz w:val="20"/>
                <w:szCs w:val="20"/>
              </w:rPr>
              <w:t>Disconn</w:t>
            </w:r>
            <w:proofErr w:type="spellEnd"/>
          </w:p>
        </w:tc>
        <w:tc>
          <w:tcPr>
            <w:tcW w:w="5521" w:type="dxa"/>
            <w:gridSpan w:val="2"/>
            <w:shd w:val="clear" w:color="auto" w:fill="FDF8DE" w:themeFill="accent5" w:themeFillTint="33"/>
            <w:vAlign w:val="center"/>
          </w:tcPr>
          <w:p w14:paraId="58D6AF31" w14:textId="77777777" w:rsidR="008E5E4B" w:rsidRDefault="008E5E4B" w:rsidP="008E5E4B">
            <w:pPr>
              <w:ind w:right="-97"/>
              <w:jc w:val="center"/>
              <w:rPr>
                <w:sz w:val="20"/>
                <w:szCs w:val="20"/>
              </w:rPr>
            </w:pPr>
            <w:r>
              <w:rPr>
                <w:sz w:val="20"/>
                <w:szCs w:val="20"/>
              </w:rPr>
              <w:t>No comment</w:t>
            </w:r>
          </w:p>
        </w:tc>
      </w:tr>
      <w:tr w:rsidR="008E5E4B" w:rsidRPr="003114F3" w14:paraId="6FC1C891" w14:textId="77777777" w:rsidTr="005D06BC">
        <w:tc>
          <w:tcPr>
            <w:tcW w:w="1166" w:type="dxa"/>
            <w:shd w:val="clear" w:color="auto" w:fill="E2FADE" w:themeFill="accent6" w:themeFillTint="33"/>
          </w:tcPr>
          <w:p w14:paraId="37472155" w14:textId="16DFEB21"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52801A7F" w14:textId="2EC0A7F3"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17854B83" w14:textId="6D3C1DDC" w:rsidR="008E5E4B" w:rsidRDefault="008E5E4B" w:rsidP="008E5E4B">
            <w:pPr>
              <w:ind w:right="-97"/>
              <w:rPr>
                <w:sz w:val="20"/>
                <w:szCs w:val="20"/>
              </w:rPr>
            </w:pPr>
            <w:r w:rsidRPr="008D1C88">
              <w:rPr>
                <w:sz w:val="20"/>
                <w:szCs w:val="20"/>
              </w:rPr>
              <w:t xml:space="preserve">12B High Risk Dem </w:t>
            </w:r>
            <w:proofErr w:type="spellStart"/>
            <w:r w:rsidRPr="008D1C88">
              <w:rPr>
                <w:sz w:val="20"/>
                <w:szCs w:val="20"/>
              </w:rPr>
              <w:t>Reduc</w:t>
            </w:r>
            <w:proofErr w:type="spellEnd"/>
          </w:p>
        </w:tc>
        <w:tc>
          <w:tcPr>
            <w:tcW w:w="3056" w:type="dxa"/>
            <w:shd w:val="clear" w:color="auto" w:fill="E2FADE" w:themeFill="accent6" w:themeFillTint="33"/>
          </w:tcPr>
          <w:p w14:paraId="6FAE9E1A" w14:textId="14DC9628" w:rsidR="008E5E4B" w:rsidRPr="00D84219" w:rsidRDefault="008E5E4B" w:rsidP="008E5E4B">
            <w:pPr>
              <w:ind w:right="-97"/>
              <w:rPr>
                <w:sz w:val="20"/>
                <w:szCs w:val="20"/>
              </w:rPr>
            </w:pPr>
            <w:r>
              <w:rPr>
                <w:sz w:val="20"/>
                <w:szCs w:val="20"/>
              </w:rPr>
              <w:t xml:space="preserve">Appears to be a duplicate of </w:t>
            </w:r>
            <w:r w:rsidRPr="00DD4272">
              <w:rPr>
                <w:sz w:val="20"/>
                <w:szCs w:val="20"/>
              </w:rPr>
              <w:t xml:space="preserve">29b High Risk </w:t>
            </w:r>
            <w:proofErr w:type="spellStart"/>
            <w:r w:rsidRPr="00DD4272">
              <w:rPr>
                <w:sz w:val="20"/>
                <w:szCs w:val="20"/>
              </w:rPr>
              <w:t>Demaand</w:t>
            </w:r>
            <w:proofErr w:type="spellEnd"/>
            <w:r w:rsidRPr="00DD4272">
              <w:rPr>
                <w:sz w:val="20"/>
                <w:szCs w:val="20"/>
              </w:rPr>
              <w:t xml:space="preserve"> </w:t>
            </w:r>
            <w:r>
              <w:rPr>
                <w:sz w:val="20"/>
                <w:szCs w:val="20"/>
              </w:rPr>
              <w:t xml:space="preserve">[sic] </w:t>
            </w:r>
            <w:r w:rsidRPr="00DD4272">
              <w:rPr>
                <w:sz w:val="20"/>
                <w:szCs w:val="20"/>
              </w:rPr>
              <w:t>Red</w:t>
            </w:r>
          </w:p>
        </w:tc>
        <w:tc>
          <w:tcPr>
            <w:tcW w:w="2465" w:type="dxa"/>
            <w:shd w:val="clear" w:color="auto" w:fill="E2FADE" w:themeFill="accent6" w:themeFillTint="33"/>
          </w:tcPr>
          <w:p w14:paraId="18F45085" w14:textId="5750D9A6" w:rsidR="008E5E4B" w:rsidRDefault="008E5E4B" w:rsidP="008E5E4B">
            <w:pPr>
              <w:ind w:right="-97"/>
              <w:rPr>
                <w:sz w:val="20"/>
                <w:szCs w:val="20"/>
              </w:rPr>
            </w:pPr>
            <w:r>
              <w:rPr>
                <w:sz w:val="20"/>
                <w:szCs w:val="20"/>
              </w:rPr>
              <w:t>Remove from Annex.</w:t>
            </w:r>
          </w:p>
        </w:tc>
      </w:tr>
      <w:tr w:rsidR="008E5E4B" w:rsidRPr="003114F3" w14:paraId="75CCE92A" w14:textId="77777777" w:rsidTr="005D06BC">
        <w:tc>
          <w:tcPr>
            <w:tcW w:w="1166" w:type="dxa"/>
            <w:shd w:val="clear" w:color="auto" w:fill="E2FADE" w:themeFill="accent6" w:themeFillTint="33"/>
          </w:tcPr>
          <w:p w14:paraId="49EAC022" w14:textId="3019CEAE"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29B68942" w14:textId="3E80CC05"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5ABC7FAB" w14:textId="2FF049DD" w:rsidR="008E5E4B" w:rsidRDefault="008E5E4B" w:rsidP="008E5E4B">
            <w:pPr>
              <w:ind w:right="-97"/>
              <w:rPr>
                <w:sz w:val="20"/>
                <w:szCs w:val="20"/>
              </w:rPr>
            </w:pPr>
            <w:r>
              <w:rPr>
                <w:sz w:val="20"/>
                <w:szCs w:val="20"/>
              </w:rPr>
              <w:t>27a, 27b, 27c</w:t>
            </w:r>
          </w:p>
        </w:tc>
        <w:tc>
          <w:tcPr>
            <w:tcW w:w="3056" w:type="dxa"/>
            <w:shd w:val="clear" w:color="auto" w:fill="E2FADE" w:themeFill="accent6" w:themeFillTint="33"/>
          </w:tcPr>
          <w:p w14:paraId="0C7AA308" w14:textId="6EFFD067" w:rsidR="008E5E4B" w:rsidRPr="00D84219" w:rsidRDefault="008E5E4B" w:rsidP="008E5E4B">
            <w:pPr>
              <w:ind w:right="-97"/>
              <w:rPr>
                <w:sz w:val="20"/>
                <w:szCs w:val="20"/>
              </w:rPr>
            </w:pPr>
            <w:r w:rsidRPr="00005B4A">
              <w:rPr>
                <w:sz w:val="20"/>
                <w:szCs w:val="20"/>
              </w:rPr>
              <w:t xml:space="preserve">Heading in document PC Table states ‘Power Levels (MW)’ but states ‘Active Power (MW)’ in </w:t>
            </w:r>
            <w:r w:rsidRPr="00005B4A">
              <w:rPr>
                <w:sz w:val="20"/>
                <w:szCs w:val="20"/>
              </w:rPr>
              <w:lastRenderedPageBreak/>
              <w:t>schedules</w:t>
            </w:r>
            <w:r>
              <w:rPr>
                <w:sz w:val="20"/>
                <w:szCs w:val="20"/>
              </w:rPr>
              <w:t>. S</w:t>
            </w:r>
            <w:r w:rsidRPr="00005B4A">
              <w:rPr>
                <w:sz w:val="20"/>
                <w:szCs w:val="20"/>
              </w:rPr>
              <w:t>tates ‘Active Power Demand’ in PC Legal text</w:t>
            </w:r>
          </w:p>
        </w:tc>
        <w:tc>
          <w:tcPr>
            <w:tcW w:w="2465" w:type="dxa"/>
            <w:shd w:val="clear" w:color="auto" w:fill="E2FADE" w:themeFill="accent6" w:themeFillTint="33"/>
          </w:tcPr>
          <w:p w14:paraId="57CD3090" w14:textId="214B19F2" w:rsidR="008E5E4B" w:rsidRDefault="008E5E4B" w:rsidP="008E5E4B">
            <w:pPr>
              <w:ind w:right="-97"/>
              <w:rPr>
                <w:sz w:val="20"/>
                <w:szCs w:val="20"/>
              </w:rPr>
            </w:pPr>
            <w:r>
              <w:rPr>
                <w:sz w:val="20"/>
                <w:szCs w:val="20"/>
              </w:rPr>
              <w:lastRenderedPageBreak/>
              <w:t>Standardise wording in PC and schedule.</w:t>
            </w:r>
          </w:p>
        </w:tc>
      </w:tr>
      <w:tr w:rsidR="008E5E4B" w:rsidRPr="003114F3" w14:paraId="5CC5BBD7" w14:textId="77777777" w:rsidTr="005D06BC">
        <w:tc>
          <w:tcPr>
            <w:tcW w:w="1166" w:type="dxa"/>
            <w:shd w:val="clear" w:color="auto" w:fill="E2FADE" w:themeFill="accent6" w:themeFillTint="33"/>
          </w:tcPr>
          <w:p w14:paraId="0A535FDF" w14:textId="6E1FC430"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0DB9C0E4" w14:textId="178B7492"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2A29A187" w14:textId="2D852481" w:rsidR="008E5E4B" w:rsidRDefault="008E5E4B" w:rsidP="008E5E4B">
            <w:pPr>
              <w:ind w:right="-97"/>
              <w:rPr>
                <w:sz w:val="20"/>
                <w:szCs w:val="20"/>
              </w:rPr>
            </w:pPr>
            <w:r w:rsidRPr="00DD4272">
              <w:rPr>
                <w:sz w:val="20"/>
                <w:szCs w:val="20"/>
              </w:rPr>
              <w:t xml:space="preserve">29b High Risk </w:t>
            </w:r>
            <w:proofErr w:type="spellStart"/>
            <w:r w:rsidRPr="00DD4272">
              <w:rPr>
                <w:sz w:val="20"/>
                <w:szCs w:val="20"/>
              </w:rPr>
              <w:t>Demaand</w:t>
            </w:r>
            <w:proofErr w:type="spellEnd"/>
            <w:r w:rsidRPr="00DD4272">
              <w:rPr>
                <w:sz w:val="20"/>
                <w:szCs w:val="20"/>
              </w:rPr>
              <w:t xml:space="preserve"> </w:t>
            </w:r>
            <w:r>
              <w:rPr>
                <w:sz w:val="20"/>
                <w:szCs w:val="20"/>
              </w:rPr>
              <w:t xml:space="preserve">[sic] </w:t>
            </w:r>
            <w:r w:rsidRPr="00DD4272">
              <w:rPr>
                <w:sz w:val="20"/>
                <w:szCs w:val="20"/>
              </w:rPr>
              <w:t>Red</w:t>
            </w:r>
          </w:p>
        </w:tc>
        <w:tc>
          <w:tcPr>
            <w:tcW w:w="3056" w:type="dxa"/>
            <w:shd w:val="clear" w:color="auto" w:fill="E2FADE" w:themeFill="accent6" w:themeFillTint="33"/>
          </w:tcPr>
          <w:p w14:paraId="1A268273" w14:textId="55B4E271" w:rsidR="008E5E4B" w:rsidRPr="00005B4A" w:rsidRDefault="008E5E4B" w:rsidP="008E5E4B">
            <w:pPr>
              <w:ind w:right="-97"/>
              <w:rPr>
                <w:sz w:val="20"/>
                <w:szCs w:val="20"/>
              </w:rPr>
            </w:pPr>
            <w:r>
              <w:rPr>
                <w:sz w:val="20"/>
                <w:szCs w:val="20"/>
              </w:rPr>
              <w:t>Demand is misspelled.</w:t>
            </w:r>
          </w:p>
        </w:tc>
        <w:tc>
          <w:tcPr>
            <w:tcW w:w="2465" w:type="dxa"/>
            <w:shd w:val="clear" w:color="auto" w:fill="E2FADE" w:themeFill="accent6" w:themeFillTint="33"/>
          </w:tcPr>
          <w:p w14:paraId="5267376A" w14:textId="6D6CEE4D" w:rsidR="008E5E4B" w:rsidRDefault="008E5E4B" w:rsidP="008E5E4B">
            <w:pPr>
              <w:ind w:right="-97"/>
              <w:rPr>
                <w:sz w:val="20"/>
                <w:szCs w:val="20"/>
              </w:rPr>
            </w:pPr>
            <w:r>
              <w:rPr>
                <w:sz w:val="20"/>
                <w:szCs w:val="20"/>
              </w:rPr>
              <w:t>Correct spelling.</w:t>
            </w:r>
          </w:p>
        </w:tc>
      </w:tr>
      <w:tr w:rsidR="008E5E4B" w:rsidRPr="003114F3" w14:paraId="7F248B54" w14:textId="77777777" w:rsidTr="005D06BC">
        <w:tc>
          <w:tcPr>
            <w:tcW w:w="1166" w:type="dxa"/>
            <w:shd w:val="clear" w:color="auto" w:fill="E2FADE" w:themeFill="accent6" w:themeFillTint="33"/>
          </w:tcPr>
          <w:p w14:paraId="5CB0ACCC" w14:textId="304744A7"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25A83646" w14:textId="56DE0152"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4136D6EC" w14:textId="497CB8A5" w:rsidR="008E5E4B" w:rsidRDefault="008E5E4B" w:rsidP="008E5E4B">
            <w:pPr>
              <w:ind w:right="-97"/>
              <w:rPr>
                <w:sz w:val="20"/>
                <w:szCs w:val="20"/>
              </w:rPr>
            </w:pPr>
            <w:r w:rsidRPr="008D1C88">
              <w:rPr>
                <w:sz w:val="20"/>
                <w:szCs w:val="20"/>
              </w:rPr>
              <w:t xml:space="preserve">29c Emerg Man Dem </w:t>
            </w:r>
            <w:proofErr w:type="spellStart"/>
            <w:r w:rsidRPr="008D1C88">
              <w:rPr>
                <w:sz w:val="20"/>
                <w:szCs w:val="20"/>
              </w:rPr>
              <w:t>Disconn</w:t>
            </w:r>
            <w:proofErr w:type="spellEnd"/>
          </w:p>
        </w:tc>
        <w:tc>
          <w:tcPr>
            <w:tcW w:w="5521" w:type="dxa"/>
            <w:gridSpan w:val="2"/>
            <w:shd w:val="clear" w:color="auto" w:fill="E2FADE" w:themeFill="accent6" w:themeFillTint="33"/>
            <w:vAlign w:val="center"/>
          </w:tcPr>
          <w:p w14:paraId="6FDFFE1D" w14:textId="77777777" w:rsidR="008E5E4B" w:rsidRDefault="008E5E4B" w:rsidP="008E5E4B">
            <w:pPr>
              <w:ind w:right="-97"/>
              <w:jc w:val="center"/>
              <w:rPr>
                <w:sz w:val="20"/>
                <w:szCs w:val="20"/>
              </w:rPr>
            </w:pPr>
            <w:r>
              <w:rPr>
                <w:sz w:val="20"/>
                <w:szCs w:val="20"/>
              </w:rPr>
              <w:t>No comment</w:t>
            </w:r>
          </w:p>
        </w:tc>
      </w:tr>
      <w:tr w:rsidR="008E5E4B" w:rsidRPr="003114F3" w14:paraId="0048D7DD" w14:textId="77777777" w:rsidTr="005D06BC">
        <w:tc>
          <w:tcPr>
            <w:tcW w:w="1166" w:type="dxa"/>
            <w:shd w:val="clear" w:color="auto" w:fill="E2FADE" w:themeFill="accent6" w:themeFillTint="33"/>
          </w:tcPr>
          <w:p w14:paraId="76F376C8" w14:textId="1DE598D5"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73570EAA" w14:textId="7EF402F7"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6DDA8B03" w14:textId="7BC8E6EB" w:rsidR="008E5E4B" w:rsidRDefault="008E5E4B" w:rsidP="008E5E4B">
            <w:pPr>
              <w:ind w:right="-97"/>
              <w:rPr>
                <w:sz w:val="20"/>
                <w:szCs w:val="20"/>
              </w:rPr>
            </w:pPr>
            <w:r w:rsidRPr="00E11787">
              <w:rPr>
                <w:sz w:val="20"/>
                <w:szCs w:val="20"/>
              </w:rPr>
              <w:t>21a</w:t>
            </w:r>
            <w:r>
              <w:rPr>
                <w:sz w:val="20"/>
                <w:szCs w:val="20"/>
              </w:rPr>
              <w:t>, 21b, 21c, 21d, 21e, 22</w:t>
            </w:r>
          </w:p>
        </w:tc>
        <w:tc>
          <w:tcPr>
            <w:tcW w:w="3056" w:type="dxa"/>
            <w:shd w:val="clear" w:color="auto" w:fill="E2FADE" w:themeFill="accent6" w:themeFillTint="33"/>
          </w:tcPr>
          <w:p w14:paraId="7413EAA6" w14:textId="79478D08" w:rsidR="008E5E4B" w:rsidRPr="00005B4A" w:rsidRDefault="008E5E4B" w:rsidP="008E5E4B">
            <w:pPr>
              <w:ind w:right="-97"/>
              <w:rPr>
                <w:sz w:val="20"/>
                <w:szCs w:val="20"/>
              </w:rPr>
            </w:pPr>
            <w:r>
              <w:rPr>
                <w:sz w:val="20"/>
                <w:szCs w:val="20"/>
              </w:rPr>
              <w:t>Schedule is misaligned with output from SCG BSC Subgroup 6.</w:t>
            </w:r>
          </w:p>
        </w:tc>
        <w:tc>
          <w:tcPr>
            <w:tcW w:w="2465" w:type="dxa"/>
            <w:shd w:val="clear" w:color="auto" w:fill="E2FADE" w:themeFill="accent6" w:themeFillTint="33"/>
          </w:tcPr>
          <w:p w14:paraId="3B1DC62F" w14:textId="13E3FA53" w:rsidR="008E5E4B" w:rsidRDefault="008E5E4B" w:rsidP="008E5E4B">
            <w:pPr>
              <w:ind w:right="-97"/>
              <w:rPr>
                <w:sz w:val="20"/>
                <w:szCs w:val="20"/>
              </w:rPr>
            </w:pPr>
            <w:r>
              <w:rPr>
                <w:sz w:val="20"/>
                <w:szCs w:val="20"/>
              </w:rPr>
              <w:t>Consider alignment with findings SCG BSC Subgroup 6 output, particularly ESS access rights under transmission circuit outages.</w:t>
            </w:r>
          </w:p>
        </w:tc>
      </w:tr>
      <w:tr w:rsidR="008E5E4B" w:rsidRPr="003114F3" w14:paraId="15AE7861" w14:textId="77777777" w:rsidTr="005D06BC">
        <w:tc>
          <w:tcPr>
            <w:tcW w:w="1166" w:type="dxa"/>
            <w:shd w:val="clear" w:color="auto" w:fill="E2FADE" w:themeFill="accent6" w:themeFillTint="33"/>
          </w:tcPr>
          <w:p w14:paraId="0558D03C" w14:textId="7222B83C"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6245552D" w14:textId="3CC190C8"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18E18A7F" w14:textId="77777777" w:rsidR="008E5E4B" w:rsidRDefault="008E5E4B" w:rsidP="008E5E4B">
            <w:pPr>
              <w:ind w:right="-97"/>
              <w:rPr>
                <w:sz w:val="20"/>
                <w:szCs w:val="20"/>
              </w:rPr>
            </w:pPr>
            <w:r w:rsidRPr="00E11787">
              <w:rPr>
                <w:sz w:val="20"/>
                <w:szCs w:val="20"/>
              </w:rPr>
              <w:t>21a</w:t>
            </w:r>
            <w:r>
              <w:rPr>
                <w:sz w:val="20"/>
                <w:szCs w:val="20"/>
              </w:rPr>
              <w:t>, 21b, 21c, 21d, 21e, 22</w:t>
            </w:r>
          </w:p>
        </w:tc>
        <w:tc>
          <w:tcPr>
            <w:tcW w:w="3056" w:type="dxa"/>
            <w:shd w:val="clear" w:color="auto" w:fill="E2FADE" w:themeFill="accent6" w:themeFillTint="33"/>
          </w:tcPr>
          <w:p w14:paraId="1F8AFA3D" w14:textId="0D50A812" w:rsidR="008E5E4B" w:rsidRPr="00005B4A" w:rsidRDefault="008E5E4B" w:rsidP="008E5E4B">
            <w:pPr>
              <w:ind w:right="-97"/>
              <w:rPr>
                <w:sz w:val="20"/>
                <w:szCs w:val="20"/>
              </w:rPr>
            </w:pPr>
            <w:r>
              <w:rPr>
                <w:sz w:val="20"/>
                <w:szCs w:val="20"/>
              </w:rPr>
              <w:t>Missing reference to PC clause for “Applicable Energy Source” so uncertain what is ‘applicable’.</w:t>
            </w:r>
          </w:p>
        </w:tc>
        <w:tc>
          <w:tcPr>
            <w:tcW w:w="2465" w:type="dxa"/>
            <w:shd w:val="clear" w:color="auto" w:fill="E2FADE" w:themeFill="accent6" w:themeFillTint="33"/>
          </w:tcPr>
          <w:p w14:paraId="31AEB04E" w14:textId="13C1498C" w:rsidR="008E5E4B" w:rsidRDefault="008E5E4B" w:rsidP="008E5E4B">
            <w:pPr>
              <w:ind w:right="-97"/>
              <w:rPr>
                <w:sz w:val="20"/>
                <w:szCs w:val="20"/>
              </w:rPr>
            </w:pPr>
            <w:r>
              <w:rPr>
                <w:sz w:val="20"/>
                <w:szCs w:val="20"/>
              </w:rPr>
              <w:t>Add reference to relevant PC clause.</w:t>
            </w:r>
          </w:p>
        </w:tc>
      </w:tr>
      <w:tr w:rsidR="008E5E4B" w:rsidRPr="003114F3" w14:paraId="02DD8076" w14:textId="77777777" w:rsidTr="005D06BC">
        <w:tc>
          <w:tcPr>
            <w:tcW w:w="1166" w:type="dxa"/>
            <w:shd w:val="clear" w:color="auto" w:fill="E2FADE" w:themeFill="accent6" w:themeFillTint="33"/>
          </w:tcPr>
          <w:p w14:paraId="1F4D634F" w14:textId="68DC239E"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0EB2DF12" w14:textId="5E0499F2"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7F246BEF" w14:textId="77777777" w:rsidR="008E5E4B" w:rsidRDefault="008E5E4B" w:rsidP="008E5E4B">
            <w:pPr>
              <w:ind w:right="-97"/>
              <w:rPr>
                <w:sz w:val="20"/>
                <w:szCs w:val="20"/>
              </w:rPr>
            </w:pPr>
            <w:r>
              <w:rPr>
                <w:sz w:val="20"/>
                <w:szCs w:val="20"/>
              </w:rPr>
              <w:t>21b, 22</w:t>
            </w:r>
          </w:p>
        </w:tc>
        <w:tc>
          <w:tcPr>
            <w:tcW w:w="3056" w:type="dxa"/>
            <w:shd w:val="clear" w:color="auto" w:fill="E2FADE" w:themeFill="accent6" w:themeFillTint="33"/>
          </w:tcPr>
          <w:p w14:paraId="334DAB15" w14:textId="77777777" w:rsidR="008E5E4B" w:rsidRPr="00005B4A" w:rsidRDefault="008E5E4B" w:rsidP="008E5E4B">
            <w:pPr>
              <w:ind w:right="-97"/>
              <w:rPr>
                <w:sz w:val="20"/>
                <w:szCs w:val="20"/>
              </w:rPr>
            </w:pPr>
            <w:r>
              <w:rPr>
                <w:sz w:val="20"/>
                <w:szCs w:val="20"/>
              </w:rPr>
              <w:t>Defined terms are not always fully bolded, e.g. “PSM Scenario Document”.</w:t>
            </w:r>
          </w:p>
        </w:tc>
        <w:tc>
          <w:tcPr>
            <w:tcW w:w="2465" w:type="dxa"/>
            <w:shd w:val="clear" w:color="auto" w:fill="E2FADE" w:themeFill="accent6" w:themeFillTint="33"/>
          </w:tcPr>
          <w:p w14:paraId="45A916D3" w14:textId="77777777" w:rsidR="008E5E4B" w:rsidRDefault="008E5E4B" w:rsidP="008E5E4B">
            <w:pPr>
              <w:ind w:right="-97"/>
              <w:rPr>
                <w:sz w:val="20"/>
                <w:szCs w:val="20"/>
              </w:rPr>
            </w:pPr>
            <w:r>
              <w:rPr>
                <w:sz w:val="20"/>
                <w:szCs w:val="20"/>
              </w:rPr>
              <w:t>Review formatting of defined terms.</w:t>
            </w:r>
          </w:p>
        </w:tc>
      </w:tr>
      <w:tr w:rsidR="008E5E4B" w:rsidRPr="003114F3" w14:paraId="05E59A58" w14:textId="77777777" w:rsidTr="005D06BC">
        <w:tc>
          <w:tcPr>
            <w:tcW w:w="1166" w:type="dxa"/>
            <w:shd w:val="clear" w:color="auto" w:fill="E2FADE" w:themeFill="accent6" w:themeFillTint="33"/>
          </w:tcPr>
          <w:p w14:paraId="2E417FC2" w14:textId="7192D31F"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2E311793" w14:textId="09CD1454"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2C621F3F" w14:textId="47B80B9C" w:rsidR="008E5E4B" w:rsidRDefault="008E5E4B" w:rsidP="008E5E4B">
            <w:pPr>
              <w:ind w:right="-97"/>
              <w:rPr>
                <w:sz w:val="20"/>
                <w:szCs w:val="20"/>
              </w:rPr>
            </w:pPr>
            <w:r>
              <w:rPr>
                <w:sz w:val="20"/>
                <w:szCs w:val="20"/>
              </w:rPr>
              <w:t>21i</w:t>
            </w:r>
          </w:p>
        </w:tc>
        <w:tc>
          <w:tcPr>
            <w:tcW w:w="3056" w:type="dxa"/>
            <w:shd w:val="clear" w:color="auto" w:fill="E2FADE" w:themeFill="accent6" w:themeFillTint="33"/>
          </w:tcPr>
          <w:p w14:paraId="4B557A3E" w14:textId="3281EA9C" w:rsidR="008E5E4B" w:rsidRPr="00005B4A" w:rsidRDefault="008E5E4B" w:rsidP="008E5E4B">
            <w:pPr>
              <w:ind w:right="-97"/>
              <w:rPr>
                <w:sz w:val="20"/>
                <w:szCs w:val="20"/>
              </w:rPr>
            </w:pPr>
            <w:r>
              <w:rPr>
                <w:sz w:val="20"/>
                <w:szCs w:val="20"/>
              </w:rPr>
              <w:t>Despatch is misspelled.</w:t>
            </w:r>
          </w:p>
        </w:tc>
        <w:tc>
          <w:tcPr>
            <w:tcW w:w="2465" w:type="dxa"/>
            <w:shd w:val="clear" w:color="auto" w:fill="E2FADE" w:themeFill="accent6" w:themeFillTint="33"/>
          </w:tcPr>
          <w:p w14:paraId="293F8BDE" w14:textId="0C89E0B8" w:rsidR="008E5E4B" w:rsidRDefault="008E5E4B" w:rsidP="008E5E4B">
            <w:pPr>
              <w:ind w:right="-97"/>
              <w:rPr>
                <w:sz w:val="20"/>
                <w:szCs w:val="20"/>
              </w:rPr>
            </w:pPr>
            <w:r>
              <w:rPr>
                <w:sz w:val="20"/>
                <w:szCs w:val="20"/>
              </w:rPr>
              <w:t>Correct spelling</w:t>
            </w:r>
          </w:p>
        </w:tc>
      </w:tr>
      <w:tr w:rsidR="008E5E4B" w:rsidRPr="003114F3" w14:paraId="59B53FB6" w14:textId="77777777" w:rsidTr="005D06BC">
        <w:tc>
          <w:tcPr>
            <w:tcW w:w="1166" w:type="dxa"/>
            <w:shd w:val="clear" w:color="auto" w:fill="E2FADE" w:themeFill="accent6" w:themeFillTint="33"/>
          </w:tcPr>
          <w:p w14:paraId="1C0A9073" w14:textId="1B9198B5"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1D92739D" w14:textId="70C8B5AA"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166A20C2" w14:textId="21C48D2B" w:rsidR="008E5E4B" w:rsidRDefault="008E5E4B" w:rsidP="008E5E4B">
            <w:pPr>
              <w:ind w:right="-97"/>
              <w:rPr>
                <w:sz w:val="20"/>
                <w:szCs w:val="20"/>
              </w:rPr>
            </w:pPr>
            <w:r>
              <w:rPr>
                <w:sz w:val="20"/>
                <w:szCs w:val="20"/>
              </w:rPr>
              <w:t>21i</w:t>
            </w:r>
          </w:p>
        </w:tc>
        <w:tc>
          <w:tcPr>
            <w:tcW w:w="3056" w:type="dxa"/>
            <w:shd w:val="clear" w:color="auto" w:fill="E2FADE" w:themeFill="accent6" w:themeFillTint="33"/>
          </w:tcPr>
          <w:p w14:paraId="00777A56" w14:textId="65A378C6" w:rsidR="008E5E4B" w:rsidRDefault="008E5E4B" w:rsidP="008E5E4B">
            <w:pPr>
              <w:ind w:right="-97"/>
              <w:rPr>
                <w:sz w:val="20"/>
                <w:szCs w:val="20"/>
              </w:rPr>
            </w:pPr>
            <w:r>
              <w:rPr>
                <w:sz w:val="20"/>
                <w:szCs w:val="20"/>
              </w:rPr>
              <w:t>Use case is not immediately clear.</w:t>
            </w:r>
          </w:p>
        </w:tc>
        <w:tc>
          <w:tcPr>
            <w:tcW w:w="2465" w:type="dxa"/>
            <w:shd w:val="clear" w:color="auto" w:fill="E2FADE" w:themeFill="accent6" w:themeFillTint="33"/>
          </w:tcPr>
          <w:p w14:paraId="029CF024" w14:textId="5370E409" w:rsidR="008E5E4B" w:rsidRDefault="008E5E4B" w:rsidP="008E5E4B">
            <w:pPr>
              <w:ind w:right="-97"/>
              <w:rPr>
                <w:sz w:val="20"/>
                <w:szCs w:val="20"/>
              </w:rPr>
            </w:pPr>
            <w:r>
              <w:rPr>
                <w:sz w:val="20"/>
                <w:szCs w:val="20"/>
              </w:rPr>
              <w:t>Provide justification for inclusion and example of where this data is necessary from a DNO.</w:t>
            </w:r>
          </w:p>
        </w:tc>
      </w:tr>
      <w:tr w:rsidR="008E5E4B" w:rsidRPr="003114F3" w14:paraId="4E10D0D9" w14:textId="77777777" w:rsidTr="005D06BC">
        <w:tc>
          <w:tcPr>
            <w:tcW w:w="1166" w:type="dxa"/>
            <w:shd w:val="clear" w:color="auto" w:fill="E2FADE" w:themeFill="accent6" w:themeFillTint="33"/>
          </w:tcPr>
          <w:p w14:paraId="29F110EC" w14:textId="5EEE3E8E" w:rsidR="008E5E4B" w:rsidRDefault="008E5E4B" w:rsidP="008E5E4B">
            <w:pPr>
              <w:ind w:right="-97"/>
              <w:rPr>
                <w:sz w:val="20"/>
                <w:szCs w:val="20"/>
              </w:rPr>
            </w:pPr>
            <w:r>
              <w:rPr>
                <w:sz w:val="20"/>
                <w:szCs w:val="20"/>
              </w:rPr>
              <w:t>Annex 7</w:t>
            </w:r>
          </w:p>
        </w:tc>
        <w:tc>
          <w:tcPr>
            <w:tcW w:w="1584" w:type="dxa"/>
            <w:shd w:val="clear" w:color="auto" w:fill="E2FADE" w:themeFill="accent6" w:themeFillTint="33"/>
          </w:tcPr>
          <w:p w14:paraId="2D4561C7" w14:textId="392930A5" w:rsidR="008E5E4B" w:rsidRDefault="008E5E4B" w:rsidP="008E5E4B">
            <w:pPr>
              <w:ind w:right="-97"/>
              <w:rPr>
                <w:sz w:val="20"/>
                <w:szCs w:val="20"/>
              </w:rPr>
            </w:pPr>
            <w:r>
              <w:rPr>
                <w:sz w:val="20"/>
                <w:szCs w:val="20"/>
              </w:rPr>
              <w:t>DRC Schedules</w:t>
            </w:r>
          </w:p>
        </w:tc>
        <w:tc>
          <w:tcPr>
            <w:tcW w:w="1465" w:type="dxa"/>
            <w:shd w:val="clear" w:color="auto" w:fill="E2FADE" w:themeFill="accent6" w:themeFillTint="33"/>
          </w:tcPr>
          <w:p w14:paraId="59C4E216" w14:textId="3B4A945A" w:rsidR="008E5E4B" w:rsidRDefault="008E5E4B" w:rsidP="008E5E4B">
            <w:pPr>
              <w:ind w:right="-97"/>
              <w:rPr>
                <w:sz w:val="20"/>
                <w:szCs w:val="20"/>
              </w:rPr>
            </w:pPr>
            <w:r>
              <w:rPr>
                <w:sz w:val="20"/>
                <w:szCs w:val="20"/>
              </w:rPr>
              <w:t>21j</w:t>
            </w:r>
          </w:p>
        </w:tc>
        <w:tc>
          <w:tcPr>
            <w:tcW w:w="5521" w:type="dxa"/>
            <w:gridSpan w:val="2"/>
            <w:shd w:val="clear" w:color="auto" w:fill="E2FADE" w:themeFill="accent6" w:themeFillTint="33"/>
            <w:vAlign w:val="center"/>
          </w:tcPr>
          <w:p w14:paraId="71225B2D" w14:textId="77777777" w:rsidR="008E5E4B" w:rsidRDefault="008E5E4B" w:rsidP="008E5E4B">
            <w:pPr>
              <w:ind w:right="-97"/>
              <w:jc w:val="center"/>
              <w:rPr>
                <w:sz w:val="20"/>
                <w:szCs w:val="20"/>
              </w:rPr>
            </w:pPr>
            <w:r>
              <w:rPr>
                <w:sz w:val="20"/>
                <w:szCs w:val="20"/>
              </w:rPr>
              <w:t>No comment</w:t>
            </w:r>
          </w:p>
        </w:tc>
      </w:tr>
    </w:tbl>
    <w:p w14:paraId="36B641D8" w14:textId="77777777" w:rsidR="006B77C8" w:rsidRDefault="006B77C8" w:rsidP="1058F1FE">
      <w:pPr>
        <w:ind w:right="-97"/>
        <w:rPr>
          <w:b/>
          <w:bCs/>
          <w:sz w:val="24"/>
          <w:szCs w:val="24"/>
        </w:rPr>
      </w:pPr>
    </w:p>
    <w:sectPr w:rsidR="006B77C8"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79A44" w14:textId="77777777" w:rsidR="00583B48" w:rsidRDefault="00583B48" w:rsidP="00A62BFF">
      <w:r>
        <w:separator/>
      </w:r>
    </w:p>
  </w:endnote>
  <w:endnote w:type="continuationSeparator" w:id="0">
    <w:p w14:paraId="18AA61D2" w14:textId="77777777" w:rsidR="00583B48" w:rsidRDefault="00583B48" w:rsidP="00A62BFF">
      <w:r>
        <w:continuationSeparator/>
      </w:r>
    </w:p>
  </w:endnote>
  <w:endnote w:type="continuationNotice" w:id="1">
    <w:p w14:paraId="0EE6D9C9" w14:textId="77777777" w:rsidR="00583B48" w:rsidRDefault="00583B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56B3E" w14:textId="77777777" w:rsidR="00583B48" w:rsidRDefault="00583B48" w:rsidP="00A62BFF">
      <w:r>
        <w:separator/>
      </w:r>
    </w:p>
  </w:footnote>
  <w:footnote w:type="continuationSeparator" w:id="0">
    <w:p w14:paraId="5A6DC1E7" w14:textId="77777777" w:rsidR="00583B48" w:rsidRDefault="00583B48" w:rsidP="00A62BFF">
      <w:r>
        <w:continuationSeparator/>
      </w:r>
    </w:p>
  </w:footnote>
  <w:footnote w:type="continuationNotice" w:id="1">
    <w:p w14:paraId="0D3A4DF9" w14:textId="77777777" w:rsidR="00583B48" w:rsidRDefault="00583B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488082F"/>
    <w:multiLevelType w:val="multilevel"/>
    <w:tmpl w:val="2CE2557E"/>
    <w:lvl w:ilvl="0">
      <w:start w:val="6"/>
      <w:numFmt w:val="lowerLetter"/>
      <w:lvlText w:val="%1."/>
      <w:lvlJc w:val="left"/>
      <w:pPr>
        <w:tabs>
          <w:tab w:val="num" w:pos="720"/>
        </w:tabs>
        <w:ind w:left="720" w:hanging="360"/>
      </w:pPr>
    </w:lvl>
    <w:lvl w:ilvl="1">
      <w:numFmt w:val="bullet"/>
      <w:lvlText w:val="-"/>
      <w:lvlJc w:val="left"/>
      <w:pPr>
        <w:ind w:left="1440" w:hanging="360"/>
      </w:pPr>
      <w:rPr>
        <w:rFonts w:ascii="Arial" w:eastAsiaTheme="minorHAnsi" w:hAnsi="Arial" w:cs="Aria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FA07FFD"/>
    <w:multiLevelType w:val="hybridMultilevel"/>
    <w:tmpl w:val="9FA03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5"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78E4D1C"/>
    <w:multiLevelType w:val="multilevel"/>
    <w:tmpl w:val="7D7CA560"/>
    <w:numStyleLink w:val="NumberedBulletsList"/>
  </w:abstractNum>
  <w:num w:numId="1" w16cid:durableId="2110612672">
    <w:abstractNumId w:val="9"/>
  </w:num>
  <w:num w:numId="2" w16cid:durableId="598485271">
    <w:abstractNumId w:val="7"/>
  </w:num>
  <w:num w:numId="3" w16cid:durableId="1351026111">
    <w:abstractNumId w:val="6"/>
  </w:num>
  <w:num w:numId="4" w16cid:durableId="2132431985">
    <w:abstractNumId w:val="5"/>
  </w:num>
  <w:num w:numId="5" w16cid:durableId="271396624">
    <w:abstractNumId w:val="4"/>
  </w:num>
  <w:num w:numId="6" w16cid:durableId="1969437514">
    <w:abstractNumId w:val="8"/>
  </w:num>
  <w:num w:numId="7" w16cid:durableId="1847205600">
    <w:abstractNumId w:val="3"/>
  </w:num>
  <w:num w:numId="8" w16cid:durableId="339478522">
    <w:abstractNumId w:val="2"/>
  </w:num>
  <w:num w:numId="9" w16cid:durableId="1652514709">
    <w:abstractNumId w:val="1"/>
  </w:num>
  <w:num w:numId="10" w16cid:durableId="842623193">
    <w:abstractNumId w:val="0"/>
  </w:num>
  <w:num w:numId="11" w16cid:durableId="241065593">
    <w:abstractNumId w:val="24"/>
  </w:num>
  <w:num w:numId="12" w16cid:durableId="1110978630">
    <w:abstractNumId w:val="19"/>
  </w:num>
  <w:num w:numId="13" w16cid:durableId="1570338130">
    <w:abstractNumId w:val="12"/>
  </w:num>
  <w:num w:numId="14" w16cid:durableId="626395727">
    <w:abstractNumId w:val="14"/>
  </w:num>
  <w:num w:numId="15" w16cid:durableId="1986884338">
    <w:abstractNumId w:val="11"/>
  </w:num>
  <w:num w:numId="16" w16cid:durableId="1651785202">
    <w:abstractNumId w:val="26"/>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603612435">
    <w:abstractNumId w:val="10"/>
  </w:num>
  <w:num w:numId="18" w16cid:durableId="480268529">
    <w:abstractNumId w:val="17"/>
  </w:num>
  <w:num w:numId="19" w16cid:durableId="1825580620">
    <w:abstractNumId w:val="22"/>
  </w:num>
  <w:num w:numId="20" w16cid:durableId="1443567832">
    <w:abstractNumId w:val="18"/>
  </w:num>
  <w:num w:numId="21" w16cid:durableId="972058273">
    <w:abstractNumId w:val="20"/>
  </w:num>
  <w:num w:numId="22" w16cid:durableId="1674063753">
    <w:abstractNumId w:val="21"/>
  </w:num>
  <w:num w:numId="23" w16cid:durableId="1450052192">
    <w:abstractNumId w:val="25"/>
  </w:num>
  <w:num w:numId="24" w16cid:durableId="1659528332">
    <w:abstractNumId w:val="23"/>
  </w:num>
  <w:num w:numId="25" w16cid:durableId="242833530">
    <w:abstractNumId w:val="13"/>
  </w:num>
  <w:num w:numId="26" w16cid:durableId="788626985">
    <w:abstractNumId w:val="16"/>
  </w:num>
  <w:num w:numId="27" w16cid:durableId="1581016119">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5B4A"/>
    <w:rsid w:val="00007028"/>
    <w:rsid w:val="00011992"/>
    <w:rsid w:val="00013752"/>
    <w:rsid w:val="00015A2A"/>
    <w:rsid w:val="00017C00"/>
    <w:rsid w:val="00021319"/>
    <w:rsid w:val="000213BA"/>
    <w:rsid w:val="000218CE"/>
    <w:rsid w:val="00022819"/>
    <w:rsid w:val="00022B39"/>
    <w:rsid w:val="0002463D"/>
    <w:rsid w:val="000246B0"/>
    <w:rsid w:val="00027845"/>
    <w:rsid w:val="00027D3A"/>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2F8"/>
    <w:rsid w:val="00076586"/>
    <w:rsid w:val="000772BB"/>
    <w:rsid w:val="00081106"/>
    <w:rsid w:val="000816B3"/>
    <w:rsid w:val="00081F84"/>
    <w:rsid w:val="00081FD6"/>
    <w:rsid w:val="000821BE"/>
    <w:rsid w:val="00083974"/>
    <w:rsid w:val="00083E12"/>
    <w:rsid w:val="000847DC"/>
    <w:rsid w:val="00084C5F"/>
    <w:rsid w:val="00087020"/>
    <w:rsid w:val="00087B0D"/>
    <w:rsid w:val="00090714"/>
    <w:rsid w:val="0009211E"/>
    <w:rsid w:val="0009276B"/>
    <w:rsid w:val="00092C02"/>
    <w:rsid w:val="00092D2F"/>
    <w:rsid w:val="00093369"/>
    <w:rsid w:val="000946F1"/>
    <w:rsid w:val="00094E5F"/>
    <w:rsid w:val="00094F88"/>
    <w:rsid w:val="0009609C"/>
    <w:rsid w:val="000966D4"/>
    <w:rsid w:val="000969A1"/>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0DC6"/>
    <w:rsid w:val="000C35E2"/>
    <w:rsid w:val="000C5017"/>
    <w:rsid w:val="000C53DB"/>
    <w:rsid w:val="000C60C2"/>
    <w:rsid w:val="000C64F6"/>
    <w:rsid w:val="000C66C7"/>
    <w:rsid w:val="000D0FED"/>
    <w:rsid w:val="000D16EC"/>
    <w:rsid w:val="000D1DF7"/>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10F"/>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4061"/>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682C"/>
    <w:rsid w:val="001D7E18"/>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2D71"/>
    <w:rsid w:val="00223A62"/>
    <w:rsid w:val="0022412C"/>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AED"/>
    <w:rsid w:val="00254EB1"/>
    <w:rsid w:val="0025501B"/>
    <w:rsid w:val="0025509C"/>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0CF0"/>
    <w:rsid w:val="002F3145"/>
    <w:rsid w:val="002F329C"/>
    <w:rsid w:val="002F3900"/>
    <w:rsid w:val="002F3F4B"/>
    <w:rsid w:val="002F46B4"/>
    <w:rsid w:val="002F592C"/>
    <w:rsid w:val="002F5957"/>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14F3"/>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5568"/>
    <w:rsid w:val="00336494"/>
    <w:rsid w:val="0033690A"/>
    <w:rsid w:val="00337021"/>
    <w:rsid w:val="00337530"/>
    <w:rsid w:val="0033788A"/>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0C8"/>
    <w:rsid w:val="003657BA"/>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1398"/>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5E"/>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5647C"/>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2E4B"/>
    <w:rsid w:val="00493C98"/>
    <w:rsid w:val="00496719"/>
    <w:rsid w:val="00496763"/>
    <w:rsid w:val="004969EE"/>
    <w:rsid w:val="00497673"/>
    <w:rsid w:val="00497F0C"/>
    <w:rsid w:val="004A07FA"/>
    <w:rsid w:val="004A338B"/>
    <w:rsid w:val="004A43DA"/>
    <w:rsid w:val="004A461F"/>
    <w:rsid w:val="004A4AB5"/>
    <w:rsid w:val="004A5874"/>
    <w:rsid w:val="004B129D"/>
    <w:rsid w:val="004B1D4E"/>
    <w:rsid w:val="004B1F72"/>
    <w:rsid w:val="004B20C7"/>
    <w:rsid w:val="004B2654"/>
    <w:rsid w:val="004B32DC"/>
    <w:rsid w:val="004B3949"/>
    <w:rsid w:val="004B3E8C"/>
    <w:rsid w:val="004B516A"/>
    <w:rsid w:val="004B6600"/>
    <w:rsid w:val="004B71EE"/>
    <w:rsid w:val="004B72BC"/>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5775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3B3"/>
    <w:rsid w:val="005745FE"/>
    <w:rsid w:val="00574FB6"/>
    <w:rsid w:val="005753B3"/>
    <w:rsid w:val="005764B6"/>
    <w:rsid w:val="0057651A"/>
    <w:rsid w:val="005767E1"/>
    <w:rsid w:val="005771C5"/>
    <w:rsid w:val="00577A69"/>
    <w:rsid w:val="005800AE"/>
    <w:rsid w:val="00580E46"/>
    <w:rsid w:val="00583222"/>
    <w:rsid w:val="00583B48"/>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1D34"/>
    <w:rsid w:val="005A241E"/>
    <w:rsid w:val="005A3718"/>
    <w:rsid w:val="005A42F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231B"/>
    <w:rsid w:val="005C3952"/>
    <w:rsid w:val="005C5728"/>
    <w:rsid w:val="005C57DB"/>
    <w:rsid w:val="005C7EE5"/>
    <w:rsid w:val="005D0442"/>
    <w:rsid w:val="005D06BC"/>
    <w:rsid w:val="005D0750"/>
    <w:rsid w:val="005D11B0"/>
    <w:rsid w:val="005D189C"/>
    <w:rsid w:val="005D27E5"/>
    <w:rsid w:val="005D32C5"/>
    <w:rsid w:val="005D5098"/>
    <w:rsid w:val="005D57C5"/>
    <w:rsid w:val="005E0309"/>
    <w:rsid w:val="005E29AC"/>
    <w:rsid w:val="005E2EF0"/>
    <w:rsid w:val="005E2F59"/>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16E"/>
    <w:rsid w:val="00675436"/>
    <w:rsid w:val="00675CA7"/>
    <w:rsid w:val="00676A46"/>
    <w:rsid w:val="006772D2"/>
    <w:rsid w:val="0067797F"/>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6ECD"/>
    <w:rsid w:val="006B74A5"/>
    <w:rsid w:val="006B7567"/>
    <w:rsid w:val="006B77C8"/>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9C1"/>
    <w:rsid w:val="006E5041"/>
    <w:rsid w:val="006E510D"/>
    <w:rsid w:val="006E642B"/>
    <w:rsid w:val="006E6687"/>
    <w:rsid w:val="006E7597"/>
    <w:rsid w:val="006F2FDC"/>
    <w:rsid w:val="006F3637"/>
    <w:rsid w:val="006F37D9"/>
    <w:rsid w:val="006F4409"/>
    <w:rsid w:val="006F4CCF"/>
    <w:rsid w:val="006F4F97"/>
    <w:rsid w:val="006F531B"/>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963"/>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89D"/>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518F"/>
    <w:rsid w:val="0077660A"/>
    <w:rsid w:val="007807E5"/>
    <w:rsid w:val="00780BC3"/>
    <w:rsid w:val="00780EEC"/>
    <w:rsid w:val="007820C9"/>
    <w:rsid w:val="00782244"/>
    <w:rsid w:val="00783E9A"/>
    <w:rsid w:val="0078412E"/>
    <w:rsid w:val="007848A7"/>
    <w:rsid w:val="0078549F"/>
    <w:rsid w:val="0078636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D79"/>
    <w:rsid w:val="007D025A"/>
    <w:rsid w:val="007D0F6C"/>
    <w:rsid w:val="007D2B50"/>
    <w:rsid w:val="007D6535"/>
    <w:rsid w:val="007D706B"/>
    <w:rsid w:val="007E09AC"/>
    <w:rsid w:val="007E24ED"/>
    <w:rsid w:val="007E436B"/>
    <w:rsid w:val="007E54EA"/>
    <w:rsid w:val="007E6EF2"/>
    <w:rsid w:val="007F0038"/>
    <w:rsid w:val="007F090E"/>
    <w:rsid w:val="007F1E4B"/>
    <w:rsid w:val="007F1E6E"/>
    <w:rsid w:val="007F2112"/>
    <w:rsid w:val="007F225F"/>
    <w:rsid w:val="007F3152"/>
    <w:rsid w:val="007F38A4"/>
    <w:rsid w:val="007F3E20"/>
    <w:rsid w:val="007F3FBC"/>
    <w:rsid w:val="007F5873"/>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A64"/>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1C25"/>
    <w:rsid w:val="00882021"/>
    <w:rsid w:val="00883242"/>
    <w:rsid w:val="0088329E"/>
    <w:rsid w:val="008848AA"/>
    <w:rsid w:val="00885439"/>
    <w:rsid w:val="00885573"/>
    <w:rsid w:val="00887A9E"/>
    <w:rsid w:val="00887B6D"/>
    <w:rsid w:val="008916ED"/>
    <w:rsid w:val="00891F1B"/>
    <w:rsid w:val="00892930"/>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1C88"/>
    <w:rsid w:val="008D21C1"/>
    <w:rsid w:val="008D22AA"/>
    <w:rsid w:val="008D2C83"/>
    <w:rsid w:val="008D3764"/>
    <w:rsid w:val="008D395E"/>
    <w:rsid w:val="008D3981"/>
    <w:rsid w:val="008D4443"/>
    <w:rsid w:val="008D6C5C"/>
    <w:rsid w:val="008D7AD5"/>
    <w:rsid w:val="008E0487"/>
    <w:rsid w:val="008E1748"/>
    <w:rsid w:val="008E307B"/>
    <w:rsid w:val="008E3E97"/>
    <w:rsid w:val="008E5E4B"/>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186F"/>
    <w:rsid w:val="00912347"/>
    <w:rsid w:val="00916FA7"/>
    <w:rsid w:val="009173A7"/>
    <w:rsid w:val="0091763D"/>
    <w:rsid w:val="00917FD0"/>
    <w:rsid w:val="009201C2"/>
    <w:rsid w:val="00922001"/>
    <w:rsid w:val="00924256"/>
    <w:rsid w:val="00924420"/>
    <w:rsid w:val="0092544F"/>
    <w:rsid w:val="00931300"/>
    <w:rsid w:val="00932C2B"/>
    <w:rsid w:val="00933E99"/>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69C3"/>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1F88"/>
    <w:rsid w:val="009E23AE"/>
    <w:rsid w:val="009E2FBC"/>
    <w:rsid w:val="009E40C0"/>
    <w:rsid w:val="009E40C8"/>
    <w:rsid w:val="009F073A"/>
    <w:rsid w:val="009F3A22"/>
    <w:rsid w:val="009F4258"/>
    <w:rsid w:val="009F5202"/>
    <w:rsid w:val="009F55E1"/>
    <w:rsid w:val="009F6BC2"/>
    <w:rsid w:val="009F6F95"/>
    <w:rsid w:val="009F769B"/>
    <w:rsid w:val="00A0101F"/>
    <w:rsid w:val="00A01088"/>
    <w:rsid w:val="00A015C3"/>
    <w:rsid w:val="00A015DA"/>
    <w:rsid w:val="00A02174"/>
    <w:rsid w:val="00A034E1"/>
    <w:rsid w:val="00A03A7B"/>
    <w:rsid w:val="00A03AE4"/>
    <w:rsid w:val="00A04350"/>
    <w:rsid w:val="00A05374"/>
    <w:rsid w:val="00A0537E"/>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3AD"/>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2EB6"/>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AC0"/>
    <w:rsid w:val="00B03960"/>
    <w:rsid w:val="00B03EE4"/>
    <w:rsid w:val="00B05CAC"/>
    <w:rsid w:val="00B06B53"/>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17E4"/>
    <w:rsid w:val="00B425FB"/>
    <w:rsid w:val="00B4286A"/>
    <w:rsid w:val="00B42BC6"/>
    <w:rsid w:val="00B43614"/>
    <w:rsid w:val="00B47721"/>
    <w:rsid w:val="00B51375"/>
    <w:rsid w:val="00B514F9"/>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61F"/>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53E"/>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5798"/>
    <w:rsid w:val="00C4690E"/>
    <w:rsid w:val="00C46A57"/>
    <w:rsid w:val="00C51235"/>
    <w:rsid w:val="00C531AF"/>
    <w:rsid w:val="00C54A40"/>
    <w:rsid w:val="00C54AEA"/>
    <w:rsid w:val="00C55842"/>
    <w:rsid w:val="00C55B8C"/>
    <w:rsid w:val="00C56DB8"/>
    <w:rsid w:val="00C60BF4"/>
    <w:rsid w:val="00C60C17"/>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1F31"/>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1DD8"/>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1BA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4219"/>
    <w:rsid w:val="00D856B2"/>
    <w:rsid w:val="00D856EB"/>
    <w:rsid w:val="00D857EE"/>
    <w:rsid w:val="00D9034A"/>
    <w:rsid w:val="00D906A5"/>
    <w:rsid w:val="00D90712"/>
    <w:rsid w:val="00D93FD3"/>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18DD"/>
    <w:rsid w:val="00DB304A"/>
    <w:rsid w:val="00DB4920"/>
    <w:rsid w:val="00DB4A0A"/>
    <w:rsid w:val="00DB7E60"/>
    <w:rsid w:val="00DC055E"/>
    <w:rsid w:val="00DC2EC5"/>
    <w:rsid w:val="00DC6012"/>
    <w:rsid w:val="00DD248B"/>
    <w:rsid w:val="00DD2F95"/>
    <w:rsid w:val="00DD3320"/>
    <w:rsid w:val="00DD3D94"/>
    <w:rsid w:val="00DD4272"/>
    <w:rsid w:val="00DD488A"/>
    <w:rsid w:val="00DD7DC6"/>
    <w:rsid w:val="00DE2149"/>
    <w:rsid w:val="00DE2854"/>
    <w:rsid w:val="00DE29C2"/>
    <w:rsid w:val="00DE326A"/>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D12"/>
    <w:rsid w:val="00E10E99"/>
    <w:rsid w:val="00E1132C"/>
    <w:rsid w:val="00E1138F"/>
    <w:rsid w:val="00E11787"/>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2F58"/>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854"/>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4F76"/>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689"/>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52AB"/>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4516"/>
    <w:rsid w:val="00F56048"/>
    <w:rsid w:val="00F564FA"/>
    <w:rsid w:val="00F5660C"/>
    <w:rsid w:val="00F578E1"/>
    <w:rsid w:val="00F61DBB"/>
    <w:rsid w:val="00F6520E"/>
    <w:rsid w:val="00F65FDF"/>
    <w:rsid w:val="00F666EB"/>
    <w:rsid w:val="00F70822"/>
    <w:rsid w:val="00F720A6"/>
    <w:rsid w:val="00F726CD"/>
    <w:rsid w:val="00F72D89"/>
    <w:rsid w:val="00F730BF"/>
    <w:rsid w:val="00F7344F"/>
    <w:rsid w:val="00F75286"/>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574E"/>
    <w:rsid w:val="00F96625"/>
    <w:rsid w:val="00F96670"/>
    <w:rsid w:val="00FA03BD"/>
    <w:rsid w:val="00FA0820"/>
    <w:rsid w:val="00FA2F35"/>
    <w:rsid w:val="00FA363C"/>
    <w:rsid w:val="00FA417C"/>
    <w:rsid w:val="00FA463B"/>
    <w:rsid w:val="00FA4814"/>
    <w:rsid w:val="00FA536D"/>
    <w:rsid w:val="00FA54FF"/>
    <w:rsid w:val="00FB18DC"/>
    <w:rsid w:val="00FB199E"/>
    <w:rsid w:val="00FB325F"/>
    <w:rsid w:val="00FB3C60"/>
    <w:rsid w:val="00FB56C0"/>
    <w:rsid w:val="00FB5D2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1FEC85E"/>
    <w:rsid w:val="1058F1FE"/>
    <w:rsid w:val="29EE714A"/>
    <w:rsid w:val="41E69B03"/>
    <w:rsid w:val="4DDDFC48"/>
    <w:rsid w:val="6664CE4C"/>
    <w:rsid w:val="6A9F20C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854"/>
    <w:pPr>
      <w:spacing w:after="160" w:line="259" w:lineRule="auto"/>
    </w:pPr>
    <w:rPr>
      <w:sz w:val="22"/>
      <w:szCs w:val="22"/>
      <w:lang w:val="en-GB"/>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E528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854"/>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
      <w:docPartPr>
        <w:name w:val="3CBCBC904548405F8E293D6E7FD0A6E8"/>
        <w:category>
          <w:name w:val="General"/>
          <w:gallery w:val="placeholder"/>
        </w:category>
        <w:types>
          <w:type w:val="bbPlcHdr"/>
        </w:types>
        <w:behaviors>
          <w:behavior w:val="content"/>
        </w:behaviors>
        <w:guid w:val="{3BE83A23-A5AD-4961-81DD-361D4A14C15F}"/>
      </w:docPartPr>
      <w:docPartBody>
        <w:p w:rsidR="00D30749" w:rsidRDefault="00DC10A2" w:rsidP="00DC10A2">
          <w:pPr>
            <w:pStyle w:val="3CBCBC904548405F8E293D6E7FD0A6E8"/>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13A43"/>
    <w:rsid w:val="001418F3"/>
    <w:rsid w:val="00222D71"/>
    <w:rsid w:val="004D2FD1"/>
    <w:rsid w:val="00663526"/>
    <w:rsid w:val="0067516E"/>
    <w:rsid w:val="008A3763"/>
    <w:rsid w:val="00942236"/>
    <w:rsid w:val="00AC3177"/>
    <w:rsid w:val="00B514F9"/>
    <w:rsid w:val="00B73D64"/>
    <w:rsid w:val="00C561A2"/>
    <w:rsid w:val="00D30749"/>
    <w:rsid w:val="00DC10A2"/>
    <w:rsid w:val="00F1530C"/>
    <w:rsid w:val="00F72D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10A2"/>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 w:type="paragraph" w:customStyle="1" w:styleId="3CBCBC904548405F8E293D6E7FD0A6E8">
    <w:name w:val="3CBCBC904548405F8E293D6E7FD0A6E8"/>
    <w:rsid w:val="00DC10A2"/>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7A89F9A-4470-4053-AEAB-6943FE8F5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2678</Words>
  <Characters>15268</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Rashpal Gata Aura (NESO)</cp:lastModifiedBy>
  <cp:revision>2</cp:revision>
  <cp:lastPrinted>2020-06-01T14:47:00Z</cp:lastPrinted>
  <dcterms:created xsi:type="dcterms:W3CDTF">2025-01-21T17:29:00Z</dcterms:created>
  <dcterms:modified xsi:type="dcterms:W3CDTF">2025-01-21T17:29:00Z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