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C8450" w14:textId="77777777" w:rsidR="001C4F9A" w:rsidRPr="000907AC" w:rsidRDefault="001C4F9A" w:rsidP="001C4F9A">
      <w:pPr>
        <w:pStyle w:val="Header"/>
        <w:rPr>
          <w:rFonts w:ascii="Poppins" w:hAnsi="Poppins" w:cs="Poppins"/>
        </w:rPr>
      </w:pPr>
    </w:p>
    <w:tbl>
      <w:tblPr>
        <w:tblpPr w:leftFromText="180" w:rightFromText="180" w:vertAnchor="page" w:horzAnchor="margin" w:tblpY="2029"/>
        <w:tblW w:w="9553"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53"/>
      </w:tblGrid>
      <w:tr w:rsidR="00403514" w:rsidRPr="000907AC" w14:paraId="5976A2E6" w14:textId="77777777" w:rsidTr="00F266B7">
        <w:trPr>
          <w:trHeight w:val="286"/>
        </w:trPr>
        <w:tc>
          <w:tcPr>
            <w:tcW w:w="9553" w:type="dxa"/>
            <w:tcBorders>
              <w:top w:val="single" w:sz="4" w:space="0" w:color="auto"/>
              <w:left w:val="single" w:sz="4" w:space="0" w:color="auto"/>
              <w:bottom w:val="single" w:sz="4" w:space="0" w:color="auto"/>
              <w:right w:val="single" w:sz="4" w:space="0" w:color="auto"/>
            </w:tcBorders>
            <w:shd w:val="clear" w:color="auto" w:fill="3F0731"/>
          </w:tcPr>
          <w:p w14:paraId="0D1AD554" w14:textId="77777777" w:rsidR="00403514" w:rsidRPr="000907AC" w:rsidRDefault="00403514" w:rsidP="00403514">
            <w:pPr>
              <w:pStyle w:val="BlockText"/>
              <w:spacing w:after="0" w:line="240" w:lineRule="auto"/>
              <w:rPr>
                <w:rFonts w:ascii="Poppins" w:hAnsi="Poppins" w:cs="Poppins"/>
                <w:sz w:val="20"/>
                <w:szCs w:val="20"/>
              </w:rPr>
            </w:pPr>
            <w:bookmarkStart w:id="0" w:name="_Executive_Summary"/>
            <w:bookmarkStart w:id="1" w:name="_Workgroup_Consultation_Introduction"/>
            <w:bookmarkEnd w:id="0"/>
            <w:bookmarkEnd w:id="1"/>
            <w:r w:rsidRPr="000907AC">
              <w:rPr>
                <w:rFonts w:ascii="Poppins" w:hAnsi="Poppins" w:cs="Poppins"/>
                <w:b/>
                <w:sz w:val="28"/>
                <w:szCs w:val="28"/>
              </w:rPr>
              <w:t>Workgroup Terms of Reference and Membership</w:t>
            </w:r>
          </w:p>
        </w:tc>
      </w:tr>
    </w:tbl>
    <w:p w14:paraId="2FF1BDB1" w14:textId="379F89EC" w:rsidR="001C4F9A" w:rsidRPr="000907AC" w:rsidRDefault="001C4F9A" w:rsidP="000907AC">
      <w:pPr>
        <w:pStyle w:val="Footer"/>
        <w:tabs>
          <w:tab w:val="left" w:pos="720"/>
        </w:tabs>
        <w:rPr>
          <w:rFonts w:ascii="Poppins" w:hAnsi="Poppins" w:cs="Poppins"/>
          <w:b/>
          <w:color w:val="3F0731"/>
          <w:sz w:val="28"/>
        </w:rPr>
      </w:pPr>
      <w:bookmarkStart w:id="2" w:name="_Hlk187934104"/>
      <w:r w:rsidRPr="000907AC">
        <w:rPr>
          <w:rFonts w:ascii="Poppins" w:hAnsi="Poppins" w:cs="Poppins"/>
          <w:b/>
          <w:color w:val="3F0731"/>
          <w:sz w:val="28"/>
        </w:rPr>
        <w:t>CMP</w:t>
      </w:r>
      <w:r w:rsidR="002B7668">
        <w:rPr>
          <w:rFonts w:ascii="Poppins" w:hAnsi="Poppins" w:cs="Poppins"/>
          <w:b/>
          <w:color w:val="3F0731"/>
          <w:sz w:val="28"/>
        </w:rPr>
        <w:t>446</w:t>
      </w:r>
      <w:r w:rsidRPr="000907AC">
        <w:rPr>
          <w:rFonts w:ascii="Poppins" w:hAnsi="Poppins" w:cs="Poppins"/>
          <w:b/>
          <w:color w:val="3F0731"/>
          <w:sz w:val="28"/>
        </w:rPr>
        <w:t xml:space="preserve">: </w:t>
      </w:r>
      <w:r w:rsidR="002E6822" w:rsidRPr="002E6822">
        <w:rPr>
          <w:rFonts w:ascii="Poppins" w:hAnsi="Poppins" w:cs="Poppins"/>
          <w:b/>
          <w:color w:val="3F0731"/>
          <w:sz w:val="28"/>
        </w:rPr>
        <w:t>Increasing the lower threshold in England and Wales for Evaluation of Transmission Impact Assessment (TIA)</w:t>
      </w:r>
    </w:p>
    <w:bookmarkEnd w:id="2"/>
    <w:p w14:paraId="6806F1FC" w14:textId="77777777" w:rsidR="001C4F9A" w:rsidRPr="000907AC" w:rsidRDefault="001C4F9A" w:rsidP="001C4F9A">
      <w:pPr>
        <w:pStyle w:val="Checklist"/>
        <w:rPr>
          <w:rFonts w:ascii="Poppins" w:hAnsi="Poppins" w:cs="Poppins"/>
        </w:rPr>
      </w:pPr>
      <w:r w:rsidRPr="000907AC">
        <w:rPr>
          <w:rFonts w:ascii="Poppins" w:hAnsi="Poppins" w:cs="Poppins"/>
        </w:rPr>
        <w:t>Responsibilities</w:t>
      </w:r>
    </w:p>
    <w:p w14:paraId="1FF87DED" w14:textId="506ABB54" w:rsidR="001C4F9A" w:rsidRPr="000907AC" w:rsidRDefault="001C4F9A" w:rsidP="001C4F9A">
      <w:pPr>
        <w:pStyle w:val="BodyText"/>
        <w:numPr>
          <w:ilvl w:val="0"/>
          <w:numId w:val="23"/>
        </w:numPr>
        <w:spacing w:after="0"/>
        <w:jc w:val="both"/>
        <w:rPr>
          <w:rFonts w:ascii="Poppins" w:hAnsi="Poppins" w:cs="Poppins"/>
          <w:sz w:val="24"/>
        </w:rPr>
      </w:pPr>
      <w:r w:rsidRPr="000907AC">
        <w:rPr>
          <w:rFonts w:ascii="Poppins" w:hAnsi="Poppins" w:cs="Poppins"/>
          <w:sz w:val="24"/>
        </w:rPr>
        <w:t xml:space="preserve">The Workgroup is responsible for assisting the CUSC Modification Panel in the evaluation of CUSC Modification Proposal </w:t>
      </w:r>
      <w:r w:rsidR="002E6822" w:rsidRPr="002E6822">
        <w:rPr>
          <w:rFonts w:ascii="Poppins" w:hAnsi="Poppins" w:cs="Poppins"/>
          <w:b/>
          <w:bCs/>
          <w:sz w:val="24"/>
        </w:rPr>
        <w:t>CMP446</w:t>
      </w:r>
      <w:r w:rsidR="002E6822">
        <w:rPr>
          <w:rFonts w:ascii="Poppins" w:hAnsi="Poppins" w:cs="Poppins"/>
          <w:b/>
          <w:bCs/>
          <w:sz w:val="24"/>
        </w:rPr>
        <w:t xml:space="preserve"> </w:t>
      </w:r>
      <w:r w:rsidR="002E6822" w:rsidRPr="002E6822">
        <w:rPr>
          <w:rFonts w:ascii="Poppins" w:hAnsi="Poppins" w:cs="Poppins"/>
          <w:b/>
          <w:bCs/>
          <w:sz w:val="24"/>
        </w:rPr>
        <w:t>Increasing the lower threshold in England and Wales for Evaluation of Transmission Impact Assessment (TIA)</w:t>
      </w:r>
      <w:r w:rsidRPr="000907AC">
        <w:rPr>
          <w:rFonts w:ascii="Poppins" w:hAnsi="Poppins" w:cs="Poppins"/>
          <w:sz w:val="24"/>
        </w:rPr>
        <w:t xml:space="preserve"> raised by </w:t>
      </w:r>
      <w:r w:rsidR="002E6822">
        <w:rPr>
          <w:rFonts w:ascii="Poppins" w:hAnsi="Poppins" w:cs="Poppins"/>
          <w:b/>
          <w:sz w:val="24"/>
        </w:rPr>
        <w:t xml:space="preserve">NESO </w:t>
      </w:r>
      <w:r w:rsidRPr="000907AC">
        <w:rPr>
          <w:rFonts w:ascii="Poppins" w:hAnsi="Poppins" w:cs="Poppins"/>
          <w:sz w:val="24"/>
        </w:rPr>
        <w:t xml:space="preserve">at the Modifications Panel meeting on </w:t>
      </w:r>
      <w:r w:rsidR="002E6822" w:rsidRPr="002E6822">
        <w:rPr>
          <w:rFonts w:ascii="Poppins" w:hAnsi="Poppins" w:cs="Poppins"/>
          <w:b/>
          <w:bCs/>
          <w:sz w:val="24"/>
        </w:rPr>
        <w:t>17 January 2025</w:t>
      </w:r>
      <w:r w:rsidRPr="002E6822">
        <w:rPr>
          <w:rFonts w:ascii="Poppins" w:hAnsi="Poppins" w:cs="Poppins"/>
          <w:b/>
          <w:bCs/>
          <w:sz w:val="24"/>
        </w:rPr>
        <w:t>.</w:t>
      </w:r>
      <w:r w:rsidRPr="000907AC">
        <w:rPr>
          <w:rFonts w:ascii="Poppins" w:hAnsi="Poppins" w:cs="Poppins"/>
          <w:sz w:val="24"/>
        </w:rPr>
        <w:t xml:space="preserve"> The proposal must be evaluated to consider whether it better facilitates achievement of the Applicable CUSC Objectives. </w:t>
      </w:r>
    </w:p>
    <w:p w14:paraId="3418A7D7" w14:textId="77777777" w:rsidR="000907AC" w:rsidRPr="000907AC" w:rsidRDefault="000907AC" w:rsidP="002E6822">
      <w:pPr>
        <w:pStyle w:val="BodyText"/>
        <w:spacing w:after="0"/>
        <w:ind w:left="720"/>
        <w:jc w:val="both"/>
        <w:rPr>
          <w:rFonts w:ascii="Poppins" w:hAnsi="Poppins" w:cs="Poppins"/>
          <w:sz w:val="24"/>
        </w:rPr>
      </w:pPr>
    </w:p>
    <w:p w14:paraId="04F47B17" w14:textId="77777777" w:rsidR="003064DD" w:rsidRDefault="003064DD" w:rsidP="003064DD">
      <w:pPr>
        <w:pStyle w:val="paragraph"/>
        <w:shd w:val="clear" w:color="auto" w:fill="3F0731"/>
        <w:spacing w:before="0" w:beforeAutospacing="0" w:after="0" w:afterAutospacing="0"/>
        <w:ind w:right="225"/>
        <w:textAlignment w:val="baseline"/>
        <w:rPr>
          <w:rFonts w:ascii="Segoe UI" w:hAnsi="Segoe UI" w:cs="Segoe UI"/>
          <w:b/>
          <w:bCs/>
          <w:color w:val="FFFFFF"/>
          <w:sz w:val="18"/>
          <w:szCs w:val="18"/>
        </w:rPr>
      </w:pPr>
      <w:r>
        <w:rPr>
          <w:rStyle w:val="normaltextrun"/>
          <w:rFonts w:ascii="Poppins" w:hAnsi="Poppins" w:cs="Poppins"/>
          <w:b/>
          <w:bCs/>
          <w:color w:val="FFFFFF"/>
          <w:sz w:val="28"/>
          <w:szCs w:val="28"/>
          <w:shd w:val="clear" w:color="auto" w:fill="3F0731"/>
        </w:rPr>
        <w:t>Applicable CUSC (non-charging) Objectives</w:t>
      </w:r>
      <w:r>
        <w:rPr>
          <w:rStyle w:val="eop"/>
          <w:rFonts w:ascii="Poppins" w:hAnsi="Poppins" w:cs="Poppins"/>
          <w:b/>
          <w:bCs/>
          <w:color w:val="FFFFFF"/>
          <w:sz w:val="28"/>
          <w:szCs w:val="28"/>
        </w:rPr>
        <w:t> </w:t>
      </w:r>
    </w:p>
    <w:p w14:paraId="3222CB64" w14:textId="77777777" w:rsidR="003064DD" w:rsidRDefault="003064DD" w:rsidP="003064DD">
      <w:pPr>
        <w:pStyle w:val="paragraph"/>
        <w:numPr>
          <w:ilvl w:val="0"/>
          <w:numId w:val="32"/>
        </w:numPr>
        <w:spacing w:before="0" w:beforeAutospacing="0" w:after="0" w:afterAutospacing="0"/>
        <w:textAlignment w:val="baseline"/>
        <w:rPr>
          <w:rFonts w:ascii="Poppins" w:hAnsi="Poppins" w:cs="Poppins"/>
        </w:rPr>
      </w:pPr>
      <w:r>
        <w:rPr>
          <w:rStyle w:val="normaltextrun"/>
          <w:rFonts w:ascii="Poppins" w:hAnsi="Poppins" w:cs="Poppins"/>
        </w:rPr>
        <w:t>The efficient discharge by the Licensee of the obligations imposed on it by the Act and by this licence</w:t>
      </w:r>
      <w:proofErr w:type="gramStart"/>
      <w:r>
        <w:rPr>
          <w:rStyle w:val="normaltextrun"/>
          <w:rFonts w:ascii="Poppins" w:hAnsi="Poppins" w:cs="Poppins"/>
        </w:rPr>
        <w:t>*;</w:t>
      </w:r>
      <w:proofErr w:type="gramEnd"/>
      <w:r>
        <w:rPr>
          <w:rStyle w:val="normaltextrun"/>
          <w:rFonts w:ascii="Poppins" w:hAnsi="Poppins" w:cs="Poppins"/>
        </w:rPr>
        <w:t> </w:t>
      </w:r>
      <w:r>
        <w:rPr>
          <w:rStyle w:val="eop"/>
          <w:rFonts w:ascii="Poppins" w:hAnsi="Poppins" w:cs="Poppins"/>
        </w:rPr>
        <w:t> </w:t>
      </w:r>
    </w:p>
    <w:p w14:paraId="7BE19158" w14:textId="77777777" w:rsidR="003064DD" w:rsidRDefault="003064DD" w:rsidP="003064DD">
      <w:pPr>
        <w:pStyle w:val="paragraph"/>
        <w:numPr>
          <w:ilvl w:val="0"/>
          <w:numId w:val="32"/>
        </w:numPr>
        <w:spacing w:before="0" w:beforeAutospacing="0" w:after="0" w:afterAutospacing="0"/>
        <w:jc w:val="both"/>
        <w:textAlignment w:val="baseline"/>
        <w:rPr>
          <w:rFonts w:ascii="Poppins" w:hAnsi="Poppins" w:cs="Poppins"/>
        </w:rPr>
      </w:pPr>
      <w:r>
        <w:rPr>
          <w:rStyle w:val="normaltextrun"/>
          <w:rFonts w:ascii="Poppins" w:hAnsi="Poppins" w:cs="Poppins"/>
        </w:rPr>
        <w:t xml:space="preserve">Facilitating effective competition in the generation and supply of electricity, and (so far as consistent therewith) facilitating such competition in the sale, distribution and purchase of </w:t>
      </w:r>
      <w:proofErr w:type="gramStart"/>
      <w:r>
        <w:rPr>
          <w:rStyle w:val="normaltextrun"/>
          <w:rFonts w:ascii="Poppins" w:hAnsi="Poppins" w:cs="Poppins"/>
        </w:rPr>
        <w:t>electricity;</w:t>
      </w:r>
      <w:proofErr w:type="gramEnd"/>
      <w:r>
        <w:rPr>
          <w:rStyle w:val="eop"/>
          <w:rFonts w:ascii="Poppins" w:hAnsi="Poppins" w:cs="Poppins"/>
        </w:rPr>
        <w:t> </w:t>
      </w:r>
    </w:p>
    <w:p w14:paraId="1791CAE4" w14:textId="77777777" w:rsidR="003064DD" w:rsidRDefault="003064DD" w:rsidP="003064DD">
      <w:pPr>
        <w:pStyle w:val="paragraph"/>
        <w:numPr>
          <w:ilvl w:val="0"/>
          <w:numId w:val="32"/>
        </w:numPr>
        <w:spacing w:before="0" w:beforeAutospacing="0" w:after="0" w:afterAutospacing="0"/>
        <w:textAlignment w:val="baseline"/>
        <w:rPr>
          <w:rFonts w:ascii="Poppins" w:hAnsi="Poppins" w:cs="Poppins"/>
        </w:rPr>
      </w:pPr>
      <w:r>
        <w:rPr>
          <w:rStyle w:val="normaltextrun"/>
          <w:rFonts w:ascii="Poppins" w:hAnsi="Poppins" w:cs="Poppins"/>
        </w:rPr>
        <w:t>Compliance with the Electricity Regulation and any relevant legally binding decision of the European Commission and/or the Agency **; and</w:t>
      </w:r>
      <w:r>
        <w:rPr>
          <w:rStyle w:val="eop"/>
          <w:rFonts w:ascii="Poppins" w:hAnsi="Poppins" w:cs="Poppins"/>
        </w:rPr>
        <w:t> </w:t>
      </w:r>
    </w:p>
    <w:p w14:paraId="4F215249" w14:textId="77777777" w:rsidR="003064DD" w:rsidRDefault="003064DD" w:rsidP="003064DD">
      <w:pPr>
        <w:pStyle w:val="paragraph"/>
        <w:numPr>
          <w:ilvl w:val="0"/>
          <w:numId w:val="32"/>
        </w:numPr>
        <w:spacing w:before="0" w:beforeAutospacing="0" w:after="0" w:afterAutospacing="0"/>
        <w:jc w:val="both"/>
        <w:textAlignment w:val="baseline"/>
        <w:rPr>
          <w:rFonts w:ascii="Poppins" w:hAnsi="Poppins" w:cs="Poppins"/>
        </w:rPr>
      </w:pPr>
      <w:r>
        <w:rPr>
          <w:rStyle w:val="normaltextrun"/>
          <w:rFonts w:ascii="Poppins" w:hAnsi="Poppins" w:cs="Poppins"/>
        </w:rPr>
        <w:t>Promoting efficiency in the implementation and administration of the CUSC arrangements.</w:t>
      </w:r>
      <w:r>
        <w:rPr>
          <w:rStyle w:val="eop"/>
          <w:rFonts w:ascii="Poppins" w:hAnsi="Poppins" w:cs="Poppins"/>
        </w:rPr>
        <w:t> </w:t>
      </w:r>
    </w:p>
    <w:p w14:paraId="4C5EA2F8" w14:textId="77777777" w:rsidR="003064DD" w:rsidRDefault="003064DD" w:rsidP="003064DD">
      <w:pPr>
        <w:pStyle w:val="paragraph"/>
        <w:spacing w:before="0" w:beforeAutospacing="0" w:after="0" w:afterAutospacing="0"/>
        <w:textAlignment w:val="baseline"/>
        <w:rPr>
          <w:rFonts w:ascii="Segoe UI" w:hAnsi="Segoe UI" w:cs="Segoe UI"/>
          <w:sz w:val="18"/>
          <w:szCs w:val="18"/>
        </w:rPr>
      </w:pPr>
      <w:r>
        <w:rPr>
          <w:rStyle w:val="normaltextrun"/>
          <w:rFonts w:ascii="Poppins" w:hAnsi="Poppins" w:cs="Poppins"/>
        </w:rPr>
        <w:t>*</w:t>
      </w:r>
      <w:r>
        <w:rPr>
          <w:rStyle w:val="normaltextrun"/>
          <w:rFonts w:ascii="Arial" w:hAnsi="Arial" w:cs="Arial"/>
          <w:i/>
          <w:iCs/>
          <w:sz w:val="22"/>
          <w:szCs w:val="22"/>
        </w:rPr>
        <w:t xml:space="preserve"> </w:t>
      </w:r>
      <w:r>
        <w:rPr>
          <w:rStyle w:val="normaltextrun"/>
          <w:rFonts w:ascii="Poppins" w:hAnsi="Poppins" w:cs="Poppins"/>
          <w:color w:val="000000"/>
        </w:rPr>
        <w:t>See Electricity System Operator Licence</w:t>
      </w:r>
      <w:r>
        <w:rPr>
          <w:rStyle w:val="eop"/>
          <w:rFonts w:ascii="Poppins" w:hAnsi="Poppins" w:cs="Poppins"/>
          <w:color w:val="000000"/>
        </w:rPr>
        <w:t> </w:t>
      </w:r>
    </w:p>
    <w:p w14:paraId="659EE5E0" w14:textId="77777777" w:rsidR="003064DD" w:rsidRDefault="003064DD" w:rsidP="003064DD">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Poppins" w:hAnsi="Poppins" w:cs="Poppins"/>
          <w:color w:val="000000"/>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r>
        <w:rPr>
          <w:rStyle w:val="eop"/>
          <w:rFonts w:ascii="Poppins" w:hAnsi="Poppins" w:cs="Poppins"/>
          <w:color w:val="000000"/>
        </w:rPr>
        <w:t> </w:t>
      </w:r>
    </w:p>
    <w:p w14:paraId="30DCA8AE" w14:textId="77777777" w:rsidR="001C4F9A" w:rsidRPr="000907AC" w:rsidRDefault="001C4F9A" w:rsidP="001C4F9A">
      <w:pPr>
        <w:pStyle w:val="TOCMOD"/>
        <w:framePr w:hSpace="0" w:vSpace="0" w:wrap="auto" w:vAnchor="margin" w:yAlign="inline"/>
        <w:rPr>
          <w:rFonts w:ascii="Poppins" w:hAnsi="Poppins" w:cs="Poppins"/>
          <w:b w:val="0"/>
          <w:bCs w:val="0"/>
          <w:noProof w:val="0"/>
          <w:color w:val="auto"/>
        </w:rPr>
      </w:pPr>
    </w:p>
    <w:p w14:paraId="1C3FF43A" w14:textId="77777777" w:rsidR="001C4F9A" w:rsidRPr="000907AC" w:rsidRDefault="001C4F9A" w:rsidP="001C4F9A">
      <w:pPr>
        <w:pStyle w:val="Checklist"/>
        <w:rPr>
          <w:rFonts w:ascii="Poppins" w:hAnsi="Poppins" w:cs="Poppins"/>
        </w:rPr>
      </w:pPr>
      <w:r w:rsidRPr="000907AC">
        <w:rPr>
          <w:rFonts w:ascii="Poppins" w:hAnsi="Poppins" w:cs="Poppins"/>
        </w:rPr>
        <w:t>Scope of work</w:t>
      </w:r>
    </w:p>
    <w:p w14:paraId="5C8926D1" w14:textId="77777777" w:rsidR="001C4F9A" w:rsidRPr="000907AC" w:rsidRDefault="001C4F9A" w:rsidP="001C4F9A">
      <w:pPr>
        <w:pStyle w:val="BodyText"/>
        <w:numPr>
          <w:ilvl w:val="0"/>
          <w:numId w:val="23"/>
        </w:numPr>
        <w:spacing w:after="0"/>
        <w:jc w:val="both"/>
        <w:rPr>
          <w:rFonts w:ascii="Poppins" w:hAnsi="Poppins" w:cs="Poppins"/>
          <w:sz w:val="24"/>
        </w:rPr>
      </w:pPr>
      <w:r w:rsidRPr="000907AC">
        <w:rPr>
          <w:rFonts w:ascii="Poppins" w:hAnsi="Poppins" w:cs="Poppins"/>
          <w:sz w:val="24"/>
        </w:rPr>
        <w:t>The Workgroup must consider the issues raised by the Modification Proposal and consider if the proposal identified better facilitates achievement of the Applicable CUSC Objectives.</w:t>
      </w:r>
    </w:p>
    <w:p w14:paraId="14A30049" w14:textId="77777777" w:rsidR="001C4F9A" w:rsidRPr="000907AC" w:rsidRDefault="001C4F9A" w:rsidP="001C4F9A">
      <w:pPr>
        <w:pStyle w:val="BodyText"/>
        <w:spacing w:after="0"/>
        <w:ind w:left="720"/>
        <w:jc w:val="both"/>
        <w:rPr>
          <w:rFonts w:ascii="Poppins" w:hAnsi="Poppins" w:cs="Poppins"/>
          <w:sz w:val="24"/>
        </w:rPr>
      </w:pPr>
    </w:p>
    <w:p w14:paraId="4C4EBAA0" w14:textId="77777777" w:rsidR="001C4F9A" w:rsidRPr="000907AC" w:rsidRDefault="001C4F9A" w:rsidP="001C4F9A">
      <w:pPr>
        <w:pStyle w:val="BodyText"/>
        <w:numPr>
          <w:ilvl w:val="0"/>
          <w:numId w:val="23"/>
        </w:numPr>
        <w:spacing w:after="0"/>
        <w:jc w:val="both"/>
        <w:rPr>
          <w:rFonts w:ascii="Poppins" w:hAnsi="Poppins" w:cs="Poppins"/>
          <w:sz w:val="24"/>
        </w:rPr>
      </w:pPr>
      <w:r w:rsidRPr="000907AC">
        <w:rPr>
          <w:rFonts w:ascii="Poppins" w:hAnsi="Poppins" w:cs="Poppins"/>
          <w:sz w:val="24"/>
        </w:rPr>
        <w:lastRenderedPageBreak/>
        <w:t xml:space="preserve">In addition, the Workgroup shall consider and report on the following specific issues: </w:t>
      </w:r>
    </w:p>
    <w:p w14:paraId="035A5842" w14:textId="77777777" w:rsidR="001C4F9A" w:rsidRPr="000907AC" w:rsidRDefault="001C4F9A" w:rsidP="001C4F9A">
      <w:pPr>
        <w:pStyle w:val="BodyText"/>
        <w:spacing w:after="0"/>
        <w:ind w:left="720"/>
        <w:jc w:val="both"/>
        <w:rPr>
          <w:rFonts w:ascii="Poppins" w:hAnsi="Poppins" w:cs="Poppins"/>
          <w:sz w:val="24"/>
        </w:rPr>
      </w:pPr>
    </w:p>
    <w:tbl>
      <w:tblPr>
        <w:tblStyle w:val="TableGrid"/>
        <w:tblW w:w="0" w:type="auto"/>
        <w:tblInd w:w="-5" w:type="dxa"/>
        <w:tblLook w:val="04A0" w:firstRow="1" w:lastRow="0" w:firstColumn="1" w:lastColumn="0" w:noHBand="0" w:noVBand="1"/>
      </w:tblPr>
      <w:tblGrid>
        <w:gridCol w:w="5124"/>
        <w:gridCol w:w="4232"/>
      </w:tblGrid>
      <w:tr w:rsidR="001C4F9A" w:rsidRPr="000907AC" w14:paraId="49A1DC51" w14:textId="77777777" w:rsidTr="00403514">
        <w:tc>
          <w:tcPr>
            <w:tcW w:w="5124" w:type="dxa"/>
            <w:shd w:val="clear" w:color="auto" w:fill="3F0731"/>
          </w:tcPr>
          <w:p w14:paraId="3BF87E12" w14:textId="77777777" w:rsidR="001C4F9A" w:rsidRPr="000907AC" w:rsidRDefault="001C4F9A">
            <w:pPr>
              <w:pStyle w:val="BodyText"/>
              <w:jc w:val="both"/>
              <w:rPr>
                <w:rFonts w:ascii="Poppins" w:hAnsi="Poppins" w:cs="Poppins"/>
                <w:b/>
                <w:sz w:val="24"/>
              </w:rPr>
            </w:pPr>
            <w:r w:rsidRPr="000907AC">
              <w:rPr>
                <w:rFonts w:ascii="Poppins" w:hAnsi="Poppins" w:cs="Poppins"/>
                <w:b/>
                <w:color w:val="FFFFFF" w:themeColor="background1"/>
                <w:sz w:val="24"/>
              </w:rPr>
              <w:t>Workgroup Term of Reference</w:t>
            </w:r>
          </w:p>
        </w:tc>
        <w:tc>
          <w:tcPr>
            <w:tcW w:w="4232" w:type="dxa"/>
            <w:shd w:val="clear" w:color="auto" w:fill="3F0731"/>
          </w:tcPr>
          <w:p w14:paraId="470944D1" w14:textId="77777777" w:rsidR="001C4F9A" w:rsidRPr="000907AC" w:rsidRDefault="001C4F9A">
            <w:pPr>
              <w:pStyle w:val="BodyText"/>
              <w:jc w:val="both"/>
              <w:rPr>
                <w:rFonts w:ascii="Poppins" w:hAnsi="Poppins" w:cs="Poppins"/>
                <w:b/>
                <w:szCs w:val="22"/>
              </w:rPr>
            </w:pPr>
            <w:r w:rsidRPr="000907AC">
              <w:rPr>
                <w:rFonts w:ascii="Poppins" w:hAnsi="Poppins" w:cs="Poppins"/>
                <w:b/>
                <w:color w:val="FFFFFF" w:themeColor="background1"/>
                <w:sz w:val="24"/>
                <w:szCs w:val="22"/>
              </w:rPr>
              <w:t>Location in Workgroup Report (to be completed at Workgroup Report stage)</w:t>
            </w:r>
          </w:p>
        </w:tc>
      </w:tr>
      <w:tr w:rsidR="001C4F9A" w:rsidRPr="000907AC" w14:paraId="43FD511A" w14:textId="77777777" w:rsidTr="00403514">
        <w:tc>
          <w:tcPr>
            <w:tcW w:w="5124" w:type="dxa"/>
          </w:tcPr>
          <w:p w14:paraId="618DF9D2" w14:textId="77777777" w:rsidR="001C4F9A" w:rsidRPr="000907AC" w:rsidRDefault="001C4F9A" w:rsidP="001C4F9A">
            <w:pPr>
              <w:pStyle w:val="BodyText"/>
              <w:numPr>
                <w:ilvl w:val="0"/>
                <w:numId w:val="24"/>
              </w:numPr>
              <w:jc w:val="both"/>
              <w:rPr>
                <w:rFonts w:ascii="Poppins" w:hAnsi="Poppins" w:cs="Poppins"/>
                <w:sz w:val="24"/>
              </w:rPr>
            </w:pPr>
            <w:r w:rsidRPr="000907AC">
              <w:rPr>
                <w:rFonts w:ascii="Poppins" w:hAnsi="Poppins" w:cs="Poppins"/>
                <w:sz w:val="24"/>
              </w:rPr>
              <w:t>Consider EBR implications</w:t>
            </w:r>
          </w:p>
        </w:tc>
        <w:tc>
          <w:tcPr>
            <w:tcW w:w="4232" w:type="dxa"/>
          </w:tcPr>
          <w:p w14:paraId="1EB5EACC" w14:textId="77777777" w:rsidR="001C4F9A" w:rsidRPr="000907AC" w:rsidRDefault="001C4F9A">
            <w:pPr>
              <w:pStyle w:val="BodyText"/>
              <w:jc w:val="both"/>
              <w:rPr>
                <w:rFonts w:ascii="Poppins" w:hAnsi="Poppins" w:cs="Poppins"/>
                <w:b/>
                <w:szCs w:val="22"/>
              </w:rPr>
            </w:pPr>
          </w:p>
        </w:tc>
      </w:tr>
      <w:tr w:rsidR="001C4F9A" w:rsidRPr="000907AC" w14:paraId="358A9B48" w14:textId="77777777" w:rsidTr="00403514">
        <w:tc>
          <w:tcPr>
            <w:tcW w:w="5124" w:type="dxa"/>
          </w:tcPr>
          <w:p w14:paraId="681D26BD" w14:textId="77777777" w:rsidR="001C4F9A" w:rsidRPr="000907AC" w:rsidRDefault="001C4F9A" w:rsidP="001C4F9A">
            <w:pPr>
              <w:pStyle w:val="BodyText"/>
              <w:numPr>
                <w:ilvl w:val="0"/>
                <w:numId w:val="24"/>
              </w:numPr>
              <w:rPr>
                <w:rFonts w:ascii="Poppins" w:hAnsi="Poppins" w:cs="Poppins"/>
                <w:bCs/>
                <w:sz w:val="24"/>
              </w:rPr>
            </w:pPr>
            <w:r w:rsidRPr="000907AC">
              <w:rPr>
                <w:rFonts w:ascii="Poppins" w:hAnsi="Poppins" w:cs="Poppins"/>
                <w:sz w:val="24"/>
              </w:rPr>
              <w:t>Consider the scope of work identified and whether this is achievable within the timeframe outlined in the Ofgem Urgency decision letter.</w:t>
            </w:r>
          </w:p>
        </w:tc>
        <w:tc>
          <w:tcPr>
            <w:tcW w:w="4232" w:type="dxa"/>
          </w:tcPr>
          <w:p w14:paraId="416407C3" w14:textId="77777777" w:rsidR="001C4F9A" w:rsidRPr="000907AC" w:rsidRDefault="001C4F9A">
            <w:pPr>
              <w:pStyle w:val="BodyText"/>
              <w:jc w:val="both"/>
              <w:rPr>
                <w:rFonts w:ascii="Poppins" w:hAnsi="Poppins" w:cs="Poppins"/>
                <w:b/>
                <w:szCs w:val="22"/>
              </w:rPr>
            </w:pPr>
          </w:p>
        </w:tc>
      </w:tr>
      <w:tr w:rsidR="008B303A" w:rsidRPr="000907AC" w14:paraId="21E4A299" w14:textId="77777777" w:rsidTr="00403514">
        <w:tc>
          <w:tcPr>
            <w:tcW w:w="5124" w:type="dxa"/>
          </w:tcPr>
          <w:p w14:paraId="1F87B751" w14:textId="2BBA8860" w:rsidR="008B303A" w:rsidRPr="00812C0D" w:rsidRDefault="00812C0D" w:rsidP="00812C0D">
            <w:pPr>
              <w:pStyle w:val="BodyText"/>
              <w:numPr>
                <w:ilvl w:val="0"/>
                <w:numId w:val="24"/>
              </w:numPr>
              <w:rPr>
                <w:rFonts w:ascii="Poppins" w:hAnsi="Poppins" w:cs="Poppins"/>
                <w:sz w:val="24"/>
              </w:rPr>
            </w:pPr>
            <w:r w:rsidRPr="00812C0D">
              <w:rPr>
                <w:rFonts w:ascii="Poppins" w:hAnsi="Poppins" w:cs="Poppins"/>
                <w:sz w:val="24"/>
              </w:rPr>
              <w:t>Consider the legal and practical implementation of this modification alongside CMP434/CMP435 and any other relevant in flight CUSC modifications. </w:t>
            </w:r>
          </w:p>
        </w:tc>
        <w:tc>
          <w:tcPr>
            <w:tcW w:w="4232" w:type="dxa"/>
          </w:tcPr>
          <w:p w14:paraId="349060F7" w14:textId="77777777" w:rsidR="008B303A" w:rsidRPr="000907AC" w:rsidRDefault="008B303A">
            <w:pPr>
              <w:pStyle w:val="BodyText"/>
              <w:jc w:val="both"/>
              <w:rPr>
                <w:rFonts w:ascii="Poppins" w:hAnsi="Poppins" w:cs="Poppins"/>
                <w:b/>
                <w:szCs w:val="22"/>
              </w:rPr>
            </w:pPr>
          </w:p>
        </w:tc>
      </w:tr>
      <w:tr w:rsidR="00812C0D" w:rsidRPr="000907AC" w14:paraId="68F39C45" w14:textId="77777777" w:rsidTr="00403514">
        <w:tc>
          <w:tcPr>
            <w:tcW w:w="5124" w:type="dxa"/>
          </w:tcPr>
          <w:p w14:paraId="1F370737" w14:textId="43F46289" w:rsidR="00812C0D" w:rsidRPr="006D2853" w:rsidRDefault="006D2853" w:rsidP="00812C0D">
            <w:pPr>
              <w:pStyle w:val="BodyText"/>
              <w:numPr>
                <w:ilvl w:val="0"/>
                <w:numId w:val="24"/>
              </w:numPr>
              <w:rPr>
                <w:rFonts w:ascii="Poppins" w:hAnsi="Poppins" w:cs="Poppins"/>
                <w:sz w:val="24"/>
              </w:rPr>
            </w:pPr>
            <w:r w:rsidRPr="006D2853">
              <w:rPr>
                <w:rFonts w:ascii="Poppins" w:hAnsi="Poppins" w:cs="Poppins"/>
                <w:sz w:val="24"/>
              </w:rPr>
              <w:t>Consider any cross-code impacts</w:t>
            </w:r>
            <w:r>
              <w:rPr>
                <w:rFonts w:ascii="Poppins" w:hAnsi="Poppins" w:cs="Poppins"/>
                <w:sz w:val="24"/>
              </w:rPr>
              <w:t>.</w:t>
            </w:r>
          </w:p>
        </w:tc>
        <w:tc>
          <w:tcPr>
            <w:tcW w:w="4232" w:type="dxa"/>
          </w:tcPr>
          <w:p w14:paraId="1D1C7CFC" w14:textId="77777777" w:rsidR="00812C0D" w:rsidRPr="000907AC" w:rsidRDefault="00812C0D">
            <w:pPr>
              <w:pStyle w:val="BodyText"/>
              <w:jc w:val="both"/>
              <w:rPr>
                <w:rFonts w:ascii="Poppins" w:hAnsi="Poppins" w:cs="Poppins"/>
                <w:b/>
                <w:szCs w:val="22"/>
              </w:rPr>
            </w:pPr>
          </w:p>
        </w:tc>
      </w:tr>
      <w:tr w:rsidR="006D2853" w:rsidRPr="000907AC" w14:paraId="477E3B81" w14:textId="77777777" w:rsidTr="00403514">
        <w:tc>
          <w:tcPr>
            <w:tcW w:w="5124" w:type="dxa"/>
          </w:tcPr>
          <w:p w14:paraId="2A259B57" w14:textId="2DCCACB0" w:rsidR="006D2853" w:rsidRPr="006D2853" w:rsidRDefault="006D2853" w:rsidP="006D2853">
            <w:pPr>
              <w:pStyle w:val="BodyText"/>
              <w:numPr>
                <w:ilvl w:val="0"/>
                <w:numId w:val="24"/>
              </w:numPr>
              <w:rPr>
                <w:rFonts w:ascii="Poppins" w:hAnsi="Poppins" w:cs="Poppins"/>
                <w:sz w:val="24"/>
              </w:rPr>
            </w:pPr>
            <w:r w:rsidRPr="006D2853">
              <w:rPr>
                <w:rFonts w:ascii="Poppins" w:hAnsi="Poppins" w:cs="Poppins"/>
                <w:sz w:val="24"/>
              </w:rPr>
              <w:t>Consider data and any other requirements from DNOs to implement </w:t>
            </w:r>
          </w:p>
        </w:tc>
        <w:tc>
          <w:tcPr>
            <w:tcW w:w="4232" w:type="dxa"/>
          </w:tcPr>
          <w:p w14:paraId="7FC519DD" w14:textId="77777777" w:rsidR="006D2853" w:rsidRPr="000907AC" w:rsidRDefault="006D2853">
            <w:pPr>
              <w:pStyle w:val="BodyText"/>
              <w:jc w:val="both"/>
              <w:rPr>
                <w:rFonts w:ascii="Poppins" w:hAnsi="Poppins" w:cs="Poppins"/>
                <w:b/>
                <w:szCs w:val="22"/>
              </w:rPr>
            </w:pPr>
          </w:p>
        </w:tc>
      </w:tr>
      <w:tr w:rsidR="001C4F9A" w:rsidRPr="000907AC" w14:paraId="61F23982" w14:textId="77777777" w:rsidTr="00403514">
        <w:tc>
          <w:tcPr>
            <w:tcW w:w="5124" w:type="dxa"/>
          </w:tcPr>
          <w:p w14:paraId="2173F206" w14:textId="165FECCD" w:rsidR="001C4F9A" w:rsidRPr="000907AC" w:rsidRDefault="00FD5278" w:rsidP="00FD5278">
            <w:pPr>
              <w:pStyle w:val="BodyText"/>
              <w:numPr>
                <w:ilvl w:val="0"/>
                <w:numId w:val="24"/>
              </w:numPr>
              <w:rPr>
                <w:rFonts w:ascii="Poppins" w:hAnsi="Poppins" w:cs="Poppins"/>
                <w:sz w:val="24"/>
              </w:rPr>
            </w:pPr>
            <w:r w:rsidRPr="00FD5278">
              <w:rPr>
                <w:rFonts w:ascii="Poppins" w:hAnsi="Poppins" w:cs="Poppins"/>
                <w:sz w:val="24"/>
              </w:rPr>
              <w:t>Consider how CMP446 would be compatible with the requirement for the NESO acting in a non-discriminatory manner</w:t>
            </w:r>
          </w:p>
        </w:tc>
        <w:tc>
          <w:tcPr>
            <w:tcW w:w="4232" w:type="dxa"/>
          </w:tcPr>
          <w:p w14:paraId="781893FD" w14:textId="77777777" w:rsidR="001C4F9A" w:rsidRPr="000907AC" w:rsidRDefault="001C4F9A">
            <w:pPr>
              <w:pStyle w:val="BodyText"/>
              <w:jc w:val="both"/>
              <w:rPr>
                <w:rFonts w:ascii="Poppins" w:hAnsi="Poppins" w:cs="Poppins"/>
                <w:b/>
                <w:szCs w:val="22"/>
              </w:rPr>
            </w:pPr>
          </w:p>
        </w:tc>
      </w:tr>
      <w:tr w:rsidR="001C4F9A" w:rsidRPr="000907AC" w14:paraId="3747C94C" w14:textId="77777777" w:rsidTr="00403514">
        <w:tc>
          <w:tcPr>
            <w:tcW w:w="5124" w:type="dxa"/>
          </w:tcPr>
          <w:p w14:paraId="24951FF2" w14:textId="293555BD" w:rsidR="001C4F9A" w:rsidRPr="000907AC" w:rsidRDefault="008025A3" w:rsidP="008025A3">
            <w:pPr>
              <w:pStyle w:val="BodyText"/>
              <w:numPr>
                <w:ilvl w:val="0"/>
                <w:numId w:val="24"/>
              </w:numPr>
              <w:rPr>
                <w:rFonts w:ascii="Poppins" w:hAnsi="Poppins" w:cs="Poppins"/>
                <w:sz w:val="24"/>
              </w:rPr>
            </w:pPr>
            <w:r w:rsidRPr="008025A3">
              <w:rPr>
                <w:rFonts w:ascii="Poppins" w:hAnsi="Poppins" w:cs="Poppins"/>
                <w:sz w:val="24"/>
              </w:rPr>
              <w:t>Consider how CMP446 would be compatible with the requirement for harmonised rules for generator connections in GB.</w:t>
            </w:r>
          </w:p>
        </w:tc>
        <w:tc>
          <w:tcPr>
            <w:tcW w:w="4232" w:type="dxa"/>
          </w:tcPr>
          <w:p w14:paraId="07F75A17" w14:textId="77777777" w:rsidR="001C4F9A" w:rsidRPr="000907AC" w:rsidRDefault="001C4F9A">
            <w:pPr>
              <w:pStyle w:val="BodyText"/>
              <w:jc w:val="both"/>
              <w:rPr>
                <w:rFonts w:ascii="Poppins" w:hAnsi="Poppins" w:cs="Poppins"/>
                <w:b/>
                <w:szCs w:val="22"/>
              </w:rPr>
            </w:pPr>
          </w:p>
        </w:tc>
      </w:tr>
      <w:tr w:rsidR="001C4F9A" w:rsidRPr="000907AC" w14:paraId="6BED136C" w14:textId="77777777" w:rsidTr="00403514">
        <w:tc>
          <w:tcPr>
            <w:tcW w:w="5124" w:type="dxa"/>
          </w:tcPr>
          <w:p w14:paraId="58023124" w14:textId="6502620B" w:rsidR="001C4F9A" w:rsidRPr="000907AC" w:rsidRDefault="00397103" w:rsidP="00397103">
            <w:pPr>
              <w:pStyle w:val="BodyText"/>
              <w:numPr>
                <w:ilvl w:val="0"/>
                <w:numId w:val="24"/>
              </w:numPr>
              <w:rPr>
                <w:rFonts w:ascii="Poppins" w:hAnsi="Poppins" w:cs="Poppins"/>
                <w:sz w:val="24"/>
              </w:rPr>
            </w:pPr>
            <w:r w:rsidRPr="00397103">
              <w:rPr>
                <w:rFonts w:ascii="Poppins" w:hAnsi="Poppins" w:cs="Poppins"/>
                <w:sz w:val="24"/>
              </w:rPr>
              <w:t>Consider what the MW capacity relates to: for example, export capacity or installed capacity or developer capacity?</w:t>
            </w:r>
          </w:p>
        </w:tc>
        <w:tc>
          <w:tcPr>
            <w:tcW w:w="4232" w:type="dxa"/>
          </w:tcPr>
          <w:p w14:paraId="67240552" w14:textId="77777777" w:rsidR="001C4F9A" w:rsidRPr="000907AC" w:rsidRDefault="001C4F9A">
            <w:pPr>
              <w:pStyle w:val="BodyText"/>
              <w:jc w:val="both"/>
              <w:rPr>
                <w:rFonts w:ascii="Poppins" w:hAnsi="Poppins" w:cs="Poppins"/>
                <w:b/>
                <w:szCs w:val="22"/>
              </w:rPr>
            </w:pPr>
          </w:p>
        </w:tc>
      </w:tr>
      <w:tr w:rsidR="003407F5" w:rsidRPr="000907AC" w14:paraId="216C4CF3" w14:textId="77777777" w:rsidTr="00403514">
        <w:tc>
          <w:tcPr>
            <w:tcW w:w="5124" w:type="dxa"/>
          </w:tcPr>
          <w:p w14:paraId="55639C67" w14:textId="544D96E0" w:rsidR="003407F5" w:rsidRPr="00397103" w:rsidRDefault="00A763BB" w:rsidP="00397103">
            <w:pPr>
              <w:pStyle w:val="BodyText"/>
              <w:numPr>
                <w:ilvl w:val="0"/>
                <w:numId w:val="24"/>
              </w:numPr>
              <w:rPr>
                <w:rFonts w:ascii="Poppins" w:hAnsi="Poppins" w:cs="Poppins"/>
                <w:sz w:val="24"/>
              </w:rPr>
            </w:pPr>
            <w:r w:rsidRPr="00A763BB">
              <w:rPr>
                <w:rFonts w:ascii="Poppins" w:hAnsi="Poppins" w:cs="Poppins"/>
                <w:sz w:val="24"/>
              </w:rPr>
              <w:t xml:space="preserve">Consider if the change applies only to new projects (up to 5MW) </w:t>
            </w:r>
            <w:r w:rsidRPr="00A763BB">
              <w:rPr>
                <w:rFonts w:ascii="Poppins" w:hAnsi="Poppins" w:cs="Poppins"/>
                <w:sz w:val="24"/>
              </w:rPr>
              <w:lastRenderedPageBreak/>
              <w:t>or also to existing D connected projects that increase their capacity by up to 5MW (</w:t>
            </w:r>
            <w:del w:id="3" w:author="Guidance Note" w:date="2025-01-24T13:42:00Z" w16du:dateUtc="2025-01-24T13:42:00Z">
              <w:r w:rsidRPr="00A763BB" w:rsidDel="00F65411">
                <w:rPr>
                  <w:rFonts w:ascii="Poppins" w:hAnsi="Poppins" w:cs="Poppins"/>
                  <w:sz w:val="24"/>
                </w:rPr>
                <w:delText>say from</w:delText>
              </w:r>
            </w:del>
            <w:ins w:id="4" w:author="Guidance Note" w:date="2025-01-24T13:42:00Z" w16du:dateUtc="2025-01-24T13:42:00Z">
              <w:r w:rsidR="002B402A">
                <w:rPr>
                  <w:rFonts w:ascii="Poppins" w:hAnsi="Poppins" w:cs="Poppins"/>
                  <w:sz w:val="24"/>
                </w:rPr>
                <w:t>e.g.,</w:t>
              </w:r>
            </w:ins>
            <w:r w:rsidRPr="00A763BB">
              <w:rPr>
                <w:rFonts w:ascii="Poppins" w:hAnsi="Poppins" w:cs="Poppins"/>
                <w:sz w:val="24"/>
              </w:rPr>
              <w:t xml:space="preserve"> 4MW to 6MW)</w:t>
            </w:r>
            <w:r w:rsidR="00130D22">
              <w:rPr>
                <w:rFonts w:ascii="Poppins" w:hAnsi="Poppins" w:cs="Poppins"/>
                <w:sz w:val="24"/>
              </w:rPr>
              <w:t>, and projects that reduce to be below the threshold.</w:t>
            </w:r>
          </w:p>
        </w:tc>
        <w:tc>
          <w:tcPr>
            <w:tcW w:w="4232" w:type="dxa"/>
          </w:tcPr>
          <w:p w14:paraId="6973FAE0" w14:textId="77777777" w:rsidR="003407F5" w:rsidRPr="000907AC" w:rsidRDefault="003407F5">
            <w:pPr>
              <w:pStyle w:val="BodyText"/>
              <w:jc w:val="both"/>
              <w:rPr>
                <w:rFonts w:ascii="Poppins" w:hAnsi="Poppins" w:cs="Poppins"/>
                <w:b/>
                <w:szCs w:val="22"/>
              </w:rPr>
            </w:pPr>
          </w:p>
        </w:tc>
      </w:tr>
      <w:tr w:rsidR="003D4CB8" w:rsidRPr="000907AC" w14:paraId="286EB560" w14:textId="77777777" w:rsidTr="00403514">
        <w:tc>
          <w:tcPr>
            <w:tcW w:w="5124" w:type="dxa"/>
          </w:tcPr>
          <w:p w14:paraId="1EDE77F8" w14:textId="4FD118BD" w:rsidR="003D4CB8" w:rsidRPr="00A763BB" w:rsidRDefault="000A2700" w:rsidP="00397103">
            <w:pPr>
              <w:pStyle w:val="BodyText"/>
              <w:numPr>
                <w:ilvl w:val="0"/>
                <w:numId w:val="24"/>
              </w:numPr>
              <w:rPr>
                <w:rFonts w:ascii="Poppins" w:hAnsi="Poppins" w:cs="Poppins"/>
                <w:sz w:val="24"/>
              </w:rPr>
            </w:pPr>
            <w:del w:id="5" w:author="Guidance Note" w:date="2025-01-24T13:39:00Z" w16du:dateUtc="2025-01-24T13:39:00Z">
              <w:r w:rsidRPr="000A2700" w:rsidDel="0018442C">
                <w:rPr>
                  <w:rFonts w:ascii="Poppins" w:hAnsi="Poppins" w:cs="Poppins"/>
                  <w:sz w:val="24"/>
                </w:rPr>
                <w:delText>Consider any legal text interactions with CMP434 and CMP435.</w:delText>
              </w:r>
            </w:del>
          </w:p>
        </w:tc>
        <w:tc>
          <w:tcPr>
            <w:tcW w:w="4232" w:type="dxa"/>
          </w:tcPr>
          <w:p w14:paraId="57AD24EE" w14:textId="77777777" w:rsidR="003D4CB8" w:rsidRPr="000907AC" w:rsidRDefault="003D4CB8">
            <w:pPr>
              <w:pStyle w:val="BodyText"/>
              <w:jc w:val="both"/>
              <w:rPr>
                <w:rFonts w:ascii="Poppins" w:hAnsi="Poppins" w:cs="Poppins"/>
                <w:b/>
                <w:szCs w:val="22"/>
              </w:rPr>
            </w:pPr>
          </w:p>
        </w:tc>
      </w:tr>
      <w:tr w:rsidR="000A2700" w:rsidRPr="000907AC" w14:paraId="53473969" w14:textId="77777777" w:rsidTr="00403514">
        <w:tc>
          <w:tcPr>
            <w:tcW w:w="5124" w:type="dxa"/>
          </w:tcPr>
          <w:p w14:paraId="2C2BAFB2" w14:textId="2820BDB6" w:rsidR="000A2700" w:rsidRPr="000A2700" w:rsidRDefault="00407183" w:rsidP="00397103">
            <w:pPr>
              <w:pStyle w:val="BodyText"/>
              <w:numPr>
                <w:ilvl w:val="0"/>
                <w:numId w:val="24"/>
              </w:numPr>
              <w:rPr>
                <w:rFonts w:ascii="Poppins" w:hAnsi="Poppins" w:cs="Poppins"/>
                <w:sz w:val="24"/>
              </w:rPr>
            </w:pPr>
            <w:r w:rsidRPr="00407183">
              <w:rPr>
                <w:rFonts w:ascii="Poppins" w:hAnsi="Poppins" w:cs="Poppins"/>
                <w:sz w:val="24"/>
              </w:rPr>
              <w:t>Consider potential for inter</w:t>
            </w:r>
            <w:r w:rsidR="0052796C">
              <w:rPr>
                <w:rFonts w:ascii="Poppins" w:hAnsi="Poppins" w:cs="Poppins"/>
                <w:sz w:val="24"/>
              </w:rPr>
              <w:t>linked</w:t>
            </w:r>
            <w:r w:rsidR="00490902">
              <w:rPr>
                <w:rFonts w:ascii="Poppins" w:hAnsi="Poppins" w:cs="Poppins"/>
                <w:sz w:val="24"/>
              </w:rPr>
              <w:t xml:space="preserve"> </w:t>
            </w:r>
            <w:r w:rsidRPr="00407183">
              <w:rPr>
                <w:rFonts w:ascii="Poppins" w:hAnsi="Poppins" w:cs="Poppins"/>
                <w:sz w:val="24"/>
              </w:rPr>
              <w:t>impact of cumulative/aggregated &lt;5MW projects which would otherwise breach the proposed 5MW threshold.</w:t>
            </w:r>
          </w:p>
        </w:tc>
        <w:tc>
          <w:tcPr>
            <w:tcW w:w="4232" w:type="dxa"/>
          </w:tcPr>
          <w:p w14:paraId="23000832" w14:textId="77777777" w:rsidR="000A2700" w:rsidRPr="000907AC" w:rsidRDefault="000A2700">
            <w:pPr>
              <w:pStyle w:val="BodyText"/>
              <w:jc w:val="both"/>
              <w:rPr>
                <w:rFonts w:ascii="Poppins" w:hAnsi="Poppins" w:cs="Poppins"/>
                <w:b/>
                <w:szCs w:val="22"/>
              </w:rPr>
            </w:pPr>
          </w:p>
        </w:tc>
      </w:tr>
      <w:tr w:rsidR="00407183" w:rsidRPr="000907AC" w14:paraId="15F96977" w14:textId="77777777" w:rsidTr="00403514">
        <w:tc>
          <w:tcPr>
            <w:tcW w:w="5124" w:type="dxa"/>
          </w:tcPr>
          <w:p w14:paraId="38C878B8" w14:textId="19FA8617" w:rsidR="00407183" w:rsidRPr="00407183" w:rsidRDefault="00180321" w:rsidP="00397103">
            <w:pPr>
              <w:pStyle w:val="BodyText"/>
              <w:numPr>
                <w:ilvl w:val="0"/>
                <w:numId w:val="24"/>
              </w:numPr>
              <w:rPr>
                <w:rFonts w:ascii="Poppins" w:hAnsi="Poppins" w:cs="Poppins"/>
                <w:sz w:val="24"/>
              </w:rPr>
            </w:pPr>
            <w:r w:rsidRPr="00180321">
              <w:rPr>
                <w:rFonts w:ascii="Poppins" w:hAnsi="Poppins" w:cs="Poppins"/>
                <w:sz w:val="24"/>
              </w:rPr>
              <w:t>Consider the interaction with Technical (Planning) limits and Distribution (DNO) managed Active Network Management (ANM) schemes</w:t>
            </w:r>
          </w:p>
        </w:tc>
        <w:tc>
          <w:tcPr>
            <w:tcW w:w="4232" w:type="dxa"/>
          </w:tcPr>
          <w:p w14:paraId="7DCBFEC3" w14:textId="77777777" w:rsidR="00407183" w:rsidRPr="000907AC" w:rsidRDefault="00407183">
            <w:pPr>
              <w:pStyle w:val="BodyText"/>
              <w:jc w:val="both"/>
              <w:rPr>
                <w:rFonts w:ascii="Poppins" w:hAnsi="Poppins" w:cs="Poppins"/>
                <w:b/>
                <w:szCs w:val="22"/>
              </w:rPr>
            </w:pPr>
          </w:p>
        </w:tc>
      </w:tr>
    </w:tbl>
    <w:p w14:paraId="010F0103" w14:textId="77777777" w:rsidR="001C4F9A" w:rsidRPr="000907AC" w:rsidRDefault="001C4F9A" w:rsidP="001C4F9A">
      <w:pPr>
        <w:pStyle w:val="BodyText"/>
        <w:rPr>
          <w:rFonts w:ascii="Poppins" w:hAnsi="Poppins" w:cs="Poppins"/>
          <w:sz w:val="24"/>
        </w:rPr>
      </w:pPr>
    </w:p>
    <w:p w14:paraId="37A67D6C" w14:textId="77777777" w:rsidR="001C4F9A" w:rsidRPr="000907AC" w:rsidRDefault="001C4F9A" w:rsidP="001C4F9A">
      <w:pPr>
        <w:pStyle w:val="ListParagraph"/>
        <w:numPr>
          <w:ilvl w:val="0"/>
          <w:numId w:val="23"/>
        </w:numPr>
        <w:jc w:val="both"/>
        <w:rPr>
          <w:rFonts w:ascii="Poppins" w:hAnsi="Poppins" w:cs="Poppins"/>
          <w:sz w:val="24"/>
        </w:rPr>
      </w:pPr>
      <w:r w:rsidRPr="000907AC">
        <w:rPr>
          <w:rFonts w:ascii="Poppins" w:hAnsi="Poppins" w:cs="Poppins"/>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0907AC" w:rsidRDefault="001C4F9A" w:rsidP="001C4F9A">
      <w:pPr>
        <w:ind w:left="720" w:hanging="720"/>
        <w:jc w:val="both"/>
        <w:rPr>
          <w:rFonts w:ascii="Poppins" w:hAnsi="Poppins" w:cs="Poppins"/>
          <w:color w:val="000000"/>
          <w:sz w:val="24"/>
        </w:rPr>
      </w:pPr>
    </w:p>
    <w:p w14:paraId="22550727" w14:textId="77777777" w:rsidR="001C4F9A" w:rsidRPr="000907AC" w:rsidRDefault="001C4F9A" w:rsidP="001C4F9A">
      <w:pPr>
        <w:pStyle w:val="ListParagraph"/>
        <w:numPr>
          <w:ilvl w:val="0"/>
          <w:numId w:val="23"/>
        </w:numPr>
        <w:jc w:val="both"/>
        <w:rPr>
          <w:rFonts w:ascii="Poppins" w:hAnsi="Poppins" w:cs="Poppins"/>
          <w:color w:val="FF0000"/>
          <w:sz w:val="24"/>
        </w:rPr>
      </w:pPr>
      <w:r w:rsidRPr="000907AC">
        <w:rPr>
          <w:rFonts w:ascii="Poppins" w:hAnsi="Poppins" w:cs="Poppins"/>
          <w:sz w:val="24"/>
        </w:rPr>
        <w:t xml:space="preserve">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w:t>
      </w:r>
      <w:r w:rsidRPr="000907AC">
        <w:rPr>
          <w:rFonts w:ascii="Poppins" w:hAnsi="Poppins" w:cs="Poppins"/>
          <w:sz w:val="24"/>
        </w:rPr>
        <w:lastRenderedPageBreak/>
        <w:t>or any WACM arising from the Workgroup’s discussions should be clearly described in the final Workgroup Report to the CUSC Modifications Panel.</w:t>
      </w:r>
    </w:p>
    <w:p w14:paraId="33003105" w14:textId="77777777" w:rsidR="001C4F9A" w:rsidRPr="000907AC" w:rsidRDefault="001C4F9A" w:rsidP="001C4F9A">
      <w:pPr>
        <w:pStyle w:val="BodyText"/>
        <w:jc w:val="both"/>
        <w:rPr>
          <w:rFonts w:ascii="Poppins" w:hAnsi="Poppins" w:cs="Poppins"/>
          <w:b/>
          <w:color w:val="000000"/>
          <w:sz w:val="24"/>
        </w:rPr>
      </w:pPr>
      <w:r w:rsidRPr="000907AC">
        <w:rPr>
          <w:rFonts w:ascii="Poppins" w:hAnsi="Poppins" w:cs="Poppins"/>
          <w:color w:val="000000"/>
          <w:sz w:val="24"/>
        </w:rPr>
        <w:t xml:space="preserve">    </w:t>
      </w:r>
    </w:p>
    <w:p w14:paraId="29655C18"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Workgroup members should be mindful of efficiency and propose the fewest number of WACMs possible.</w:t>
      </w:r>
    </w:p>
    <w:p w14:paraId="308ABEF0" w14:textId="77777777" w:rsidR="001C4F9A" w:rsidRPr="000907AC" w:rsidRDefault="001C4F9A" w:rsidP="001C4F9A">
      <w:pPr>
        <w:jc w:val="both"/>
        <w:rPr>
          <w:rFonts w:ascii="Poppins" w:hAnsi="Poppins" w:cs="Poppins"/>
          <w:sz w:val="24"/>
        </w:rPr>
      </w:pPr>
    </w:p>
    <w:p w14:paraId="55CBDC32"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0907AC" w:rsidRDefault="001C4F9A" w:rsidP="001C4F9A">
      <w:pPr>
        <w:pStyle w:val="BodyText"/>
        <w:rPr>
          <w:rFonts w:ascii="Poppins" w:hAnsi="Poppins" w:cs="Poppins"/>
          <w:b/>
          <w:sz w:val="24"/>
        </w:rPr>
      </w:pPr>
    </w:p>
    <w:p w14:paraId="7AD416D3"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0907AC" w:rsidRDefault="001C4F9A" w:rsidP="001C4F9A">
      <w:pPr>
        <w:jc w:val="both"/>
        <w:rPr>
          <w:rFonts w:ascii="Poppins" w:hAnsi="Poppins" w:cs="Poppins"/>
          <w:sz w:val="24"/>
        </w:rPr>
      </w:pPr>
    </w:p>
    <w:p w14:paraId="04FCB8F4"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Following the Consultation period,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0907AC" w:rsidRDefault="001C4F9A" w:rsidP="001C4F9A">
      <w:pPr>
        <w:jc w:val="both"/>
        <w:rPr>
          <w:rFonts w:ascii="Poppins" w:hAnsi="Poppins" w:cs="Poppins"/>
          <w:sz w:val="24"/>
        </w:rPr>
      </w:pPr>
    </w:p>
    <w:p w14:paraId="10F1EC7B" w14:textId="77777777" w:rsidR="001C4F9A" w:rsidRPr="000907AC" w:rsidRDefault="001C4F9A" w:rsidP="001C4F9A">
      <w:pPr>
        <w:ind w:left="720"/>
        <w:jc w:val="both"/>
        <w:rPr>
          <w:rFonts w:ascii="Poppins" w:hAnsi="Poppins" w:cs="Poppins"/>
          <w:sz w:val="24"/>
        </w:rPr>
      </w:pPr>
      <w:r w:rsidRPr="000907AC">
        <w:rPr>
          <w:rFonts w:ascii="Poppins" w:hAnsi="Poppins" w:cs="Poppins"/>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chairperson has exercised their right under the CUSC to progress a WG Consultation Alternative Request or a WACM against the majority views of Workgroup members.  It should also be explicitly stated where, under these circumstances, the Workgroup chairperson is employed by the same organisation who submitted the WG Consultation Alternative Request.</w:t>
      </w:r>
    </w:p>
    <w:p w14:paraId="2C09E5F4" w14:textId="77777777" w:rsidR="001C4F9A" w:rsidRPr="000907AC" w:rsidRDefault="001C4F9A" w:rsidP="001C4F9A">
      <w:pPr>
        <w:jc w:val="both"/>
        <w:rPr>
          <w:rFonts w:ascii="Poppins" w:hAnsi="Poppins" w:cs="Poppins"/>
          <w:sz w:val="24"/>
        </w:rPr>
      </w:pPr>
    </w:p>
    <w:p w14:paraId="12C78F1F"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 xml:space="preserve">The Workgroup is to submit its final Workgroup Report to the Modifications Panel Secretary on </w:t>
      </w:r>
      <w:r w:rsidRPr="000907AC">
        <w:rPr>
          <w:rFonts w:ascii="Poppins" w:hAnsi="Poppins" w:cs="Poppins"/>
          <w:b/>
          <w:sz w:val="24"/>
        </w:rPr>
        <w:t>XX Month XXXX</w:t>
      </w:r>
      <w:r w:rsidRPr="000907AC">
        <w:rPr>
          <w:rFonts w:ascii="Poppins" w:hAnsi="Poppins" w:cs="Poppins"/>
          <w:sz w:val="24"/>
        </w:rPr>
        <w:t xml:space="preserve"> for circulation to Panel Members. The final Workgroup Report conclusions will be presented to the CUSC Modifications Panel meeting on </w:t>
      </w:r>
      <w:r w:rsidRPr="000907AC">
        <w:rPr>
          <w:rFonts w:ascii="Poppins" w:hAnsi="Poppins" w:cs="Poppins"/>
          <w:b/>
          <w:sz w:val="24"/>
        </w:rPr>
        <w:t>XX Month XXXX.</w:t>
      </w:r>
    </w:p>
    <w:p w14:paraId="0CCA44B3" w14:textId="77777777" w:rsidR="001C4F9A" w:rsidRPr="000907AC" w:rsidRDefault="001C4F9A" w:rsidP="001C4F9A">
      <w:pPr>
        <w:spacing w:after="0" w:line="240" w:lineRule="auto"/>
        <w:jc w:val="both"/>
        <w:rPr>
          <w:rFonts w:ascii="Poppins" w:hAnsi="Poppins" w:cs="Poppins"/>
          <w:sz w:val="24"/>
        </w:rPr>
      </w:pPr>
    </w:p>
    <w:p w14:paraId="46BA2F7D" w14:textId="77777777" w:rsidR="001C4F9A" w:rsidRPr="000907AC" w:rsidRDefault="001C4F9A" w:rsidP="001C4F9A">
      <w:pPr>
        <w:pStyle w:val="Checklist"/>
        <w:rPr>
          <w:rFonts w:ascii="Poppins" w:hAnsi="Poppins" w:cs="Poppins"/>
        </w:rPr>
      </w:pPr>
      <w:r w:rsidRPr="000907AC">
        <w:rPr>
          <w:rFonts w:ascii="Poppins" w:hAnsi="Poppins" w:cs="Poppins"/>
        </w:rPr>
        <w:t>Membership</w:t>
      </w:r>
    </w:p>
    <w:p w14:paraId="6FBCAB8B"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 xml:space="preserve">It is recommended that the Workgroup has the following members: </w:t>
      </w:r>
    </w:p>
    <w:p w14:paraId="340DEB3C" w14:textId="77777777" w:rsidR="001C4F9A" w:rsidRPr="000907AC" w:rsidRDefault="001C4F9A" w:rsidP="001C4F9A">
      <w:pPr>
        <w:ind w:left="720"/>
        <w:jc w:val="both"/>
        <w:rPr>
          <w:rFonts w:ascii="Poppins" w:hAnsi="Poppins" w:cs="Poppins"/>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1C4F9A" w:rsidRPr="000907AC" w14:paraId="6E3ED88B" w14:textId="77777777" w:rsidTr="00403514">
        <w:tc>
          <w:tcPr>
            <w:tcW w:w="2977" w:type="dxa"/>
            <w:shd w:val="clear" w:color="auto" w:fill="3F0731"/>
            <w:hideMark/>
          </w:tcPr>
          <w:p w14:paraId="15061A77" w14:textId="77777777" w:rsidR="001C4F9A" w:rsidRPr="000907AC" w:rsidRDefault="001C4F9A">
            <w:pPr>
              <w:jc w:val="both"/>
              <w:rPr>
                <w:rFonts w:ascii="Poppins" w:hAnsi="Poppins" w:cs="Poppins"/>
                <w:b/>
                <w:color w:val="FFFFFF"/>
                <w:sz w:val="24"/>
              </w:rPr>
            </w:pPr>
            <w:r w:rsidRPr="000907AC">
              <w:rPr>
                <w:rFonts w:ascii="Poppins" w:hAnsi="Poppins" w:cs="Poppins"/>
                <w:b/>
                <w:color w:val="FFFFFF"/>
                <w:sz w:val="24"/>
              </w:rPr>
              <w:t>Role</w:t>
            </w:r>
          </w:p>
        </w:tc>
        <w:tc>
          <w:tcPr>
            <w:tcW w:w="3119" w:type="dxa"/>
            <w:shd w:val="clear" w:color="auto" w:fill="3F0731"/>
            <w:hideMark/>
          </w:tcPr>
          <w:p w14:paraId="26320D84" w14:textId="77777777" w:rsidR="001C4F9A" w:rsidRPr="000907AC" w:rsidRDefault="001C4F9A">
            <w:pPr>
              <w:jc w:val="both"/>
              <w:rPr>
                <w:rFonts w:ascii="Poppins" w:hAnsi="Poppins" w:cs="Poppins"/>
                <w:b/>
                <w:color w:val="FFFFFF"/>
                <w:sz w:val="24"/>
              </w:rPr>
            </w:pPr>
            <w:r w:rsidRPr="000907AC">
              <w:rPr>
                <w:rFonts w:ascii="Poppins" w:hAnsi="Poppins" w:cs="Poppins"/>
                <w:b/>
                <w:color w:val="FFFFFF"/>
                <w:sz w:val="24"/>
              </w:rPr>
              <w:t>Name</w:t>
            </w:r>
          </w:p>
        </w:tc>
        <w:tc>
          <w:tcPr>
            <w:tcW w:w="3118" w:type="dxa"/>
            <w:shd w:val="clear" w:color="auto" w:fill="3F0731"/>
            <w:hideMark/>
          </w:tcPr>
          <w:p w14:paraId="693D42F6" w14:textId="77777777" w:rsidR="001C4F9A" w:rsidRPr="000907AC" w:rsidRDefault="001C4F9A">
            <w:pPr>
              <w:jc w:val="both"/>
              <w:rPr>
                <w:rFonts w:ascii="Poppins" w:hAnsi="Poppins" w:cs="Poppins"/>
                <w:b/>
                <w:color w:val="FFFFFF"/>
                <w:sz w:val="24"/>
              </w:rPr>
            </w:pPr>
            <w:r w:rsidRPr="000907AC">
              <w:rPr>
                <w:rFonts w:ascii="Poppins" w:hAnsi="Poppins" w:cs="Poppins"/>
                <w:b/>
                <w:color w:val="FFFFFF"/>
                <w:sz w:val="24"/>
              </w:rPr>
              <w:t>Representing</w:t>
            </w:r>
          </w:p>
        </w:tc>
      </w:tr>
      <w:tr w:rsidR="001C4F9A" w:rsidRPr="000907AC" w14:paraId="1A124474" w14:textId="77777777" w:rsidTr="00403514">
        <w:tc>
          <w:tcPr>
            <w:tcW w:w="2977" w:type="dxa"/>
            <w:hideMark/>
          </w:tcPr>
          <w:p w14:paraId="7C062C07" w14:textId="77777777" w:rsidR="001C4F9A" w:rsidRPr="000907AC" w:rsidRDefault="001C4F9A">
            <w:pPr>
              <w:rPr>
                <w:rFonts w:ascii="Poppins" w:hAnsi="Poppins" w:cs="Poppins"/>
                <w:sz w:val="24"/>
              </w:rPr>
            </w:pPr>
            <w:r w:rsidRPr="000907AC">
              <w:rPr>
                <w:rFonts w:ascii="Poppins" w:hAnsi="Poppins" w:cs="Poppins"/>
                <w:sz w:val="24"/>
              </w:rPr>
              <w:t>Chair</w:t>
            </w:r>
          </w:p>
        </w:tc>
        <w:tc>
          <w:tcPr>
            <w:tcW w:w="3119" w:type="dxa"/>
          </w:tcPr>
          <w:p w14:paraId="13D3F92A" w14:textId="77777777" w:rsidR="001C4F9A" w:rsidRPr="000907AC" w:rsidRDefault="001C4F9A">
            <w:pPr>
              <w:rPr>
                <w:rFonts w:ascii="Poppins" w:hAnsi="Poppins" w:cs="Poppins"/>
                <w:sz w:val="24"/>
              </w:rPr>
            </w:pPr>
          </w:p>
        </w:tc>
        <w:tc>
          <w:tcPr>
            <w:tcW w:w="3118" w:type="dxa"/>
          </w:tcPr>
          <w:p w14:paraId="460A7409" w14:textId="77777777" w:rsidR="001C4F9A" w:rsidRPr="000907AC" w:rsidRDefault="001C4F9A">
            <w:pPr>
              <w:rPr>
                <w:rFonts w:ascii="Poppins" w:hAnsi="Poppins" w:cs="Poppins"/>
                <w:sz w:val="24"/>
              </w:rPr>
            </w:pPr>
          </w:p>
        </w:tc>
      </w:tr>
      <w:tr w:rsidR="001C4F9A" w:rsidRPr="000907AC" w14:paraId="696835AD" w14:textId="77777777" w:rsidTr="00403514">
        <w:tc>
          <w:tcPr>
            <w:tcW w:w="2977" w:type="dxa"/>
            <w:hideMark/>
          </w:tcPr>
          <w:p w14:paraId="49D8DF0C" w14:textId="77777777" w:rsidR="001C4F9A" w:rsidRPr="000907AC" w:rsidRDefault="001C4F9A">
            <w:pPr>
              <w:rPr>
                <w:rFonts w:ascii="Poppins" w:hAnsi="Poppins" w:cs="Poppins"/>
                <w:sz w:val="24"/>
              </w:rPr>
            </w:pPr>
            <w:r w:rsidRPr="000907AC">
              <w:rPr>
                <w:rFonts w:ascii="Poppins" w:hAnsi="Poppins" w:cs="Poppins"/>
                <w:sz w:val="24"/>
              </w:rPr>
              <w:t>Technical Secretary</w:t>
            </w:r>
          </w:p>
        </w:tc>
        <w:tc>
          <w:tcPr>
            <w:tcW w:w="3119" w:type="dxa"/>
          </w:tcPr>
          <w:p w14:paraId="1FF19F16" w14:textId="77777777" w:rsidR="001C4F9A" w:rsidRPr="000907AC" w:rsidRDefault="001C4F9A">
            <w:pPr>
              <w:rPr>
                <w:rFonts w:ascii="Poppins" w:hAnsi="Poppins" w:cs="Poppins"/>
                <w:sz w:val="24"/>
              </w:rPr>
            </w:pPr>
          </w:p>
        </w:tc>
        <w:tc>
          <w:tcPr>
            <w:tcW w:w="3118" w:type="dxa"/>
          </w:tcPr>
          <w:p w14:paraId="1370CCA9" w14:textId="77777777" w:rsidR="001C4F9A" w:rsidRPr="000907AC" w:rsidRDefault="001C4F9A">
            <w:pPr>
              <w:rPr>
                <w:rFonts w:ascii="Poppins" w:hAnsi="Poppins" w:cs="Poppins"/>
                <w:sz w:val="24"/>
              </w:rPr>
            </w:pPr>
          </w:p>
        </w:tc>
      </w:tr>
      <w:tr w:rsidR="001C4F9A" w:rsidRPr="000907AC" w14:paraId="4773A973" w14:textId="77777777" w:rsidTr="00403514">
        <w:tc>
          <w:tcPr>
            <w:tcW w:w="2977" w:type="dxa"/>
            <w:hideMark/>
          </w:tcPr>
          <w:p w14:paraId="5DE01639" w14:textId="77777777" w:rsidR="001C4F9A" w:rsidRPr="000907AC" w:rsidRDefault="001C4F9A">
            <w:pPr>
              <w:rPr>
                <w:rFonts w:ascii="Poppins" w:hAnsi="Poppins" w:cs="Poppins"/>
                <w:sz w:val="24"/>
              </w:rPr>
            </w:pPr>
            <w:r w:rsidRPr="000907AC">
              <w:rPr>
                <w:rFonts w:ascii="Poppins" w:hAnsi="Poppins" w:cs="Poppins"/>
                <w:sz w:val="24"/>
              </w:rPr>
              <w:t>Proposer</w:t>
            </w:r>
          </w:p>
        </w:tc>
        <w:tc>
          <w:tcPr>
            <w:tcW w:w="3119" w:type="dxa"/>
          </w:tcPr>
          <w:p w14:paraId="78C16384" w14:textId="77777777" w:rsidR="001C4F9A" w:rsidRPr="000907AC" w:rsidRDefault="001C4F9A">
            <w:pPr>
              <w:rPr>
                <w:rFonts w:ascii="Poppins" w:hAnsi="Poppins" w:cs="Poppins"/>
                <w:sz w:val="24"/>
              </w:rPr>
            </w:pPr>
          </w:p>
        </w:tc>
        <w:tc>
          <w:tcPr>
            <w:tcW w:w="3118" w:type="dxa"/>
          </w:tcPr>
          <w:p w14:paraId="2E13C4DA" w14:textId="77777777" w:rsidR="001C4F9A" w:rsidRPr="000907AC" w:rsidRDefault="001C4F9A">
            <w:pPr>
              <w:rPr>
                <w:rFonts w:ascii="Poppins" w:hAnsi="Poppins" w:cs="Poppins"/>
                <w:sz w:val="24"/>
              </w:rPr>
            </w:pPr>
          </w:p>
        </w:tc>
      </w:tr>
      <w:tr w:rsidR="001C4F9A" w:rsidRPr="000907AC" w14:paraId="2032014C" w14:textId="77777777" w:rsidTr="00403514">
        <w:tc>
          <w:tcPr>
            <w:tcW w:w="2977" w:type="dxa"/>
            <w:hideMark/>
          </w:tcPr>
          <w:p w14:paraId="3B387AD7" w14:textId="77777777" w:rsidR="001C4F9A" w:rsidRPr="000907AC" w:rsidRDefault="001C4F9A">
            <w:pPr>
              <w:rPr>
                <w:rFonts w:ascii="Poppins" w:hAnsi="Poppins" w:cs="Poppins"/>
                <w:sz w:val="24"/>
              </w:rPr>
            </w:pPr>
            <w:r w:rsidRPr="000907AC">
              <w:rPr>
                <w:rFonts w:ascii="Poppins" w:hAnsi="Poppins" w:cs="Poppins"/>
                <w:sz w:val="24"/>
              </w:rPr>
              <w:t>Workgroup Member</w:t>
            </w:r>
          </w:p>
        </w:tc>
        <w:tc>
          <w:tcPr>
            <w:tcW w:w="3119" w:type="dxa"/>
          </w:tcPr>
          <w:p w14:paraId="00CD70B0" w14:textId="77777777" w:rsidR="001C4F9A" w:rsidRPr="000907AC" w:rsidRDefault="001C4F9A">
            <w:pPr>
              <w:rPr>
                <w:rFonts w:ascii="Poppins" w:hAnsi="Poppins" w:cs="Poppins"/>
                <w:sz w:val="24"/>
              </w:rPr>
            </w:pPr>
          </w:p>
        </w:tc>
        <w:tc>
          <w:tcPr>
            <w:tcW w:w="3118" w:type="dxa"/>
          </w:tcPr>
          <w:p w14:paraId="6468B699" w14:textId="77777777" w:rsidR="001C4F9A" w:rsidRPr="000907AC" w:rsidRDefault="001C4F9A">
            <w:pPr>
              <w:rPr>
                <w:rFonts w:ascii="Poppins" w:hAnsi="Poppins" w:cs="Poppins"/>
                <w:sz w:val="24"/>
              </w:rPr>
            </w:pPr>
          </w:p>
        </w:tc>
      </w:tr>
      <w:tr w:rsidR="001C4F9A" w:rsidRPr="000907AC" w14:paraId="1A33F43D" w14:textId="77777777" w:rsidTr="00403514">
        <w:tc>
          <w:tcPr>
            <w:tcW w:w="2977" w:type="dxa"/>
            <w:hideMark/>
          </w:tcPr>
          <w:p w14:paraId="39688D43" w14:textId="77777777" w:rsidR="001C4F9A" w:rsidRPr="000907AC" w:rsidRDefault="001C4F9A">
            <w:pPr>
              <w:rPr>
                <w:rFonts w:ascii="Poppins" w:hAnsi="Poppins" w:cs="Poppins"/>
                <w:sz w:val="24"/>
              </w:rPr>
            </w:pPr>
            <w:r w:rsidRPr="000907AC">
              <w:rPr>
                <w:rFonts w:ascii="Poppins" w:hAnsi="Poppins" w:cs="Poppins"/>
                <w:sz w:val="24"/>
              </w:rPr>
              <w:t>Workgroup Member (Alternate)</w:t>
            </w:r>
          </w:p>
        </w:tc>
        <w:tc>
          <w:tcPr>
            <w:tcW w:w="3119" w:type="dxa"/>
          </w:tcPr>
          <w:p w14:paraId="7B001635" w14:textId="77777777" w:rsidR="001C4F9A" w:rsidRPr="000907AC" w:rsidRDefault="001C4F9A">
            <w:pPr>
              <w:rPr>
                <w:rFonts w:ascii="Poppins" w:hAnsi="Poppins" w:cs="Poppins"/>
                <w:sz w:val="24"/>
              </w:rPr>
            </w:pPr>
          </w:p>
        </w:tc>
        <w:tc>
          <w:tcPr>
            <w:tcW w:w="3118" w:type="dxa"/>
          </w:tcPr>
          <w:p w14:paraId="4D60EB69" w14:textId="77777777" w:rsidR="001C4F9A" w:rsidRPr="000907AC" w:rsidRDefault="001C4F9A">
            <w:pPr>
              <w:rPr>
                <w:rFonts w:ascii="Poppins" w:hAnsi="Poppins" w:cs="Poppins"/>
                <w:sz w:val="24"/>
              </w:rPr>
            </w:pPr>
          </w:p>
        </w:tc>
      </w:tr>
      <w:tr w:rsidR="001C4F9A" w:rsidRPr="000907AC" w14:paraId="67884ABD" w14:textId="77777777" w:rsidTr="00403514">
        <w:trPr>
          <w:trHeight w:val="131"/>
        </w:trPr>
        <w:tc>
          <w:tcPr>
            <w:tcW w:w="2977" w:type="dxa"/>
            <w:hideMark/>
          </w:tcPr>
          <w:p w14:paraId="562D7A83" w14:textId="77777777" w:rsidR="001C4F9A" w:rsidRPr="000907AC" w:rsidRDefault="001C4F9A">
            <w:pPr>
              <w:rPr>
                <w:rFonts w:ascii="Poppins" w:hAnsi="Poppins" w:cs="Poppins"/>
                <w:sz w:val="24"/>
              </w:rPr>
            </w:pPr>
            <w:r w:rsidRPr="000907AC">
              <w:rPr>
                <w:rFonts w:ascii="Poppins" w:hAnsi="Poppins" w:cs="Poppins"/>
                <w:sz w:val="24"/>
              </w:rPr>
              <w:t>Workgroup Member</w:t>
            </w:r>
          </w:p>
        </w:tc>
        <w:tc>
          <w:tcPr>
            <w:tcW w:w="3119" w:type="dxa"/>
          </w:tcPr>
          <w:p w14:paraId="29C1CFD4" w14:textId="77777777" w:rsidR="001C4F9A" w:rsidRPr="000907AC" w:rsidRDefault="001C4F9A">
            <w:pPr>
              <w:rPr>
                <w:rFonts w:ascii="Poppins" w:hAnsi="Poppins" w:cs="Poppins"/>
                <w:sz w:val="24"/>
              </w:rPr>
            </w:pPr>
          </w:p>
        </w:tc>
        <w:tc>
          <w:tcPr>
            <w:tcW w:w="3118" w:type="dxa"/>
          </w:tcPr>
          <w:p w14:paraId="0B4EC27F" w14:textId="77777777" w:rsidR="001C4F9A" w:rsidRPr="000907AC" w:rsidRDefault="001C4F9A">
            <w:pPr>
              <w:rPr>
                <w:rFonts w:ascii="Poppins" w:hAnsi="Poppins" w:cs="Poppins"/>
                <w:sz w:val="24"/>
              </w:rPr>
            </w:pPr>
          </w:p>
        </w:tc>
      </w:tr>
      <w:tr w:rsidR="001C4F9A" w:rsidRPr="000907AC" w14:paraId="7B6A5CCC" w14:textId="77777777" w:rsidTr="00403514">
        <w:tc>
          <w:tcPr>
            <w:tcW w:w="2977" w:type="dxa"/>
            <w:hideMark/>
          </w:tcPr>
          <w:p w14:paraId="72A8353C" w14:textId="77777777" w:rsidR="001C4F9A" w:rsidRPr="000907AC" w:rsidRDefault="001C4F9A">
            <w:pPr>
              <w:rPr>
                <w:rFonts w:ascii="Poppins" w:hAnsi="Poppins" w:cs="Poppins"/>
                <w:sz w:val="24"/>
              </w:rPr>
            </w:pPr>
            <w:r w:rsidRPr="000907AC">
              <w:rPr>
                <w:rFonts w:ascii="Poppins" w:hAnsi="Poppins" w:cs="Poppins"/>
                <w:sz w:val="24"/>
              </w:rPr>
              <w:t>Workgroup Member</w:t>
            </w:r>
          </w:p>
        </w:tc>
        <w:tc>
          <w:tcPr>
            <w:tcW w:w="3119" w:type="dxa"/>
          </w:tcPr>
          <w:p w14:paraId="3A0F3350" w14:textId="77777777" w:rsidR="001C4F9A" w:rsidRPr="000907AC" w:rsidRDefault="001C4F9A">
            <w:pPr>
              <w:rPr>
                <w:rFonts w:ascii="Poppins" w:hAnsi="Poppins" w:cs="Poppins"/>
                <w:sz w:val="24"/>
              </w:rPr>
            </w:pPr>
          </w:p>
        </w:tc>
        <w:tc>
          <w:tcPr>
            <w:tcW w:w="3118" w:type="dxa"/>
          </w:tcPr>
          <w:p w14:paraId="743048EB" w14:textId="77777777" w:rsidR="001C4F9A" w:rsidRPr="000907AC" w:rsidRDefault="001C4F9A">
            <w:pPr>
              <w:rPr>
                <w:rFonts w:ascii="Poppins" w:hAnsi="Poppins" w:cs="Poppins"/>
                <w:sz w:val="24"/>
              </w:rPr>
            </w:pPr>
          </w:p>
        </w:tc>
      </w:tr>
      <w:tr w:rsidR="001C4F9A" w:rsidRPr="000907AC" w14:paraId="3220645B" w14:textId="77777777" w:rsidTr="00403514">
        <w:tc>
          <w:tcPr>
            <w:tcW w:w="2977" w:type="dxa"/>
            <w:hideMark/>
          </w:tcPr>
          <w:p w14:paraId="3A770103" w14:textId="77777777" w:rsidR="001C4F9A" w:rsidRPr="000907AC" w:rsidRDefault="001C4F9A">
            <w:pPr>
              <w:rPr>
                <w:rFonts w:ascii="Poppins" w:hAnsi="Poppins" w:cs="Poppins"/>
                <w:sz w:val="24"/>
              </w:rPr>
            </w:pPr>
            <w:r w:rsidRPr="000907AC">
              <w:rPr>
                <w:rFonts w:ascii="Poppins" w:hAnsi="Poppins" w:cs="Poppins"/>
                <w:sz w:val="24"/>
              </w:rPr>
              <w:t>Workgroup Member (Alternate)</w:t>
            </w:r>
          </w:p>
        </w:tc>
        <w:tc>
          <w:tcPr>
            <w:tcW w:w="3119" w:type="dxa"/>
          </w:tcPr>
          <w:p w14:paraId="026E9028" w14:textId="77777777" w:rsidR="001C4F9A" w:rsidRPr="000907AC" w:rsidRDefault="001C4F9A">
            <w:pPr>
              <w:rPr>
                <w:rFonts w:ascii="Poppins" w:hAnsi="Poppins" w:cs="Poppins"/>
                <w:sz w:val="24"/>
              </w:rPr>
            </w:pPr>
          </w:p>
        </w:tc>
        <w:tc>
          <w:tcPr>
            <w:tcW w:w="3118" w:type="dxa"/>
          </w:tcPr>
          <w:p w14:paraId="669D0D9E" w14:textId="77777777" w:rsidR="001C4F9A" w:rsidRPr="000907AC" w:rsidRDefault="001C4F9A">
            <w:pPr>
              <w:rPr>
                <w:rFonts w:ascii="Poppins" w:hAnsi="Poppins" w:cs="Poppins"/>
                <w:sz w:val="24"/>
              </w:rPr>
            </w:pPr>
          </w:p>
        </w:tc>
      </w:tr>
      <w:tr w:rsidR="001C4F9A" w:rsidRPr="000907AC" w14:paraId="53FAF99A" w14:textId="77777777" w:rsidTr="00403514">
        <w:tc>
          <w:tcPr>
            <w:tcW w:w="2977" w:type="dxa"/>
            <w:hideMark/>
          </w:tcPr>
          <w:p w14:paraId="1FB6CE81" w14:textId="77777777" w:rsidR="001C4F9A" w:rsidRPr="000907AC" w:rsidRDefault="001C4F9A">
            <w:pPr>
              <w:rPr>
                <w:rFonts w:ascii="Poppins" w:hAnsi="Poppins" w:cs="Poppins"/>
                <w:sz w:val="24"/>
              </w:rPr>
            </w:pPr>
            <w:r w:rsidRPr="000907AC">
              <w:rPr>
                <w:rFonts w:ascii="Poppins" w:hAnsi="Poppins" w:cs="Poppins"/>
                <w:sz w:val="24"/>
              </w:rPr>
              <w:t xml:space="preserve">Authority Representative </w:t>
            </w:r>
          </w:p>
        </w:tc>
        <w:tc>
          <w:tcPr>
            <w:tcW w:w="3119" w:type="dxa"/>
          </w:tcPr>
          <w:p w14:paraId="431CDD5D" w14:textId="77777777" w:rsidR="001C4F9A" w:rsidRPr="000907AC" w:rsidRDefault="001C4F9A">
            <w:pPr>
              <w:rPr>
                <w:rFonts w:ascii="Poppins" w:hAnsi="Poppins" w:cs="Poppins"/>
                <w:sz w:val="24"/>
              </w:rPr>
            </w:pPr>
          </w:p>
        </w:tc>
        <w:tc>
          <w:tcPr>
            <w:tcW w:w="3118" w:type="dxa"/>
          </w:tcPr>
          <w:p w14:paraId="456522F5" w14:textId="77777777" w:rsidR="001C4F9A" w:rsidRPr="000907AC" w:rsidRDefault="001C4F9A">
            <w:pPr>
              <w:rPr>
                <w:rFonts w:ascii="Poppins" w:hAnsi="Poppins" w:cs="Poppins"/>
                <w:sz w:val="24"/>
              </w:rPr>
            </w:pPr>
          </w:p>
        </w:tc>
      </w:tr>
    </w:tbl>
    <w:p w14:paraId="5E4678A9" w14:textId="77777777" w:rsidR="001C4F9A" w:rsidRPr="000907AC" w:rsidRDefault="001C4F9A" w:rsidP="001C4F9A">
      <w:pPr>
        <w:jc w:val="both"/>
        <w:rPr>
          <w:rFonts w:ascii="Poppins" w:hAnsi="Poppins" w:cs="Poppins"/>
          <w:sz w:val="24"/>
        </w:rPr>
      </w:pPr>
    </w:p>
    <w:p w14:paraId="508FE4ED" w14:textId="77777777" w:rsidR="001C4F9A" w:rsidRPr="000907AC" w:rsidRDefault="001C4F9A" w:rsidP="001C4F9A">
      <w:pPr>
        <w:autoSpaceDE w:val="0"/>
        <w:autoSpaceDN w:val="0"/>
        <w:adjustRightInd w:val="0"/>
        <w:snapToGrid w:val="0"/>
        <w:ind w:left="426" w:hanging="426"/>
        <w:rPr>
          <w:rFonts w:ascii="Poppins" w:hAnsi="Poppins" w:cs="Poppins"/>
          <w:sz w:val="24"/>
        </w:rPr>
      </w:pPr>
      <w:r w:rsidRPr="000907AC">
        <w:rPr>
          <w:rFonts w:ascii="Poppins" w:hAnsi="Poppins" w:cs="Poppins"/>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0907AC" w:rsidRDefault="001C4F9A" w:rsidP="001C4F9A">
      <w:pPr>
        <w:autoSpaceDE w:val="0"/>
        <w:autoSpaceDN w:val="0"/>
        <w:adjustRightInd w:val="0"/>
        <w:snapToGrid w:val="0"/>
        <w:rPr>
          <w:rFonts w:ascii="Poppins" w:hAnsi="Poppins" w:cs="Poppins"/>
          <w:sz w:val="24"/>
        </w:rPr>
      </w:pPr>
    </w:p>
    <w:p w14:paraId="4570ACBC" w14:textId="77777777" w:rsidR="001C4F9A" w:rsidRPr="000907AC" w:rsidRDefault="001C4F9A" w:rsidP="001C4F9A">
      <w:pPr>
        <w:pStyle w:val="ListParagraph"/>
        <w:numPr>
          <w:ilvl w:val="0"/>
          <w:numId w:val="23"/>
        </w:numPr>
        <w:jc w:val="both"/>
        <w:rPr>
          <w:rFonts w:ascii="Poppins" w:hAnsi="Poppins" w:cs="Poppins"/>
          <w:sz w:val="24"/>
        </w:rPr>
      </w:pPr>
      <w:r w:rsidRPr="000907AC">
        <w:rPr>
          <w:rFonts w:ascii="Poppins" w:hAnsi="Poppins" w:cs="Poppins"/>
          <w:sz w:val="24"/>
        </w:rPr>
        <w:lastRenderedPageBreak/>
        <w:t>The Chairperson of the Workgroup and the Modifications Panel Chairperson must agree a number that will be quorum for each Workgroup meeting.  The agreed figure for this modification is that at least 5 Workgroup members must participate in a meeting for quorum to be met.</w:t>
      </w:r>
    </w:p>
    <w:p w14:paraId="0E9F7B8C" w14:textId="77777777" w:rsidR="001C4F9A" w:rsidRPr="000907AC" w:rsidRDefault="001C4F9A" w:rsidP="001C4F9A">
      <w:pPr>
        <w:autoSpaceDE w:val="0"/>
        <w:autoSpaceDN w:val="0"/>
        <w:adjustRightInd w:val="0"/>
        <w:snapToGrid w:val="0"/>
        <w:ind w:left="720" w:hanging="720"/>
        <w:rPr>
          <w:rFonts w:ascii="Poppins" w:hAnsi="Poppins" w:cs="Poppins"/>
          <w:sz w:val="24"/>
        </w:rPr>
      </w:pPr>
    </w:p>
    <w:p w14:paraId="175355C5" w14:textId="77777777" w:rsidR="001C4F9A" w:rsidRPr="000907AC" w:rsidRDefault="001C4F9A" w:rsidP="001C4F9A">
      <w:pPr>
        <w:pStyle w:val="ListParagraph"/>
        <w:numPr>
          <w:ilvl w:val="0"/>
          <w:numId w:val="23"/>
        </w:numPr>
        <w:jc w:val="both"/>
        <w:rPr>
          <w:rFonts w:ascii="Poppins" w:hAnsi="Poppins" w:cs="Poppins"/>
          <w:sz w:val="24"/>
        </w:rPr>
      </w:pPr>
      <w:r w:rsidRPr="000907AC">
        <w:rPr>
          <w:rFonts w:ascii="Poppins" w:hAnsi="Poppins" w:cs="Poppins"/>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730E2AF9" w14:textId="77777777" w:rsidR="001C4F9A" w:rsidRPr="000907AC" w:rsidRDefault="001C4F9A" w:rsidP="001C4F9A">
      <w:pPr>
        <w:tabs>
          <w:tab w:val="left" w:pos="1276"/>
        </w:tabs>
        <w:spacing w:after="0" w:line="240" w:lineRule="auto"/>
        <w:ind w:left="1276"/>
        <w:jc w:val="both"/>
        <w:rPr>
          <w:rFonts w:ascii="Poppins" w:hAnsi="Poppins" w:cs="Poppins"/>
          <w:sz w:val="24"/>
        </w:rPr>
      </w:pPr>
      <w:r w:rsidRPr="000907AC">
        <w:rPr>
          <w:rFonts w:ascii="Poppins" w:hAnsi="Poppins" w:cs="Poppins"/>
          <w:b/>
          <w:sz w:val="24"/>
        </w:rPr>
        <w:t>Vote 1:</w:t>
      </w:r>
      <w:r w:rsidRPr="000907AC">
        <w:rPr>
          <w:rFonts w:ascii="Poppins" w:hAnsi="Poppins" w:cs="Poppins"/>
          <w:sz w:val="24"/>
        </w:rPr>
        <w:t xml:space="preserve"> whether each proposal better facilitates the Applicable CUSC Objectives;</w:t>
      </w:r>
    </w:p>
    <w:p w14:paraId="01938C72" w14:textId="77777777" w:rsidR="001C4F9A" w:rsidRPr="000907AC" w:rsidRDefault="001C4F9A" w:rsidP="001C4F9A">
      <w:pPr>
        <w:spacing w:after="0" w:line="240" w:lineRule="auto"/>
        <w:ind w:left="1276"/>
        <w:jc w:val="both"/>
        <w:rPr>
          <w:rFonts w:ascii="Poppins" w:hAnsi="Poppins" w:cs="Poppins"/>
          <w:sz w:val="24"/>
        </w:rPr>
      </w:pPr>
      <w:r w:rsidRPr="000907AC">
        <w:rPr>
          <w:rFonts w:ascii="Poppins" w:hAnsi="Poppins" w:cs="Poppins"/>
          <w:b/>
          <w:sz w:val="24"/>
        </w:rPr>
        <w:t xml:space="preserve">Vote 2: </w:t>
      </w:r>
      <w:r w:rsidRPr="000907AC">
        <w:rPr>
          <w:rFonts w:ascii="Poppins" w:hAnsi="Poppins" w:cs="Poppins"/>
          <w:sz w:val="24"/>
        </w:rPr>
        <w:t>where one or more WACMs exist, whether each WACM better facilitates the Applicable CUSC Objectives than the original Modification Proposal;</w:t>
      </w:r>
    </w:p>
    <w:p w14:paraId="147F99CE" w14:textId="77777777" w:rsidR="001C4F9A" w:rsidRPr="000907AC" w:rsidRDefault="001C4F9A" w:rsidP="001C4F9A">
      <w:pPr>
        <w:spacing w:line="240" w:lineRule="auto"/>
        <w:ind w:left="1276"/>
        <w:jc w:val="both"/>
        <w:rPr>
          <w:rFonts w:ascii="Poppins" w:hAnsi="Poppins" w:cs="Poppins"/>
          <w:sz w:val="24"/>
        </w:rPr>
      </w:pPr>
      <w:r w:rsidRPr="000907AC">
        <w:rPr>
          <w:rFonts w:ascii="Poppins" w:hAnsi="Poppins" w:cs="Poppins"/>
          <w:b/>
          <w:sz w:val="24"/>
        </w:rPr>
        <w:t>Vote 3:</w:t>
      </w:r>
      <w:r w:rsidRPr="000907AC">
        <w:rPr>
          <w:rFonts w:ascii="Poppins" w:hAnsi="Poppins" w:cs="Poppins"/>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0907AC" w:rsidRDefault="001C4F9A" w:rsidP="001C4F9A">
      <w:pPr>
        <w:ind w:left="720"/>
        <w:jc w:val="both"/>
        <w:rPr>
          <w:rFonts w:ascii="Poppins" w:hAnsi="Poppins" w:cs="Poppins"/>
          <w:sz w:val="24"/>
        </w:rPr>
      </w:pPr>
      <w:r w:rsidRPr="000907AC">
        <w:rPr>
          <w:rFonts w:ascii="Poppins" w:hAnsi="Poppins" w:cs="Poppins"/>
          <w:sz w:val="24"/>
        </w:rPr>
        <w:t>The results from the vote and the reasons for such voting shall be recorded in the Workgroup report in as much detail as practicable.</w:t>
      </w:r>
    </w:p>
    <w:p w14:paraId="64302B92" w14:textId="77777777" w:rsidR="001C4F9A" w:rsidRPr="000907AC" w:rsidRDefault="001C4F9A" w:rsidP="001C4F9A">
      <w:pPr>
        <w:jc w:val="both"/>
        <w:rPr>
          <w:rFonts w:ascii="Poppins" w:hAnsi="Poppins" w:cs="Poppins"/>
          <w:sz w:val="24"/>
        </w:rPr>
      </w:pPr>
    </w:p>
    <w:p w14:paraId="2704724E"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chairperson at the earliest possible opportunity and certainly before the Workgroup vote takes place.  Where abstention occurs, the reason should be recorded in the Workgroup report.</w:t>
      </w:r>
    </w:p>
    <w:p w14:paraId="70A1F43F" w14:textId="77777777" w:rsidR="001C4F9A" w:rsidRPr="000907AC" w:rsidRDefault="001C4F9A" w:rsidP="001C4F9A">
      <w:pPr>
        <w:jc w:val="both"/>
        <w:rPr>
          <w:rFonts w:ascii="Poppins" w:hAnsi="Poppins" w:cs="Poppins"/>
          <w:sz w:val="24"/>
        </w:rPr>
      </w:pPr>
    </w:p>
    <w:p w14:paraId="102413E5"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lastRenderedPageBreak/>
        <w:t>Workgroup members or their appointed alternate are required to attend a minimum of 50% of the Workgroup meetings to be eligible to participate in the Workgroup vote.</w:t>
      </w:r>
    </w:p>
    <w:p w14:paraId="531BE72C" w14:textId="77777777" w:rsidR="001C4F9A" w:rsidRPr="000907AC" w:rsidRDefault="001C4F9A" w:rsidP="001C4F9A">
      <w:pPr>
        <w:jc w:val="both"/>
        <w:rPr>
          <w:rFonts w:ascii="Poppins" w:hAnsi="Poppins" w:cs="Poppins"/>
          <w:sz w:val="24"/>
        </w:rPr>
      </w:pPr>
    </w:p>
    <w:p w14:paraId="7080588D"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0907AC" w:rsidRDefault="001C4F9A" w:rsidP="001C4F9A">
      <w:pPr>
        <w:jc w:val="both"/>
        <w:rPr>
          <w:rFonts w:ascii="Poppins" w:hAnsi="Poppins" w:cs="Poppins"/>
          <w:sz w:val="24"/>
        </w:rPr>
      </w:pPr>
    </w:p>
    <w:p w14:paraId="41E4A1D9" w14:textId="77777777" w:rsidR="001C4F9A" w:rsidRPr="000907AC" w:rsidRDefault="001C4F9A" w:rsidP="001C4F9A">
      <w:pPr>
        <w:numPr>
          <w:ilvl w:val="0"/>
          <w:numId w:val="23"/>
        </w:numPr>
        <w:spacing w:after="0" w:line="240" w:lineRule="auto"/>
        <w:jc w:val="both"/>
        <w:rPr>
          <w:rFonts w:ascii="Poppins" w:hAnsi="Poppins" w:cs="Poppins"/>
          <w:sz w:val="24"/>
        </w:rPr>
      </w:pPr>
      <w:r w:rsidRPr="000907AC">
        <w:rPr>
          <w:rFonts w:ascii="Poppins" w:hAnsi="Poppins" w:cs="Poppins"/>
          <w:sz w:val="24"/>
        </w:rPr>
        <w:t>The Workgroup membership can be amended from time to time by the CUSC Modifications Panel.</w:t>
      </w:r>
    </w:p>
    <w:p w14:paraId="7B21E808" w14:textId="77777777" w:rsidR="001C4F9A" w:rsidRPr="000907AC" w:rsidRDefault="001C4F9A" w:rsidP="001C4F9A">
      <w:pPr>
        <w:jc w:val="both"/>
        <w:rPr>
          <w:rFonts w:ascii="Poppins" w:hAnsi="Poppins" w:cs="Poppins"/>
          <w:sz w:val="24"/>
        </w:rPr>
      </w:pPr>
    </w:p>
    <w:p w14:paraId="5ECF71D1" w14:textId="77777777" w:rsidR="001C4F9A" w:rsidRPr="000907AC" w:rsidRDefault="001C4F9A" w:rsidP="001C4F9A">
      <w:pPr>
        <w:pStyle w:val="TOCMOD"/>
        <w:framePr w:hSpace="0" w:vSpace="0" w:wrap="auto" w:vAnchor="margin" w:yAlign="inline"/>
        <w:rPr>
          <w:rFonts w:ascii="Poppins" w:hAnsi="Poppins" w:cs="Poppins"/>
          <w:color w:val="F9DF5E" w:themeColor="accent5"/>
        </w:rPr>
      </w:pPr>
    </w:p>
    <w:p w14:paraId="574E42F4" w14:textId="77777777" w:rsidR="001C4F9A" w:rsidRPr="000907AC" w:rsidRDefault="001C4F9A" w:rsidP="001C4F9A">
      <w:pPr>
        <w:ind w:left="-851" w:right="-613"/>
        <w:jc w:val="center"/>
        <w:rPr>
          <w:rFonts w:ascii="Poppins" w:hAnsi="Poppins" w:cs="Poppins"/>
          <w:b/>
        </w:rPr>
      </w:pPr>
      <w:r w:rsidRPr="000907AC">
        <w:rPr>
          <w:rFonts w:ascii="Poppins" w:hAnsi="Poppins" w:cs="Poppins"/>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0907AC" w14:paraId="6048679F" w14:textId="77777777">
        <w:trPr>
          <w:trHeight w:val="345"/>
          <w:jc w:val="center"/>
        </w:trPr>
        <w:tc>
          <w:tcPr>
            <w:tcW w:w="846" w:type="dxa"/>
            <w:vAlign w:val="center"/>
          </w:tcPr>
          <w:p w14:paraId="706B7749" w14:textId="77777777" w:rsidR="001C4F9A" w:rsidRPr="000907AC" w:rsidRDefault="001C4F9A">
            <w:pPr>
              <w:spacing w:after="0" w:line="240" w:lineRule="auto"/>
              <w:jc w:val="center"/>
              <w:rPr>
                <w:rFonts w:ascii="Poppins" w:hAnsi="Poppins" w:cs="Poppins"/>
                <w:b/>
                <w:szCs w:val="20"/>
              </w:rPr>
            </w:pPr>
            <w:r w:rsidRPr="000907AC">
              <w:rPr>
                <w:rFonts w:ascii="Poppins" w:hAnsi="Poppins" w:cs="Poppins"/>
                <w:b/>
                <w:szCs w:val="20"/>
              </w:rPr>
              <w:t>Issue</w:t>
            </w:r>
          </w:p>
        </w:tc>
        <w:tc>
          <w:tcPr>
            <w:tcW w:w="1276" w:type="dxa"/>
            <w:vAlign w:val="center"/>
          </w:tcPr>
          <w:p w14:paraId="65CC13E5" w14:textId="77777777" w:rsidR="001C4F9A" w:rsidRPr="000907AC" w:rsidRDefault="001C4F9A">
            <w:pPr>
              <w:spacing w:after="0" w:line="240" w:lineRule="auto"/>
              <w:jc w:val="center"/>
              <w:rPr>
                <w:rFonts w:ascii="Poppins" w:hAnsi="Poppins" w:cs="Poppins"/>
                <w:b/>
                <w:szCs w:val="20"/>
              </w:rPr>
            </w:pPr>
            <w:r w:rsidRPr="000907AC">
              <w:rPr>
                <w:rFonts w:ascii="Poppins" w:hAnsi="Poppins" w:cs="Poppins"/>
                <w:b/>
                <w:szCs w:val="20"/>
              </w:rPr>
              <w:t>Date</w:t>
            </w:r>
          </w:p>
        </w:tc>
        <w:tc>
          <w:tcPr>
            <w:tcW w:w="4233" w:type="dxa"/>
            <w:vAlign w:val="center"/>
          </w:tcPr>
          <w:p w14:paraId="61241314" w14:textId="77777777" w:rsidR="001C4F9A" w:rsidRPr="000907AC" w:rsidRDefault="001C4F9A">
            <w:pPr>
              <w:spacing w:after="0" w:line="240" w:lineRule="auto"/>
              <w:jc w:val="center"/>
              <w:rPr>
                <w:rFonts w:ascii="Poppins" w:hAnsi="Poppins" w:cs="Poppins"/>
                <w:b/>
                <w:szCs w:val="20"/>
              </w:rPr>
            </w:pPr>
            <w:r w:rsidRPr="000907AC">
              <w:rPr>
                <w:rFonts w:ascii="Poppins" w:hAnsi="Poppins" w:cs="Poppins"/>
                <w:b/>
                <w:szCs w:val="20"/>
              </w:rPr>
              <w:t>Summary of Changes / Reasons</w:t>
            </w:r>
          </w:p>
        </w:tc>
        <w:tc>
          <w:tcPr>
            <w:tcW w:w="2666" w:type="dxa"/>
            <w:vAlign w:val="center"/>
          </w:tcPr>
          <w:p w14:paraId="3FFCCCC5" w14:textId="77777777" w:rsidR="001C4F9A" w:rsidRPr="000907AC" w:rsidRDefault="001C4F9A">
            <w:pPr>
              <w:spacing w:after="0" w:line="240" w:lineRule="auto"/>
              <w:jc w:val="center"/>
              <w:rPr>
                <w:rFonts w:ascii="Poppins" w:hAnsi="Poppins" w:cs="Poppins"/>
                <w:b/>
                <w:szCs w:val="20"/>
              </w:rPr>
            </w:pPr>
            <w:r w:rsidRPr="000907AC">
              <w:rPr>
                <w:rFonts w:ascii="Poppins" w:hAnsi="Poppins" w:cs="Poppins"/>
                <w:b/>
                <w:szCs w:val="20"/>
              </w:rPr>
              <w:t>Panel Approval Date</w:t>
            </w:r>
          </w:p>
        </w:tc>
      </w:tr>
      <w:tr w:rsidR="001C4F9A" w:rsidRPr="000907AC" w14:paraId="5A5194FC" w14:textId="77777777">
        <w:trPr>
          <w:jc w:val="center"/>
        </w:trPr>
        <w:tc>
          <w:tcPr>
            <w:tcW w:w="846" w:type="dxa"/>
            <w:vAlign w:val="center"/>
          </w:tcPr>
          <w:p w14:paraId="54BC3898" w14:textId="77777777" w:rsidR="001C4F9A" w:rsidRPr="000907AC" w:rsidRDefault="001C4F9A">
            <w:pPr>
              <w:spacing w:after="0" w:line="240" w:lineRule="auto"/>
              <w:jc w:val="center"/>
              <w:rPr>
                <w:rFonts w:ascii="Poppins" w:hAnsi="Poppins" w:cs="Poppins"/>
                <w:sz w:val="16"/>
                <w:szCs w:val="20"/>
                <w:highlight w:val="yellow"/>
              </w:rPr>
            </w:pPr>
            <w:r w:rsidRPr="000907AC">
              <w:rPr>
                <w:rFonts w:ascii="Poppins" w:hAnsi="Poppins" w:cs="Poppins"/>
                <w:sz w:val="16"/>
                <w:szCs w:val="20"/>
                <w:highlight w:val="yellow"/>
              </w:rPr>
              <w:t>1</w:t>
            </w:r>
          </w:p>
        </w:tc>
        <w:tc>
          <w:tcPr>
            <w:tcW w:w="1276" w:type="dxa"/>
            <w:vAlign w:val="center"/>
          </w:tcPr>
          <w:p w14:paraId="53D40665" w14:textId="77777777" w:rsidR="001C4F9A" w:rsidRPr="000907AC" w:rsidRDefault="001C4F9A">
            <w:pPr>
              <w:spacing w:after="0" w:line="240" w:lineRule="auto"/>
              <w:jc w:val="center"/>
              <w:rPr>
                <w:rFonts w:ascii="Poppins" w:hAnsi="Poppins" w:cs="Poppins"/>
                <w:sz w:val="16"/>
                <w:szCs w:val="20"/>
                <w:highlight w:val="yellow"/>
              </w:rPr>
            </w:pPr>
            <w:r w:rsidRPr="000907AC">
              <w:rPr>
                <w:rFonts w:ascii="Poppins" w:hAnsi="Poppins" w:cs="Poppins"/>
                <w:sz w:val="16"/>
                <w:szCs w:val="20"/>
                <w:highlight w:val="yellow"/>
              </w:rPr>
              <w:t>XX/XX/20XX</w:t>
            </w:r>
          </w:p>
        </w:tc>
        <w:tc>
          <w:tcPr>
            <w:tcW w:w="4233" w:type="dxa"/>
            <w:vAlign w:val="center"/>
          </w:tcPr>
          <w:p w14:paraId="08062F1B" w14:textId="77777777" w:rsidR="001C4F9A" w:rsidRPr="000907AC" w:rsidRDefault="001C4F9A">
            <w:pPr>
              <w:spacing w:after="0" w:line="240" w:lineRule="auto"/>
              <w:jc w:val="center"/>
              <w:rPr>
                <w:rFonts w:ascii="Poppins" w:hAnsi="Poppins" w:cs="Poppins"/>
                <w:sz w:val="16"/>
                <w:szCs w:val="20"/>
                <w:highlight w:val="yellow"/>
              </w:rPr>
            </w:pPr>
            <w:r w:rsidRPr="000907AC">
              <w:rPr>
                <w:rFonts w:ascii="Poppins" w:hAnsi="Poppins" w:cs="Poppins"/>
                <w:sz w:val="16"/>
                <w:szCs w:val="20"/>
                <w:highlight w:val="yellow"/>
              </w:rPr>
              <w:t>Panel approved Terms of Reference ahead of nominations</w:t>
            </w:r>
          </w:p>
        </w:tc>
        <w:tc>
          <w:tcPr>
            <w:tcW w:w="2666" w:type="dxa"/>
            <w:vAlign w:val="center"/>
          </w:tcPr>
          <w:p w14:paraId="7049CD30" w14:textId="77777777" w:rsidR="001C4F9A" w:rsidRPr="000907AC" w:rsidRDefault="001C4F9A">
            <w:pPr>
              <w:spacing w:after="0" w:line="240" w:lineRule="auto"/>
              <w:jc w:val="center"/>
              <w:rPr>
                <w:rFonts w:ascii="Poppins" w:hAnsi="Poppins" w:cs="Poppins"/>
                <w:sz w:val="16"/>
                <w:szCs w:val="20"/>
                <w:highlight w:val="yellow"/>
              </w:rPr>
            </w:pPr>
            <w:r w:rsidRPr="000907AC">
              <w:rPr>
                <w:rFonts w:ascii="Poppins" w:hAnsi="Poppins" w:cs="Poppins"/>
                <w:sz w:val="16"/>
                <w:szCs w:val="20"/>
                <w:highlight w:val="yellow"/>
              </w:rPr>
              <w:t>XX/XX/20XX</w:t>
            </w:r>
          </w:p>
        </w:tc>
      </w:tr>
    </w:tbl>
    <w:p w14:paraId="06CD6CC7" w14:textId="77777777" w:rsidR="001C4F9A" w:rsidRPr="000907AC" w:rsidRDefault="001C4F9A" w:rsidP="001C4F9A">
      <w:pPr>
        <w:pStyle w:val="TOCMOD"/>
        <w:framePr w:hSpace="0" w:vSpace="0" w:wrap="auto" w:vAnchor="margin" w:yAlign="inline"/>
        <w:rPr>
          <w:rFonts w:ascii="Poppins" w:hAnsi="Poppins" w:cs="Poppins"/>
          <w:color w:val="F9DF5E" w:themeColor="accent5"/>
        </w:rPr>
      </w:pPr>
    </w:p>
    <w:p w14:paraId="458D298B" w14:textId="77777777" w:rsidR="00F4613D" w:rsidRPr="000907AC" w:rsidRDefault="00F4613D" w:rsidP="00E8542E">
      <w:pPr>
        <w:rPr>
          <w:rFonts w:ascii="Poppins" w:hAnsi="Poppins" w:cs="Poppins"/>
        </w:rPr>
      </w:pPr>
    </w:p>
    <w:sectPr w:rsidR="00F4613D" w:rsidRPr="000907AC" w:rsidSect="001E68CF">
      <w:headerReference w:type="default" r:id="rId11"/>
      <w:footerReference w:type="default" r:id="rId12"/>
      <w:headerReference w:type="first" r:id="rId13"/>
      <w:footerReference w:type="first" r:id="rId14"/>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0CB3B" w14:textId="77777777" w:rsidR="00C75BF1" w:rsidRDefault="00C75BF1" w:rsidP="00A62BFF">
      <w:pPr>
        <w:spacing w:after="0"/>
      </w:pPr>
      <w:r>
        <w:separator/>
      </w:r>
    </w:p>
  </w:endnote>
  <w:endnote w:type="continuationSeparator" w:id="0">
    <w:p w14:paraId="253A86CE" w14:textId="77777777" w:rsidR="00C75BF1" w:rsidRDefault="00C75BF1" w:rsidP="00A62BFF">
      <w:pPr>
        <w:spacing w:after="0"/>
      </w:pPr>
      <w:r>
        <w:continuationSeparator/>
      </w:r>
    </w:p>
  </w:endnote>
  <w:endnote w:type="continuationNotice" w:id="1">
    <w:p w14:paraId="6108EEB7" w14:textId="77777777" w:rsidR="00C75BF1" w:rsidRDefault="00C75B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3"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DB1C2" w14:textId="77777777" w:rsidR="00C75BF1" w:rsidRDefault="00C75BF1" w:rsidP="00A62BFF">
      <w:pPr>
        <w:spacing w:after="0"/>
      </w:pPr>
      <w:r>
        <w:separator/>
      </w:r>
    </w:p>
  </w:footnote>
  <w:footnote w:type="continuationSeparator" w:id="0">
    <w:p w14:paraId="543513AF" w14:textId="77777777" w:rsidR="00C75BF1" w:rsidRDefault="00C75BF1" w:rsidP="00A62BFF">
      <w:pPr>
        <w:spacing w:after="0"/>
      </w:pPr>
      <w:r>
        <w:continuationSeparator/>
      </w:r>
    </w:p>
  </w:footnote>
  <w:footnote w:type="continuationNotice" w:id="1">
    <w:p w14:paraId="3F775ECF" w14:textId="77777777" w:rsidR="00C75BF1" w:rsidRDefault="00C75B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2A20083C" w14:textId="77777777" w:rsidR="00B26D29"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72396C"/>
    <w:multiLevelType w:val="hybridMultilevel"/>
    <w:tmpl w:val="4D94850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AE337FB"/>
    <w:multiLevelType w:val="hybridMultilevel"/>
    <w:tmpl w:val="97C85C2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8" w15:restartNumberingAfterBreak="0">
    <w:nsid w:val="301F608C"/>
    <w:multiLevelType w:val="multilevel"/>
    <w:tmpl w:val="273A46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B75BB3"/>
    <w:multiLevelType w:val="multilevel"/>
    <w:tmpl w:val="4EAECA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62A0448"/>
    <w:multiLevelType w:val="multilevel"/>
    <w:tmpl w:val="B928E74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4"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CA614CD"/>
    <w:multiLevelType w:val="hybridMultilevel"/>
    <w:tmpl w:val="EDF0CF5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 w15:restartNumberingAfterBreak="0">
    <w:nsid w:val="719A740C"/>
    <w:multiLevelType w:val="multilevel"/>
    <w:tmpl w:val="A48621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7"/>
  </w:num>
  <w:num w:numId="12" w16cid:durableId="351030145">
    <w:abstractNumId w:val="11"/>
  </w:num>
  <w:num w:numId="13" w16cid:durableId="478769964">
    <w:abstractNumId w:val="15"/>
  </w:num>
  <w:num w:numId="14" w16cid:durableId="778262459">
    <w:abstractNumId w:val="17"/>
  </w:num>
  <w:num w:numId="15" w16cid:durableId="1574043876">
    <w:abstractNumId w:val="28"/>
  </w:num>
  <w:num w:numId="16" w16cid:durableId="1669096986">
    <w:abstractNumId w:val="23"/>
  </w:num>
  <w:num w:numId="17" w16cid:durableId="812258246">
    <w:abstractNumId w:val="3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9"/>
  </w:num>
  <w:num w:numId="19" w16cid:durableId="1446345873">
    <w:abstractNumId w:val="10"/>
  </w:num>
  <w:num w:numId="20" w16cid:durableId="1813062293">
    <w:abstractNumId w:val="31"/>
  </w:num>
  <w:num w:numId="21" w16cid:durableId="1127358968">
    <w:abstractNumId w:val="22"/>
  </w:num>
  <w:num w:numId="22" w16cid:durableId="521820874">
    <w:abstractNumId w:val="12"/>
  </w:num>
  <w:num w:numId="23" w16cid:durableId="972322984">
    <w:abstractNumId w:val="24"/>
  </w:num>
  <w:num w:numId="24" w16cid:durableId="525212309">
    <w:abstractNumId w:val="16"/>
  </w:num>
  <w:num w:numId="25" w16cid:durableId="12155036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8940684">
    <w:abstractNumId w:val="14"/>
  </w:num>
  <w:num w:numId="27" w16cid:durableId="642806596">
    <w:abstractNumId w:val="25"/>
  </w:num>
  <w:num w:numId="28" w16cid:durableId="125314828">
    <w:abstractNumId w:val="20"/>
  </w:num>
  <w:num w:numId="29" w16cid:durableId="1009718336">
    <w:abstractNumId w:val="21"/>
  </w:num>
  <w:num w:numId="30" w16cid:durableId="992834911">
    <w:abstractNumId w:val="29"/>
  </w:num>
  <w:num w:numId="31" w16cid:durableId="614677930">
    <w:abstractNumId w:val="18"/>
  </w:num>
  <w:num w:numId="32" w16cid:durableId="206652060">
    <w:abstractNumId w:val="1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 Note">
    <w15:presenceInfo w15:providerId="None" w15:userId="Guidance No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E0F"/>
    <w:rsid w:val="00061FBD"/>
    <w:rsid w:val="00062681"/>
    <w:rsid w:val="00062B8A"/>
    <w:rsid w:val="00062E14"/>
    <w:rsid w:val="00063605"/>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07AC"/>
    <w:rsid w:val="0009211E"/>
    <w:rsid w:val="0009276B"/>
    <w:rsid w:val="00092C02"/>
    <w:rsid w:val="00092D2F"/>
    <w:rsid w:val="00093369"/>
    <w:rsid w:val="000946F1"/>
    <w:rsid w:val="00094E5F"/>
    <w:rsid w:val="00094F88"/>
    <w:rsid w:val="0009609C"/>
    <w:rsid w:val="000966D4"/>
    <w:rsid w:val="00097FED"/>
    <w:rsid w:val="000A1C65"/>
    <w:rsid w:val="000A2700"/>
    <w:rsid w:val="000A2C20"/>
    <w:rsid w:val="000A4598"/>
    <w:rsid w:val="000A730E"/>
    <w:rsid w:val="000B0F9C"/>
    <w:rsid w:val="000B19B2"/>
    <w:rsid w:val="000B1B73"/>
    <w:rsid w:val="000B296B"/>
    <w:rsid w:val="000B304C"/>
    <w:rsid w:val="000B3F97"/>
    <w:rsid w:val="000B4251"/>
    <w:rsid w:val="000B475E"/>
    <w:rsid w:val="000B509D"/>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E7A11"/>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6ED"/>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09A"/>
    <w:rsid w:val="00127759"/>
    <w:rsid w:val="00130D22"/>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A3"/>
    <w:rsid w:val="001510CA"/>
    <w:rsid w:val="001516B9"/>
    <w:rsid w:val="00151D8A"/>
    <w:rsid w:val="00152912"/>
    <w:rsid w:val="00153066"/>
    <w:rsid w:val="001535B0"/>
    <w:rsid w:val="001536C3"/>
    <w:rsid w:val="00154713"/>
    <w:rsid w:val="00154C3B"/>
    <w:rsid w:val="00155E29"/>
    <w:rsid w:val="00157D11"/>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0321"/>
    <w:rsid w:val="001812B1"/>
    <w:rsid w:val="00181B49"/>
    <w:rsid w:val="00182168"/>
    <w:rsid w:val="00182640"/>
    <w:rsid w:val="0018442C"/>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3B4"/>
    <w:rsid w:val="002B3A58"/>
    <w:rsid w:val="002B402A"/>
    <w:rsid w:val="002B43DB"/>
    <w:rsid w:val="002B56D4"/>
    <w:rsid w:val="002B6AD9"/>
    <w:rsid w:val="002B7668"/>
    <w:rsid w:val="002B7DEC"/>
    <w:rsid w:val="002C112B"/>
    <w:rsid w:val="002C1211"/>
    <w:rsid w:val="002C1261"/>
    <w:rsid w:val="002C2706"/>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A0B"/>
    <w:rsid w:val="002E0E15"/>
    <w:rsid w:val="002E2BF9"/>
    <w:rsid w:val="002E6822"/>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4DD"/>
    <w:rsid w:val="003067B1"/>
    <w:rsid w:val="00306812"/>
    <w:rsid w:val="003102FE"/>
    <w:rsid w:val="00310AB7"/>
    <w:rsid w:val="00313E6E"/>
    <w:rsid w:val="00314D99"/>
    <w:rsid w:val="00314E7F"/>
    <w:rsid w:val="0031633F"/>
    <w:rsid w:val="003166D9"/>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07F5"/>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97103"/>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4CB8"/>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3514"/>
    <w:rsid w:val="00404065"/>
    <w:rsid w:val="0040422E"/>
    <w:rsid w:val="00405212"/>
    <w:rsid w:val="00407183"/>
    <w:rsid w:val="004132D1"/>
    <w:rsid w:val="00413956"/>
    <w:rsid w:val="00413CEE"/>
    <w:rsid w:val="004140D9"/>
    <w:rsid w:val="0041583A"/>
    <w:rsid w:val="00415A85"/>
    <w:rsid w:val="00416E60"/>
    <w:rsid w:val="004207C1"/>
    <w:rsid w:val="00420DE8"/>
    <w:rsid w:val="004232AA"/>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060A"/>
    <w:rsid w:val="0046180F"/>
    <w:rsid w:val="00464A3D"/>
    <w:rsid w:val="00467853"/>
    <w:rsid w:val="004710DC"/>
    <w:rsid w:val="004713FB"/>
    <w:rsid w:val="00473562"/>
    <w:rsid w:val="00473C1A"/>
    <w:rsid w:val="00474271"/>
    <w:rsid w:val="00474678"/>
    <w:rsid w:val="00476900"/>
    <w:rsid w:val="00477C68"/>
    <w:rsid w:val="00480421"/>
    <w:rsid w:val="004808CC"/>
    <w:rsid w:val="0048102A"/>
    <w:rsid w:val="004833B0"/>
    <w:rsid w:val="00483E04"/>
    <w:rsid w:val="0048569C"/>
    <w:rsid w:val="00485B0F"/>
    <w:rsid w:val="00486CB3"/>
    <w:rsid w:val="00486CFC"/>
    <w:rsid w:val="004870CC"/>
    <w:rsid w:val="00490902"/>
    <w:rsid w:val="00490BA7"/>
    <w:rsid w:val="0049205D"/>
    <w:rsid w:val="00493C98"/>
    <w:rsid w:val="00496719"/>
    <w:rsid w:val="00496763"/>
    <w:rsid w:val="004969EE"/>
    <w:rsid w:val="00497673"/>
    <w:rsid w:val="00497F0C"/>
    <w:rsid w:val="004A07FA"/>
    <w:rsid w:val="004A08A0"/>
    <w:rsid w:val="004A338B"/>
    <w:rsid w:val="004A43DA"/>
    <w:rsid w:val="004A461F"/>
    <w:rsid w:val="004A4AB5"/>
    <w:rsid w:val="004A550D"/>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531"/>
    <w:rsid w:val="00513FAC"/>
    <w:rsid w:val="00514E24"/>
    <w:rsid w:val="00516216"/>
    <w:rsid w:val="0051635D"/>
    <w:rsid w:val="00517A92"/>
    <w:rsid w:val="00522096"/>
    <w:rsid w:val="005220C6"/>
    <w:rsid w:val="005223E7"/>
    <w:rsid w:val="005228B8"/>
    <w:rsid w:val="00522F09"/>
    <w:rsid w:val="005253BF"/>
    <w:rsid w:val="0052796C"/>
    <w:rsid w:val="00527EF2"/>
    <w:rsid w:val="00530B60"/>
    <w:rsid w:val="00531DBD"/>
    <w:rsid w:val="0053334A"/>
    <w:rsid w:val="005337E8"/>
    <w:rsid w:val="00533C8E"/>
    <w:rsid w:val="00535700"/>
    <w:rsid w:val="00540390"/>
    <w:rsid w:val="00541600"/>
    <w:rsid w:val="00541E47"/>
    <w:rsid w:val="00543B47"/>
    <w:rsid w:val="005441CC"/>
    <w:rsid w:val="00544DBC"/>
    <w:rsid w:val="00545F4B"/>
    <w:rsid w:val="005479AB"/>
    <w:rsid w:val="005506CE"/>
    <w:rsid w:val="0055119D"/>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241"/>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D89"/>
    <w:rsid w:val="00607F76"/>
    <w:rsid w:val="0061022B"/>
    <w:rsid w:val="00610A63"/>
    <w:rsid w:val="006114A6"/>
    <w:rsid w:val="00611B4B"/>
    <w:rsid w:val="00616D69"/>
    <w:rsid w:val="0062036F"/>
    <w:rsid w:val="00621DC9"/>
    <w:rsid w:val="00622179"/>
    <w:rsid w:val="00624624"/>
    <w:rsid w:val="00624968"/>
    <w:rsid w:val="00624B10"/>
    <w:rsid w:val="0062521E"/>
    <w:rsid w:val="00625C5D"/>
    <w:rsid w:val="006264D8"/>
    <w:rsid w:val="00627095"/>
    <w:rsid w:val="0063061C"/>
    <w:rsid w:val="00631F40"/>
    <w:rsid w:val="00632488"/>
    <w:rsid w:val="00632545"/>
    <w:rsid w:val="006325D5"/>
    <w:rsid w:val="00637248"/>
    <w:rsid w:val="0064031B"/>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7767E"/>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3D2C"/>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2853"/>
    <w:rsid w:val="006D4919"/>
    <w:rsid w:val="006D6073"/>
    <w:rsid w:val="006D6266"/>
    <w:rsid w:val="006E0512"/>
    <w:rsid w:val="006E055E"/>
    <w:rsid w:val="006E0E6C"/>
    <w:rsid w:val="006E1030"/>
    <w:rsid w:val="006E5041"/>
    <w:rsid w:val="006E510D"/>
    <w:rsid w:val="006E6687"/>
    <w:rsid w:val="006E7597"/>
    <w:rsid w:val="006F2FDC"/>
    <w:rsid w:val="006F3637"/>
    <w:rsid w:val="006F37D9"/>
    <w:rsid w:val="006F4409"/>
    <w:rsid w:val="006F4CCF"/>
    <w:rsid w:val="006F4F97"/>
    <w:rsid w:val="006F5473"/>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0B41"/>
    <w:rsid w:val="0072207E"/>
    <w:rsid w:val="00722224"/>
    <w:rsid w:val="007246A2"/>
    <w:rsid w:val="00725C76"/>
    <w:rsid w:val="007304EE"/>
    <w:rsid w:val="00731195"/>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431"/>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25A3"/>
    <w:rsid w:val="008040A5"/>
    <w:rsid w:val="00804C27"/>
    <w:rsid w:val="00804F2C"/>
    <w:rsid w:val="00805FAF"/>
    <w:rsid w:val="008060A0"/>
    <w:rsid w:val="00806C71"/>
    <w:rsid w:val="00811CEA"/>
    <w:rsid w:val="00812C0D"/>
    <w:rsid w:val="00812EC3"/>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6A3"/>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474"/>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3DF"/>
    <w:rsid w:val="008B2E0E"/>
    <w:rsid w:val="008B303A"/>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70A"/>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D11"/>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C5C"/>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A7F"/>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868"/>
    <w:rsid w:val="00A1490D"/>
    <w:rsid w:val="00A20612"/>
    <w:rsid w:val="00A207F6"/>
    <w:rsid w:val="00A20B4E"/>
    <w:rsid w:val="00A21BEC"/>
    <w:rsid w:val="00A21C24"/>
    <w:rsid w:val="00A221AB"/>
    <w:rsid w:val="00A222B6"/>
    <w:rsid w:val="00A234B6"/>
    <w:rsid w:val="00A23F19"/>
    <w:rsid w:val="00A24E4E"/>
    <w:rsid w:val="00A25CC7"/>
    <w:rsid w:val="00A26E4F"/>
    <w:rsid w:val="00A2731B"/>
    <w:rsid w:val="00A27413"/>
    <w:rsid w:val="00A27C71"/>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63BB"/>
    <w:rsid w:val="00A77D5B"/>
    <w:rsid w:val="00A84E23"/>
    <w:rsid w:val="00A85844"/>
    <w:rsid w:val="00A86291"/>
    <w:rsid w:val="00A87456"/>
    <w:rsid w:val="00A87471"/>
    <w:rsid w:val="00A8770E"/>
    <w:rsid w:val="00A907DE"/>
    <w:rsid w:val="00A90FC5"/>
    <w:rsid w:val="00A91244"/>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A75"/>
    <w:rsid w:val="00AB5A67"/>
    <w:rsid w:val="00AB5A91"/>
    <w:rsid w:val="00AB63B7"/>
    <w:rsid w:val="00AB6717"/>
    <w:rsid w:val="00AC0A59"/>
    <w:rsid w:val="00AC2267"/>
    <w:rsid w:val="00AC613B"/>
    <w:rsid w:val="00AC721F"/>
    <w:rsid w:val="00AC78CA"/>
    <w:rsid w:val="00AD2BDC"/>
    <w:rsid w:val="00AD3CA9"/>
    <w:rsid w:val="00AD43E2"/>
    <w:rsid w:val="00AD5D5A"/>
    <w:rsid w:val="00AD7437"/>
    <w:rsid w:val="00AE087D"/>
    <w:rsid w:val="00AE387D"/>
    <w:rsid w:val="00AE4A2C"/>
    <w:rsid w:val="00AE4A93"/>
    <w:rsid w:val="00AE5606"/>
    <w:rsid w:val="00AE6B76"/>
    <w:rsid w:val="00AF053F"/>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3684"/>
    <w:rsid w:val="00B1452D"/>
    <w:rsid w:val="00B1499F"/>
    <w:rsid w:val="00B14BE9"/>
    <w:rsid w:val="00B150A1"/>
    <w:rsid w:val="00B16FC9"/>
    <w:rsid w:val="00B17C6A"/>
    <w:rsid w:val="00B2187B"/>
    <w:rsid w:val="00B220E0"/>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A02"/>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13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BF1"/>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47D8"/>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818"/>
    <w:rsid w:val="00D479C1"/>
    <w:rsid w:val="00D50BD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B5F"/>
    <w:rsid w:val="00D94EBE"/>
    <w:rsid w:val="00D95190"/>
    <w:rsid w:val="00D96571"/>
    <w:rsid w:val="00D96C6E"/>
    <w:rsid w:val="00D97234"/>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4E47"/>
    <w:rsid w:val="00DE52BF"/>
    <w:rsid w:val="00DE7D00"/>
    <w:rsid w:val="00DF0774"/>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77EC2"/>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4B06"/>
    <w:rsid w:val="00EA5402"/>
    <w:rsid w:val="00EA5950"/>
    <w:rsid w:val="00EA660C"/>
    <w:rsid w:val="00EA69C0"/>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0E1B"/>
    <w:rsid w:val="00EE1FA3"/>
    <w:rsid w:val="00EE36EE"/>
    <w:rsid w:val="00EE3968"/>
    <w:rsid w:val="00EE403C"/>
    <w:rsid w:val="00EE4DF3"/>
    <w:rsid w:val="00EE7662"/>
    <w:rsid w:val="00EE78A6"/>
    <w:rsid w:val="00EF0EC7"/>
    <w:rsid w:val="00EF2998"/>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6237"/>
    <w:rsid w:val="00F266B7"/>
    <w:rsid w:val="00F2715F"/>
    <w:rsid w:val="00F30232"/>
    <w:rsid w:val="00F30875"/>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411"/>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278"/>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CEDBC8E1-43A1-4A4D-AA2E-AF3D7E980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A02"/>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D6A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A02"/>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403514"/>
    <w:pPr>
      <w:keepNext/>
      <w:numPr>
        <w:ilvl w:val="7"/>
      </w:numPr>
      <w:shd w:val="clear" w:color="auto" w:fill="3F0731"/>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3514"/>
    <w:rPr>
      <w:rFonts w:cs="Arial"/>
      <w:b/>
      <w:bCs/>
      <w:color w:val="FFFFFF" w:themeColor="background1"/>
      <w:kern w:val="32"/>
      <w:sz w:val="28"/>
      <w:szCs w:val="32"/>
      <w:shd w:val="clear" w:color="auto" w:fill="3F0731"/>
      <w:lang w:val="en-GB"/>
      <w14:ligatures w14:val="standardContextual"/>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 w:type="paragraph" w:customStyle="1" w:styleId="paragraph">
    <w:name w:val="paragraph"/>
    <w:basedOn w:val="Normal"/>
    <w:rsid w:val="003064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3064DD"/>
  </w:style>
  <w:style w:type="character" w:customStyle="1" w:styleId="eop">
    <w:name w:val="eop"/>
    <w:basedOn w:val="DefaultParagraphFont"/>
    <w:rsid w:val="003064DD"/>
  </w:style>
  <w:style w:type="paragraph" w:styleId="Revision">
    <w:name w:val="Revision"/>
    <w:hidden/>
    <w:uiPriority w:val="99"/>
    <w:semiHidden/>
    <w:rsid w:val="00BD6A02"/>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2928440">
      <w:bodyDiv w:val="1"/>
      <w:marLeft w:val="0"/>
      <w:marRight w:val="0"/>
      <w:marTop w:val="0"/>
      <w:marBottom w:val="0"/>
      <w:divBdr>
        <w:top w:val="none" w:sz="0" w:space="0" w:color="auto"/>
        <w:left w:val="none" w:sz="0" w:space="0" w:color="auto"/>
        <w:bottom w:val="none" w:sz="0" w:space="0" w:color="auto"/>
        <w:right w:val="none" w:sz="0" w:space="0" w:color="auto"/>
      </w:divBdr>
    </w:div>
    <w:div w:id="68767824">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1662801">
      <w:bodyDiv w:val="1"/>
      <w:marLeft w:val="0"/>
      <w:marRight w:val="0"/>
      <w:marTop w:val="0"/>
      <w:marBottom w:val="0"/>
      <w:divBdr>
        <w:top w:val="none" w:sz="0" w:space="0" w:color="auto"/>
        <w:left w:val="none" w:sz="0" w:space="0" w:color="auto"/>
        <w:bottom w:val="none" w:sz="0" w:space="0" w:color="auto"/>
        <w:right w:val="none" w:sz="0" w:space="0" w:color="auto"/>
      </w:divBdr>
      <w:divsChild>
        <w:div w:id="1049384078">
          <w:marLeft w:val="0"/>
          <w:marRight w:val="0"/>
          <w:marTop w:val="0"/>
          <w:marBottom w:val="0"/>
          <w:divBdr>
            <w:top w:val="none" w:sz="0" w:space="0" w:color="auto"/>
            <w:left w:val="none" w:sz="0" w:space="0" w:color="auto"/>
            <w:bottom w:val="none" w:sz="0" w:space="0" w:color="auto"/>
            <w:right w:val="none" w:sz="0" w:space="0" w:color="auto"/>
          </w:divBdr>
          <w:divsChild>
            <w:div w:id="432865925">
              <w:marLeft w:val="0"/>
              <w:marRight w:val="0"/>
              <w:marTop w:val="0"/>
              <w:marBottom w:val="0"/>
              <w:divBdr>
                <w:top w:val="none" w:sz="0" w:space="0" w:color="auto"/>
                <w:left w:val="none" w:sz="0" w:space="0" w:color="auto"/>
                <w:bottom w:val="none" w:sz="0" w:space="0" w:color="auto"/>
                <w:right w:val="none" w:sz="0" w:space="0" w:color="auto"/>
              </w:divBdr>
            </w:div>
            <w:div w:id="632751289">
              <w:marLeft w:val="0"/>
              <w:marRight w:val="0"/>
              <w:marTop w:val="0"/>
              <w:marBottom w:val="0"/>
              <w:divBdr>
                <w:top w:val="none" w:sz="0" w:space="0" w:color="auto"/>
                <w:left w:val="none" w:sz="0" w:space="0" w:color="auto"/>
                <w:bottom w:val="none" w:sz="0" w:space="0" w:color="auto"/>
                <w:right w:val="none" w:sz="0" w:space="0" w:color="auto"/>
              </w:divBdr>
            </w:div>
            <w:div w:id="200828026">
              <w:marLeft w:val="0"/>
              <w:marRight w:val="0"/>
              <w:marTop w:val="0"/>
              <w:marBottom w:val="0"/>
              <w:divBdr>
                <w:top w:val="none" w:sz="0" w:space="0" w:color="auto"/>
                <w:left w:val="none" w:sz="0" w:space="0" w:color="auto"/>
                <w:bottom w:val="none" w:sz="0" w:space="0" w:color="auto"/>
                <w:right w:val="none" w:sz="0" w:space="0" w:color="auto"/>
              </w:divBdr>
            </w:div>
          </w:divsChild>
        </w:div>
        <w:div w:id="423380394">
          <w:marLeft w:val="0"/>
          <w:marRight w:val="0"/>
          <w:marTop w:val="0"/>
          <w:marBottom w:val="0"/>
          <w:divBdr>
            <w:top w:val="none" w:sz="0" w:space="0" w:color="auto"/>
            <w:left w:val="none" w:sz="0" w:space="0" w:color="auto"/>
            <w:bottom w:val="none" w:sz="0" w:space="0" w:color="auto"/>
            <w:right w:val="none" w:sz="0" w:space="0" w:color="auto"/>
          </w:divBdr>
          <w:divsChild>
            <w:div w:id="2106487927">
              <w:marLeft w:val="0"/>
              <w:marRight w:val="0"/>
              <w:marTop w:val="0"/>
              <w:marBottom w:val="0"/>
              <w:divBdr>
                <w:top w:val="none" w:sz="0" w:space="0" w:color="auto"/>
                <w:left w:val="none" w:sz="0" w:space="0" w:color="auto"/>
                <w:bottom w:val="none" w:sz="0" w:space="0" w:color="auto"/>
                <w:right w:val="none" w:sz="0" w:space="0" w:color="auto"/>
              </w:divBdr>
            </w:div>
            <w:div w:id="1450196559">
              <w:marLeft w:val="0"/>
              <w:marRight w:val="0"/>
              <w:marTop w:val="0"/>
              <w:marBottom w:val="0"/>
              <w:divBdr>
                <w:top w:val="none" w:sz="0" w:space="0" w:color="auto"/>
                <w:left w:val="none" w:sz="0" w:space="0" w:color="auto"/>
                <w:bottom w:val="none" w:sz="0" w:space="0" w:color="auto"/>
                <w:right w:val="none" w:sz="0" w:space="0" w:color="auto"/>
              </w:divBdr>
            </w:div>
            <w:div w:id="2042440046">
              <w:marLeft w:val="0"/>
              <w:marRight w:val="0"/>
              <w:marTop w:val="0"/>
              <w:marBottom w:val="0"/>
              <w:divBdr>
                <w:top w:val="none" w:sz="0" w:space="0" w:color="auto"/>
                <w:left w:val="none" w:sz="0" w:space="0" w:color="auto"/>
                <w:bottom w:val="none" w:sz="0" w:space="0" w:color="auto"/>
                <w:right w:val="none" w:sz="0" w:space="0" w:color="auto"/>
              </w:divBdr>
            </w:div>
            <w:div w:id="19354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72683371">
      <w:bodyDiv w:val="1"/>
      <w:marLeft w:val="0"/>
      <w:marRight w:val="0"/>
      <w:marTop w:val="0"/>
      <w:marBottom w:val="0"/>
      <w:divBdr>
        <w:top w:val="none" w:sz="0" w:space="0" w:color="auto"/>
        <w:left w:val="none" w:sz="0" w:space="0" w:color="auto"/>
        <w:bottom w:val="none" w:sz="0" w:space="0" w:color="auto"/>
        <w:right w:val="none" w:sz="0" w:space="0" w:color="auto"/>
      </w:divBdr>
      <w:divsChild>
        <w:div w:id="1214148451">
          <w:marLeft w:val="0"/>
          <w:marRight w:val="0"/>
          <w:marTop w:val="0"/>
          <w:marBottom w:val="0"/>
          <w:divBdr>
            <w:top w:val="none" w:sz="0" w:space="0" w:color="auto"/>
            <w:left w:val="none" w:sz="0" w:space="0" w:color="auto"/>
            <w:bottom w:val="none" w:sz="0" w:space="0" w:color="auto"/>
            <w:right w:val="none" w:sz="0" w:space="0" w:color="auto"/>
          </w:divBdr>
          <w:divsChild>
            <w:div w:id="317926361">
              <w:marLeft w:val="0"/>
              <w:marRight w:val="0"/>
              <w:marTop w:val="0"/>
              <w:marBottom w:val="0"/>
              <w:divBdr>
                <w:top w:val="none" w:sz="0" w:space="0" w:color="auto"/>
                <w:left w:val="none" w:sz="0" w:space="0" w:color="auto"/>
                <w:bottom w:val="none" w:sz="0" w:space="0" w:color="auto"/>
                <w:right w:val="none" w:sz="0" w:space="0" w:color="auto"/>
              </w:divBdr>
            </w:div>
            <w:div w:id="1012879639">
              <w:marLeft w:val="0"/>
              <w:marRight w:val="0"/>
              <w:marTop w:val="0"/>
              <w:marBottom w:val="0"/>
              <w:divBdr>
                <w:top w:val="none" w:sz="0" w:space="0" w:color="auto"/>
                <w:left w:val="none" w:sz="0" w:space="0" w:color="auto"/>
                <w:bottom w:val="none" w:sz="0" w:space="0" w:color="auto"/>
                <w:right w:val="none" w:sz="0" w:space="0" w:color="auto"/>
              </w:divBdr>
            </w:div>
            <w:div w:id="436170518">
              <w:marLeft w:val="0"/>
              <w:marRight w:val="0"/>
              <w:marTop w:val="0"/>
              <w:marBottom w:val="0"/>
              <w:divBdr>
                <w:top w:val="none" w:sz="0" w:space="0" w:color="auto"/>
                <w:left w:val="none" w:sz="0" w:space="0" w:color="auto"/>
                <w:bottom w:val="none" w:sz="0" w:space="0" w:color="auto"/>
                <w:right w:val="none" w:sz="0" w:space="0" w:color="auto"/>
              </w:divBdr>
            </w:div>
          </w:divsChild>
        </w:div>
        <w:div w:id="83647909">
          <w:marLeft w:val="0"/>
          <w:marRight w:val="0"/>
          <w:marTop w:val="0"/>
          <w:marBottom w:val="0"/>
          <w:divBdr>
            <w:top w:val="none" w:sz="0" w:space="0" w:color="auto"/>
            <w:left w:val="none" w:sz="0" w:space="0" w:color="auto"/>
            <w:bottom w:val="none" w:sz="0" w:space="0" w:color="auto"/>
            <w:right w:val="none" w:sz="0" w:space="0" w:color="auto"/>
          </w:divBdr>
          <w:divsChild>
            <w:div w:id="659580894">
              <w:marLeft w:val="0"/>
              <w:marRight w:val="0"/>
              <w:marTop w:val="0"/>
              <w:marBottom w:val="0"/>
              <w:divBdr>
                <w:top w:val="none" w:sz="0" w:space="0" w:color="auto"/>
                <w:left w:val="none" w:sz="0" w:space="0" w:color="auto"/>
                <w:bottom w:val="none" w:sz="0" w:space="0" w:color="auto"/>
                <w:right w:val="none" w:sz="0" w:space="0" w:color="auto"/>
              </w:divBdr>
            </w:div>
            <w:div w:id="1804691326">
              <w:marLeft w:val="0"/>
              <w:marRight w:val="0"/>
              <w:marTop w:val="0"/>
              <w:marBottom w:val="0"/>
              <w:divBdr>
                <w:top w:val="none" w:sz="0" w:space="0" w:color="auto"/>
                <w:left w:val="none" w:sz="0" w:space="0" w:color="auto"/>
                <w:bottom w:val="none" w:sz="0" w:space="0" w:color="auto"/>
                <w:right w:val="none" w:sz="0" w:space="0" w:color="auto"/>
              </w:divBdr>
            </w:div>
            <w:div w:id="1861703722">
              <w:marLeft w:val="0"/>
              <w:marRight w:val="0"/>
              <w:marTop w:val="0"/>
              <w:marBottom w:val="0"/>
              <w:divBdr>
                <w:top w:val="none" w:sz="0" w:space="0" w:color="auto"/>
                <w:left w:val="none" w:sz="0" w:space="0" w:color="auto"/>
                <w:bottom w:val="none" w:sz="0" w:space="0" w:color="auto"/>
                <w:right w:val="none" w:sz="0" w:space="0" w:color="auto"/>
              </w:divBdr>
            </w:div>
            <w:div w:id="187938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835333">
      <w:bodyDiv w:val="1"/>
      <w:marLeft w:val="0"/>
      <w:marRight w:val="0"/>
      <w:marTop w:val="0"/>
      <w:marBottom w:val="0"/>
      <w:divBdr>
        <w:top w:val="none" w:sz="0" w:space="0" w:color="auto"/>
        <w:left w:val="none" w:sz="0" w:space="0" w:color="auto"/>
        <w:bottom w:val="none" w:sz="0" w:space="0" w:color="auto"/>
        <w:right w:val="none" w:sz="0" w:space="0" w:color="auto"/>
      </w:divBdr>
      <w:divsChild>
        <w:div w:id="1183057028">
          <w:marLeft w:val="0"/>
          <w:marRight w:val="0"/>
          <w:marTop w:val="0"/>
          <w:marBottom w:val="0"/>
          <w:divBdr>
            <w:top w:val="none" w:sz="0" w:space="0" w:color="auto"/>
            <w:left w:val="none" w:sz="0" w:space="0" w:color="auto"/>
            <w:bottom w:val="none" w:sz="0" w:space="0" w:color="auto"/>
            <w:right w:val="none" w:sz="0" w:space="0" w:color="auto"/>
          </w:divBdr>
          <w:divsChild>
            <w:div w:id="2113085736">
              <w:marLeft w:val="0"/>
              <w:marRight w:val="0"/>
              <w:marTop w:val="0"/>
              <w:marBottom w:val="0"/>
              <w:divBdr>
                <w:top w:val="none" w:sz="0" w:space="0" w:color="auto"/>
                <w:left w:val="none" w:sz="0" w:space="0" w:color="auto"/>
                <w:bottom w:val="none" w:sz="0" w:space="0" w:color="auto"/>
                <w:right w:val="none" w:sz="0" w:space="0" w:color="auto"/>
              </w:divBdr>
            </w:div>
            <w:div w:id="1701007548">
              <w:marLeft w:val="0"/>
              <w:marRight w:val="0"/>
              <w:marTop w:val="0"/>
              <w:marBottom w:val="0"/>
              <w:divBdr>
                <w:top w:val="none" w:sz="0" w:space="0" w:color="auto"/>
                <w:left w:val="none" w:sz="0" w:space="0" w:color="auto"/>
                <w:bottom w:val="none" w:sz="0" w:space="0" w:color="auto"/>
                <w:right w:val="none" w:sz="0" w:space="0" w:color="auto"/>
              </w:divBdr>
            </w:div>
            <w:div w:id="1382906106">
              <w:marLeft w:val="0"/>
              <w:marRight w:val="0"/>
              <w:marTop w:val="0"/>
              <w:marBottom w:val="0"/>
              <w:divBdr>
                <w:top w:val="none" w:sz="0" w:space="0" w:color="auto"/>
                <w:left w:val="none" w:sz="0" w:space="0" w:color="auto"/>
                <w:bottom w:val="none" w:sz="0" w:space="0" w:color="auto"/>
                <w:right w:val="none" w:sz="0" w:space="0" w:color="auto"/>
              </w:divBdr>
            </w:div>
          </w:divsChild>
        </w:div>
        <w:div w:id="189685988">
          <w:marLeft w:val="0"/>
          <w:marRight w:val="0"/>
          <w:marTop w:val="0"/>
          <w:marBottom w:val="0"/>
          <w:divBdr>
            <w:top w:val="none" w:sz="0" w:space="0" w:color="auto"/>
            <w:left w:val="none" w:sz="0" w:space="0" w:color="auto"/>
            <w:bottom w:val="none" w:sz="0" w:space="0" w:color="auto"/>
            <w:right w:val="none" w:sz="0" w:space="0" w:color="auto"/>
          </w:divBdr>
          <w:divsChild>
            <w:div w:id="1033117527">
              <w:marLeft w:val="0"/>
              <w:marRight w:val="0"/>
              <w:marTop w:val="0"/>
              <w:marBottom w:val="0"/>
              <w:divBdr>
                <w:top w:val="none" w:sz="0" w:space="0" w:color="auto"/>
                <w:left w:val="none" w:sz="0" w:space="0" w:color="auto"/>
                <w:bottom w:val="none" w:sz="0" w:space="0" w:color="auto"/>
                <w:right w:val="none" w:sz="0" w:space="0" w:color="auto"/>
              </w:divBdr>
            </w:div>
            <w:div w:id="1483741361">
              <w:marLeft w:val="0"/>
              <w:marRight w:val="0"/>
              <w:marTop w:val="0"/>
              <w:marBottom w:val="0"/>
              <w:divBdr>
                <w:top w:val="none" w:sz="0" w:space="0" w:color="auto"/>
                <w:left w:val="none" w:sz="0" w:space="0" w:color="auto"/>
                <w:bottom w:val="none" w:sz="0" w:space="0" w:color="auto"/>
                <w:right w:val="none" w:sz="0" w:space="0" w:color="auto"/>
              </w:divBdr>
            </w:div>
            <w:div w:id="1081367542">
              <w:marLeft w:val="0"/>
              <w:marRight w:val="0"/>
              <w:marTop w:val="0"/>
              <w:marBottom w:val="0"/>
              <w:divBdr>
                <w:top w:val="none" w:sz="0" w:space="0" w:color="auto"/>
                <w:left w:val="none" w:sz="0" w:space="0" w:color="auto"/>
                <w:bottom w:val="none" w:sz="0" w:space="0" w:color="auto"/>
                <w:right w:val="none" w:sz="0" w:space="0" w:color="auto"/>
              </w:divBdr>
            </w:div>
            <w:div w:id="264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65947654">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04594822">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F9D4C351-69DA-4CA2-B813-672159F55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7</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Guidance Note</cp:lastModifiedBy>
  <cp:revision>8</cp:revision>
  <cp:lastPrinted>2020-06-01T22:47:00Z</cp:lastPrinted>
  <dcterms:created xsi:type="dcterms:W3CDTF">2025-01-23T08:24:00Z</dcterms:created>
  <dcterms:modified xsi:type="dcterms:W3CDTF">2025-01-24T13:43:00Z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