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2941"/>
        <w:tblW w:w="10070"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CD5DCD" w:rsidRPr="00EB32BB" w14:paraId="680FED11" w14:textId="77777777" w:rsidTr="00B53262">
        <w:trPr>
          <w:trHeight w:val="826"/>
        </w:trPr>
        <w:tc>
          <w:tcPr>
            <w:tcW w:w="10070" w:type="dxa"/>
            <w:shd w:val="clear" w:color="auto" w:fill="FF00FF" w:themeFill="accent1"/>
          </w:tcPr>
          <w:p w14:paraId="2591DE75" w14:textId="77777777" w:rsidR="00CD5DCD" w:rsidRPr="00EB32BB" w:rsidRDefault="00CD5DCD" w:rsidP="00B53262">
            <w:pPr>
              <w:pStyle w:val="BlockText"/>
              <w:spacing w:after="0" w:line="240" w:lineRule="auto"/>
              <w:rPr>
                <w:rFonts w:cs="Arial"/>
                <w:sz w:val="20"/>
                <w:szCs w:val="20"/>
              </w:rPr>
            </w:pPr>
            <w:r>
              <w:rPr>
                <w:rFonts w:cs="Arial"/>
                <w:b/>
                <w:sz w:val="28"/>
                <w:szCs w:val="28"/>
              </w:rPr>
              <w:t>CUSC Alternative Form - Charging</w:t>
            </w:r>
          </w:p>
        </w:tc>
      </w:tr>
      <w:tr w:rsidR="00CD5DCD" w:rsidRPr="00EB32BB" w14:paraId="35081B83" w14:textId="77777777" w:rsidTr="00B53262">
        <w:trPr>
          <w:trHeight w:val="2438"/>
        </w:trPr>
        <w:tc>
          <w:tcPr>
            <w:tcW w:w="10070" w:type="dxa"/>
            <w:shd w:val="clear" w:color="auto" w:fill="auto"/>
          </w:tcPr>
          <w:p w14:paraId="061D81C5" w14:textId="53DC800D" w:rsidR="00CD5DCD" w:rsidRPr="00B53262" w:rsidRDefault="00CD5DCD" w:rsidP="00BE4335">
            <w:pPr>
              <w:spacing w:after="0"/>
              <w:rPr>
                <w:rFonts w:cs="Arial"/>
                <w:b/>
                <w:color w:val="3F0731" w:themeColor="text2"/>
                <w:szCs w:val="20"/>
              </w:rPr>
            </w:pPr>
            <w:bookmarkStart w:id="0" w:name="_Hlk31877162"/>
            <w:r w:rsidRPr="00B53262">
              <w:rPr>
                <w:rFonts w:cs="Arial"/>
                <w:b/>
                <w:color w:val="3F0731" w:themeColor="text2"/>
                <w:sz w:val="56"/>
                <w:szCs w:val="56"/>
              </w:rPr>
              <w:t>CMP</w:t>
            </w:r>
            <w:r w:rsidR="00261034">
              <w:rPr>
                <w:rFonts w:cs="Arial"/>
                <w:b/>
                <w:color w:val="3F0731" w:themeColor="text2"/>
                <w:sz w:val="56"/>
                <w:szCs w:val="56"/>
              </w:rPr>
              <w:t>444</w:t>
            </w:r>
            <w:r w:rsidRPr="00B53262">
              <w:rPr>
                <w:rFonts w:cs="Arial"/>
                <w:b/>
                <w:color w:val="3F0731" w:themeColor="text2"/>
                <w:sz w:val="56"/>
                <w:szCs w:val="56"/>
              </w:rPr>
              <w:t xml:space="preserve"> Alternative Request </w:t>
            </w:r>
            <w:r w:rsidR="00880B0F">
              <w:rPr>
                <w:rFonts w:cs="Arial"/>
                <w:b/>
                <w:color w:val="3F0731" w:themeColor="text2"/>
                <w:sz w:val="56"/>
                <w:szCs w:val="56"/>
              </w:rPr>
              <w:t>3</w:t>
            </w:r>
            <w:bookmarkEnd w:id="0"/>
          </w:p>
        </w:tc>
      </w:tr>
      <w:tr w:rsidR="00CD5DCD" w:rsidRPr="00EB32BB" w14:paraId="0CBD2C88" w14:textId="77777777" w:rsidTr="00B53262">
        <w:trPr>
          <w:trHeight w:val="817"/>
        </w:trPr>
        <w:tc>
          <w:tcPr>
            <w:tcW w:w="10070" w:type="dxa"/>
            <w:shd w:val="clear" w:color="auto" w:fill="auto"/>
          </w:tcPr>
          <w:p w14:paraId="13144C3B" w14:textId="23E7E994" w:rsidR="00CD5DCD" w:rsidRPr="00A02D8E" w:rsidRDefault="00CD5DCD" w:rsidP="00B53262">
            <w:pPr>
              <w:pStyle w:val="BodyText2"/>
              <w:spacing w:after="0"/>
              <w:rPr>
                <w:rFonts w:cs="Arial"/>
                <w:b/>
                <w:bCs/>
              </w:rPr>
            </w:pPr>
            <w:r>
              <w:rPr>
                <w:rFonts w:cs="Arial"/>
                <w:b/>
                <w:bCs/>
              </w:rPr>
              <w:t>Overview</w:t>
            </w:r>
            <w:r w:rsidRPr="6DC9E538">
              <w:rPr>
                <w:rFonts w:cs="Arial"/>
                <w:b/>
                <w:bCs/>
              </w:rPr>
              <w:t>:</w:t>
            </w:r>
            <w:r w:rsidRPr="006634D7">
              <w:rPr>
                <w:rFonts w:cs="Arial"/>
              </w:rPr>
              <w:t xml:space="preserve"> </w:t>
            </w:r>
            <w:r w:rsidR="00F60203">
              <w:rPr>
                <w:rFonts w:cs="Arial"/>
              </w:rPr>
              <w:t xml:space="preserve">This proposed </w:t>
            </w:r>
            <w:r w:rsidR="00B85218">
              <w:rPr>
                <w:rFonts w:cs="Arial"/>
              </w:rPr>
              <w:t>Alternative introduces a different way of calculating the various caps when compared to the original by introducing Zonal Grouping. This is designed to maintain locational differences whilst reducing the risk of TNUoS rising significantly higher than expected for all Users as opposed to just those on the extremities.</w:t>
            </w:r>
            <w:r w:rsidR="0077525B">
              <w:rPr>
                <w:rFonts w:cs="Arial"/>
              </w:rPr>
              <w:t xml:space="preserve"> Instead of redistributing revenues</w:t>
            </w:r>
            <w:r w:rsidR="000F114E">
              <w:rPr>
                <w:rFonts w:cs="Arial"/>
              </w:rPr>
              <w:t xml:space="preserve"> and tariff risk</w:t>
            </w:r>
            <w:r w:rsidR="0077525B">
              <w:rPr>
                <w:rFonts w:cs="Arial"/>
              </w:rPr>
              <w:t xml:space="preserve"> amongst</w:t>
            </w:r>
            <w:r w:rsidR="000F114E">
              <w:rPr>
                <w:rFonts w:cs="Arial"/>
              </w:rPr>
              <w:t xml:space="preserve"> various</w:t>
            </w:r>
            <w:r w:rsidR="0077525B">
              <w:rPr>
                <w:rFonts w:cs="Arial"/>
              </w:rPr>
              <w:t xml:space="preserve"> Generators, NESO will set TNUoS tariffs a</w:t>
            </w:r>
            <w:r w:rsidR="00030C8A">
              <w:rPr>
                <w:rFonts w:cs="Arial"/>
              </w:rPr>
              <w:t>ssum</w:t>
            </w:r>
            <w:r w:rsidR="00D87FEA">
              <w:rPr>
                <w:rFonts w:cs="Arial"/>
              </w:rPr>
              <w:t>ing</w:t>
            </w:r>
            <w:r w:rsidR="00030C8A">
              <w:rPr>
                <w:rFonts w:cs="Arial"/>
              </w:rPr>
              <w:t xml:space="preserve"> Generation Tariffs from a revenue perspective are not capped. This maintains the Adjustment Factor at the level </w:t>
            </w:r>
            <w:r w:rsidR="009717EE">
              <w:rPr>
                <w:rFonts w:cs="Arial"/>
              </w:rPr>
              <w:t>it would have been set at</w:t>
            </w:r>
            <w:r w:rsidR="00D87FEA">
              <w:rPr>
                <w:rFonts w:cs="Arial"/>
              </w:rPr>
              <w:t xml:space="preserve"> before the cap</w:t>
            </w:r>
            <w:r w:rsidR="009717EE">
              <w:rPr>
                <w:rFonts w:cs="Arial"/>
              </w:rPr>
              <w:t>. NESO can then determine how best to collect th</w:t>
            </w:r>
            <w:r w:rsidR="00D87FEA">
              <w:rPr>
                <w:rFonts w:cs="Arial"/>
              </w:rPr>
              <w:t>e Allowed</w:t>
            </w:r>
            <w:r w:rsidR="009717EE">
              <w:rPr>
                <w:rFonts w:cs="Arial"/>
              </w:rPr>
              <w:t xml:space="preserve"> </w:t>
            </w:r>
            <w:r w:rsidR="00D87FEA">
              <w:rPr>
                <w:rFonts w:cs="Arial"/>
              </w:rPr>
              <w:t>R</w:t>
            </w:r>
            <w:r w:rsidR="009717EE">
              <w:rPr>
                <w:rFonts w:cs="Arial"/>
              </w:rPr>
              <w:t>evenue.</w:t>
            </w:r>
            <w:r w:rsidR="000F114E">
              <w:rPr>
                <w:rFonts w:cs="Arial"/>
              </w:rPr>
              <w:t xml:space="preserve"> Treat as under recovery or increase the </w:t>
            </w:r>
            <w:r w:rsidR="00D87FEA">
              <w:rPr>
                <w:rFonts w:cs="Arial"/>
              </w:rPr>
              <w:t>D</w:t>
            </w:r>
            <w:r w:rsidR="000F114E">
              <w:rPr>
                <w:rFonts w:cs="Arial"/>
              </w:rPr>
              <w:t xml:space="preserve">emand </w:t>
            </w:r>
            <w:r w:rsidR="00D87FEA">
              <w:rPr>
                <w:rFonts w:cs="Arial"/>
              </w:rPr>
              <w:t>R</w:t>
            </w:r>
            <w:r w:rsidR="000F114E">
              <w:rPr>
                <w:rFonts w:cs="Arial"/>
              </w:rPr>
              <w:t>esidual.</w:t>
            </w:r>
          </w:p>
        </w:tc>
      </w:tr>
      <w:tr w:rsidR="00CD5DCD" w:rsidRPr="00EB32BB" w14:paraId="51AB855C" w14:textId="77777777" w:rsidTr="00B53262">
        <w:trPr>
          <w:trHeight w:val="575"/>
        </w:trPr>
        <w:tc>
          <w:tcPr>
            <w:tcW w:w="10070" w:type="dxa"/>
            <w:shd w:val="clear" w:color="auto" w:fill="auto"/>
          </w:tcPr>
          <w:p w14:paraId="5062209E" w14:textId="4AA19CE4" w:rsidR="00CD5DCD" w:rsidRDefault="00CD5DCD" w:rsidP="00B53262">
            <w:pPr>
              <w:pStyle w:val="BodyText2"/>
              <w:spacing w:after="0"/>
              <w:rPr>
                <w:rFonts w:cs="Arial"/>
              </w:rPr>
            </w:pPr>
            <w:r>
              <w:rPr>
                <w:rFonts w:cs="Arial"/>
                <w:b/>
                <w:bCs/>
              </w:rPr>
              <w:t>Proposer</w:t>
            </w:r>
            <w:r w:rsidRPr="6DC9E538">
              <w:rPr>
                <w:rFonts w:cs="Arial"/>
                <w:b/>
                <w:bCs/>
              </w:rPr>
              <w:t>:</w:t>
            </w:r>
            <w:r w:rsidRPr="006634D7">
              <w:rPr>
                <w:rFonts w:cs="Arial"/>
              </w:rPr>
              <w:t xml:space="preserve"> </w:t>
            </w:r>
            <w:r w:rsidR="00B85218">
              <w:rPr>
                <w:rFonts w:cs="Arial"/>
              </w:rPr>
              <w:t>Damian Clough SSE Generation</w:t>
            </w:r>
          </w:p>
          <w:p w14:paraId="5F8A249D" w14:textId="77777777" w:rsidR="00CD5DCD" w:rsidRDefault="00CD5DCD" w:rsidP="00B53262">
            <w:pPr>
              <w:pStyle w:val="BodyText2"/>
              <w:spacing w:after="0"/>
              <w:rPr>
                <w:rFonts w:cs="Arial"/>
                <w:b/>
                <w:bCs/>
              </w:rPr>
            </w:pPr>
          </w:p>
        </w:tc>
      </w:tr>
      <w:tr w:rsidR="00CD5DCD" w:rsidRPr="00EB32BB" w14:paraId="625FB0B1" w14:textId="77777777" w:rsidTr="00B53262">
        <w:trPr>
          <w:trHeight w:val="575"/>
        </w:trPr>
        <w:tc>
          <w:tcPr>
            <w:tcW w:w="10070" w:type="dxa"/>
            <w:shd w:val="clear" w:color="auto" w:fill="auto"/>
          </w:tcPr>
          <w:p w14:paraId="3C27EA99" w14:textId="346B60E2" w:rsidR="00CD5DCD" w:rsidRPr="00DB45A9" w:rsidRDefault="002774C2" w:rsidP="00B53262">
            <w:pPr>
              <w:pStyle w:val="BodyText2"/>
              <w:spacing w:after="0"/>
              <w:rPr>
                <w:rFonts w:cs="Arial"/>
              </w:rPr>
            </w:pPr>
            <w:sdt>
              <w:sdtPr>
                <w:id w:val="-99870426"/>
                <w14:checkbox>
                  <w14:checked w14:val="1"/>
                  <w14:checkedState w14:val="2612" w14:font="MS Gothic"/>
                  <w14:uncheckedState w14:val="2610" w14:font="MS Gothic"/>
                </w14:checkbox>
              </w:sdtPr>
              <w:sdtEndPr/>
              <w:sdtContent>
                <w:r w:rsidR="00B85218">
                  <w:rPr>
                    <w:rFonts w:ascii="MS Gothic" w:eastAsia="MS Gothic" w:hAnsi="MS Gothic" w:hint="eastAsia"/>
                  </w:rPr>
                  <w:t>☒</w:t>
                </w:r>
              </w:sdtContent>
            </w:sdt>
            <w:r w:rsidR="00CD5DCD">
              <w:t xml:space="preserve"> </w:t>
            </w:r>
            <w:r w:rsidR="00CD5DCD" w:rsidRPr="00DB45A9">
              <w:rPr>
                <w:rFonts w:cs="Arial"/>
              </w:rPr>
              <w:t xml:space="preserve">I/We confirm that </w:t>
            </w:r>
            <w:r w:rsidR="00CD5DCD">
              <w:rPr>
                <w:rFonts w:cs="Arial"/>
              </w:rPr>
              <w:t xml:space="preserve">this Alternative Request proposes to </w:t>
            </w:r>
            <w:r w:rsidR="00CD5DCD" w:rsidRPr="00B3294B">
              <w:rPr>
                <w:rFonts w:cs="Arial"/>
              </w:rPr>
              <w:t xml:space="preserve">modify </w:t>
            </w:r>
            <w:r w:rsidR="00CD5DCD">
              <w:rPr>
                <w:rFonts w:cs="Arial"/>
              </w:rPr>
              <w:t>the charging section of the CUSC only</w:t>
            </w:r>
          </w:p>
        </w:tc>
      </w:tr>
    </w:tbl>
    <w:p w14:paraId="0198813D" w14:textId="77777777" w:rsidR="00CD5DCD" w:rsidRDefault="00CD5DCD" w:rsidP="00CD5DCD">
      <w:pPr>
        <w:rPr>
          <w:rFonts w:cs="Arial"/>
          <w:b/>
          <w:bCs/>
          <w:color w:val="FFFFFF" w:themeColor="background1"/>
          <w:kern w:val="32"/>
          <w:sz w:val="28"/>
          <w:szCs w:val="32"/>
        </w:rPr>
      </w:pPr>
      <w:bookmarkStart w:id="1" w:name="_Executive_Summary"/>
      <w:bookmarkStart w:id="2" w:name="_Workgroup_Consultation_Introduction"/>
      <w:bookmarkEnd w:id="1"/>
      <w:bookmarkEnd w:id="2"/>
    </w:p>
    <w:p w14:paraId="52A2B5FC" w14:textId="77777777" w:rsidR="00CD5DCD" w:rsidRDefault="00CD5DCD" w:rsidP="00CD5DCD">
      <w:pPr>
        <w:rPr>
          <w:rFonts w:cs="Arial"/>
          <w:b/>
          <w:bCs/>
          <w:color w:val="FFFFFF" w:themeColor="background1"/>
          <w:kern w:val="32"/>
          <w:sz w:val="28"/>
          <w:szCs w:val="32"/>
        </w:rPr>
      </w:pPr>
      <w:r>
        <w:br w:type="page"/>
      </w:r>
    </w:p>
    <w:p w14:paraId="472C608F" w14:textId="77777777" w:rsidR="00CD5DCD" w:rsidRPr="00976D98" w:rsidRDefault="00CD5DCD" w:rsidP="00CD5DCD">
      <w:pPr>
        <w:pStyle w:val="Style3"/>
        <w:shd w:val="clear" w:color="auto" w:fill="3F0731" w:themeFill="text2"/>
      </w:pPr>
      <w:r w:rsidRPr="00E93667">
        <w:t xml:space="preserve">What is the </w:t>
      </w:r>
      <w:r>
        <w:t xml:space="preserve">proposed alternative </w:t>
      </w:r>
      <w:r w:rsidRPr="00E93667">
        <w:t>solution?</w:t>
      </w:r>
    </w:p>
    <w:p w14:paraId="2CC2B01A" w14:textId="77777777" w:rsidR="00353337" w:rsidRDefault="00353337" w:rsidP="00353337">
      <w:pPr>
        <w:jc w:val="both"/>
        <w:rPr>
          <w:b/>
          <w:bCs/>
        </w:rPr>
      </w:pPr>
    </w:p>
    <w:p w14:paraId="2EBD8C8E" w14:textId="379A1274" w:rsidR="00353337" w:rsidRPr="00353337" w:rsidRDefault="00353337" w:rsidP="00353337">
      <w:pPr>
        <w:jc w:val="both"/>
      </w:pPr>
      <w:r w:rsidRPr="00353337">
        <w:rPr>
          <w:b/>
          <w:bCs/>
        </w:rPr>
        <w:t>Defect with Original proposal</w:t>
      </w:r>
    </w:p>
    <w:p w14:paraId="38C5F6E8" w14:textId="77777777" w:rsidR="00353337" w:rsidRPr="00353337" w:rsidRDefault="00353337" w:rsidP="00353337">
      <w:pPr>
        <w:numPr>
          <w:ilvl w:val="0"/>
          <w:numId w:val="44"/>
        </w:numPr>
        <w:jc w:val="both"/>
      </w:pPr>
      <w:r w:rsidRPr="00353337">
        <w:t>Fails to provide materially better certainty for investors in zones 8-12</w:t>
      </w:r>
    </w:p>
    <w:p w14:paraId="1D9DFB86" w14:textId="77777777" w:rsidR="00353337" w:rsidRDefault="00353337" w:rsidP="00353337">
      <w:pPr>
        <w:numPr>
          <w:ilvl w:val="0"/>
          <w:numId w:val="44"/>
        </w:numPr>
        <w:jc w:val="both"/>
      </w:pPr>
      <w:r w:rsidRPr="00353337">
        <w:t>Removes locational signal between zones 1-12, but retains elsewhere</w:t>
      </w:r>
    </w:p>
    <w:p w14:paraId="1E274EBC" w14:textId="055FC13C" w:rsidR="004E6456" w:rsidRPr="00353337" w:rsidRDefault="004E6456" w:rsidP="00353337">
      <w:pPr>
        <w:numPr>
          <w:ilvl w:val="0"/>
          <w:numId w:val="44"/>
        </w:numPr>
        <w:jc w:val="both"/>
      </w:pPr>
      <w:r>
        <w:t>Redistributes tariff risk amongst Generators</w:t>
      </w:r>
    </w:p>
    <w:p w14:paraId="50C703F8" w14:textId="77777777" w:rsidR="00353337" w:rsidRPr="00353337" w:rsidRDefault="00353337" w:rsidP="00353337">
      <w:pPr>
        <w:jc w:val="both"/>
        <w:rPr>
          <w:b/>
          <w:bCs/>
        </w:rPr>
      </w:pPr>
    </w:p>
    <w:p w14:paraId="7DF01516" w14:textId="77777777" w:rsidR="00353337" w:rsidRPr="00353337" w:rsidRDefault="00353337" w:rsidP="00353337">
      <w:pPr>
        <w:jc w:val="both"/>
      </w:pPr>
      <w:r w:rsidRPr="00353337">
        <w:rPr>
          <w:b/>
          <w:bCs/>
        </w:rPr>
        <w:t>Proposed alternative methodology</w:t>
      </w:r>
    </w:p>
    <w:p w14:paraId="7E65DE94" w14:textId="77777777" w:rsidR="00353337" w:rsidRPr="00353337" w:rsidRDefault="00353337" w:rsidP="00353337">
      <w:pPr>
        <w:numPr>
          <w:ilvl w:val="0"/>
          <w:numId w:val="45"/>
        </w:numPr>
        <w:jc w:val="both"/>
      </w:pPr>
      <w:r w:rsidRPr="00353337">
        <w:rPr>
          <w:b/>
          <w:bCs/>
        </w:rPr>
        <w:t>Zones 1-7 cap</w:t>
      </w:r>
      <w:r w:rsidRPr="00353337">
        <w:t>: Average of zones 1-7 plus 1 standard deviation</w:t>
      </w:r>
    </w:p>
    <w:p w14:paraId="2518E20E" w14:textId="77777777" w:rsidR="00353337" w:rsidRPr="00353337" w:rsidRDefault="00353337" w:rsidP="00353337">
      <w:pPr>
        <w:numPr>
          <w:ilvl w:val="0"/>
          <w:numId w:val="45"/>
        </w:numPr>
        <w:jc w:val="both"/>
      </w:pPr>
      <w:r w:rsidRPr="00353337">
        <w:rPr>
          <w:b/>
          <w:bCs/>
        </w:rPr>
        <w:t>Zones 8-27 cap</w:t>
      </w:r>
      <w:r w:rsidRPr="00353337">
        <w:t>: Average of zones 8-12 plus 1 standard deviation</w:t>
      </w:r>
    </w:p>
    <w:p w14:paraId="46A50A87" w14:textId="4A6BA208" w:rsidR="00353337" w:rsidRPr="00353337" w:rsidRDefault="00AB71E0" w:rsidP="00353337">
      <w:pPr>
        <w:numPr>
          <w:ilvl w:val="0"/>
          <w:numId w:val="45"/>
        </w:numPr>
        <w:jc w:val="both"/>
      </w:pPr>
      <w:r>
        <w:rPr>
          <w:b/>
          <w:bCs/>
        </w:rPr>
        <w:t xml:space="preserve">Tariffs are set in the tariff model assuming </w:t>
      </w:r>
      <w:r w:rsidR="00870FE2">
        <w:rPr>
          <w:b/>
          <w:bCs/>
        </w:rPr>
        <w:t xml:space="preserve">there is </w:t>
      </w:r>
      <w:r>
        <w:rPr>
          <w:b/>
          <w:bCs/>
        </w:rPr>
        <w:t>no cap</w:t>
      </w:r>
      <w:r w:rsidR="00870FE2">
        <w:rPr>
          <w:b/>
          <w:bCs/>
        </w:rPr>
        <w:t xml:space="preserve"> on Generation tariffs. This </w:t>
      </w:r>
      <w:r w:rsidR="00B763C3">
        <w:rPr>
          <w:b/>
          <w:bCs/>
        </w:rPr>
        <w:t>result</w:t>
      </w:r>
      <w:r w:rsidR="00870FE2">
        <w:rPr>
          <w:b/>
          <w:bCs/>
        </w:rPr>
        <w:t>s</w:t>
      </w:r>
      <w:r w:rsidR="00B763C3">
        <w:rPr>
          <w:b/>
          <w:bCs/>
        </w:rPr>
        <w:t xml:space="preserve"> in the Adjustment Factor remaining unaffected by this modification</w:t>
      </w:r>
    </w:p>
    <w:p w14:paraId="4491B5E8" w14:textId="77777777" w:rsidR="00353337" w:rsidRPr="00353337" w:rsidRDefault="00353337" w:rsidP="00353337">
      <w:pPr>
        <w:jc w:val="both"/>
        <w:rPr>
          <w:b/>
          <w:bCs/>
        </w:rPr>
      </w:pPr>
    </w:p>
    <w:p w14:paraId="24FC6F75" w14:textId="77777777" w:rsidR="00353337" w:rsidRPr="00353337" w:rsidRDefault="00353337" w:rsidP="00353337">
      <w:pPr>
        <w:jc w:val="both"/>
      </w:pPr>
      <w:r w:rsidRPr="00353337">
        <w:rPr>
          <w:b/>
          <w:bCs/>
        </w:rPr>
        <w:t>Cost reflectivity vs Original</w:t>
      </w:r>
    </w:p>
    <w:p w14:paraId="034C9DBF" w14:textId="77777777" w:rsidR="00353337" w:rsidRPr="00353337" w:rsidRDefault="00353337" w:rsidP="00353337">
      <w:pPr>
        <w:numPr>
          <w:ilvl w:val="0"/>
          <w:numId w:val="46"/>
        </w:numPr>
        <w:jc w:val="both"/>
      </w:pPr>
      <w:r w:rsidRPr="00353337">
        <w:rPr>
          <w:b/>
          <w:bCs/>
        </w:rPr>
        <w:t>Better cost reflectivity in zones 1-12</w:t>
      </w:r>
      <w:r w:rsidRPr="00353337">
        <w:t>: Better meets Ofgem statement: “</w:t>
      </w:r>
      <w:r w:rsidRPr="00353337">
        <w:rPr>
          <w:i/>
          <w:iCs/>
        </w:rPr>
        <w:t>retains regional/locational differentials in charges and between technology types through a single GB cap and floor</w:t>
      </w:r>
      <w:r w:rsidRPr="00353337">
        <w:t xml:space="preserve">;” </w:t>
      </w:r>
    </w:p>
    <w:p w14:paraId="2D4C4B61" w14:textId="77777777" w:rsidR="00353337" w:rsidRPr="00353337" w:rsidRDefault="00353337" w:rsidP="00353337">
      <w:pPr>
        <w:jc w:val="both"/>
        <w:rPr>
          <w:b/>
          <w:bCs/>
        </w:rPr>
      </w:pPr>
    </w:p>
    <w:p w14:paraId="62F49B69" w14:textId="77777777" w:rsidR="00353337" w:rsidRPr="00353337" w:rsidRDefault="00353337" w:rsidP="00353337">
      <w:pPr>
        <w:jc w:val="both"/>
      </w:pPr>
      <w:r w:rsidRPr="00353337">
        <w:rPr>
          <w:b/>
          <w:bCs/>
        </w:rPr>
        <w:t>Effective competition vs Original</w:t>
      </w:r>
    </w:p>
    <w:p w14:paraId="5CFAED73" w14:textId="77777777" w:rsidR="00353337" w:rsidRPr="00353337" w:rsidRDefault="00353337" w:rsidP="00353337">
      <w:pPr>
        <w:numPr>
          <w:ilvl w:val="0"/>
          <w:numId w:val="47"/>
        </w:numPr>
        <w:jc w:val="both"/>
      </w:pPr>
      <w:r w:rsidRPr="00353337">
        <w:rPr>
          <w:b/>
          <w:bCs/>
        </w:rPr>
        <w:t xml:space="preserve">Better certainty for zones 8-12: </w:t>
      </w:r>
      <w:r w:rsidRPr="00353337">
        <w:t xml:space="preserve">Better meets Ofgem statement: </w:t>
      </w:r>
      <w:r w:rsidRPr="00353337">
        <w:rPr>
          <w:b/>
          <w:bCs/>
        </w:rPr>
        <w:t>“</w:t>
      </w:r>
      <w:r w:rsidRPr="00353337">
        <w:rPr>
          <w:i/>
          <w:iCs/>
        </w:rPr>
        <w:t>We think this balance will be best achieved by reducing uncertainty around the future range of TNUoS charges, particularly in Northern GB where projected charge increases published by NGESO last year were particularly high and not necessarily aligned with our long-term TNUoS policy direction</w:t>
      </w:r>
      <w:r w:rsidRPr="00353337">
        <w:t xml:space="preserve">.” </w:t>
      </w:r>
    </w:p>
    <w:p w14:paraId="21743A9B" w14:textId="77777777" w:rsidR="00353337" w:rsidRPr="00353337" w:rsidRDefault="00353337" w:rsidP="00353337">
      <w:pPr>
        <w:jc w:val="both"/>
        <w:rPr>
          <w:b/>
          <w:bCs/>
        </w:rPr>
      </w:pPr>
    </w:p>
    <w:p w14:paraId="02F92062" w14:textId="77777777" w:rsidR="00353337" w:rsidRPr="00353337" w:rsidRDefault="00353337" w:rsidP="00353337">
      <w:pPr>
        <w:jc w:val="both"/>
      </w:pPr>
      <w:r w:rsidRPr="00353337">
        <w:rPr>
          <w:b/>
          <w:bCs/>
        </w:rPr>
        <w:t>Efficiency in implementation and administration vs Original</w:t>
      </w:r>
    </w:p>
    <w:p w14:paraId="2A5BFB70" w14:textId="48B97BDD" w:rsidR="00353337" w:rsidRPr="00353337" w:rsidRDefault="00353337" w:rsidP="00353337">
      <w:pPr>
        <w:numPr>
          <w:ilvl w:val="0"/>
          <w:numId w:val="48"/>
        </w:numPr>
        <w:jc w:val="both"/>
      </w:pPr>
      <w:r w:rsidRPr="00353337">
        <w:rPr>
          <w:b/>
          <w:bCs/>
        </w:rPr>
        <w:t xml:space="preserve">Neutral – Retains simplicity of single cap, but with a step: </w:t>
      </w:r>
      <w:r w:rsidRPr="00353337">
        <w:t>Meets Ofgem statement: “</w:t>
      </w:r>
      <w:r w:rsidRPr="00353337">
        <w:rPr>
          <w:i/>
          <w:iCs/>
        </w:rPr>
        <w:t xml:space="preserve">NGESO and other participants in any new proposal should give regard to the specific reasons for our rejection of </w:t>
      </w:r>
      <w:hyperlink r:id="rId11" w:history="1">
        <w:r w:rsidRPr="007E11E3">
          <w:rPr>
            <w:rStyle w:val="Hyperlink"/>
            <w:i/>
            <w:iCs/>
          </w:rPr>
          <w:t>CMP413</w:t>
        </w:r>
      </w:hyperlink>
      <w:r w:rsidRPr="00353337">
        <w:rPr>
          <w:i/>
          <w:iCs/>
        </w:rPr>
        <w:t>, particularly the complexity of the methodology and deliverability.</w:t>
      </w:r>
      <w:r w:rsidRPr="00353337">
        <w:t>”</w:t>
      </w:r>
    </w:p>
    <w:p w14:paraId="25C9B522" w14:textId="77777777" w:rsidR="00353337" w:rsidRPr="00353337" w:rsidRDefault="00353337" w:rsidP="00353337">
      <w:pPr>
        <w:jc w:val="both"/>
      </w:pPr>
    </w:p>
    <w:p w14:paraId="4636A1BB" w14:textId="77777777" w:rsidR="00353337" w:rsidRPr="00353337" w:rsidRDefault="00353337" w:rsidP="00353337">
      <w:pPr>
        <w:jc w:val="both"/>
      </w:pPr>
    </w:p>
    <w:p w14:paraId="38E76E9B" w14:textId="77777777" w:rsidR="00353337" w:rsidRPr="00353337" w:rsidRDefault="00353337" w:rsidP="00353337">
      <w:pPr>
        <w:jc w:val="both"/>
      </w:pPr>
      <w:r w:rsidRPr="00353337">
        <w:t>(On the same rationale, there could also be a case for a three-step cap to have a separate cap for zones 13-27)</w:t>
      </w:r>
    </w:p>
    <w:p w14:paraId="218B0AD3" w14:textId="77777777" w:rsidR="00353337" w:rsidRPr="00353337" w:rsidRDefault="00353337" w:rsidP="00353337">
      <w:pPr>
        <w:jc w:val="both"/>
      </w:pPr>
    </w:p>
    <w:p w14:paraId="6E2B044F" w14:textId="77777777" w:rsidR="00353337" w:rsidRPr="00353337" w:rsidRDefault="00353337" w:rsidP="00353337">
      <w:pPr>
        <w:jc w:val="both"/>
      </w:pPr>
      <w:hyperlink r:id="rId12" w:history="1">
        <w:r w:rsidRPr="00353337">
          <w:rPr>
            <w:rStyle w:val="Hyperlink"/>
          </w:rPr>
          <w:t>*Open Letter: Seeking industry action to develop a temporary intervention to protect the interests of consumers by reducing the uncertainty associated with projected future TNUoS charges</w:t>
        </w:r>
      </w:hyperlink>
    </w:p>
    <w:p w14:paraId="03514BBB" w14:textId="77777777" w:rsidR="00353337" w:rsidRDefault="00353337" w:rsidP="00353337">
      <w:pPr>
        <w:jc w:val="both"/>
      </w:pPr>
    </w:p>
    <w:p w14:paraId="7D1C595A" w14:textId="52231B6E" w:rsidR="00815B6D" w:rsidRDefault="00815B6D" w:rsidP="00353337">
      <w:pPr>
        <w:jc w:val="both"/>
      </w:pPr>
      <w:r w:rsidRPr="00D7149D">
        <w:rPr>
          <w:b/>
          <w:bCs/>
        </w:rPr>
        <w:t xml:space="preserve">Problems with Using </w:t>
      </w:r>
      <w:r w:rsidR="00BC4DE7" w:rsidRPr="00D7149D">
        <w:rPr>
          <w:b/>
          <w:bCs/>
        </w:rPr>
        <w:t xml:space="preserve">a </w:t>
      </w:r>
      <w:r w:rsidRPr="00D7149D">
        <w:rPr>
          <w:b/>
          <w:bCs/>
        </w:rPr>
        <w:t>GB Average</w:t>
      </w:r>
      <w:r w:rsidR="00BC4DE7" w:rsidRPr="00D7149D">
        <w:rPr>
          <w:b/>
          <w:bCs/>
        </w:rPr>
        <w:t xml:space="preserve"> mean</w:t>
      </w:r>
      <w:r w:rsidR="00D7149D">
        <w:rPr>
          <w:b/>
          <w:bCs/>
        </w:rPr>
        <w:t xml:space="preserve"> and 2 Standard Deviations</w:t>
      </w:r>
      <w:r w:rsidR="00BC4DE7">
        <w:t>.</w:t>
      </w:r>
      <w:r>
        <w:tab/>
      </w:r>
    </w:p>
    <w:p w14:paraId="0B72C380" w14:textId="5B0C7E41" w:rsidR="00815B6D" w:rsidRDefault="00815B6D" w:rsidP="00353337">
      <w:pPr>
        <w:jc w:val="both"/>
      </w:pPr>
      <w:r>
        <w:t xml:space="preserve">Using a mean </w:t>
      </w:r>
      <w:r w:rsidR="00BC4DE7">
        <w:t xml:space="preserve">or deciles </w:t>
      </w:r>
      <w:r>
        <w:t>is attractive from a statistical perspective as it dampen</w:t>
      </w:r>
      <w:r w:rsidR="00BC4DE7">
        <w:t>s</w:t>
      </w:r>
      <w:r>
        <w:t xml:space="preserve"> the impact of outliers. </w:t>
      </w:r>
      <w:r w:rsidR="00BC4DE7">
        <w:t xml:space="preserve">However, with TNUoS and locational charges the outliers are not outliers in a statistical sense. They are </w:t>
      </w:r>
      <w:r w:rsidR="00D7149D">
        <w:t xml:space="preserve">an attempt at </w:t>
      </w:r>
      <w:r w:rsidR="00BC4DE7">
        <w:t xml:space="preserve">cost reflective charges </w:t>
      </w:r>
      <w:r w:rsidR="00D7149D">
        <w:t xml:space="preserve">calculated based on </w:t>
      </w:r>
      <w:r w:rsidR="00BC4DE7">
        <w:t>the location of the connection point in relat</w:t>
      </w:r>
      <w:r w:rsidR="00D7149D">
        <w:t>ion</w:t>
      </w:r>
      <w:r w:rsidR="00BC4DE7">
        <w:t xml:space="preserve"> to the centre of demand. </w:t>
      </w:r>
      <w:r w:rsidR="00D7149D">
        <w:t xml:space="preserve">As Demand is the centre of system a calculation utilising a normal distribution would be better suited to demand charges. </w:t>
      </w:r>
    </w:p>
    <w:p w14:paraId="663AEE13" w14:textId="5D910C7E" w:rsidR="00EC036C" w:rsidRDefault="00EC036C" w:rsidP="00353337">
      <w:pPr>
        <w:jc w:val="both"/>
        <w:rPr>
          <w:i/>
          <w:iCs/>
        </w:rPr>
      </w:pPr>
      <w:r w:rsidRPr="00EC036C">
        <w:rPr>
          <w:i/>
          <w:iCs/>
        </w:rPr>
        <w:t>“We think this balance will be best achieved by reducing uncertainty around the future range of TNUoS charges, particularly in Northern GB where projected charge increases published by NGESO last year were particularly high and not necessarily aligned with our long-term TNUoS policy direction.”</w:t>
      </w:r>
    </w:p>
    <w:p w14:paraId="04233712" w14:textId="1C80C210" w:rsidR="00B017F0" w:rsidRPr="00EC036C" w:rsidRDefault="00B017F0" w:rsidP="00353337">
      <w:pPr>
        <w:jc w:val="both"/>
        <w:rPr>
          <w:i/>
          <w:iCs/>
        </w:rPr>
      </w:pPr>
      <w:r>
        <w:rPr>
          <w:i/>
          <w:iCs/>
        </w:rPr>
        <w:t>“</w:t>
      </w:r>
      <w:proofErr w:type="gramStart"/>
      <w:r w:rsidRPr="00B017F0">
        <w:rPr>
          <w:i/>
          <w:iCs/>
        </w:rPr>
        <w:t>retains</w:t>
      </w:r>
      <w:proofErr w:type="gramEnd"/>
      <w:r w:rsidRPr="00B017F0">
        <w:rPr>
          <w:i/>
          <w:iCs/>
        </w:rPr>
        <w:t xml:space="preserve"> regional/locational differentials in charges and between technology types through a single GB cap and floor;</w:t>
      </w:r>
      <w:r>
        <w:rPr>
          <w:i/>
          <w:iCs/>
        </w:rPr>
        <w:t>”</w:t>
      </w:r>
    </w:p>
    <w:p w14:paraId="24EBF8E8" w14:textId="3C6EFB11" w:rsidR="00815B6D" w:rsidRDefault="00BC4DE7" w:rsidP="00353337">
      <w:pPr>
        <w:jc w:val="both"/>
      </w:pPr>
      <w:r>
        <w:t xml:space="preserve">As clearly noted in </w:t>
      </w:r>
      <w:hyperlink r:id="rId13" w:history="1">
        <w:r w:rsidRPr="00D40AA1">
          <w:rPr>
            <w:rStyle w:val="Hyperlink"/>
          </w:rPr>
          <w:t>Ofgem’s Open Letter</w:t>
        </w:r>
      </w:hyperlink>
      <w:r w:rsidR="00D7149D">
        <w:t xml:space="preserve"> r</w:t>
      </w:r>
      <w:r w:rsidR="00815B6D">
        <w:t>elative differences should be maintained but large variances in potential cha</w:t>
      </w:r>
      <w:r w:rsidR="00D7149D">
        <w:t>r</w:t>
      </w:r>
      <w:r w:rsidR="00815B6D">
        <w:t>ges should be removed</w:t>
      </w:r>
      <w:r w:rsidR="00B017F0">
        <w:t xml:space="preserve"> and </w:t>
      </w:r>
      <w:r w:rsidR="00690E97">
        <w:t xml:space="preserve">the tariff rises themselves </w:t>
      </w:r>
      <w:r w:rsidR="00B017F0">
        <w:t xml:space="preserve">limited. </w:t>
      </w:r>
    </w:p>
    <w:p w14:paraId="615D597D" w14:textId="266E89C6" w:rsidR="00690E97" w:rsidRDefault="00B017F0" w:rsidP="00B017F0">
      <w:pPr>
        <w:jc w:val="both"/>
      </w:pPr>
      <w:r>
        <w:t>Using 2 Standard Deviations caps charges at 95% of the mean. Therefore</w:t>
      </w:r>
      <w:r w:rsidR="00D839F5">
        <w:t>,</w:t>
      </w:r>
      <w:r>
        <w:t xml:space="preserve"> the cap will </w:t>
      </w:r>
      <w:r w:rsidRPr="00690E97">
        <w:rPr>
          <w:b/>
          <w:bCs/>
        </w:rPr>
        <w:t>by design</w:t>
      </w:r>
      <w:r>
        <w:t xml:space="preserve"> only </w:t>
      </w:r>
      <w:r w:rsidR="00690E97">
        <w:t>apply to</w:t>
      </w:r>
      <w:r>
        <w:t xml:space="preserve"> the minority when clearly Ofgem stated th</w:t>
      </w:r>
      <w:r w:rsidR="00690E97">
        <w:t>e</w:t>
      </w:r>
      <w:r>
        <w:t xml:space="preserve"> defect lay within Northern GB</w:t>
      </w:r>
      <w:r w:rsidR="00690E97">
        <w:t>.</w:t>
      </w:r>
    </w:p>
    <w:p w14:paraId="4B4B890B" w14:textId="6CC4403C" w:rsidR="00D839F5" w:rsidRDefault="00690E97" w:rsidP="00B017F0">
      <w:pPr>
        <w:jc w:val="both"/>
      </w:pPr>
      <w:r>
        <w:t>Using 1 SD</w:t>
      </w:r>
      <w:r w:rsidR="00D839F5">
        <w:t>, by design,</w:t>
      </w:r>
      <w:r>
        <w:t xml:space="preserve"> caps tariffs at 68% of the mean with a normal distribution. This </w:t>
      </w:r>
      <w:r w:rsidR="00D839F5">
        <w:t xml:space="preserve">adjusted </w:t>
      </w:r>
      <w:r>
        <w:t xml:space="preserve">cap </w:t>
      </w:r>
      <w:r w:rsidR="00D839F5">
        <w:t>when compared to 2</w:t>
      </w:r>
      <w:r w:rsidR="00D40AA1">
        <w:t xml:space="preserve"> </w:t>
      </w:r>
      <w:r w:rsidR="00D839F5">
        <w:t>SD’s</w:t>
      </w:r>
      <w:r>
        <w:t xml:space="preserve"> does </w:t>
      </w:r>
      <w:r w:rsidR="00D839F5">
        <w:t>now impact upon</w:t>
      </w:r>
      <w:r>
        <w:t xml:space="preserve"> Northern GB. It does however remove all locational differences </w:t>
      </w:r>
      <w:r w:rsidR="00D839F5">
        <w:t xml:space="preserve">in these regions </w:t>
      </w:r>
      <w:r>
        <w:t xml:space="preserve">and in some </w:t>
      </w:r>
      <w:r w:rsidR="00D839F5">
        <w:t>zones</w:t>
      </w:r>
      <w:r>
        <w:t xml:space="preserve"> reduces</w:t>
      </w:r>
      <w:r w:rsidR="00D839F5">
        <w:t xml:space="preserve"> existing Tariffs. </w:t>
      </w:r>
    </w:p>
    <w:p w14:paraId="65502A65" w14:textId="461BAC89" w:rsidR="00D839F5" w:rsidRDefault="00D839F5" w:rsidP="00B017F0">
      <w:pPr>
        <w:jc w:val="both"/>
      </w:pPr>
      <w:r>
        <w:t>The original Solution only impacts upon outliers when capping</w:t>
      </w:r>
      <w:r w:rsidR="005E2E79">
        <w:t xml:space="preserve"> at 2SD’s and</w:t>
      </w:r>
      <w:r>
        <w:t xml:space="preserve"> removes locational differences</w:t>
      </w:r>
      <w:r w:rsidR="005E2E79">
        <w:t>, within key areas which has the potential to increase costs as there’s no incentive not to.</w:t>
      </w:r>
    </w:p>
    <w:p w14:paraId="09E8EB18" w14:textId="20D299DE" w:rsidR="00B017F0" w:rsidRDefault="00D839F5" w:rsidP="00B017F0">
      <w:pPr>
        <w:jc w:val="both"/>
      </w:pPr>
      <w:r>
        <w:t xml:space="preserve">The Original Solution proposed must use a Single Cap as that is what Ofgem stated the original solution should look like. </w:t>
      </w:r>
      <w:r w:rsidR="00690E97">
        <w:t xml:space="preserve"> </w:t>
      </w:r>
      <w:r w:rsidR="005E2E79">
        <w:t>However</w:t>
      </w:r>
      <w:r w:rsidR="006858FD">
        <w:t>,</w:t>
      </w:r>
      <w:r w:rsidR="005E2E79">
        <w:t xml:space="preserve"> Ofgem did also state </w:t>
      </w:r>
      <w:proofErr w:type="gramStart"/>
      <w:r w:rsidR="005E2E79">
        <w:t>this;</w:t>
      </w:r>
      <w:proofErr w:type="gramEnd"/>
    </w:p>
    <w:p w14:paraId="6BB04CF7" w14:textId="2499271A" w:rsidR="005E2E79" w:rsidRDefault="005E2E79" w:rsidP="00B017F0">
      <w:pPr>
        <w:jc w:val="both"/>
        <w:rPr>
          <w:i/>
          <w:iCs/>
        </w:rPr>
      </w:pPr>
      <w:r>
        <w:rPr>
          <w:i/>
          <w:iCs/>
        </w:rPr>
        <w:t>“</w:t>
      </w:r>
      <w:r w:rsidRPr="005E2E79">
        <w:rPr>
          <w:i/>
          <w:iCs/>
        </w:rPr>
        <w:t>As any proposal progresses through the Workgroup process, it will be open to parties to raise Workgroup Alternative Code Modifications (‘WACMs’). Should parties wish to raise WACMs, we would encourage that a clear rationale for the alternative is brought forward explaining how it would better facilitate achievement of the ACOs than the status quo and the proposal brought forward by NGESO, as required by the open governance procedure.</w:t>
      </w:r>
      <w:r>
        <w:rPr>
          <w:i/>
          <w:iCs/>
        </w:rPr>
        <w:t>”</w:t>
      </w:r>
    </w:p>
    <w:p w14:paraId="49C0DA82" w14:textId="40938A94" w:rsidR="00DE23A7" w:rsidRDefault="005E2E79" w:rsidP="00B017F0">
      <w:pPr>
        <w:jc w:val="both"/>
      </w:pPr>
      <w:r>
        <w:t>Our argument, and the basis for th</w:t>
      </w:r>
      <w:r w:rsidR="00A70D4C">
        <w:t>is</w:t>
      </w:r>
      <w:r>
        <w:t xml:space="preserve"> WACM is that </w:t>
      </w:r>
      <w:r w:rsidR="00A70D4C">
        <w:t>by having a Single Cap</w:t>
      </w:r>
      <w:r w:rsidR="00F93776">
        <w:t xml:space="preserve"> using a GB average</w:t>
      </w:r>
      <w:r w:rsidR="00A70D4C">
        <w:t xml:space="preserve"> using 2 SD’s you by </w:t>
      </w:r>
      <w:r w:rsidR="00F93776">
        <w:t>design only</w:t>
      </w:r>
      <w:r w:rsidR="00A70D4C">
        <w:t xml:space="preserve"> impact upon </w:t>
      </w:r>
      <w:r w:rsidR="00300A40">
        <w:t>a minority of tari</w:t>
      </w:r>
      <w:r w:rsidR="00B81054">
        <w:t>f</w:t>
      </w:r>
      <w:r w:rsidR="00300A40">
        <w:t>fs</w:t>
      </w:r>
      <w:r w:rsidR="00FC4A38">
        <w:t xml:space="preserve"> and by doing </w:t>
      </w:r>
      <w:r w:rsidR="008A71EB">
        <w:t>you have little to no impact upon those likely to bid into AR7.</w:t>
      </w:r>
      <w:r w:rsidR="00A23F14">
        <w:t xml:space="preserve"> You also remove </w:t>
      </w:r>
      <w:r w:rsidR="001669BA">
        <w:t>locational differences between key areas where new investment and connections will happen</w:t>
      </w:r>
    </w:p>
    <w:p w14:paraId="382D388C" w14:textId="6A78E1CC" w:rsidR="009643EA" w:rsidRDefault="009643EA" w:rsidP="00B017F0">
      <w:pPr>
        <w:jc w:val="both"/>
      </w:pPr>
      <w:r>
        <w:t>When you connect</w:t>
      </w:r>
      <w:r w:rsidR="008B0D5E">
        <w:t xml:space="preserve"> </w:t>
      </w:r>
      <w:r w:rsidR="00871803">
        <w:t>new Generation, exports</w:t>
      </w:r>
      <w:r w:rsidR="008B0D5E">
        <w:t xml:space="preserve"> flow through the System, flipping circuits and </w:t>
      </w:r>
      <w:r w:rsidR="00FC79DE">
        <w:t>increasing tariffs in a rippling effect.</w:t>
      </w:r>
      <w:r w:rsidR="00A159BB">
        <w:t xml:space="preserve"> New Low Carbon </w:t>
      </w:r>
      <w:r w:rsidR="00871803">
        <w:t xml:space="preserve">also </w:t>
      </w:r>
      <w:r w:rsidR="00A159BB">
        <w:t xml:space="preserve">changes the ratio of </w:t>
      </w:r>
      <w:r w:rsidR="0070039E">
        <w:t>Low Carbon to Carbon</w:t>
      </w:r>
      <w:r w:rsidR="00871803">
        <w:t xml:space="preserve"> pushing </w:t>
      </w:r>
      <w:r w:rsidR="007F4835">
        <w:t xml:space="preserve">more </w:t>
      </w:r>
      <w:proofErr w:type="gramStart"/>
      <w:r w:rsidR="007F4835">
        <w:t>Year Round</w:t>
      </w:r>
      <w:proofErr w:type="gramEnd"/>
      <w:r w:rsidR="007F4835">
        <w:t xml:space="preserve"> </w:t>
      </w:r>
      <w:proofErr w:type="spellStart"/>
      <w:r w:rsidR="007F4835">
        <w:t>MWkm</w:t>
      </w:r>
      <w:proofErr w:type="spellEnd"/>
      <w:r w:rsidR="007F4835">
        <w:t xml:space="preserve"> into the Year Round </w:t>
      </w:r>
      <w:r w:rsidR="00863FE3">
        <w:t xml:space="preserve">Not </w:t>
      </w:r>
      <w:r w:rsidR="007F4835">
        <w:t>Shared pot</w:t>
      </w:r>
      <w:r w:rsidR="00863FE3">
        <w:t xml:space="preserve"> as opposed to the Year Round Shared Pot.</w:t>
      </w:r>
      <w:r w:rsidR="005465E2">
        <w:t xml:space="preserve"> </w:t>
      </w:r>
      <w:proofErr w:type="gramStart"/>
      <w:r w:rsidR="005465E2">
        <w:t>So</w:t>
      </w:r>
      <w:proofErr w:type="gramEnd"/>
      <w:r w:rsidR="005465E2">
        <w:t xml:space="preserve"> the argument may go further </w:t>
      </w:r>
      <w:r w:rsidR="0043548D">
        <w:t>upon the cap not impacting upon</w:t>
      </w:r>
      <w:r w:rsidR="00777B7D">
        <w:t xml:space="preserve"> certain areas but by not impacting upon certain areas you may create a situation that more Generation is encouraged to connect in those areas, a</w:t>
      </w:r>
      <w:r w:rsidR="008A7E4B">
        <w:t xml:space="preserve">nd the costs and impacts of doing so, are </w:t>
      </w:r>
      <w:r w:rsidR="00445104">
        <w:t>paid for</w:t>
      </w:r>
      <w:r w:rsidR="008A7E4B">
        <w:t xml:space="preserve"> by nearby areas</w:t>
      </w:r>
      <w:r w:rsidR="00445104">
        <w:t xml:space="preserve"> where the cap doesn’t bite. </w:t>
      </w:r>
      <w:r w:rsidR="00263188">
        <w:t>Arguably t</w:t>
      </w:r>
      <w:r w:rsidR="00445104">
        <w:t xml:space="preserve">his is a skewing of competition and inefficient cost spend. </w:t>
      </w:r>
    </w:p>
    <w:p w14:paraId="1B273F97" w14:textId="64CE08E8" w:rsidR="00263188" w:rsidRDefault="00DE23A7" w:rsidP="00B017F0">
      <w:pPr>
        <w:jc w:val="both"/>
      </w:pPr>
      <w:r>
        <w:t xml:space="preserve">Using 1 SD does more than </w:t>
      </w:r>
      <w:r w:rsidR="00106491">
        <w:t xml:space="preserve">just </w:t>
      </w:r>
      <w:r>
        <w:t xml:space="preserve">limit rises but </w:t>
      </w:r>
      <w:proofErr w:type="gramStart"/>
      <w:r>
        <w:t>actually reduces</w:t>
      </w:r>
      <w:proofErr w:type="gramEnd"/>
      <w:r>
        <w:t xml:space="preserve"> current tariffs</w:t>
      </w:r>
      <w:r w:rsidR="00B81054">
        <w:t xml:space="preserve"> </w:t>
      </w:r>
      <w:r w:rsidR="00263188">
        <w:t>and removes all locational tariffs</w:t>
      </w:r>
      <w:r w:rsidR="0020611A">
        <w:t xml:space="preserve"> in Northern GB.</w:t>
      </w:r>
    </w:p>
    <w:p w14:paraId="5190681E" w14:textId="49F63927" w:rsidR="003038FB" w:rsidRDefault="0020611A" w:rsidP="00B017F0">
      <w:pPr>
        <w:jc w:val="both"/>
      </w:pPr>
      <w:r>
        <w:t>Therefore</w:t>
      </w:r>
      <w:r w:rsidR="002B382A">
        <w:t>,</w:t>
      </w:r>
      <w:r>
        <w:t xml:space="preserve"> the conclusion is</w:t>
      </w:r>
      <w:r w:rsidR="00274C51">
        <w:t>,</w:t>
      </w:r>
      <w:r>
        <w:t xml:space="preserve"> the Single GB Cap based on a GB average </w:t>
      </w:r>
      <w:r w:rsidR="00CF21D1">
        <w:t xml:space="preserve">itself </w:t>
      </w:r>
      <w:r>
        <w:t>is the prob</w:t>
      </w:r>
      <w:r w:rsidR="004023EF">
        <w:t>lem and</w:t>
      </w:r>
      <w:r w:rsidR="00D55F2A">
        <w:t xml:space="preserve"> limiting factor</w:t>
      </w:r>
      <w:r w:rsidR="004023EF">
        <w:t>.</w:t>
      </w:r>
    </w:p>
    <w:p w14:paraId="72AA32B1" w14:textId="45E835AA" w:rsidR="00F96B22" w:rsidRDefault="00DE63A2" w:rsidP="00B017F0">
      <w:pPr>
        <w:jc w:val="both"/>
      </w:pPr>
      <w:r>
        <w:t>This WACM therefore introduces</w:t>
      </w:r>
      <w:r w:rsidR="0029218A">
        <w:t xml:space="preserve"> a </w:t>
      </w:r>
      <w:proofErr w:type="spellStart"/>
      <w:proofErr w:type="gramStart"/>
      <w:r w:rsidR="0029218A">
        <w:t>two step</w:t>
      </w:r>
      <w:proofErr w:type="spellEnd"/>
      <w:proofErr w:type="gramEnd"/>
      <w:r w:rsidR="0029218A">
        <w:t xml:space="preserve"> cap process. Zones 1-7 </w:t>
      </w:r>
      <w:r w:rsidR="00545144">
        <w:t xml:space="preserve">and Zones 8 to </w:t>
      </w:r>
      <w:r w:rsidR="00076C02">
        <w:t>27 have separate caps</w:t>
      </w:r>
      <w:r w:rsidR="00545144">
        <w:t>.</w:t>
      </w:r>
      <w:r w:rsidR="00147774">
        <w:t xml:space="preserve"> The Use of 1 SD limits the tariffs far more appropriately a</w:t>
      </w:r>
      <w:r w:rsidR="00116D5D">
        <w:t>nd ensures the caps bite appropriately</w:t>
      </w:r>
      <w:r w:rsidR="00F96B22">
        <w:t>.</w:t>
      </w:r>
      <w:r w:rsidR="00076C02">
        <w:t xml:space="preserve"> How YRNS is applied to zones </w:t>
      </w:r>
      <w:r w:rsidR="003038FB">
        <w:t>naturally means that there are locational differences</w:t>
      </w:r>
    </w:p>
    <w:p w14:paraId="50299C88" w14:textId="278DC260" w:rsidR="00DC3ACD" w:rsidRDefault="00F96B22" w:rsidP="00B017F0">
      <w:pPr>
        <w:jc w:val="both"/>
      </w:pPr>
      <w:r>
        <w:t>In terms of future Zoning changes</w:t>
      </w:r>
      <w:r w:rsidR="008E2E63">
        <w:t>,</w:t>
      </w:r>
      <w:r>
        <w:t xml:space="preserve"> the two step process</w:t>
      </w:r>
      <w:r w:rsidR="00E0665E">
        <w:t xml:space="preserve"> will be</w:t>
      </w:r>
      <w:r w:rsidR="008E2E63">
        <w:t xml:space="preserve"> mostly</w:t>
      </w:r>
      <w:r w:rsidR="00E0665E">
        <w:t xml:space="preserve"> aligned to</w:t>
      </w:r>
      <w:r w:rsidR="008E2E63">
        <w:t xml:space="preserve"> the proposed</w:t>
      </w:r>
      <w:r w:rsidR="00E0665E">
        <w:t xml:space="preserve"> Zone</w:t>
      </w:r>
      <w:r w:rsidR="00C80314">
        <w:t>s</w:t>
      </w:r>
      <w:r w:rsidR="00E0665E">
        <w:t xml:space="preserve"> 1 and 2 according to the latest </w:t>
      </w:r>
      <w:r w:rsidR="008D1FB6">
        <w:t xml:space="preserve">work within </w:t>
      </w:r>
      <w:hyperlink r:id="rId14" w:history="1">
        <w:r w:rsidR="008D1FB6" w:rsidRPr="006858FD">
          <w:rPr>
            <w:rStyle w:val="Hyperlink"/>
          </w:rPr>
          <w:t>CMP</w:t>
        </w:r>
        <w:r w:rsidR="008E2E63" w:rsidRPr="006858FD">
          <w:rPr>
            <w:rStyle w:val="Hyperlink"/>
          </w:rPr>
          <w:t>419</w:t>
        </w:r>
      </w:hyperlink>
      <w:r w:rsidR="008E2E63">
        <w:t xml:space="preserve"> </w:t>
      </w:r>
      <w:r w:rsidR="00DC3ACD">
        <w:t xml:space="preserve">but this is something for the CMP419 to assess, and </w:t>
      </w:r>
      <w:r w:rsidR="008E2E63">
        <w:t>how</w:t>
      </w:r>
      <w:r w:rsidR="00C80314">
        <w:t xml:space="preserve"> the various solutions may impact upon the baseline</w:t>
      </w:r>
      <w:r w:rsidR="00DC3ACD">
        <w:t>.</w:t>
      </w:r>
    </w:p>
    <w:p w14:paraId="38EF4E6A" w14:textId="55DC9726" w:rsidR="004023EF" w:rsidRDefault="00DC3ACD" w:rsidP="00B017F0">
      <w:pPr>
        <w:jc w:val="both"/>
      </w:pPr>
      <w:r>
        <w:t xml:space="preserve">To not do something because </w:t>
      </w:r>
      <w:r w:rsidR="00B71E7F">
        <w:t>of a potential</w:t>
      </w:r>
      <w:r>
        <w:t xml:space="preserve"> future</w:t>
      </w:r>
      <w:r w:rsidR="00B71E7F">
        <w:t xml:space="preserve"> change is not good governance but it can easily be </w:t>
      </w:r>
      <w:r w:rsidR="00BE202E">
        <w:t>dealt</w:t>
      </w:r>
      <w:r w:rsidR="003120B5">
        <w:t xml:space="preserve">. </w:t>
      </w:r>
      <w:r w:rsidR="00D91D49">
        <w:t xml:space="preserve">Comparisons should always be </w:t>
      </w:r>
      <w:r w:rsidR="0009106E">
        <w:t>made to the current baseline when assessing modifications.</w:t>
      </w:r>
      <w:r w:rsidR="00116D5D">
        <w:t xml:space="preserve"> </w:t>
      </w:r>
    </w:p>
    <w:p w14:paraId="64303153" w14:textId="61D41F26" w:rsidR="003038FB" w:rsidRPr="00353337" w:rsidRDefault="003038FB" w:rsidP="00B017F0">
      <w:pPr>
        <w:jc w:val="both"/>
      </w:pPr>
      <w:r>
        <w:t xml:space="preserve">The impact of the new solution </w:t>
      </w:r>
      <w:r w:rsidR="006C0027">
        <w:t>is shown below.</w:t>
      </w:r>
    </w:p>
    <w:p w14:paraId="01A1C132" w14:textId="478FBDDA" w:rsidR="00B017F0" w:rsidRDefault="00B017F0" w:rsidP="00353337">
      <w:pPr>
        <w:jc w:val="both"/>
      </w:pPr>
    </w:p>
    <w:p w14:paraId="0C81355B" w14:textId="3EB4FE60" w:rsidR="00CD5DCD" w:rsidRDefault="00353337" w:rsidP="00353337">
      <w:pPr>
        <w:jc w:val="both"/>
      </w:pPr>
      <w:r w:rsidRPr="00353337">
        <w:rPr>
          <w:noProof/>
        </w:rPr>
        <w:drawing>
          <wp:inline distT="0" distB="0" distL="0" distR="0" wp14:anchorId="56729CB6" wp14:editId="15439899">
            <wp:extent cx="6188710" cy="6657340"/>
            <wp:effectExtent l="0" t="0" r="2540" b="0"/>
            <wp:docPr id="1724676916" name="Picture 2"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676916" name="Picture 2" descr="A screenshot of a graph&#10;&#10;Description automatically generated"/>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6188710" cy="6657340"/>
                    </a:xfrm>
                    <a:prstGeom prst="rect">
                      <a:avLst/>
                    </a:prstGeom>
                    <a:noFill/>
                    <a:ln>
                      <a:noFill/>
                    </a:ln>
                  </pic:spPr>
                </pic:pic>
              </a:graphicData>
            </a:graphic>
          </wp:inline>
        </w:drawing>
      </w:r>
    </w:p>
    <w:p w14:paraId="43087C6C" w14:textId="77777777" w:rsidR="00353337" w:rsidRDefault="00353337" w:rsidP="00353337">
      <w:pPr>
        <w:jc w:val="both"/>
      </w:pPr>
    </w:p>
    <w:p w14:paraId="53E88AA5" w14:textId="77777777" w:rsidR="00CD5DCD" w:rsidRDefault="00CD5DCD" w:rsidP="00CD5DCD">
      <w:pPr>
        <w:jc w:val="both"/>
      </w:pPr>
    </w:p>
    <w:p w14:paraId="1B1BCAB0" w14:textId="77777777" w:rsidR="00CD5DCD" w:rsidRPr="00313B1D" w:rsidRDefault="00CD5DCD" w:rsidP="00CD5DCD">
      <w:pPr>
        <w:pStyle w:val="Style3"/>
        <w:shd w:val="clear" w:color="auto" w:fill="FF00FF" w:themeFill="accent1"/>
      </w:pPr>
      <w:r w:rsidRPr="00313B1D">
        <w:t>What is the difference between this and the Original Proposal?</w:t>
      </w:r>
    </w:p>
    <w:p w14:paraId="26CB41F1" w14:textId="5CFAB357" w:rsidR="0065662D" w:rsidRDefault="00A1446E" w:rsidP="00CD5DCD">
      <w:pPr>
        <w:spacing w:after="0" w:line="240" w:lineRule="auto"/>
        <w:jc w:val="both"/>
        <w:textAlignment w:val="baseline"/>
        <w:rPr>
          <w:rFonts w:cs="Arial"/>
        </w:rPr>
      </w:pPr>
      <w:r>
        <w:rPr>
          <w:rFonts w:cs="Arial"/>
        </w:rPr>
        <w:t xml:space="preserve">The WACM introduces a </w:t>
      </w:r>
      <w:proofErr w:type="spellStart"/>
      <w:proofErr w:type="gramStart"/>
      <w:r>
        <w:rPr>
          <w:rFonts w:cs="Arial"/>
        </w:rPr>
        <w:t>two step</w:t>
      </w:r>
      <w:proofErr w:type="spellEnd"/>
      <w:proofErr w:type="gramEnd"/>
      <w:r>
        <w:rPr>
          <w:rFonts w:cs="Arial"/>
        </w:rPr>
        <w:t xml:space="preserve"> cap</w:t>
      </w:r>
      <w:r w:rsidR="00D57477">
        <w:rPr>
          <w:rFonts w:cs="Arial"/>
        </w:rPr>
        <w:t xml:space="preserve">. Zone 1 to 7 and Zones </w:t>
      </w:r>
      <w:r w:rsidR="001942C6">
        <w:rPr>
          <w:rFonts w:cs="Arial"/>
        </w:rPr>
        <w:t>8</w:t>
      </w:r>
      <w:r w:rsidR="00D57477">
        <w:rPr>
          <w:rFonts w:cs="Arial"/>
        </w:rPr>
        <w:t xml:space="preserve"> to 27 based on existing zones</w:t>
      </w:r>
      <w:r w:rsidR="001942C6">
        <w:rPr>
          <w:rFonts w:cs="Arial"/>
        </w:rPr>
        <w:t>.</w:t>
      </w:r>
    </w:p>
    <w:p w14:paraId="1588E6C9" w14:textId="122E2F29" w:rsidR="001942C6" w:rsidRDefault="001942C6" w:rsidP="00CD5DCD">
      <w:pPr>
        <w:spacing w:after="0" w:line="240" w:lineRule="auto"/>
        <w:jc w:val="both"/>
        <w:textAlignment w:val="baseline"/>
        <w:rPr>
          <w:rFonts w:cs="Arial"/>
        </w:rPr>
      </w:pPr>
    </w:p>
    <w:p w14:paraId="2E77BBFC" w14:textId="0DFA5A69" w:rsidR="001942C6" w:rsidRDefault="001942C6" w:rsidP="00CD5DCD">
      <w:pPr>
        <w:spacing w:after="0" w:line="240" w:lineRule="auto"/>
        <w:jc w:val="both"/>
        <w:textAlignment w:val="baseline"/>
        <w:rPr>
          <w:rFonts w:cs="Arial"/>
        </w:rPr>
      </w:pPr>
      <w:r>
        <w:rPr>
          <w:rFonts w:cs="Arial"/>
        </w:rPr>
        <w:t>It uses 1 standard deviation as opposed to 2 standard deviations.</w:t>
      </w:r>
    </w:p>
    <w:p w14:paraId="70545C27" w14:textId="77777777" w:rsidR="0065662D" w:rsidRDefault="0065662D" w:rsidP="00CD5DCD">
      <w:pPr>
        <w:spacing w:after="0" w:line="240" w:lineRule="auto"/>
        <w:jc w:val="both"/>
        <w:textAlignment w:val="baseline"/>
        <w:rPr>
          <w:rFonts w:cs="Arial"/>
        </w:rPr>
      </w:pPr>
    </w:p>
    <w:p w14:paraId="56D6342D" w14:textId="491A546A" w:rsidR="0065662D" w:rsidRDefault="0065662D" w:rsidP="00CD5DCD">
      <w:pPr>
        <w:spacing w:after="0" w:line="240" w:lineRule="auto"/>
        <w:jc w:val="both"/>
        <w:textAlignment w:val="baseline"/>
        <w:rPr>
          <w:rFonts w:cs="Arial"/>
        </w:rPr>
      </w:pPr>
      <w:r>
        <w:rPr>
          <w:rFonts w:cs="Arial"/>
        </w:rPr>
        <w:t xml:space="preserve">Under the Original locational </w:t>
      </w:r>
      <w:r w:rsidR="00B7297A">
        <w:rPr>
          <w:rFonts w:cs="Arial"/>
        </w:rPr>
        <w:t>tariffs</w:t>
      </w:r>
      <w:r>
        <w:rPr>
          <w:rFonts w:cs="Arial"/>
        </w:rPr>
        <w:t xml:space="preserve"> are capp</w:t>
      </w:r>
      <w:r w:rsidR="005E7709">
        <w:rPr>
          <w:rFonts w:cs="Arial"/>
        </w:rPr>
        <w:t>ed</w:t>
      </w:r>
      <w:r w:rsidR="00B7297A">
        <w:rPr>
          <w:rFonts w:cs="Arial"/>
        </w:rPr>
        <w:t xml:space="preserve"> which reduces the amount of revenue to </w:t>
      </w:r>
      <w:proofErr w:type="gramStart"/>
      <w:r w:rsidR="00B7297A">
        <w:rPr>
          <w:rFonts w:cs="Arial"/>
        </w:rPr>
        <w:t>returned back</w:t>
      </w:r>
      <w:proofErr w:type="gramEnd"/>
      <w:r w:rsidR="00B7297A">
        <w:rPr>
          <w:rFonts w:cs="Arial"/>
        </w:rPr>
        <w:t xml:space="preserve"> via the negative adjustment facto</w:t>
      </w:r>
      <w:r w:rsidR="00A57094">
        <w:rPr>
          <w:rFonts w:cs="Arial"/>
        </w:rPr>
        <w:t xml:space="preserve">r. </w:t>
      </w:r>
      <w:r w:rsidR="009B1F78">
        <w:rPr>
          <w:rFonts w:cs="Arial"/>
        </w:rPr>
        <w:t xml:space="preserve">This solution </w:t>
      </w:r>
      <w:r w:rsidR="00112765">
        <w:rPr>
          <w:rFonts w:cs="Arial"/>
        </w:rPr>
        <w:t xml:space="preserve">calculates the negative adjustment factor pre capping, i.e. </w:t>
      </w:r>
      <w:r w:rsidR="0071735C">
        <w:rPr>
          <w:rFonts w:cs="Arial"/>
        </w:rPr>
        <w:t>as if there is no cap. This will lead to either an under recovery or an adjustment to be made to the Demand Residual to ensure</w:t>
      </w:r>
      <w:r w:rsidR="001D7292">
        <w:rPr>
          <w:rFonts w:cs="Arial"/>
        </w:rPr>
        <w:t xml:space="preserve"> revenue recovery. </w:t>
      </w:r>
    </w:p>
    <w:p w14:paraId="4AC05666" w14:textId="77777777" w:rsidR="00CD5DCD" w:rsidRDefault="00CD5DCD" w:rsidP="00CD5DCD">
      <w:pPr>
        <w:spacing w:after="0" w:line="240" w:lineRule="auto"/>
        <w:jc w:val="both"/>
        <w:textAlignment w:val="baseline"/>
        <w:rPr>
          <w:rFonts w:cs="Arial"/>
        </w:rPr>
      </w:pPr>
    </w:p>
    <w:p w14:paraId="4FBF7114" w14:textId="77777777" w:rsidR="00CD5DCD" w:rsidRDefault="00CD5DCD" w:rsidP="00CD5DCD">
      <w:pPr>
        <w:spacing w:after="0" w:line="240" w:lineRule="auto"/>
        <w:jc w:val="both"/>
        <w:textAlignment w:val="baseline"/>
        <w:rPr>
          <w:rFonts w:cs="Arial"/>
        </w:rPr>
      </w:pPr>
    </w:p>
    <w:p w14:paraId="7E61E6ED" w14:textId="77777777" w:rsidR="00CD5DCD" w:rsidRPr="006277B0" w:rsidRDefault="00CD5DCD" w:rsidP="00CD5DCD">
      <w:pPr>
        <w:pStyle w:val="Style4"/>
        <w:rPr>
          <w:color w:val="000000"/>
          <w:sz w:val="24"/>
        </w:rPr>
      </w:pPr>
      <w:r w:rsidRPr="00663B2B">
        <w:t xml:space="preserve">What is the impact of this </w:t>
      </w:r>
      <w:r w:rsidRPr="00976D98">
        <w:t>change</w:t>
      </w:r>
      <w:r w:rsidRPr="00663B2B">
        <w:t>?</w:t>
      </w:r>
    </w:p>
    <w:tbl>
      <w:tblPr>
        <w:tblpPr w:leftFromText="180" w:rightFromText="180" w:vertAnchor="text" w:horzAnchor="margin" w:tblpY="49"/>
        <w:tblOverlap w:val="never"/>
        <w:tblW w:w="9209"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CellMar>
          <w:left w:w="0" w:type="dxa"/>
          <w:right w:w="0" w:type="dxa"/>
        </w:tblCellMar>
        <w:tblLook w:val="01E0" w:firstRow="1" w:lastRow="1" w:firstColumn="1" w:lastColumn="1" w:noHBand="0" w:noVBand="0"/>
      </w:tblPr>
      <w:tblGrid>
        <w:gridCol w:w="6478"/>
        <w:gridCol w:w="2731"/>
      </w:tblGrid>
      <w:tr w:rsidR="00CD5DCD" w:rsidRPr="00C73CBB" w14:paraId="49BFB3F2" w14:textId="77777777" w:rsidTr="00A70D4C">
        <w:trPr>
          <w:trHeight w:hRule="exact" w:val="561"/>
        </w:trPr>
        <w:tc>
          <w:tcPr>
            <w:tcW w:w="9209" w:type="dxa"/>
            <w:gridSpan w:val="2"/>
            <w:shd w:val="clear" w:color="auto" w:fill="FF00FF" w:themeFill="accent1"/>
            <w:vAlign w:val="center"/>
          </w:tcPr>
          <w:p w14:paraId="0CE50A10" w14:textId="77777777" w:rsidR="00CD5DCD" w:rsidRPr="00314414" w:rsidRDefault="00CD5DCD" w:rsidP="00A70D4C">
            <w:pPr>
              <w:pStyle w:val="TableHeading"/>
              <w:rPr>
                <w:rFonts w:cs="Arial"/>
                <w:b/>
                <w:szCs w:val="20"/>
              </w:rPr>
            </w:pPr>
            <w:r w:rsidRPr="000B6ADA">
              <w:rPr>
                <w:rFonts w:cs="Arial"/>
                <w:b/>
                <w:color w:val="FFFFFF" w:themeColor="background1"/>
                <w:szCs w:val="20"/>
              </w:rPr>
              <w:t>Proposer’s Assessment against C</w:t>
            </w:r>
            <w:r>
              <w:rPr>
                <w:rFonts w:cs="Arial"/>
                <w:b/>
                <w:color w:val="FFFFFF" w:themeColor="background1"/>
                <w:szCs w:val="20"/>
              </w:rPr>
              <w:t>USC Charging</w:t>
            </w:r>
            <w:r w:rsidRPr="000B6ADA">
              <w:rPr>
                <w:rFonts w:cs="Arial"/>
                <w:b/>
                <w:color w:val="FFFFFF" w:themeColor="background1"/>
                <w:szCs w:val="20"/>
              </w:rPr>
              <w:t xml:space="preserve"> Objectives  </w:t>
            </w:r>
          </w:p>
        </w:tc>
      </w:tr>
      <w:tr w:rsidR="00CD5DCD" w:rsidRPr="00C73CBB" w14:paraId="2405002D" w14:textId="77777777" w:rsidTr="00A70D4C">
        <w:trPr>
          <w:trHeight w:val="397"/>
        </w:trPr>
        <w:tc>
          <w:tcPr>
            <w:tcW w:w="6478" w:type="dxa"/>
          </w:tcPr>
          <w:p w14:paraId="5A67243A" w14:textId="77777777" w:rsidR="00CD5DCD" w:rsidRPr="006A726B" w:rsidRDefault="00CD5DCD" w:rsidP="00A70D4C">
            <w:pPr>
              <w:ind w:left="113" w:right="113"/>
              <w:rPr>
                <w:rFonts w:cs="Arial"/>
                <w:b/>
                <w:szCs w:val="20"/>
              </w:rPr>
            </w:pPr>
            <w:r w:rsidRPr="006A726B">
              <w:rPr>
                <w:b/>
                <w:szCs w:val="20"/>
              </w:rPr>
              <w:t>Relevant Objective</w:t>
            </w:r>
          </w:p>
        </w:tc>
        <w:tc>
          <w:tcPr>
            <w:tcW w:w="2731" w:type="dxa"/>
          </w:tcPr>
          <w:p w14:paraId="41E5B2B1" w14:textId="77777777" w:rsidR="00CD5DCD" w:rsidRPr="006A726B" w:rsidRDefault="00CD5DCD" w:rsidP="00A70D4C">
            <w:pPr>
              <w:ind w:left="113" w:right="113"/>
              <w:rPr>
                <w:b/>
                <w:szCs w:val="20"/>
              </w:rPr>
            </w:pPr>
            <w:r w:rsidRPr="006A726B">
              <w:rPr>
                <w:b/>
                <w:szCs w:val="20"/>
              </w:rPr>
              <w:t>Identified impact</w:t>
            </w:r>
          </w:p>
        </w:tc>
      </w:tr>
      <w:tr w:rsidR="00CD5DCD" w:rsidRPr="00C73CBB" w14:paraId="4F38E356" w14:textId="77777777" w:rsidTr="00A70D4C">
        <w:trPr>
          <w:trHeight w:val="397"/>
        </w:trPr>
        <w:tc>
          <w:tcPr>
            <w:tcW w:w="6478" w:type="dxa"/>
          </w:tcPr>
          <w:p w14:paraId="6EE489F3" w14:textId="77777777" w:rsidR="00CD5DCD" w:rsidRPr="006A726B" w:rsidRDefault="00CD5DCD" w:rsidP="00A70D4C">
            <w:pPr>
              <w:pStyle w:val="Tablebodycopy"/>
              <w:ind w:left="453" w:right="238" w:hanging="340"/>
              <w:rPr>
                <w:rFonts w:cs="Arial"/>
                <w:color w:val="auto"/>
                <w:szCs w:val="20"/>
              </w:rPr>
            </w:pPr>
            <w:r w:rsidRPr="006A726B">
              <w:rPr>
                <w:rFonts w:cs="Arial"/>
                <w:color w:val="auto"/>
                <w:szCs w:val="20"/>
              </w:rPr>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2731" w:type="dxa"/>
          </w:tcPr>
          <w:p w14:paraId="508D13AE" w14:textId="24702133" w:rsidR="00CD5DCD" w:rsidRPr="006A726B" w:rsidRDefault="00CD5DCD" w:rsidP="001942C6">
            <w:pPr>
              <w:spacing w:before="40"/>
              <w:rPr>
                <w:szCs w:val="20"/>
              </w:rPr>
            </w:pPr>
            <w:r w:rsidRPr="000237CD">
              <w:rPr>
                <w:b/>
              </w:rPr>
              <w:t>Positive</w:t>
            </w:r>
            <w:r w:rsidR="001942C6">
              <w:rPr>
                <w:b/>
              </w:rPr>
              <w:t>:</w:t>
            </w:r>
            <w:r>
              <w:t xml:space="preserve"> </w:t>
            </w:r>
            <w:r w:rsidR="00705D89">
              <w:t>Ofgem clearly state that they want to limit future rises but</w:t>
            </w:r>
            <w:r w:rsidR="004605FA">
              <w:t xml:space="preserve"> at the same time</w:t>
            </w:r>
            <w:r w:rsidR="00705D89">
              <w:t xml:space="preserve"> not to eliminate </w:t>
            </w:r>
            <w:r w:rsidR="005E720E">
              <w:t xml:space="preserve">and remove locational differences. Removing locational differences </w:t>
            </w:r>
            <w:r w:rsidR="009D4ED8">
              <w:t>skews competition by removing any existing cost reflectivity</w:t>
            </w:r>
            <w:r w:rsidR="00042D88">
              <w:t xml:space="preserve">, and results in existing generators located nearby </w:t>
            </w:r>
            <w:r w:rsidR="00EB5860">
              <w:t>bearing an ‘unfair’ brunt of costs for new connections.</w:t>
            </w:r>
            <w:r w:rsidR="002900D3">
              <w:t xml:space="preserve"> </w:t>
            </w:r>
            <w:r w:rsidR="00586A9D">
              <w:t>It can</w:t>
            </w:r>
            <w:r w:rsidR="00F65488">
              <w:t xml:space="preserve"> unfairly</w:t>
            </w:r>
            <w:r w:rsidR="00586A9D">
              <w:t xml:space="preserve"> shift the merit order of projects </w:t>
            </w:r>
            <w:r w:rsidR="00F65488">
              <w:t xml:space="preserve">within the various auctions with the end consumer paying </w:t>
            </w:r>
            <w:r w:rsidR="00C52E24">
              <w:t>extra due to that shifting.</w:t>
            </w:r>
            <w:r w:rsidR="00812927">
              <w:t xml:space="preserve"> By </w:t>
            </w:r>
            <w:r w:rsidR="00994204">
              <w:t>not reducing the negative adjustment factor due to capping</w:t>
            </w:r>
            <w:r w:rsidR="001D0286">
              <w:t>,</w:t>
            </w:r>
            <w:r w:rsidR="00994204">
              <w:t xml:space="preserve"> this stops </w:t>
            </w:r>
            <w:r w:rsidR="001D0286">
              <w:t>the shifting of risk</w:t>
            </w:r>
            <w:r w:rsidR="004D4B80">
              <w:t xml:space="preserve"> and </w:t>
            </w:r>
            <w:r w:rsidR="00BA5357">
              <w:t>cross subsid</w:t>
            </w:r>
            <w:r w:rsidR="00C9178B">
              <w:t>is</w:t>
            </w:r>
            <w:r w:rsidR="00BA5357">
              <w:t>ation</w:t>
            </w:r>
            <w:r w:rsidR="004D4B80">
              <w:t xml:space="preserve"> of locational investment from one set of Generators </w:t>
            </w:r>
            <w:r w:rsidR="00893BC7">
              <w:t>to</w:t>
            </w:r>
            <w:r w:rsidR="004D4B80">
              <w:t xml:space="preserve"> all Generators</w:t>
            </w:r>
            <w:r w:rsidR="00893BC7">
              <w:t>.</w:t>
            </w:r>
          </w:p>
        </w:tc>
      </w:tr>
      <w:tr w:rsidR="00CD5DCD" w:rsidRPr="00C73CBB" w14:paraId="4B7A7138" w14:textId="77777777" w:rsidTr="00A70D4C">
        <w:trPr>
          <w:trHeight w:val="397"/>
        </w:trPr>
        <w:tc>
          <w:tcPr>
            <w:tcW w:w="6478" w:type="dxa"/>
          </w:tcPr>
          <w:p w14:paraId="54762E03" w14:textId="77777777" w:rsidR="00CD5DCD" w:rsidRPr="006A726B" w:rsidRDefault="00CD5DCD" w:rsidP="00A70D4C">
            <w:pPr>
              <w:pStyle w:val="Tablebodycopy"/>
              <w:ind w:left="453" w:right="238" w:hanging="340"/>
              <w:rPr>
                <w:rFonts w:cs="Arial"/>
                <w:color w:val="auto"/>
                <w:szCs w:val="20"/>
              </w:rPr>
            </w:pPr>
            <w:r w:rsidRPr="006A726B">
              <w:rPr>
                <w:rFonts w:cs="Arial"/>
                <w:color w:val="auto"/>
                <w:szCs w:val="20"/>
              </w:rPr>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2731" w:type="dxa"/>
          </w:tcPr>
          <w:p w14:paraId="54D005C6" w14:textId="46896C7E" w:rsidR="00CD5DCD" w:rsidRPr="004605FA" w:rsidRDefault="00CD5DCD" w:rsidP="00A70D4C">
            <w:pPr>
              <w:spacing w:before="40"/>
              <w:ind w:left="113" w:right="113"/>
              <w:rPr>
                <w:bCs/>
                <w:szCs w:val="20"/>
              </w:rPr>
            </w:pPr>
            <w:r w:rsidRPr="002933F2">
              <w:rPr>
                <w:b/>
              </w:rPr>
              <w:t>Positive</w:t>
            </w:r>
            <w:r w:rsidR="004605FA">
              <w:rPr>
                <w:b/>
              </w:rPr>
              <w:t xml:space="preserve">: </w:t>
            </w:r>
            <w:r w:rsidR="004605FA">
              <w:rPr>
                <w:bCs/>
              </w:rPr>
              <w:t>Ofgem state that new investment is likely to be more centrally planned and to meet 2030 targets Generation will be required to</w:t>
            </w:r>
            <w:r w:rsidR="0003433A">
              <w:rPr>
                <w:bCs/>
              </w:rPr>
              <w:t xml:space="preserve"> </w:t>
            </w:r>
          </w:p>
        </w:tc>
      </w:tr>
      <w:tr w:rsidR="00CD5DCD" w:rsidRPr="00C73CBB" w14:paraId="2FF46D07" w14:textId="77777777" w:rsidTr="00A70D4C">
        <w:trPr>
          <w:trHeight w:val="397"/>
        </w:trPr>
        <w:tc>
          <w:tcPr>
            <w:tcW w:w="6478" w:type="dxa"/>
          </w:tcPr>
          <w:p w14:paraId="33564796" w14:textId="77777777" w:rsidR="00CD5DCD" w:rsidRPr="006A726B" w:rsidRDefault="00CD5DCD" w:rsidP="00A70D4C">
            <w:pPr>
              <w:pStyle w:val="Tablebodycopy"/>
              <w:ind w:left="453" w:right="238" w:hanging="340"/>
              <w:rPr>
                <w:rFonts w:cs="Arial"/>
                <w:color w:val="auto"/>
                <w:szCs w:val="20"/>
              </w:rPr>
            </w:pPr>
            <w:r w:rsidRPr="006A726B">
              <w:rPr>
                <w:rFonts w:cs="Arial"/>
                <w:color w:val="auto"/>
                <w:szCs w:val="20"/>
              </w:rPr>
              <w:t>(c) That, so far as is consistent with sub-paragraphs (a) and (b), the use of system charging methodology, as far as is reasonably practicable, properly takes account of the developments in transmission licensees’ transmission businesses;</w:t>
            </w:r>
          </w:p>
        </w:tc>
        <w:tc>
          <w:tcPr>
            <w:tcW w:w="2731" w:type="dxa"/>
          </w:tcPr>
          <w:p w14:paraId="100521F5" w14:textId="3F0E1AAB" w:rsidR="00CD5DCD" w:rsidRPr="006A726B" w:rsidRDefault="00C9178B" w:rsidP="00A70D4C">
            <w:pPr>
              <w:spacing w:before="40"/>
              <w:ind w:left="113" w:right="113"/>
              <w:rPr>
                <w:szCs w:val="20"/>
              </w:rPr>
            </w:pPr>
            <w:r w:rsidRPr="002933F2">
              <w:rPr>
                <w:b/>
              </w:rPr>
              <w:t>None:</w:t>
            </w:r>
          </w:p>
        </w:tc>
      </w:tr>
      <w:tr w:rsidR="00CD5DCD" w:rsidRPr="00C73CBB" w14:paraId="393B8802" w14:textId="77777777" w:rsidTr="00A70D4C">
        <w:trPr>
          <w:trHeight w:val="397"/>
        </w:trPr>
        <w:tc>
          <w:tcPr>
            <w:tcW w:w="6478" w:type="dxa"/>
          </w:tcPr>
          <w:p w14:paraId="4F0761C9" w14:textId="77777777" w:rsidR="00CD5DCD" w:rsidRPr="006A726B" w:rsidRDefault="00CD5DCD" w:rsidP="00A70D4C">
            <w:pPr>
              <w:pStyle w:val="Tablebodycopy"/>
              <w:ind w:left="453" w:right="238" w:hanging="340"/>
              <w:rPr>
                <w:rFonts w:cs="Arial"/>
                <w:color w:val="auto"/>
                <w:szCs w:val="20"/>
              </w:rPr>
            </w:pPr>
            <w:r w:rsidRPr="006A726B">
              <w:rPr>
                <w:rFonts w:cs="Arial"/>
                <w:color w:val="auto"/>
                <w:szCs w:val="20"/>
              </w:rPr>
              <w:t>(d) Compliance with the Electricity Regulation and any relevant legally binding decision of the European Commission and/or the Agency</w:t>
            </w:r>
            <w:r>
              <w:rPr>
                <w:rFonts w:cs="Arial"/>
                <w:color w:val="auto"/>
                <w:szCs w:val="20"/>
              </w:rPr>
              <w:t xml:space="preserve"> *;</w:t>
            </w:r>
            <w:r w:rsidRPr="006A726B">
              <w:rPr>
                <w:rFonts w:cs="Arial"/>
                <w:color w:val="auto"/>
                <w:szCs w:val="20"/>
              </w:rPr>
              <w:t xml:space="preserve"> and</w:t>
            </w:r>
          </w:p>
        </w:tc>
        <w:tc>
          <w:tcPr>
            <w:tcW w:w="2731" w:type="dxa"/>
          </w:tcPr>
          <w:p w14:paraId="693F375B" w14:textId="769B2D1C" w:rsidR="00CD5DCD" w:rsidRPr="006A726B" w:rsidRDefault="00CD5DCD" w:rsidP="00A70D4C">
            <w:pPr>
              <w:spacing w:before="40"/>
              <w:ind w:left="113" w:right="113"/>
              <w:rPr>
                <w:szCs w:val="20"/>
              </w:rPr>
            </w:pPr>
            <w:r w:rsidRPr="002933F2">
              <w:rPr>
                <w:b/>
              </w:rPr>
              <w:t>None:</w:t>
            </w:r>
            <w:r w:rsidRPr="002933F2">
              <w:t xml:space="preserve"> </w:t>
            </w:r>
          </w:p>
        </w:tc>
      </w:tr>
      <w:tr w:rsidR="00CD5DCD" w:rsidRPr="00C73CBB" w14:paraId="49AB9EB0" w14:textId="77777777" w:rsidTr="00A70D4C">
        <w:trPr>
          <w:trHeight w:val="397"/>
        </w:trPr>
        <w:tc>
          <w:tcPr>
            <w:tcW w:w="6478" w:type="dxa"/>
          </w:tcPr>
          <w:p w14:paraId="3BDD886C" w14:textId="77777777" w:rsidR="00CD5DCD" w:rsidRPr="006A726B" w:rsidRDefault="00CD5DCD" w:rsidP="00A70D4C">
            <w:pPr>
              <w:pStyle w:val="Tablebodycopy"/>
              <w:ind w:right="238"/>
              <w:rPr>
                <w:rFonts w:cs="Arial"/>
                <w:szCs w:val="20"/>
              </w:rPr>
            </w:pPr>
            <w:r w:rsidRPr="00486612">
              <w:rPr>
                <w:rFonts w:cs="Arial"/>
                <w:color w:val="auto"/>
                <w:szCs w:val="20"/>
              </w:rPr>
              <w:t xml:space="preserve">(e) </w:t>
            </w:r>
            <w:r>
              <w:rPr>
                <w:rFonts w:cs="Arial"/>
                <w:color w:val="auto"/>
                <w:szCs w:val="20"/>
              </w:rPr>
              <w:t>P</w:t>
            </w:r>
            <w:r w:rsidRPr="00486612">
              <w:rPr>
                <w:rFonts w:cs="Arial"/>
                <w:color w:val="auto"/>
                <w:szCs w:val="20"/>
              </w:rPr>
              <w:t>romoting efficiency in the implementation and administration of the system charging methodology.</w:t>
            </w:r>
          </w:p>
        </w:tc>
        <w:tc>
          <w:tcPr>
            <w:tcW w:w="2731" w:type="dxa"/>
          </w:tcPr>
          <w:p w14:paraId="3CC76CF4" w14:textId="480C24B8" w:rsidR="00CD5DCD" w:rsidRPr="006A726B" w:rsidRDefault="00CC5497" w:rsidP="00A70D4C">
            <w:pPr>
              <w:spacing w:before="40"/>
              <w:ind w:left="113" w:right="113"/>
              <w:rPr>
                <w:szCs w:val="20"/>
              </w:rPr>
            </w:pPr>
            <w:r>
              <w:rPr>
                <w:b/>
              </w:rPr>
              <w:t>Slight negative:</w:t>
            </w:r>
            <w:r w:rsidR="00CD5DCD" w:rsidRPr="002933F2">
              <w:t xml:space="preserve"> </w:t>
            </w:r>
            <w:r>
              <w:t>A slight  added level of complexity but is more than offset by the positives</w:t>
            </w:r>
          </w:p>
        </w:tc>
      </w:tr>
      <w:tr w:rsidR="00CD5DCD" w:rsidRPr="00C73CBB" w14:paraId="37AD0DD2" w14:textId="77777777" w:rsidTr="00A70D4C">
        <w:trPr>
          <w:trHeight w:val="397"/>
        </w:trPr>
        <w:tc>
          <w:tcPr>
            <w:tcW w:w="9209" w:type="dxa"/>
            <w:gridSpan w:val="2"/>
          </w:tcPr>
          <w:p w14:paraId="57F39BCE" w14:textId="77777777" w:rsidR="00CD5DCD" w:rsidRPr="002B5ADD" w:rsidRDefault="00CD5DCD" w:rsidP="00A70D4C">
            <w:pPr>
              <w:spacing w:before="40"/>
              <w:ind w:left="113" w:right="113"/>
            </w:pPr>
            <w:r w:rsidRPr="00BD5234">
              <w:rPr>
                <w:rFonts w:cs="Arial"/>
              </w:rPr>
              <w:t>*</w:t>
            </w:r>
            <w:r w:rsidRPr="001C36EA">
              <w:rPr>
                <w:rFonts w:cs="Arial"/>
              </w:rPr>
              <w:t>The Electricity Regulation referred to in objective (</w:t>
            </w:r>
            <w:r>
              <w:rPr>
                <w:rFonts w:cs="Arial"/>
              </w:rPr>
              <w:t>d</w:t>
            </w:r>
            <w:r w:rsidRPr="001C36EA">
              <w:rPr>
                <w:rFonts w:cs="Arial"/>
              </w:rPr>
              <w:t>) is Regulation (EU) 2019/943 of the European Parliament and of the Council of 5 June 2019 on the internal market for electricity (recast) as it has effect immediately before IP completion day as read with the modifications set out in the SI 2020/1006.</w:t>
            </w:r>
          </w:p>
        </w:tc>
      </w:tr>
    </w:tbl>
    <w:p w14:paraId="04F7FEEB" w14:textId="77777777" w:rsidR="00CD5DCD" w:rsidRDefault="00CD5DCD" w:rsidP="00CD5DCD">
      <w:pPr>
        <w:pStyle w:val="ListParagraph"/>
        <w:keepLines/>
        <w:widowControl w:val="0"/>
        <w:tabs>
          <w:tab w:val="left" w:pos="1418"/>
        </w:tabs>
        <w:spacing w:line="264" w:lineRule="auto"/>
        <w:ind w:left="0"/>
        <w:rPr>
          <w:rFonts w:cs="Arial"/>
          <w:b/>
          <w:bCs/>
          <w:color w:val="FF00FF" w:themeColor="accent1"/>
          <w:kern w:val="32"/>
        </w:rPr>
      </w:pPr>
      <w:r>
        <w:rPr>
          <w:rFonts w:cs="Arial"/>
          <w:b/>
          <w:bCs/>
          <w:color w:val="FF00FF" w:themeColor="accent1"/>
          <w:kern w:val="32"/>
        </w:rPr>
        <w:t xml:space="preserve"> </w:t>
      </w:r>
    </w:p>
    <w:p w14:paraId="38FB37BE" w14:textId="77777777" w:rsidR="00CD5DCD" w:rsidRDefault="00CD5DCD" w:rsidP="00CD5DCD">
      <w:pPr>
        <w:pStyle w:val="ListParagraph"/>
        <w:keepLines/>
        <w:widowControl w:val="0"/>
        <w:tabs>
          <w:tab w:val="left" w:pos="1418"/>
        </w:tabs>
        <w:spacing w:line="264" w:lineRule="auto"/>
        <w:ind w:left="0"/>
        <w:rPr>
          <w:rFonts w:cs="Arial"/>
          <w:b/>
          <w:bCs/>
          <w:color w:val="FF00FF" w:themeColor="accent1"/>
          <w:kern w:val="32"/>
        </w:rPr>
      </w:pPr>
    </w:p>
    <w:p w14:paraId="18963A9C" w14:textId="77777777" w:rsidR="00CD5DCD" w:rsidRDefault="00CD5DCD" w:rsidP="00CD5DCD">
      <w:pPr>
        <w:pStyle w:val="e"/>
      </w:pPr>
      <w:r>
        <w:t>When will this change take place?</w:t>
      </w:r>
    </w:p>
    <w:p w14:paraId="56532A31" w14:textId="77777777" w:rsidR="00CD5DCD" w:rsidRDefault="00CD5DCD" w:rsidP="00CD5DCD">
      <w:pPr>
        <w:rPr>
          <w:b/>
        </w:rPr>
      </w:pPr>
      <w:r w:rsidRPr="005625BF">
        <w:rPr>
          <w:b/>
        </w:rPr>
        <w:t>Implementation date:</w:t>
      </w:r>
    </w:p>
    <w:p w14:paraId="4F868A7E" w14:textId="7A6F7908" w:rsidR="00CD5DCD" w:rsidRDefault="00BE4335" w:rsidP="00CD5DCD">
      <w:pPr>
        <w:jc w:val="both"/>
      </w:pPr>
      <w:r>
        <w:t xml:space="preserve">The modification is not required to be implemented for a number of </w:t>
      </w:r>
      <w:proofErr w:type="gramStart"/>
      <w:r>
        <w:t>years</w:t>
      </w:r>
      <w:proofErr w:type="gramEnd"/>
      <w:r>
        <w:t xml:space="preserve"> but the decision date needs to be in time to be taken into account in future auctions.</w:t>
      </w:r>
    </w:p>
    <w:p w14:paraId="777BE4CD" w14:textId="77777777" w:rsidR="00CD5DCD" w:rsidRPr="005625BF" w:rsidRDefault="00CD5DCD" w:rsidP="00CD5DCD">
      <w:pPr>
        <w:rPr>
          <w:b/>
        </w:rPr>
      </w:pPr>
      <w:r>
        <w:rPr>
          <w:b/>
        </w:rPr>
        <w:t>Implementation approach:</w:t>
      </w:r>
    </w:p>
    <w:p w14:paraId="6705954A" w14:textId="405C5B53" w:rsidR="00CD5DCD" w:rsidRPr="00AC04D3" w:rsidRDefault="00BE4335" w:rsidP="00CD5DCD">
      <w:pPr>
        <w:keepLines/>
        <w:widowControl w:val="0"/>
        <w:tabs>
          <w:tab w:val="left" w:pos="1418"/>
        </w:tabs>
        <w:spacing w:line="264" w:lineRule="auto"/>
      </w:pPr>
      <w:r>
        <w:t xml:space="preserve">Forecasted tariffs will be impacted but actual tariffs will not be impacted for </w:t>
      </w:r>
      <w:proofErr w:type="gramStart"/>
      <w:r>
        <w:t>a number of</w:t>
      </w:r>
      <w:proofErr w:type="gramEnd"/>
      <w:r>
        <w:t xml:space="preserve"> years</w:t>
      </w:r>
    </w:p>
    <w:p w14:paraId="5C3D2BCC" w14:textId="77777777" w:rsidR="00CD5DCD" w:rsidRDefault="00CD5DCD" w:rsidP="00CD5DCD">
      <w:bookmarkStart w:id="3" w:name="_Workgroup_Consultation_1"/>
      <w:bookmarkEnd w:id="3"/>
    </w:p>
    <w:p w14:paraId="31C60AE0" w14:textId="77777777" w:rsidR="00CD5DCD" w:rsidRPr="00095D82" w:rsidRDefault="00CD5DCD" w:rsidP="00CD5DCD"/>
    <w:p w14:paraId="159BFE15" w14:textId="4AE317CA" w:rsidR="00CD5DCD" w:rsidRPr="00C73CBB" w:rsidRDefault="00CD5DCD" w:rsidP="00CD5DCD">
      <w:pPr>
        <w:pStyle w:val="Style6"/>
        <w:rPr>
          <w:color w:val="FF00FF" w:themeColor="accent1"/>
        </w:rPr>
      </w:pPr>
      <w:bookmarkStart w:id="4" w:name="_How_to_respond"/>
      <w:bookmarkEnd w:id="4"/>
      <w:r w:rsidRPr="00726C06">
        <w:t>Acronym</w:t>
      </w:r>
      <w:r>
        <w:t>s, key terms</w:t>
      </w:r>
      <w:r w:rsidRPr="00726C06">
        <w:t xml:space="preserve"> and reference </w:t>
      </w:r>
      <w:r>
        <w:t>material</w:t>
      </w:r>
    </w:p>
    <w:tbl>
      <w:tblPr>
        <w:tblStyle w:val="TableGrid"/>
        <w:tblW w:w="0" w:type="auto"/>
        <w:tblLook w:val="04A0" w:firstRow="1" w:lastRow="0" w:firstColumn="1" w:lastColumn="0" w:noHBand="0" w:noVBand="1"/>
      </w:tblPr>
      <w:tblGrid>
        <w:gridCol w:w="2547"/>
        <w:gridCol w:w="6662"/>
      </w:tblGrid>
      <w:tr w:rsidR="00CD5DCD" w14:paraId="0AAA2CB8" w14:textId="77777777" w:rsidTr="00A70D4C">
        <w:tc>
          <w:tcPr>
            <w:tcW w:w="2547" w:type="dxa"/>
            <w:shd w:val="clear" w:color="auto" w:fill="3F0731" w:themeFill="text2"/>
          </w:tcPr>
          <w:p w14:paraId="1C6F22C7" w14:textId="77777777" w:rsidR="00CD5DCD" w:rsidRPr="009E2AC7" w:rsidRDefault="00CD5DCD" w:rsidP="00A70D4C">
            <w:pPr>
              <w:rPr>
                <w:b/>
                <w:color w:val="FFFFFF" w:themeColor="background1"/>
              </w:rPr>
            </w:pPr>
            <w:r w:rsidRPr="009E2AC7">
              <w:rPr>
                <w:b/>
                <w:color w:val="FFFFFF" w:themeColor="background1"/>
              </w:rPr>
              <w:t xml:space="preserve">Acronym </w:t>
            </w:r>
            <w:r>
              <w:rPr>
                <w:b/>
                <w:color w:val="FFFFFF" w:themeColor="background1"/>
              </w:rPr>
              <w:t>/ key term</w:t>
            </w:r>
          </w:p>
        </w:tc>
        <w:tc>
          <w:tcPr>
            <w:tcW w:w="6662" w:type="dxa"/>
            <w:shd w:val="clear" w:color="auto" w:fill="3F0731" w:themeFill="text2"/>
          </w:tcPr>
          <w:p w14:paraId="6E95FA24" w14:textId="051476DB" w:rsidR="00CD5DCD" w:rsidRPr="009E2AC7" w:rsidRDefault="00CD5DCD" w:rsidP="00A70D4C">
            <w:pPr>
              <w:rPr>
                <w:b/>
                <w:color w:val="FFFFFF" w:themeColor="background1"/>
              </w:rPr>
            </w:pPr>
            <w:r w:rsidRPr="009E2AC7">
              <w:rPr>
                <w:b/>
                <w:color w:val="FFFFFF" w:themeColor="background1"/>
              </w:rPr>
              <w:t>Meaning</w:t>
            </w:r>
          </w:p>
        </w:tc>
      </w:tr>
      <w:tr w:rsidR="00CD5DCD" w14:paraId="028D3734" w14:textId="77777777" w:rsidTr="00A70D4C">
        <w:tc>
          <w:tcPr>
            <w:tcW w:w="2547" w:type="dxa"/>
          </w:tcPr>
          <w:p w14:paraId="3D824937" w14:textId="6D1738EE" w:rsidR="00CD5DCD" w:rsidRPr="006A726B" w:rsidRDefault="00447056" w:rsidP="00A70D4C">
            <w:r>
              <w:rPr>
                <w:rStyle w:val="normaltextrun"/>
                <w:rFonts w:ascii="Arial" w:hAnsi="Arial" w:cs="Arial"/>
                <w:color w:val="000000"/>
                <w:shd w:val="clear" w:color="auto" w:fill="FFFFFF"/>
              </w:rPr>
              <w:t>NESO</w:t>
            </w:r>
            <w:r>
              <w:rPr>
                <w:rStyle w:val="eop"/>
                <w:rFonts w:ascii="Arial" w:hAnsi="Arial" w:cs="Arial"/>
                <w:color w:val="000000"/>
                <w:shd w:val="clear" w:color="auto" w:fill="FFFFFF"/>
              </w:rPr>
              <w:t> </w:t>
            </w:r>
          </w:p>
        </w:tc>
        <w:tc>
          <w:tcPr>
            <w:tcW w:w="6662" w:type="dxa"/>
          </w:tcPr>
          <w:p w14:paraId="4A3F8990" w14:textId="29EAFEB7" w:rsidR="00CD5DCD" w:rsidRPr="00A61985" w:rsidRDefault="00C61761" w:rsidP="00A70D4C">
            <w:r w:rsidRPr="00C61761">
              <w:t>National Energy System Operator</w:t>
            </w:r>
          </w:p>
        </w:tc>
      </w:tr>
      <w:tr w:rsidR="00CD5DCD" w14:paraId="6223B550" w14:textId="77777777" w:rsidTr="00A70D4C">
        <w:tc>
          <w:tcPr>
            <w:tcW w:w="2547" w:type="dxa"/>
          </w:tcPr>
          <w:p w14:paraId="7E8B69DA" w14:textId="5D79AC9D" w:rsidR="00CD5DCD" w:rsidRDefault="003224BC" w:rsidP="00A70D4C">
            <w:r w:rsidRPr="003224BC">
              <w:t>TNUoS</w:t>
            </w:r>
          </w:p>
        </w:tc>
        <w:tc>
          <w:tcPr>
            <w:tcW w:w="6662" w:type="dxa"/>
          </w:tcPr>
          <w:p w14:paraId="4568D798" w14:textId="75D8C6F5" w:rsidR="00CD5DCD" w:rsidRPr="006A726B" w:rsidRDefault="00A426CC" w:rsidP="00A70D4C">
            <w:r>
              <w:rPr>
                <w:rStyle w:val="normaltextrun"/>
                <w:rFonts w:ascii="Arial" w:hAnsi="Arial" w:cs="Arial"/>
                <w:color w:val="000000"/>
                <w:shd w:val="clear" w:color="auto" w:fill="FFFFFF"/>
              </w:rPr>
              <w:t>Transmission Network Use of System Charges</w:t>
            </w:r>
            <w:r>
              <w:rPr>
                <w:rStyle w:val="eop"/>
                <w:rFonts w:ascii="Arial" w:hAnsi="Arial" w:cs="Arial"/>
                <w:color w:val="000000"/>
                <w:shd w:val="clear" w:color="auto" w:fill="FFFFFF"/>
              </w:rPr>
              <w:t> </w:t>
            </w:r>
          </w:p>
        </w:tc>
      </w:tr>
      <w:tr w:rsidR="00CD5DCD" w14:paraId="37546DA5" w14:textId="77777777" w:rsidTr="00A70D4C">
        <w:tc>
          <w:tcPr>
            <w:tcW w:w="2547" w:type="dxa"/>
          </w:tcPr>
          <w:p w14:paraId="0EEFA8C4" w14:textId="15942D2D" w:rsidR="00CD5DCD" w:rsidRPr="006A726B" w:rsidRDefault="0078231D" w:rsidP="00A70D4C">
            <w:r>
              <w:t>SD</w:t>
            </w:r>
          </w:p>
        </w:tc>
        <w:tc>
          <w:tcPr>
            <w:tcW w:w="6662" w:type="dxa"/>
          </w:tcPr>
          <w:p w14:paraId="1B2A0D7E" w14:textId="2CC6BD2E" w:rsidR="00CD5DCD" w:rsidRPr="006A726B" w:rsidRDefault="0078231D" w:rsidP="00A70D4C">
            <w:r>
              <w:t xml:space="preserve">Standard Deviation </w:t>
            </w:r>
          </w:p>
        </w:tc>
      </w:tr>
      <w:tr w:rsidR="00CD5DCD" w14:paraId="2C9C07D0" w14:textId="77777777" w:rsidTr="00A70D4C">
        <w:tc>
          <w:tcPr>
            <w:tcW w:w="2547" w:type="dxa"/>
          </w:tcPr>
          <w:p w14:paraId="3CFF28BC" w14:textId="77777777" w:rsidR="00CD5DCD" w:rsidRDefault="00CD5DCD" w:rsidP="00A70D4C"/>
        </w:tc>
        <w:tc>
          <w:tcPr>
            <w:tcW w:w="6662" w:type="dxa"/>
          </w:tcPr>
          <w:p w14:paraId="23CA8D50" w14:textId="77777777" w:rsidR="00CD5DCD" w:rsidRPr="006A726B" w:rsidRDefault="00CD5DCD" w:rsidP="00A70D4C"/>
        </w:tc>
      </w:tr>
      <w:tr w:rsidR="00CD5DCD" w14:paraId="2CD92D4A" w14:textId="77777777" w:rsidTr="00A70D4C">
        <w:tc>
          <w:tcPr>
            <w:tcW w:w="2547" w:type="dxa"/>
          </w:tcPr>
          <w:p w14:paraId="78E4708E" w14:textId="77777777" w:rsidR="00CD5DCD" w:rsidRDefault="00CD5DCD" w:rsidP="00A70D4C"/>
        </w:tc>
        <w:tc>
          <w:tcPr>
            <w:tcW w:w="6662" w:type="dxa"/>
          </w:tcPr>
          <w:p w14:paraId="6EBEE80D" w14:textId="77777777" w:rsidR="00CD5DCD" w:rsidRPr="006A726B" w:rsidRDefault="00CD5DCD" w:rsidP="00A70D4C"/>
        </w:tc>
      </w:tr>
      <w:tr w:rsidR="00CD5DCD" w14:paraId="2FD0EF38" w14:textId="77777777" w:rsidTr="00A70D4C">
        <w:tc>
          <w:tcPr>
            <w:tcW w:w="2547" w:type="dxa"/>
          </w:tcPr>
          <w:p w14:paraId="22AB3F62" w14:textId="77777777" w:rsidR="00CD5DCD" w:rsidRDefault="00CD5DCD" w:rsidP="00A70D4C"/>
        </w:tc>
        <w:tc>
          <w:tcPr>
            <w:tcW w:w="6662" w:type="dxa"/>
          </w:tcPr>
          <w:p w14:paraId="1EAB61BA" w14:textId="77777777" w:rsidR="00CD5DCD" w:rsidRPr="006A726B" w:rsidRDefault="00CD5DCD" w:rsidP="00A70D4C"/>
        </w:tc>
      </w:tr>
      <w:tr w:rsidR="00CD5DCD" w14:paraId="4DB10042" w14:textId="77777777" w:rsidTr="00A70D4C">
        <w:tc>
          <w:tcPr>
            <w:tcW w:w="2547" w:type="dxa"/>
          </w:tcPr>
          <w:p w14:paraId="7D75F83A" w14:textId="77777777" w:rsidR="00CD5DCD" w:rsidRDefault="00CD5DCD" w:rsidP="00A70D4C"/>
        </w:tc>
        <w:tc>
          <w:tcPr>
            <w:tcW w:w="6662" w:type="dxa"/>
          </w:tcPr>
          <w:p w14:paraId="31C0D4D0" w14:textId="77777777" w:rsidR="00CD5DCD" w:rsidRPr="006A726B" w:rsidRDefault="00CD5DCD" w:rsidP="00A70D4C"/>
        </w:tc>
      </w:tr>
      <w:tr w:rsidR="00CD5DCD" w14:paraId="2B81A9E0" w14:textId="77777777" w:rsidTr="00A70D4C">
        <w:tc>
          <w:tcPr>
            <w:tcW w:w="2547" w:type="dxa"/>
          </w:tcPr>
          <w:p w14:paraId="1A63D5DF" w14:textId="77777777" w:rsidR="00CD5DCD" w:rsidRDefault="00CD5DCD" w:rsidP="00A70D4C"/>
        </w:tc>
        <w:tc>
          <w:tcPr>
            <w:tcW w:w="6662" w:type="dxa"/>
          </w:tcPr>
          <w:p w14:paraId="03108317" w14:textId="77777777" w:rsidR="00CD5DCD" w:rsidRPr="006A726B" w:rsidRDefault="00CD5DCD" w:rsidP="00A70D4C"/>
        </w:tc>
      </w:tr>
      <w:tr w:rsidR="00CD5DCD" w14:paraId="6BD288C1" w14:textId="77777777" w:rsidTr="00A70D4C">
        <w:tc>
          <w:tcPr>
            <w:tcW w:w="2547" w:type="dxa"/>
          </w:tcPr>
          <w:p w14:paraId="285EC9C6" w14:textId="77777777" w:rsidR="00CD5DCD" w:rsidRDefault="00CD5DCD" w:rsidP="00A70D4C"/>
        </w:tc>
        <w:tc>
          <w:tcPr>
            <w:tcW w:w="6662" w:type="dxa"/>
          </w:tcPr>
          <w:p w14:paraId="576F81C7" w14:textId="77777777" w:rsidR="00CD5DCD" w:rsidRPr="006A726B" w:rsidRDefault="00CD5DCD" w:rsidP="00A70D4C"/>
        </w:tc>
      </w:tr>
      <w:tr w:rsidR="00CD5DCD" w14:paraId="7AF7C81E" w14:textId="77777777" w:rsidTr="00A70D4C">
        <w:tc>
          <w:tcPr>
            <w:tcW w:w="2547" w:type="dxa"/>
          </w:tcPr>
          <w:p w14:paraId="06D54FAD" w14:textId="77777777" w:rsidR="00CD5DCD" w:rsidRDefault="00CD5DCD" w:rsidP="00A70D4C"/>
        </w:tc>
        <w:tc>
          <w:tcPr>
            <w:tcW w:w="6662" w:type="dxa"/>
          </w:tcPr>
          <w:p w14:paraId="405E4131" w14:textId="77777777" w:rsidR="00CD5DCD" w:rsidRPr="006A726B" w:rsidRDefault="00CD5DCD" w:rsidP="00A70D4C"/>
        </w:tc>
      </w:tr>
      <w:tr w:rsidR="00CD5DCD" w14:paraId="38B40309" w14:textId="77777777" w:rsidTr="00A70D4C">
        <w:tc>
          <w:tcPr>
            <w:tcW w:w="2547" w:type="dxa"/>
          </w:tcPr>
          <w:p w14:paraId="0EC52681" w14:textId="77777777" w:rsidR="00CD5DCD" w:rsidRDefault="00CD5DCD" w:rsidP="00A70D4C"/>
        </w:tc>
        <w:tc>
          <w:tcPr>
            <w:tcW w:w="6662" w:type="dxa"/>
          </w:tcPr>
          <w:p w14:paraId="3C62E33A" w14:textId="77777777" w:rsidR="00CD5DCD" w:rsidRPr="006A726B" w:rsidRDefault="00CD5DCD" w:rsidP="00A70D4C"/>
        </w:tc>
      </w:tr>
      <w:tr w:rsidR="00CD5DCD" w14:paraId="43B30031" w14:textId="77777777" w:rsidTr="00A70D4C">
        <w:tc>
          <w:tcPr>
            <w:tcW w:w="2547" w:type="dxa"/>
          </w:tcPr>
          <w:p w14:paraId="6CE53760" w14:textId="77777777" w:rsidR="00CD5DCD" w:rsidRDefault="00CD5DCD" w:rsidP="00A70D4C"/>
        </w:tc>
        <w:tc>
          <w:tcPr>
            <w:tcW w:w="6662" w:type="dxa"/>
          </w:tcPr>
          <w:p w14:paraId="308A462D" w14:textId="77777777" w:rsidR="00CD5DCD" w:rsidRPr="006A726B" w:rsidRDefault="00CD5DCD" w:rsidP="00A70D4C"/>
        </w:tc>
      </w:tr>
    </w:tbl>
    <w:p w14:paraId="451B3B75" w14:textId="77777777" w:rsidR="00CD5DCD" w:rsidRDefault="00CD5DCD" w:rsidP="00CD5DCD">
      <w:pPr>
        <w:rPr>
          <w:b/>
        </w:rPr>
      </w:pPr>
    </w:p>
    <w:p w14:paraId="5FDDB72D" w14:textId="77777777" w:rsidR="00F4613D" w:rsidRPr="00F4613D" w:rsidRDefault="00F4613D" w:rsidP="00F4613D">
      <w:pPr>
        <w:tabs>
          <w:tab w:val="left" w:pos="2820"/>
        </w:tabs>
      </w:pPr>
    </w:p>
    <w:sectPr w:rsidR="00F4613D" w:rsidRPr="00F4613D" w:rsidSect="006D15C6">
      <w:headerReference w:type="even" r:id="rId17"/>
      <w:headerReference w:type="default" r:id="rId18"/>
      <w:footerReference w:type="default" r:id="rId19"/>
      <w:headerReference w:type="first" r:id="rId20"/>
      <w:footerReference w:type="first" r:id="rId21"/>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9DBBD" w14:textId="77777777" w:rsidR="00E054C4" w:rsidRDefault="00E054C4" w:rsidP="00A62BFF">
      <w:pPr>
        <w:spacing w:after="0"/>
      </w:pPr>
      <w:r>
        <w:separator/>
      </w:r>
    </w:p>
  </w:endnote>
  <w:endnote w:type="continuationSeparator" w:id="0">
    <w:p w14:paraId="0D28879A" w14:textId="77777777" w:rsidR="00E054C4" w:rsidRDefault="00E054C4" w:rsidP="00A62BFF">
      <w:pPr>
        <w:spacing w:after="0"/>
      </w:pPr>
      <w:r>
        <w:continuationSeparator/>
      </w:r>
    </w:p>
  </w:endnote>
  <w:endnote w:type="continuationNotice" w:id="1">
    <w:p w14:paraId="40CFC326" w14:textId="77777777" w:rsidR="00E054C4" w:rsidRDefault="00E054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2C2EC" w14:textId="77777777" w:rsidR="00E054C4" w:rsidRDefault="00E054C4" w:rsidP="00A62BFF">
      <w:pPr>
        <w:spacing w:after="0"/>
      </w:pPr>
      <w:r>
        <w:separator/>
      </w:r>
    </w:p>
  </w:footnote>
  <w:footnote w:type="continuationSeparator" w:id="0">
    <w:p w14:paraId="2B26D747" w14:textId="77777777" w:rsidR="00E054C4" w:rsidRDefault="00E054C4" w:rsidP="00A62BFF">
      <w:pPr>
        <w:spacing w:after="0"/>
      </w:pPr>
      <w:r>
        <w:continuationSeparator/>
      </w:r>
    </w:p>
  </w:footnote>
  <w:footnote w:type="continuationNotice" w:id="1">
    <w:p w14:paraId="624DC05F" w14:textId="77777777" w:rsidR="00E054C4" w:rsidRDefault="00E054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9968B" w14:textId="77777777" w:rsidR="00304BD6" w:rsidRDefault="00304B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18B20AF6"/>
    <w:multiLevelType w:val="hybridMultilevel"/>
    <w:tmpl w:val="3F422282"/>
    <w:lvl w:ilvl="0" w:tplc="1838A53C">
      <w:start w:val="1"/>
      <w:numFmt w:val="bullet"/>
      <w:lvlText w:val="•"/>
      <w:lvlJc w:val="left"/>
      <w:pPr>
        <w:tabs>
          <w:tab w:val="num" w:pos="720"/>
        </w:tabs>
        <w:ind w:left="720" w:hanging="360"/>
      </w:pPr>
      <w:rPr>
        <w:rFonts w:ascii="Arial" w:hAnsi="Arial" w:cs="Times New Roman" w:hint="default"/>
      </w:rPr>
    </w:lvl>
    <w:lvl w:ilvl="1" w:tplc="96ACE85C">
      <w:start w:val="1"/>
      <w:numFmt w:val="bullet"/>
      <w:lvlText w:val="•"/>
      <w:lvlJc w:val="left"/>
      <w:pPr>
        <w:tabs>
          <w:tab w:val="num" w:pos="1440"/>
        </w:tabs>
        <w:ind w:left="1440" w:hanging="360"/>
      </w:pPr>
      <w:rPr>
        <w:rFonts w:ascii="Arial" w:hAnsi="Arial" w:cs="Times New Roman" w:hint="default"/>
      </w:rPr>
    </w:lvl>
    <w:lvl w:ilvl="2" w:tplc="D556C42E">
      <w:start w:val="1"/>
      <w:numFmt w:val="bullet"/>
      <w:lvlText w:val="•"/>
      <w:lvlJc w:val="left"/>
      <w:pPr>
        <w:tabs>
          <w:tab w:val="num" w:pos="2160"/>
        </w:tabs>
        <w:ind w:left="2160" w:hanging="360"/>
      </w:pPr>
      <w:rPr>
        <w:rFonts w:ascii="Arial" w:hAnsi="Arial" w:cs="Times New Roman" w:hint="default"/>
      </w:rPr>
    </w:lvl>
    <w:lvl w:ilvl="3" w:tplc="8CFC1584">
      <w:start w:val="1"/>
      <w:numFmt w:val="bullet"/>
      <w:lvlText w:val="•"/>
      <w:lvlJc w:val="left"/>
      <w:pPr>
        <w:tabs>
          <w:tab w:val="num" w:pos="2880"/>
        </w:tabs>
        <w:ind w:left="2880" w:hanging="360"/>
      </w:pPr>
      <w:rPr>
        <w:rFonts w:ascii="Arial" w:hAnsi="Arial" w:cs="Times New Roman" w:hint="default"/>
      </w:rPr>
    </w:lvl>
    <w:lvl w:ilvl="4" w:tplc="B8669310">
      <w:start w:val="1"/>
      <w:numFmt w:val="bullet"/>
      <w:lvlText w:val="•"/>
      <w:lvlJc w:val="left"/>
      <w:pPr>
        <w:tabs>
          <w:tab w:val="num" w:pos="3600"/>
        </w:tabs>
        <w:ind w:left="3600" w:hanging="360"/>
      </w:pPr>
      <w:rPr>
        <w:rFonts w:ascii="Arial" w:hAnsi="Arial" w:cs="Times New Roman" w:hint="default"/>
      </w:rPr>
    </w:lvl>
    <w:lvl w:ilvl="5" w:tplc="76DC37F2">
      <w:start w:val="1"/>
      <w:numFmt w:val="bullet"/>
      <w:lvlText w:val="•"/>
      <w:lvlJc w:val="left"/>
      <w:pPr>
        <w:tabs>
          <w:tab w:val="num" w:pos="4320"/>
        </w:tabs>
        <w:ind w:left="4320" w:hanging="360"/>
      </w:pPr>
      <w:rPr>
        <w:rFonts w:ascii="Arial" w:hAnsi="Arial" w:cs="Times New Roman" w:hint="default"/>
      </w:rPr>
    </w:lvl>
    <w:lvl w:ilvl="6" w:tplc="8872F706">
      <w:start w:val="1"/>
      <w:numFmt w:val="bullet"/>
      <w:lvlText w:val="•"/>
      <w:lvlJc w:val="left"/>
      <w:pPr>
        <w:tabs>
          <w:tab w:val="num" w:pos="5040"/>
        </w:tabs>
        <w:ind w:left="5040" w:hanging="360"/>
      </w:pPr>
      <w:rPr>
        <w:rFonts w:ascii="Arial" w:hAnsi="Arial" w:cs="Times New Roman" w:hint="default"/>
      </w:rPr>
    </w:lvl>
    <w:lvl w:ilvl="7" w:tplc="4420F612">
      <w:start w:val="1"/>
      <w:numFmt w:val="bullet"/>
      <w:lvlText w:val="•"/>
      <w:lvlJc w:val="left"/>
      <w:pPr>
        <w:tabs>
          <w:tab w:val="num" w:pos="5760"/>
        </w:tabs>
        <w:ind w:left="5760" w:hanging="360"/>
      </w:pPr>
      <w:rPr>
        <w:rFonts w:ascii="Arial" w:hAnsi="Arial" w:cs="Times New Roman" w:hint="default"/>
      </w:rPr>
    </w:lvl>
    <w:lvl w:ilvl="8" w:tplc="A48E479A">
      <w:start w:val="1"/>
      <w:numFmt w:val="bullet"/>
      <w:lvlText w:val="•"/>
      <w:lvlJc w:val="left"/>
      <w:pPr>
        <w:tabs>
          <w:tab w:val="num" w:pos="6480"/>
        </w:tabs>
        <w:ind w:left="6480" w:hanging="360"/>
      </w:pPr>
      <w:rPr>
        <w:rFonts w:ascii="Arial" w:hAnsi="Arial" w:cs="Times New Roman" w:hint="default"/>
      </w:r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C2429D"/>
    <w:multiLevelType w:val="hybridMultilevel"/>
    <w:tmpl w:val="66B460E6"/>
    <w:lvl w:ilvl="0" w:tplc="DD4C54AA">
      <w:start w:val="1"/>
      <w:numFmt w:val="bullet"/>
      <w:lvlText w:val="•"/>
      <w:lvlJc w:val="left"/>
      <w:pPr>
        <w:tabs>
          <w:tab w:val="num" w:pos="720"/>
        </w:tabs>
        <w:ind w:left="720" w:hanging="360"/>
      </w:pPr>
      <w:rPr>
        <w:rFonts w:ascii="Arial" w:hAnsi="Arial" w:cs="Times New Roman" w:hint="default"/>
      </w:rPr>
    </w:lvl>
    <w:lvl w:ilvl="1" w:tplc="93FEE3B2">
      <w:start w:val="1"/>
      <w:numFmt w:val="bullet"/>
      <w:lvlText w:val="•"/>
      <w:lvlJc w:val="left"/>
      <w:pPr>
        <w:tabs>
          <w:tab w:val="num" w:pos="1440"/>
        </w:tabs>
        <w:ind w:left="1440" w:hanging="360"/>
      </w:pPr>
      <w:rPr>
        <w:rFonts w:ascii="Arial" w:hAnsi="Arial" w:cs="Times New Roman" w:hint="default"/>
      </w:rPr>
    </w:lvl>
    <w:lvl w:ilvl="2" w:tplc="CE4004F0">
      <w:start w:val="1"/>
      <w:numFmt w:val="bullet"/>
      <w:lvlText w:val="•"/>
      <w:lvlJc w:val="left"/>
      <w:pPr>
        <w:tabs>
          <w:tab w:val="num" w:pos="2160"/>
        </w:tabs>
        <w:ind w:left="2160" w:hanging="360"/>
      </w:pPr>
      <w:rPr>
        <w:rFonts w:ascii="Arial" w:hAnsi="Arial" w:cs="Times New Roman" w:hint="default"/>
      </w:rPr>
    </w:lvl>
    <w:lvl w:ilvl="3" w:tplc="A740B758">
      <w:start w:val="1"/>
      <w:numFmt w:val="bullet"/>
      <w:lvlText w:val="•"/>
      <w:lvlJc w:val="left"/>
      <w:pPr>
        <w:tabs>
          <w:tab w:val="num" w:pos="2880"/>
        </w:tabs>
        <w:ind w:left="2880" w:hanging="360"/>
      </w:pPr>
      <w:rPr>
        <w:rFonts w:ascii="Arial" w:hAnsi="Arial" w:cs="Times New Roman" w:hint="default"/>
      </w:rPr>
    </w:lvl>
    <w:lvl w:ilvl="4" w:tplc="5E9AA41A">
      <w:start w:val="1"/>
      <w:numFmt w:val="bullet"/>
      <w:lvlText w:val="•"/>
      <w:lvlJc w:val="left"/>
      <w:pPr>
        <w:tabs>
          <w:tab w:val="num" w:pos="3600"/>
        </w:tabs>
        <w:ind w:left="3600" w:hanging="360"/>
      </w:pPr>
      <w:rPr>
        <w:rFonts w:ascii="Arial" w:hAnsi="Arial" w:cs="Times New Roman" w:hint="default"/>
      </w:rPr>
    </w:lvl>
    <w:lvl w:ilvl="5" w:tplc="F484F8B4">
      <w:start w:val="1"/>
      <w:numFmt w:val="bullet"/>
      <w:lvlText w:val="•"/>
      <w:lvlJc w:val="left"/>
      <w:pPr>
        <w:tabs>
          <w:tab w:val="num" w:pos="4320"/>
        </w:tabs>
        <w:ind w:left="4320" w:hanging="360"/>
      </w:pPr>
      <w:rPr>
        <w:rFonts w:ascii="Arial" w:hAnsi="Arial" w:cs="Times New Roman" w:hint="default"/>
      </w:rPr>
    </w:lvl>
    <w:lvl w:ilvl="6" w:tplc="9A1C9CB2">
      <w:start w:val="1"/>
      <w:numFmt w:val="bullet"/>
      <w:lvlText w:val="•"/>
      <w:lvlJc w:val="left"/>
      <w:pPr>
        <w:tabs>
          <w:tab w:val="num" w:pos="5040"/>
        </w:tabs>
        <w:ind w:left="5040" w:hanging="360"/>
      </w:pPr>
      <w:rPr>
        <w:rFonts w:ascii="Arial" w:hAnsi="Arial" w:cs="Times New Roman" w:hint="default"/>
      </w:rPr>
    </w:lvl>
    <w:lvl w:ilvl="7" w:tplc="C5E0C88C">
      <w:start w:val="1"/>
      <w:numFmt w:val="bullet"/>
      <w:lvlText w:val="•"/>
      <w:lvlJc w:val="left"/>
      <w:pPr>
        <w:tabs>
          <w:tab w:val="num" w:pos="5760"/>
        </w:tabs>
        <w:ind w:left="5760" w:hanging="360"/>
      </w:pPr>
      <w:rPr>
        <w:rFonts w:ascii="Arial" w:hAnsi="Arial" w:cs="Times New Roman" w:hint="default"/>
      </w:rPr>
    </w:lvl>
    <w:lvl w:ilvl="8" w:tplc="29307ECE">
      <w:start w:val="1"/>
      <w:numFmt w:val="bullet"/>
      <w:lvlText w:val="•"/>
      <w:lvlJc w:val="left"/>
      <w:pPr>
        <w:tabs>
          <w:tab w:val="num" w:pos="6480"/>
        </w:tabs>
        <w:ind w:left="6480" w:hanging="360"/>
      </w:pPr>
      <w:rPr>
        <w:rFonts w:ascii="Arial" w:hAnsi="Arial" w:cs="Times New Roman" w:hint="default"/>
      </w:rPr>
    </w:lvl>
  </w:abstractNum>
  <w:abstractNum w:abstractNumId="17"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F00FF"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F2726"/>
    <w:multiLevelType w:val="multilevel"/>
    <w:tmpl w:val="CE981792"/>
    <w:numStyleLink w:val="Bullets"/>
  </w:abstractNum>
  <w:abstractNum w:abstractNumId="20"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F80889"/>
    <w:multiLevelType w:val="hybridMultilevel"/>
    <w:tmpl w:val="36BC3100"/>
    <w:lvl w:ilvl="0" w:tplc="55D2F5D0">
      <w:start w:val="1"/>
      <w:numFmt w:val="bullet"/>
      <w:lvlText w:val="•"/>
      <w:lvlJc w:val="left"/>
      <w:pPr>
        <w:tabs>
          <w:tab w:val="num" w:pos="720"/>
        </w:tabs>
        <w:ind w:left="720" w:hanging="360"/>
      </w:pPr>
      <w:rPr>
        <w:rFonts w:ascii="Arial" w:hAnsi="Arial" w:cs="Times New Roman" w:hint="default"/>
      </w:rPr>
    </w:lvl>
    <w:lvl w:ilvl="1" w:tplc="B6B03476">
      <w:start w:val="1"/>
      <w:numFmt w:val="bullet"/>
      <w:lvlText w:val="•"/>
      <w:lvlJc w:val="left"/>
      <w:pPr>
        <w:tabs>
          <w:tab w:val="num" w:pos="1440"/>
        </w:tabs>
        <w:ind w:left="1440" w:hanging="360"/>
      </w:pPr>
      <w:rPr>
        <w:rFonts w:ascii="Arial" w:hAnsi="Arial" w:cs="Times New Roman" w:hint="default"/>
      </w:rPr>
    </w:lvl>
    <w:lvl w:ilvl="2" w:tplc="172AFE52">
      <w:start w:val="1"/>
      <w:numFmt w:val="bullet"/>
      <w:lvlText w:val="•"/>
      <w:lvlJc w:val="left"/>
      <w:pPr>
        <w:tabs>
          <w:tab w:val="num" w:pos="2160"/>
        </w:tabs>
        <w:ind w:left="2160" w:hanging="360"/>
      </w:pPr>
      <w:rPr>
        <w:rFonts w:ascii="Arial" w:hAnsi="Arial" w:cs="Times New Roman" w:hint="default"/>
      </w:rPr>
    </w:lvl>
    <w:lvl w:ilvl="3" w:tplc="37F2935A">
      <w:start w:val="1"/>
      <w:numFmt w:val="bullet"/>
      <w:lvlText w:val="•"/>
      <w:lvlJc w:val="left"/>
      <w:pPr>
        <w:tabs>
          <w:tab w:val="num" w:pos="2880"/>
        </w:tabs>
        <w:ind w:left="2880" w:hanging="360"/>
      </w:pPr>
      <w:rPr>
        <w:rFonts w:ascii="Arial" w:hAnsi="Arial" w:cs="Times New Roman" w:hint="default"/>
      </w:rPr>
    </w:lvl>
    <w:lvl w:ilvl="4" w:tplc="667E66E8">
      <w:start w:val="1"/>
      <w:numFmt w:val="bullet"/>
      <w:lvlText w:val="•"/>
      <w:lvlJc w:val="left"/>
      <w:pPr>
        <w:tabs>
          <w:tab w:val="num" w:pos="3600"/>
        </w:tabs>
        <w:ind w:left="3600" w:hanging="360"/>
      </w:pPr>
      <w:rPr>
        <w:rFonts w:ascii="Arial" w:hAnsi="Arial" w:cs="Times New Roman" w:hint="default"/>
      </w:rPr>
    </w:lvl>
    <w:lvl w:ilvl="5" w:tplc="3C76FE28">
      <w:start w:val="1"/>
      <w:numFmt w:val="bullet"/>
      <w:lvlText w:val="•"/>
      <w:lvlJc w:val="left"/>
      <w:pPr>
        <w:tabs>
          <w:tab w:val="num" w:pos="4320"/>
        </w:tabs>
        <w:ind w:left="4320" w:hanging="360"/>
      </w:pPr>
      <w:rPr>
        <w:rFonts w:ascii="Arial" w:hAnsi="Arial" w:cs="Times New Roman" w:hint="default"/>
      </w:rPr>
    </w:lvl>
    <w:lvl w:ilvl="6" w:tplc="022A4D06">
      <w:start w:val="1"/>
      <w:numFmt w:val="bullet"/>
      <w:lvlText w:val="•"/>
      <w:lvlJc w:val="left"/>
      <w:pPr>
        <w:tabs>
          <w:tab w:val="num" w:pos="5040"/>
        </w:tabs>
        <w:ind w:left="5040" w:hanging="360"/>
      </w:pPr>
      <w:rPr>
        <w:rFonts w:ascii="Arial" w:hAnsi="Arial" w:cs="Times New Roman" w:hint="default"/>
      </w:rPr>
    </w:lvl>
    <w:lvl w:ilvl="7" w:tplc="50AE96C6">
      <w:start w:val="1"/>
      <w:numFmt w:val="bullet"/>
      <w:lvlText w:val="•"/>
      <w:lvlJc w:val="left"/>
      <w:pPr>
        <w:tabs>
          <w:tab w:val="num" w:pos="5760"/>
        </w:tabs>
        <w:ind w:left="5760" w:hanging="360"/>
      </w:pPr>
      <w:rPr>
        <w:rFonts w:ascii="Arial" w:hAnsi="Arial" w:cs="Times New Roman" w:hint="default"/>
      </w:rPr>
    </w:lvl>
    <w:lvl w:ilvl="8" w:tplc="B8D8CE2A">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8DE115D"/>
    <w:multiLevelType w:val="hybridMultilevel"/>
    <w:tmpl w:val="B7B65EBC"/>
    <w:lvl w:ilvl="0" w:tplc="D598DFD6">
      <w:start w:val="1"/>
      <w:numFmt w:val="bullet"/>
      <w:lvlText w:val="•"/>
      <w:lvlJc w:val="left"/>
      <w:pPr>
        <w:tabs>
          <w:tab w:val="num" w:pos="720"/>
        </w:tabs>
        <w:ind w:left="720" w:hanging="360"/>
      </w:pPr>
      <w:rPr>
        <w:rFonts w:ascii="Arial" w:hAnsi="Arial" w:cs="Times New Roman" w:hint="default"/>
      </w:rPr>
    </w:lvl>
    <w:lvl w:ilvl="1" w:tplc="98AC993A">
      <w:start w:val="1"/>
      <w:numFmt w:val="bullet"/>
      <w:lvlText w:val="•"/>
      <w:lvlJc w:val="left"/>
      <w:pPr>
        <w:tabs>
          <w:tab w:val="num" w:pos="1440"/>
        </w:tabs>
        <w:ind w:left="1440" w:hanging="360"/>
      </w:pPr>
      <w:rPr>
        <w:rFonts w:ascii="Arial" w:hAnsi="Arial" w:cs="Times New Roman" w:hint="default"/>
      </w:rPr>
    </w:lvl>
    <w:lvl w:ilvl="2" w:tplc="EDFEE7FA">
      <w:start w:val="1"/>
      <w:numFmt w:val="bullet"/>
      <w:lvlText w:val="•"/>
      <w:lvlJc w:val="left"/>
      <w:pPr>
        <w:tabs>
          <w:tab w:val="num" w:pos="2160"/>
        </w:tabs>
        <w:ind w:left="2160" w:hanging="360"/>
      </w:pPr>
      <w:rPr>
        <w:rFonts w:ascii="Arial" w:hAnsi="Arial" w:cs="Times New Roman" w:hint="default"/>
      </w:rPr>
    </w:lvl>
    <w:lvl w:ilvl="3" w:tplc="EF4E227C">
      <w:start w:val="1"/>
      <w:numFmt w:val="bullet"/>
      <w:lvlText w:val="•"/>
      <w:lvlJc w:val="left"/>
      <w:pPr>
        <w:tabs>
          <w:tab w:val="num" w:pos="2880"/>
        </w:tabs>
        <w:ind w:left="2880" w:hanging="360"/>
      </w:pPr>
      <w:rPr>
        <w:rFonts w:ascii="Arial" w:hAnsi="Arial" w:cs="Times New Roman" w:hint="default"/>
      </w:rPr>
    </w:lvl>
    <w:lvl w:ilvl="4" w:tplc="37BE0716">
      <w:start w:val="1"/>
      <w:numFmt w:val="bullet"/>
      <w:lvlText w:val="•"/>
      <w:lvlJc w:val="left"/>
      <w:pPr>
        <w:tabs>
          <w:tab w:val="num" w:pos="3600"/>
        </w:tabs>
        <w:ind w:left="3600" w:hanging="360"/>
      </w:pPr>
      <w:rPr>
        <w:rFonts w:ascii="Arial" w:hAnsi="Arial" w:cs="Times New Roman" w:hint="default"/>
      </w:rPr>
    </w:lvl>
    <w:lvl w:ilvl="5" w:tplc="525894B2">
      <w:start w:val="1"/>
      <w:numFmt w:val="bullet"/>
      <w:lvlText w:val="•"/>
      <w:lvlJc w:val="left"/>
      <w:pPr>
        <w:tabs>
          <w:tab w:val="num" w:pos="4320"/>
        </w:tabs>
        <w:ind w:left="4320" w:hanging="360"/>
      </w:pPr>
      <w:rPr>
        <w:rFonts w:ascii="Arial" w:hAnsi="Arial" w:cs="Times New Roman" w:hint="default"/>
      </w:rPr>
    </w:lvl>
    <w:lvl w:ilvl="6" w:tplc="FD320E56">
      <w:start w:val="1"/>
      <w:numFmt w:val="bullet"/>
      <w:lvlText w:val="•"/>
      <w:lvlJc w:val="left"/>
      <w:pPr>
        <w:tabs>
          <w:tab w:val="num" w:pos="5040"/>
        </w:tabs>
        <w:ind w:left="5040" w:hanging="360"/>
      </w:pPr>
      <w:rPr>
        <w:rFonts w:ascii="Arial" w:hAnsi="Arial" w:cs="Times New Roman" w:hint="default"/>
      </w:rPr>
    </w:lvl>
    <w:lvl w:ilvl="7" w:tplc="398E5384">
      <w:start w:val="1"/>
      <w:numFmt w:val="bullet"/>
      <w:lvlText w:val="•"/>
      <w:lvlJc w:val="left"/>
      <w:pPr>
        <w:tabs>
          <w:tab w:val="num" w:pos="5760"/>
        </w:tabs>
        <w:ind w:left="5760" w:hanging="360"/>
      </w:pPr>
      <w:rPr>
        <w:rFonts w:ascii="Arial" w:hAnsi="Arial" w:cs="Times New Roman" w:hint="default"/>
      </w:rPr>
    </w:lvl>
    <w:lvl w:ilvl="8" w:tplc="4B4AEB84">
      <w:start w:val="1"/>
      <w:numFmt w:val="bullet"/>
      <w:lvlText w:val="•"/>
      <w:lvlJc w:val="left"/>
      <w:pPr>
        <w:tabs>
          <w:tab w:val="num" w:pos="6480"/>
        </w:tabs>
        <w:ind w:left="6480" w:hanging="360"/>
      </w:pPr>
      <w:rPr>
        <w:rFonts w:ascii="Arial" w:hAnsi="Arial" w:cs="Times New Roman" w:hint="default"/>
      </w:rPr>
    </w:lvl>
  </w:abstractNum>
  <w:abstractNum w:abstractNumId="29" w15:restartNumberingAfterBreak="0">
    <w:nsid w:val="5D63574D"/>
    <w:multiLevelType w:val="hybridMultilevel"/>
    <w:tmpl w:val="E9E69B20"/>
    <w:lvl w:ilvl="0" w:tplc="CB3C7B0A">
      <w:start w:val="1"/>
      <w:numFmt w:val="bullet"/>
      <w:lvlText w:val="•"/>
      <w:lvlJc w:val="left"/>
      <w:pPr>
        <w:tabs>
          <w:tab w:val="num" w:pos="720"/>
        </w:tabs>
        <w:ind w:left="720" w:hanging="360"/>
      </w:pPr>
      <w:rPr>
        <w:rFonts w:ascii="Arial" w:hAnsi="Arial" w:cs="Times New Roman" w:hint="default"/>
      </w:rPr>
    </w:lvl>
    <w:lvl w:ilvl="1" w:tplc="AEF8EC60">
      <w:start w:val="1"/>
      <w:numFmt w:val="bullet"/>
      <w:lvlText w:val="•"/>
      <w:lvlJc w:val="left"/>
      <w:pPr>
        <w:tabs>
          <w:tab w:val="num" w:pos="1440"/>
        </w:tabs>
        <w:ind w:left="1440" w:hanging="360"/>
      </w:pPr>
      <w:rPr>
        <w:rFonts w:ascii="Arial" w:hAnsi="Arial" w:cs="Times New Roman" w:hint="default"/>
      </w:rPr>
    </w:lvl>
    <w:lvl w:ilvl="2" w:tplc="DC80AF54">
      <w:start w:val="1"/>
      <w:numFmt w:val="bullet"/>
      <w:lvlText w:val="•"/>
      <w:lvlJc w:val="left"/>
      <w:pPr>
        <w:tabs>
          <w:tab w:val="num" w:pos="2160"/>
        </w:tabs>
        <w:ind w:left="2160" w:hanging="360"/>
      </w:pPr>
      <w:rPr>
        <w:rFonts w:ascii="Arial" w:hAnsi="Arial" w:cs="Times New Roman" w:hint="default"/>
      </w:rPr>
    </w:lvl>
    <w:lvl w:ilvl="3" w:tplc="A40020EA">
      <w:start w:val="1"/>
      <w:numFmt w:val="bullet"/>
      <w:lvlText w:val="•"/>
      <w:lvlJc w:val="left"/>
      <w:pPr>
        <w:tabs>
          <w:tab w:val="num" w:pos="2880"/>
        </w:tabs>
        <w:ind w:left="2880" w:hanging="360"/>
      </w:pPr>
      <w:rPr>
        <w:rFonts w:ascii="Arial" w:hAnsi="Arial" w:cs="Times New Roman" w:hint="default"/>
      </w:rPr>
    </w:lvl>
    <w:lvl w:ilvl="4" w:tplc="FC0AC884">
      <w:start w:val="1"/>
      <w:numFmt w:val="bullet"/>
      <w:lvlText w:val="•"/>
      <w:lvlJc w:val="left"/>
      <w:pPr>
        <w:tabs>
          <w:tab w:val="num" w:pos="3600"/>
        </w:tabs>
        <w:ind w:left="3600" w:hanging="360"/>
      </w:pPr>
      <w:rPr>
        <w:rFonts w:ascii="Arial" w:hAnsi="Arial" w:cs="Times New Roman" w:hint="default"/>
      </w:rPr>
    </w:lvl>
    <w:lvl w:ilvl="5" w:tplc="23D28EAA">
      <w:start w:val="1"/>
      <w:numFmt w:val="bullet"/>
      <w:lvlText w:val="•"/>
      <w:lvlJc w:val="left"/>
      <w:pPr>
        <w:tabs>
          <w:tab w:val="num" w:pos="4320"/>
        </w:tabs>
        <w:ind w:left="4320" w:hanging="360"/>
      </w:pPr>
      <w:rPr>
        <w:rFonts w:ascii="Arial" w:hAnsi="Arial" w:cs="Times New Roman" w:hint="default"/>
      </w:rPr>
    </w:lvl>
    <w:lvl w:ilvl="6" w:tplc="9B245484">
      <w:start w:val="1"/>
      <w:numFmt w:val="bullet"/>
      <w:lvlText w:val="•"/>
      <w:lvlJc w:val="left"/>
      <w:pPr>
        <w:tabs>
          <w:tab w:val="num" w:pos="5040"/>
        </w:tabs>
        <w:ind w:left="5040" w:hanging="360"/>
      </w:pPr>
      <w:rPr>
        <w:rFonts w:ascii="Arial" w:hAnsi="Arial" w:cs="Times New Roman" w:hint="default"/>
      </w:rPr>
    </w:lvl>
    <w:lvl w:ilvl="7" w:tplc="A8DC89D8">
      <w:start w:val="1"/>
      <w:numFmt w:val="bullet"/>
      <w:lvlText w:val="•"/>
      <w:lvlJc w:val="left"/>
      <w:pPr>
        <w:tabs>
          <w:tab w:val="num" w:pos="5760"/>
        </w:tabs>
        <w:ind w:left="5760" w:hanging="360"/>
      </w:pPr>
      <w:rPr>
        <w:rFonts w:ascii="Arial" w:hAnsi="Arial" w:cs="Times New Roman" w:hint="default"/>
      </w:rPr>
    </w:lvl>
    <w:lvl w:ilvl="8" w:tplc="8FECC514">
      <w:start w:val="1"/>
      <w:numFmt w:val="bullet"/>
      <w:lvlText w:val="•"/>
      <w:lvlJc w:val="left"/>
      <w:pPr>
        <w:tabs>
          <w:tab w:val="num" w:pos="6480"/>
        </w:tabs>
        <w:ind w:left="6480" w:hanging="360"/>
      </w:pPr>
      <w:rPr>
        <w:rFonts w:ascii="Arial" w:hAnsi="Arial" w:cs="Times New Roman" w:hint="default"/>
      </w:rPr>
    </w:lvl>
  </w:abstractNum>
  <w:abstractNum w:abstractNumId="30" w15:restartNumberingAfterBreak="0">
    <w:nsid w:val="60607F32"/>
    <w:multiLevelType w:val="multilevel"/>
    <w:tmpl w:val="CE981792"/>
    <w:numStyleLink w:val="Bullets"/>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6" w15:restartNumberingAfterBreak="0">
    <w:nsid w:val="6AD3657F"/>
    <w:multiLevelType w:val="multilevel"/>
    <w:tmpl w:val="CE981792"/>
    <w:numStyleLink w:val="Bullets"/>
  </w:abstractNum>
  <w:abstractNum w:abstractNumId="37"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5"/>
  </w:num>
  <w:num w:numId="12" w16cid:durableId="450050108">
    <w:abstractNumId w:val="21"/>
  </w:num>
  <w:num w:numId="13" w16cid:durableId="427045568">
    <w:abstractNumId w:val="42"/>
  </w:num>
  <w:num w:numId="14" w16cid:durableId="351030145">
    <w:abstractNumId w:val="12"/>
  </w:num>
  <w:num w:numId="15" w16cid:durableId="419713709">
    <w:abstractNumId w:val="36"/>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4"/>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5"/>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30"/>
  </w:num>
  <w:num w:numId="29" w16cid:durableId="795679059">
    <w:abstractNumId w:val="19"/>
  </w:num>
  <w:num w:numId="30" w16cid:durableId="776801520">
    <w:abstractNumId w:val="10"/>
  </w:num>
  <w:num w:numId="31" w16cid:durableId="233004790">
    <w:abstractNumId w:val="24"/>
  </w:num>
  <w:num w:numId="32" w16cid:durableId="1849902588">
    <w:abstractNumId w:val="32"/>
  </w:num>
  <w:num w:numId="33" w16cid:durableId="1724792781">
    <w:abstractNumId w:val="33"/>
  </w:num>
  <w:num w:numId="34" w16cid:durableId="182482013">
    <w:abstractNumId w:val="27"/>
  </w:num>
  <w:num w:numId="35" w16cid:durableId="873037354">
    <w:abstractNumId w:val="23"/>
  </w:num>
  <w:num w:numId="36" w16cid:durableId="143934142">
    <w:abstractNumId w:val="34"/>
  </w:num>
  <w:num w:numId="37" w16cid:durableId="853499786">
    <w:abstractNumId w:val="39"/>
  </w:num>
  <w:num w:numId="38" w16cid:durableId="1942257626">
    <w:abstractNumId w:val="20"/>
  </w:num>
  <w:num w:numId="39" w16cid:durableId="217713168">
    <w:abstractNumId w:val="26"/>
  </w:num>
  <w:num w:numId="40" w16cid:durableId="247152751">
    <w:abstractNumId w:val="17"/>
  </w:num>
  <w:num w:numId="41" w16cid:durableId="874151452">
    <w:abstractNumId w:val="18"/>
  </w:num>
  <w:num w:numId="42" w16cid:durableId="816651842">
    <w:abstractNumId w:val="15"/>
  </w:num>
  <w:num w:numId="43" w16cid:durableId="581330511">
    <w:abstractNumId w:val="37"/>
  </w:num>
  <w:num w:numId="44" w16cid:durableId="251014977">
    <w:abstractNumId w:val="29"/>
  </w:num>
  <w:num w:numId="45" w16cid:durableId="1751342354">
    <w:abstractNumId w:val="28"/>
  </w:num>
  <w:num w:numId="46" w16cid:durableId="741100345">
    <w:abstractNumId w:val="22"/>
  </w:num>
  <w:num w:numId="47" w16cid:durableId="1419980917">
    <w:abstractNumId w:val="13"/>
  </w:num>
  <w:num w:numId="48" w16cid:durableId="130901621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0C8A"/>
    <w:rsid w:val="00031305"/>
    <w:rsid w:val="0003177C"/>
    <w:rsid w:val="000317D5"/>
    <w:rsid w:val="0003395B"/>
    <w:rsid w:val="0003433A"/>
    <w:rsid w:val="00034DE8"/>
    <w:rsid w:val="00036E0D"/>
    <w:rsid w:val="00036ECA"/>
    <w:rsid w:val="00037D0E"/>
    <w:rsid w:val="00041BFC"/>
    <w:rsid w:val="000421C8"/>
    <w:rsid w:val="0004277D"/>
    <w:rsid w:val="00042D88"/>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6C02"/>
    <w:rsid w:val="000772BB"/>
    <w:rsid w:val="00081106"/>
    <w:rsid w:val="000816B3"/>
    <w:rsid w:val="00081F84"/>
    <w:rsid w:val="00081FD6"/>
    <w:rsid w:val="000821BE"/>
    <w:rsid w:val="00083974"/>
    <w:rsid w:val="00083E12"/>
    <w:rsid w:val="000847DC"/>
    <w:rsid w:val="00084C5F"/>
    <w:rsid w:val="00087020"/>
    <w:rsid w:val="0009106E"/>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5FE0"/>
    <w:rsid w:val="000B6756"/>
    <w:rsid w:val="000B6A4C"/>
    <w:rsid w:val="000B7A6A"/>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14E"/>
    <w:rsid w:val="000F120C"/>
    <w:rsid w:val="000F224C"/>
    <w:rsid w:val="000F3E38"/>
    <w:rsid w:val="000F5DF1"/>
    <w:rsid w:val="000F65D6"/>
    <w:rsid w:val="000F67B8"/>
    <w:rsid w:val="0010311E"/>
    <w:rsid w:val="00103DA4"/>
    <w:rsid w:val="001060D4"/>
    <w:rsid w:val="00106491"/>
    <w:rsid w:val="00106B84"/>
    <w:rsid w:val="00107C4C"/>
    <w:rsid w:val="00110513"/>
    <w:rsid w:val="00110F32"/>
    <w:rsid w:val="00112765"/>
    <w:rsid w:val="00112C46"/>
    <w:rsid w:val="001137FB"/>
    <w:rsid w:val="0011389F"/>
    <w:rsid w:val="00113BF5"/>
    <w:rsid w:val="00113CB3"/>
    <w:rsid w:val="00113F39"/>
    <w:rsid w:val="0011423A"/>
    <w:rsid w:val="001145E7"/>
    <w:rsid w:val="00114BDB"/>
    <w:rsid w:val="001155B3"/>
    <w:rsid w:val="00116009"/>
    <w:rsid w:val="00116D5D"/>
    <w:rsid w:val="001173F1"/>
    <w:rsid w:val="00117DA6"/>
    <w:rsid w:val="00120547"/>
    <w:rsid w:val="00124925"/>
    <w:rsid w:val="001258BB"/>
    <w:rsid w:val="00127759"/>
    <w:rsid w:val="00130F65"/>
    <w:rsid w:val="0013297F"/>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77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9BA"/>
    <w:rsid w:val="00166A57"/>
    <w:rsid w:val="0016758D"/>
    <w:rsid w:val="00170B39"/>
    <w:rsid w:val="0017122F"/>
    <w:rsid w:val="001722A3"/>
    <w:rsid w:val="00172340"/>
    <w:rsid w:val="00173215"/>
    <w:rsid w:val="0017346A"/>
    <w:rsid w:val="00173FC9"/>
    <w:rsid w:val="00174406"/>
    <w:rsid w:val="0017581D"/>
    <w:rsid w:val="00176FB8"/>
    <w:rsid w:val="00177CCF"/>
    <w:rsid w:val="0018117A"/>
    <w:rsid w:val="00181B49"/>
    <w:rsid w:val="00182168"/>
    <w:rsid w:val="00182640"/>
    <w:rsid w:val="00186A6D"/>
    <w:rsid w:val="00186DF4"/>
    <w:rsid w:val="00186FE8"/>
    <w:rsid w:val="001917FE"/>
    <w:rsid w:val="001920B4"/>
    <w:rsid w:val="001935DE"/>
    <w:rsid w:val="001938FD"/>
    <w:rsid w:val="00193E2E"/>
    <w:rsid w:val="00193F3F"/>
    <w:rsid w:val="001942C6"/>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0286"/>
    <w:rsid w:val="001D14F7"/>
    <w:rsid w:val="001D26B9"/>
    <w:rsid w:val="001D2FA5"/>
    <w:rsid w:val="001D3612"/>
    <w:rsid w:val="001D682C"/>
    <w:rsid w:val="001D7292"/>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6CA1"/>
    <w:rsid w:val="001F77DC"/>
    <w:rsid w:val="002005E2"/>
    <w:rsid w:val="00200E17"/>
    <w:rsid w:val="0020128F"/>
    <w:rsid w:val="0020555B"/>
    <w:rsid w:val="0020611A"/>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2DB"/>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034"/>
    <w:rsid w:val="00261382"/>
    <w:rsid w:val="00261FDF"/>
    <w:rsid w:val="00263188"/>
    <w:rsid w:val="00265B9C"/>
    <w:rsid w:val="00270DDA"/>
    <w:rsid w:val="00271135"/>
    <w:rsid w:val="00272013"/>
    <w:rsid w:val="00273931"/>
    <w:rsid w:val="00274C5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0D3"/>
    <w:rsid w:val="00290262"/>
    <w:rsid w:val="00290786"/>
    <w:rsid w:val="00291B33"/>
    <w:rsid w:val="00291E2C"/>
    <w:rsid w:val="0029218A"/>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82A"/>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2A6F"/>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A40"/>
    <w:rsid w:val="00300CC5"/>
    <w:rsid w:val="0030117E"/>
    <w:rsid w:val="0030153C"/>
    <w:rsid w:val="00301C3D"/>
    <w:rsid w:val="00301EF5"/>
    <w:rsid w:val="0030205D"/>
    <w:rsid w:val="00302539"/>
    <w:rsid w:val="00303237"/>
    <w:rsid w:val="003038FB"/>
    <w:rsid w:val="00304BD6"/>
    <w:rsid w:val="00305777"/>
    <w:rsid w:val="003067B1"/>
    <w:rsid w:val="00306812"/>
    <w:rsid w:val="003102FE"/>
    <w:rsid w:val="00310AB7"/>
    <w:rsid w:val="00310AED"/>
    <w:rsid w:val="003120B5"/>
    <w:rsid w:val="00313E6E"/>
    <w:rsid w:val="00314D99"/>
    <w:rsid w:val="00314E7F"/>
    <w:rsid w:val="0031633F"/>
    <w:rsid w:val="003179A9"/>
    <w:rsid w:val="003224BC"/>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3337"/>
    <w:rsid w:val="003550C3"/>
    <w:rsid w:val="0035561E"/>
    <w:rsid w:val="00357149"/>
    <w:rsid w:val="00357D34"/>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4D84"/>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3EF"/>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0CD"/>
    <w:rsid w:val="004335BD"/>
    <w:rsid w:val="0043548D"/>
    <w:rsid w:val="00435512"/>
    <w:rsid w:val="00436720"/>
    <w:rsid w:val="0043703E"/>
    <w:rsid w:val="004418A1"/>
    <w:rsid w:val="00443555"/>
    <w:rsid w:val="004435E6"/>
    <w:rsid w:val="00443681"/>
    <w:rsid w:val="004436DC"/>
    <w:rsid w:val="00444AE6"/>
    <w:rsid w:val="00445104"/>
    <w:rsid w:val="00446CE9"/>
    <w:rsid w:val="00447056"/>
    <w:rsid w:val="004474EE"/>
    <w:rsid w:val="00450377"/>
    <w:rsid w:val="00450AA5"/>
    <w:rsid w:val="00450AB3"/>
    <w:rsid w:val="00451774"/>
    <w:rsid w:val="00452142"/>
    <w:rsid w:val="004527F5"/>
    <w:rsid w:val="004533DD"/>
    <w:rsid w:val="00453C26"/>
    <w:rsid w:val="0045450A"/>
    <w:rsid w:val="0045595E"/>
    <w:rsid w:val="004602DB"/>
    <w:rsid w:val="004605FA"/>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2FDD"/>
    <w:rsid w:val="004833B0"/>
    <w:rsid w:val="00483E04"/>
    <w:rsid w:val="004852AC"/>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4B80"/>
    <w:rsid w:val="004D5006"/>
    <w:rsid w:val="004D7D42"/>
    <w:rsid w:val="004D7FE4"/>
    <w:rsid w:val="004E0492"/>
    <w:rsid w:val="004E076E"/>
    <w:rsid w:val="004E0C02"/>
    <w:rsid w:val="004E30DC"/>
    <w:rsid w:val="004E34A5"/>
    <w:rsid w:val="004E436B"/>
    <w:rsid w:val="004E5EDA"/>
    <w:rsid w:val="004E6456"/>
    <w:rsid w:val="004E6F2B"/>
    <w:rsid w:val="004E71AE"/>
    <w:rsid w:val="004F0137"/>
    <w:rsid w:val="004F0551"/>
    <w:rsid w:val="004F0640"/>
    <w:rsid w:val="004F0AF4"/>
    <w:rsid w:val="004F161D"/>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2697"/>
    <w:rsid w:val="00543B47"/>
    <w:rsid w:val="005441CC"/>
    <w:rsid w:val="00544DBC"/>
    <w:rsid w:val="00545144"/>
    <w:rsid w:val="00545F4B"/>
    <w:rsid w:val="005465E2"/>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6A9D"/>
    <w:rsid w:val="00587057"/>
    <w:rsid w:val="005879FD"/>
    <w:rsid w:val="00587C4F"/>
    <w:rsid w:val="00590493"/>
    <w:rsid w:val="00590A20"/>
    <w:rsid w:val="00591C32"/>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D2D"/>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79"/>
    <w:rsid w:val="005E2EF0"/>
    <w:rsid w:val="005E384E"/>
    <w:rsid w:val="005E40EB"/>
    <w:rsid w:val="005E4507"/>
    <w:rsid w:val="005E6A6B"/>
    <w:rsid w:val="005E6BA2"/>
    <w:rsid w:val="005E720E"/>
    <w:rsid w:val="005E7709"/>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2F5B"/>
    <w:rsid w:val="00643F1F"/>
    <w:rsid w:val="00647811"/>
    <w:rsid w:val="00651070"/>
    <w:rsid w:val="00651BA4"/>
    <w:rsid w:val="00652665"/>
    <w:rsid w:val="0065295B"/>
    <w:rsid w:val="00653D0D"/>
    <w:rsid w:val="0065406D"/>
    <w:rsid w:val="0065429A"/>
    <w:rsid w:val="0065662D"/>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58FD"/>
    <w:rsid w:val="00690E97"/>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10B2"/>
    <w:rsid w:val="006B53A9"/>
    <w:rsid w:val="006B573D"/>
    <w:rsid w:val="006B675C"/>
    <w:rsid w:val="006B69AD"/>
    <w:rsid w:val="006B74A5"/>
    <w:rsid w:val="006B7567"/>
    <w:rsid w:val="006C0027"/>
    <w:rsid w:val="006C0325"/>
    <w:rsid w:val="006C1CD5"/>
    <w:rsid w:val="006C2B51"/>
    <w:rsid w:val="006C347F"/>
    <w:rsid w:val="006C34E5"/>
    <w:rsid w:val="006C365B"/>
    <w:rsid w:val="006C3764"/>
    <w:rsid w:val="006C42A1"/>
    <w:rsid w:val="006C7996"/>
    <w:rsid w:val="006D15C6"/>
    <w:rsid w:val="006D4919"/>
    <w:rsid w:val="006D6073"/>
    <w:rsid w:val="006D6266"/>
    <w:rsid w:val="006E055E"/>
    <w:rsid w:val="006E0E6C"/>
    <w:rsid w:val="006E1030"/>
    <w:rsid w:val="006E1D69"/>
    <w:rsid w:val="006E5041"/>
    <w:rsid w:val="006E510D"/>
    <w:rsid w:val="006E6687"/>
    <w:rsid w:val="006E7597"/>
    <w:rsid w:val="006F2FDC"/>
    <w:rsid w:val="006F3637"/>
    <w:rsid w:val="006F37D9"/>
    <w:rsid w:val="006F4409"/>
    <w:rsid w:val="006F4CCF"/>
    <w:rsid w:val="006F4F97"/>
    <w:rsid w:val="006F6119"/>
    <w:rsid w:val="006F6E18"/>
    <w:rsid w:val="0070039E"/>
    <w:rsid w:val="00702352"/>
    <w:rsid w:val="00702959"/>
    <w:rsid w:val="00702D7C"/>
    <w:rsid w:val="00703BB1"/>
    <w:rsid w:val="0070404B"/>
    <w:rsid w:val="007042D7"/>
    <w:rsid w:val="00704D31"/>
    <w:rsid w:val="0070569C"/>
    <w:rsid w:val="00705D89"/>
    <w:rsid w:val="00706660"/>
    <w:rsid w:val="00706725"/>
    <w:rsid w:val="00707599"/>
    <w:rsid w:val="00707BD7"/>
    <w:rsid w:val="00713F7A"/>
    <w:rsid w:val="00714246"/>
    <w:rsid w:val="00714FD2"/>
    <w:rsid w:val="007155D1"/>
    <w:rsid w:val="00716462"/>
    <w:rsid w:val="0071735C"/>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525B"/>
    <w:rsid w:val="0077660A"/>
    <w:rsid w:val="00777B7D"/>
    <w:rsid w:val="007807E5"/>
    <w:rsid w:val="00780BC3"/>
    <w:rsid w:val="00780EEC"/>
    <w:rsid w:val="007820C9"/>
    <w:rsid w:val="00782244"/>
    <w:rsid w:val="0078231D"/>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6955"/>
    <w:rsid w:val="007B7D81"/>
    <w:rsid w:val="007C021A"/>
    <w:rsid w:val="007C07F2"/>
    <w:rsid w:val="007C2500"/>
    <w:rsid w:val="007C4D8A"/>
    <w:rsid w:val="007C51CD"/>
    <w:rsid w:val="007D025A"/>
    <w:rsid w:val="007D0F6C"/>
    <w:rsid w:val="007D2B50"/>
    <w:rsid w:val="007D6535"/>
    <w:rsid w:val="007D706B"/>
    <w:rsid w:val="007E09AC"/>
    <w:rsid w:val="007E11E3"/>
    <w:rsid w:val="007E24ED"/>
    <w:rsid w:val="007E436B"/>
    <w:rsid w:val="007E6EF2"/>
    <w:rsid w:val="007F0038"/>
    <w:rsid w:val="007F090E"/>
    <w:rsid w:val="007F1E4B"/>
    <w:rsid w:val="007F1E6E"/>
    <w:rsid w:val="007F2112"/>
    <w:rsid w:val="007F225F"/>
    <w:rsid w:val="007F3152"/>
    <w:rsid w:val="007F38A4"/>
    <w:rsid w:val="007F3E20"/>
    <w:rsid w:val="007F3FBC"/>
    <w:rsid w:val="007F4835"/>
    <w:rsid w:val="007F6CA9"/>
    <w:rsid w:val="007F6E70"/>
    <w:rsid w:val="007F6EB7"/>
    <w:rsid w:val="007F6EFC"/>
    <w:rsid w:val="00800D3B"/>
    <w:rsid w:val="00801442"/>
    <w:rsid w:val="00801E7C"/>
    <w:rsid w:val="00802F21"/>
    <w:rsid w:val="008040A5"/>
    <w:rsid w:val="00804C27"/>
    <w:rsid w:val="00804F2C"/>
    <w:rsid w:val="00805FAF"/>
    <w:rsid w:val="008060A0"/>
    <w:rsid w:val="00806C71"/>
    <w:rsid w:val="00812927"/>
    <w:rsid w:val="00813825"/>
    <w:rsid w:val="008143E1"/>
    <w:rsid w:val="00814AC3"/>
    <w:rsid w:val="00814BCA"/>
    <w:rsid w:val="00815B6D"/>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717"/>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3FE3"/>
    <w:rsid w:val="00865B30"/>
    <w:rsid w:val="00866D8B"/>
    <w:rsid w:val="00867317"/>
    <w:rsid w:val="00867553"/>
    <w:rsid w:val="00867675"/>
    <w:rsid w:val="00867A97"/>
    <w:rsid w:val="00867CA8"/>
    <w:rsid w:val="00870785"/>
    <w:rsid w:val="00870FE2"/>
    <w:rsid w:val="00871524"/>
    <w:rsid w:val="00871803"/>
    <w:rsid w:val="00872401"/>
    <w:rsid w:val="00872592"/>
    <w:rsid w:val="008737B1"/>
    <w:rsid w:val="00875109"/>
    <w:rsid w:val="00875323"/>
    <w:rsid w:val="008755A7"/>
    <w:rsid w:val="008756F8"/>
    <w:rsid w:val="008769E9"/>
    <w:rsid w:val="00876B4B"/>
    <w:rsid w:val="008772DD"/>
    <w:rsid w:val="00880B0F"/>
    <w:rsid w:val="00880C66"/>
    <w:rsid w:val="00882021"/>
    <w:rsid w:val="00883242"/>
    <w:rsid w:val="0088329E"/>
    <w:rsid w:val="008848AA"/>
    <w:rsid w:val="00885439"/>
    <w:rsid w:val="00885573"/>
    <w:rsid w:val="00887A9E"/>
    <w:rsid w:val="00887B6D"/>
    <w:rsid w:val="008916ED"/>
    <w:rsid w:val="00891F1B"/>
    <w:rsid w:val="00893BC7"/>
    <w:rsid w:val="008944AD"/>
    <w:rsid w:val="008964B9"/>
    <w:rsid w:val="008A0AAC"/>
    <w:rsid w:val="008A190E"/>
    <w:rsid w:val="008A19A2"/>
    <w:rsid w:val="008A1C18"/>
    <w:rsid w:val="008A2F69"/>
    <w:rsid w:val="008A4B98"/>
    <w:rsid w:val="008A6459"/>
    <w:rsid w:val="008A6D3E"/>
    <w:rsid w:val="008A71EB"/>
    <w:rsid w:val="008A72C9"/>
    <w:rsid w:val="008A78A8"/>
    <w:rsid w:val="008A7E4B"/>
    <w:rsid w:val="008B0D5E"/>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1FB6"/>
    <w:rsid w:val="008D21C1"/>
    <w:rsid w:val="008D22AA"/>
    <w:rsid w:val="008D2C83"/>
    <w:rsid w:val="008D3764"/>
    <w:rsid w:val="008D3981"/>
    <w:rsid w:val="008D4443"/>
    <w:rsid w:val="008D6C5C"/>
    <w:rsid w:val="008D7AD5"/>
    <w:rsid w:val="008E0487"/>
    <w:rsid w:val="008E1748"/>
    <w:rsid w:val="008E2E63"/>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3EA"/>
    <w:rsid w:val="00964581"/>
    <w:rsid w:val="00970643"/>
    <w:rsid w:val="0097070A"/>
    <w:rsid w:val="009717C1"/>
    <w:rsid w:val="009717EE"/>
    <w:rsid w:val="00972507"/>
    <w:rsid w:val="009727BF"/>
    <w:rsid w:val="009743E2"/>
    <w:rsid w:val="00974625"/>
    <w:rsid w:val="009753C9"/>
    <w:rsid w:val="00975CFE"/>
    <w:rsid w:val="00975E3F"/>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4204"/>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1F78"/>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ED8"/>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46E"/>
    <w:rsid w:val="00A14511"/>
    <w:rsid w:val="00A1490D"/>
    <w:rsid w:val="00A159BB"/>
    <w:rsid w:val="00A20612"/>
    <w:rsid w:val="00A207F6"/>
    <w:rsid w:val="00A20B4E"/>
    <w:rsid w:val="00A221AB"/>
    <w:rsid w:val="00A222B6"/>
    <w:rsid w:val="00A234B6"/>
    <w:rsid w:val="00A23F14"/>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26CC"/>
    <w:rsid w:val="00A430BD"/>
    <w:rsid w:val="00A448EB"/>
    <w:rsid w:val="00A47633"/>
    <w:rsid w:val="00A52359"/>
    <w:rsid w:val="00A53D94"/>
    <w:rsid w:val="00A554C3"/>
    <w:rsid w:val="00A56E6F"/>
    <w:rsid w:val="00A57094"/>
    <w:rsid w:val="00A57BBD"/>
    <w:rsid w:val="00A60EE5"/>
    <w:rsid w:val="00A61393"/>
    <w:rsid w:val="00A62284"/>
    <w:rsid w:val="00A6290B"/>
    <w:rsid w:val="00A62B5B"/>
    <w:rsid w:val="00A62BFF"/>
    <w:rsid w:val="00A62E4E"/>
    <w:rsid w:val="00A64AA5"/>
    <w:rsid w:val="00A6517C"/>
    <w:rsid w:val="00A6701C"/>
    <w:rsid w:val="00A70D4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B71E0"/>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17F0"/>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340"/>
    <w:rsid w:val="00B31D55"/>
    <w:rsid w:val="00B33C30"/>
    <w:rsid w:val="00B3753F"/>
    <w:rsid w:val="00B379FC"/>
    <w:rsid w:val="00B37DFD"/>
    <w:rsid w:val="00B4166E"/>
    <w:rsid w:val="00B425FB"/>
    <w:rsid w:val="00B4286A"/>
    <w:rsid w:val="00B42BC6"/>
    <w:rsid w:val="00B47721"/>
    <w:rsid w:val="00B51375"/>
    <w:rsid w:val="00B528EA"/>
    <w:rsid w:val="00B53262"/>
    <w:rsid w:val="00B532FD"/>
    <w:rsid w:val="00B54EFE"/>
    <w:rsid w:val="00B552D5"/>
    <w:rsid w:val="00B55BEB"/>
    <w:rsid w:val="00B60E8B"/>
    <w:rsid w:val="00B6242E"/>
    <w:rsid w:val="00B64D66"/>
    <w:rsid w:val="00B64EA4"/>
    <w:rsid w:val="00B71156"/>
    <w:rsid w:val="00B71E7F"/>
    <w:rsid w:val="00B7297A"/>
    <w:rsid w:val="00B73DF8"/>
    <w:rsid w:val="00B7445D"/>
    <w:rsid w:val="00B74EB4"/>
    <w:rsid w:val="00B763C3"/>
    <w:rsid w:val="00B763EA"/>
    <w:rsid w:val="00B81054"/>
    <w:rsid w:val="00B81592"/>
    <w:rsid w:val="00B81B6D"/>
    <w:rsid w:val="00B85218"/>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357"/>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4DE7"/>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202E"/>
    <w:rsid w:val="00BE355B"/>
    <w:rsid w:val="00BE4335"/>
    <w:rsid w:val="00BE4B48"/>
    <w:rsid w:val="00BE4EF2"/>
    <w:rsid w:val="00BE4F22"/>
    <w:rsid w:val="00BE50E9"/>
    <w:rsid w:val="00BE7B24"/>
    <w:rsid w:val="00BF201A"/>
    <w:rsid w:val="00BF25FB"/>
    <w:rsid w:val="00BF40F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1788"/>
    <w:rsid w:val="00C52E24"/>
    <w:rsid w:val="00C531AF"/>
    <w:rsid w:val="00C54A40"/>
    <w:rsid w:val="00C54AEA"/>
    <w:rsid w:val="00C55842"/>
    <w:rsid w:val="00C55B8C"/>
    <w:rsid w:val="00C56DB8"/>
    <w:rsid w:val="00C60C17"/>
    <w:rsid w:val="00C61761"/>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0314"/>
    <w:rsid w:val="00C81C68"/>
    <w:rsid w:val="00C82041"/>
    <w:rsid w:val="00C82605"/>
    <w:rsid w:val="00C82966"/>
    <w:rsid w:val="00C847C0"/>
    <w:rsid w:val="00C85CB1"/>
    <w:rsid w:val="00C90168"/>
    <w:rsid w:val="00C91224"/>
    <w:rsid w:val="00C9178B"/>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497"/>
    <w:rsid w:val="00CC5851"/>
    <w:rsid w:val="00CC6CF9"/>
    <w:rsid w:val="00CC79FC"/>
    <w:rsid w:val="00CD1773"/>
    <w:rsid w:val="00CD2FF6"/>
    <w:rsid w:val="00CD5DCD"/>
    <w:rsid w:val="00CD7050"/>
    <w:rsid w:val="00CD70A9"/>
    <w:rsid w:val="00CE13FA"/>
    <w:rsid w:val="00CE2694"/>
    <w:rsid w:val="00CE411E"/>
    <w:rsid w:val="00CE4789"/>
    <w:rsid w:val="00CE520B"/>
    <w:rsid w:val="00CE6C61"/>
    <w:rsid w:val="00CE77F6"/>
    <w:rsid w:val="00CE7C68"/>
    <w:rsid w:val="00CF1114"/>
    <w:rsid w:val="00CF21D1"/>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1949"/>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AA1"/>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55F2A"/>
    <w:rsid w:val="00D57477"/>
    <w:rsid w:val="00D6377A"/>
    <w:rsid w:val="00D638FD"/>
    <w:rsid w:val="00D6534C"/>
    <w:rsid w:val="00D65D93"/>
    <w:rsid w:val="00D67A4C"/>
    <w:rsid w:val="00D708D1"/>
    <w:rsid w:val="00D7149D"/>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39F5"/>
    <w:rsid w:val="00D856B2"/>
    <w:rsid w:val="00D856EB"/>
    <w:rsid w:val="00D857EE"/>
    <w:rsid w:val="00D87FEA"/>
    <w:rsid w:val="00D9034A"/>
    <w:rsid w:val="00D90712"/>
    <w:rsid w:val="00D91D49"/>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8D1"/>
    <w:rsid w:val="00DB4920"/>
    <w:rsid w:val="00DB4A0A"/>
    <w:rsid w:val="00DB7E60"/>
    <w:rsid w:val="00DC2EC5"/>
    <w:rsid w:val="00DC3ACD"/>
    <w:rsid w:val="00DC6012"/>
    <w:rsid w:val="00DD248B"/>
    <w:rsid w:val="00DD2F95"/>
    <w:rsid w:val="00DD3320"/>
    <w:rsid w:val="00DD3D94"/>
    <w:rsid w:val="00DD488A"/>
    <w:rsid w:val="00DD7DC6"/>
    <w:rsid w:val="00DE2149"/>
    <w:rsid w:val="00DE23A7"/>
    <w:rsid w:val="00DE2854"/>
    <w:rsid w:val="00DE29C2"/>
    <w:rsid w:val="00DE326A"/>
    <w:rsid w:val="00DE52BF"/>
    <w:rsid w:val="00DE63A2"/>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54C4"/>
    <w:rsid w:val="00E062A4"/>
    <w:rsid w:val="00E0665E"/>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B5860"/>
    <w:rsid w:val="00EC01C7"/>
    <w:rsid w:val="00EC036C"/>
    <w:rsid w:val="00EC0C90"/>
    <w:rsid w:val="00EC23B4"/>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1F3"/>
    <w:rsid w:val="00F4731D"/>
    <w:rsid w:val="00F50F86"/>
    <w:rsid w:val="00F51851"/>
    <w:rsid w:val="00F51E39"/>
    <w:rsid w:val="00F5214B"/>
    <w:rsid w:val="00F5365E"/>
    <w:rsid w:val="00F543FA"/>
    <w:rsid w:val="00F56048"/>
    <w:rsid w:val="00F5660C"/>
    <w:rsid w:val="00F578E1"/>
    <w:rsid w:val="00F60203"/>
    <w:rsid w:val="00F61DBB"/>
    <w:rsid w:val="00F6520E"/>
    <w:rsid w:val="00F65488"/>
    <w:rsid w:val="00F65FDF"/>
    <w:rsid w:val="00F666EB"/>
    <w:rsid w:val="00F70822"/>
    <w:rsid w:val="00F720A6"/>
    <w:rsid w:val="00F726CD"/>
    <w:rsid w:val="00F730BF"/>
    <w:rsid w:val="00F7344F"/>
    <w:rsid w:val="00F75C23"/>
    <w:rsid w:val="00F75DCB"/>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776"/>
    <w:rsid w:val="00F93F0D"/>
    <w:rsid w:val="00F944FF"/>
    <w:rsid w:val="00F96625"/>
    <w:rsid w:val="00F96670"/>
    <w:rsid w:val="00F96B22"/>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4A38"/>
    <w:rsid w:val="00FC5F75"/>
    <w:rsid w:val="00FC606D"/>
    <w:rsid w:val="00FC6CD7"/>
    <w:rsid w:val="00FC6EF3"/>
    <w:rsid w:val="00FC79DE"/>
    <w:rsid w:val="00FC7DB6"/>
    <w:rsid w:val="00FD0173"/>
    <w:rsid w:val="00FD0B0E"/>
    <w:rsid w:val="00FD1A32"/>
    <w:rsid w:val="00FD4052"/>
    <w:rsid w:val="00FD496E"/>
    <w:rsid w:val="00FD5040"/>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D92664B7-C821-4DD1-B1F5-38DB7E657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78B"/>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0B7A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A6A"/>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after="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BodyText2">
    <w:name w:val="Body Text 2"/>
    <w:basedOn w:val="Normal"/>
    <w:link w:val="BodyText2Char"/>
    <w:uiPriority w:val="99"/>
    <w:semiHidden/>
    <w:unhideWhenUsed/>
    <w:rsid w:val="00CD5DCD"/>
    <w:pPr>
      <w:spacing w:line="480" w:lineRule="auto"/>
    </w:pPr>
  </w:style>
  <w:style w:type="character" w:customStyle="1" w:styleId="BodyText2Char">
    <w:name w:val="Body Text 2 Char"/>
    <w:basedOn w:val="DefaultParagraphFont"/>
    <w:link w:val="BodyText2"/>
    <w:uiPriority w:val="99"/>
    <w:semiHidden/>
    <w:rsid w:val="00CD5DCD"/>
    <w:rPr>
      <w:kern w:val="2"/>
      <w:sz w:val="22"/>
      <w:szCs w:val="22"/>
      <w:lang w:val="en-GB"/>
      <w14:ligatures w14:val="standardContextual"/>
    </w:rPr>
  </w:style>
  <w:style w:type="paragraph" w:styleId="BlockText">
    <w:name w:val="Block Text"/>
    <w:basedOn w:val="Footer"/>
    <w:link w:val="BlockTextChar"/>
    <w:rsid w:val="00CD5DCD"/>
    <w:pPr>
      <w:tabs>
        <w:tab w:val="center" w:pos="4153"/>
        <w:tab w:val="right" w:pos="8306"/>
      </w:tabs>
      <w:spacing w:line="220" w:lineRule="atLeast"/>
    </w:pPr>
    <w:rPr>
      <w:noProof w:val="0"/>
      <w:color w:val="FFFFFF"/>
    </w:rPr>
  </w:style>
  <w:style w:type="character" w:customStyle="1" w:styleId="BlockTextChar">
    <w:name w:val="Block Text Char"/>
    <w:link w:val="BlockText"/>
    <w:rsid w:val="00CD5DCD"/>
    <w:rPr>
      <w:rFonts w:ascii="Arial" w:eastAsia="Times New Roman" w:hAnsi="Arial" w:cs="Times New Roman"/>
      <w:color w:val="FFFFFF"/>
      <w:sz w:val="18"/>
      <w:szCs w:val="24"/>
      <w:lang w:val="en-GB" w:eastAsia="en-GB"/>
    </w:rPr>
  </w:style>
  <w:style w:type="paragraph" w:customStyle="1" w:styleId="TableHeading">
    <w:name w:val="Table Heading"/>
    <w:basedOn w:val="Normal"/>
    <w:rsid w:val="00CD5DCD"/>
    <w:pPr>
      <w:spacing w:line="240" w:lineRule="auto"/>
      <w:ind w:left="113"/>
    </w:pPr>
    <w:rPr>
      <w:color w:val="008576"/>
    </w:rPr>
  </w:style>
  <w:style w:type="paragraph" w:customStyle="1" w:styleId="Tablebodycopy">
    <w:name w:val="Table body copy"/>
    <w:basedOn w:val="Normal"/>
    <w:rsid w:val="00CD5DCD"/>
    <w:pPr>
      <w:spacing w:before="40"/>
      <w:ind w:left="113"/>
    </w:pPr>
    <w:rPr>
      <w:color w:val="008576"/>
    </w:rPr>
  </w:style>
  <w:style w:type="paragraph" w:customStyle="1" w:styleId="Style3">
    <w:name w:val="Style3"/>
    <w:basedOn w:val="Normal"/>
    <w:link w:val="Style3Char"/>
    <w:qFormat/>
    <w:rsid w:val="00CD5DCD"/>
    <w:pPr>
      <w:keepNext/>
      <w:numPr>
        <w:ilvl w:val="7"/>
      </w:numPr>
      <w:shd w:val="clear" w:color="auto" w:fill="385B16" w:themeFill="accent3"/>
      <w:spacing w:line="240" w:lineRule="auto"/>
      <w:ind w:right="238"/>
      <w:outlineLvl w:val="7"/>
    </w:pPr>
    <w:rPr>
      <w:rFonts w:cs="Arial"/>
      <w:b/>
      <w:bCs/>
      <w:color w:val="FFFFFF" w:themeColor="background1"/>
      <w:kern w:val="32"/>
      <w:sz w:val="28"/>
      <w:szCs w:val="32"/>
    </w:rPr>
  </w:style>
  <w:style w:type="paragraph" w:customStyle="1" w:styleId="Style4">
    <w:name w:val="Style4"/>
    <w:basedOn w:val="Normal"/>
    <w:link w:val="Style4Char"/>
    <w:qFormat/>
    <w:rsid w:val="00CD5DCD"/>
    <w:pPr>
      <w:keepNext/>
      <w:numPr>
        <w:ilvl w:val="7"/>
      </w:numPr>
      <w:shd w:val="clear" w:color="auto" w:fill="2CB9FF" w:themeFill="accent2"/>
      <w:spacing w:line="240" w:lineRule="auto"/>
      <w:ind w:right="238"/>
      <w:outlineLvl w:val="7"/>
    </w:pPr>
    <w:rPr>
      <w:rFonts w:cs="Arial"/>
      <w:b/>
      <w:bCs/>
      <w:color w:val="FFFFFF" w:themeColor="background1"/>
      <w:kern w:val="32"/>
      <w:sz w:val="28"/>
      <w:szCs w:val="32"/>
    </w:rPr>
  </w:style>
  <w:style w:type="character" w:customStyle="1" w:styleId="Style3Char">
    <w:name w:val="Style3 Char"/>
    <w:basedOn w:val="DefaultParagraphFont"/>
    <w:link w:val="Style3"/>
    <w:rsid w:val="00CD5DCD"/>
    <w:rPr>
      <w:rFonts w:ascii="Arial" w:eastAsia="Times New Roman" w:hAnsi="Arial" w:cs="Arial"/>
      <w:b/>
      <w:bCs/>
      <w:color w:val="FFFFFF" w:themeColor="background1"/>
      <w:kern w:val="32"/>
      <w:sz w:val="28"/>
      <w:szCs w:val="32"/>
      <w:shd w:val="clear" w:color="auto" w:fill="385B16" w:themeFill="accent3"/>
      <w:lang w:val="en-GB" w:eastAsia="en-GB"/>
    </w:rPr>
  </w:style>
  <w:style w:type="paragraph" w:customStyle="1" w:styleId="e">
    <w:name w:val="e"/>
    <w:basedOn w:val="Normal"/>
    <w:link w:val="eChar"/>
    <w:autoRedefine/>
    <w:qFormat/>
    <w:rsid w:val="00CD5DCD"/>
    <w:pPr>
      <w:keepNext/>
      <w:numPr>
        <w:ilvl w:val="7"/>
      </w:numPr>
      <w:shd w:val="clear" w:color="auto" w:fill="FF00FF" w:themeFill="accent1"/>
      <w:tabs>
        <w:tab w:val="left" w:pos="9214"/>
      </w:tabs>
      <w:spacing w:before="360" w:line="240" w:lineRule="auto"/>
      <w:ind w:right="238"/>
      <w:outlineLvl w:val="7"/>
    </w:pPr>
    <w:rPr>
      <w:rFonts w:cs="Arial"/>
      <w:b/>
      <w:bCs/>
      <w:color w:val="FFFFFF" w:themeColor="background1"/>
      <w:kern w:val="32"/>
      <w:sz w:val="28"/>
      <w:szCs w:val="32"/>
    </w:rPr>
  </w:style>
  <w:style w:type="character" w:customStyle="1" w:styleId="Style4Char">
    <w:name w:val="Style4 Char"/>
    <w:basedOn w:val="DefaultParagraphFont"/>
    <w:link w:val="Style4"/>
    <w:rsid w:val="00CD5DCD"/>
    <w:rPr>
      <w:rFonts w:ascii="Arial" w:eastAsia="Times New Roman" w:hAnsi="Arial" w:cs="Arial"/>
      <w:b/>
      <w:bCs/>
      <w:color w:val="FFFFFF" w:themeColor="background1"/>
      <w:kern w:val="32"/>
      <w:sz w:val="28"/>
      <w:szCs w:val="32"/>
      <w:shd w:val="clear" w:color="auto" w:fill="2CB9FF" w:themeFill="accent2"/>
      <w:lang w:val="en-GB" w:eastAsia="en-GB"/>
    </w:rPr>
  </w:style>
  <w:style w:type="paragraph" w:customStyle="1" w:styleId="Style6">
    <w:name w:val="Style6"/>
    <w:basedOn w:val="Normal"/>
    <w:link w:val="Style6Char"/>
    <w:qFormat/>
    <w:rsid w:val="00CD5DCD"/>
    <w:pPr>
      <w:keepNext/>
      <w:numPr>
        <w:ilvl w:val="7"/>
      </w:numPr>
      <w:shd w:val="clear" w:color="auto" w:fill="3F0731" w:themeFill="text2"/>
      <w:tabs>
        <w:tab w:val="left" w:pos="9214"/>
      </w:tabs>
      <w:spacing w:line="240" w:lineRule="auto"/>
      <w:ind w:right="238"/>
      <w:outlineLvl w:val="7"/>
    </w:pPr>
    <w:rPr>
      <w:rFonts w:cs="Arial"/>
      <w:b/>
      <w:bCs/>
      <w:color w:val="FFFFFF" w:themeColor="background1"/>
      <w:kern w:val="32"/>
      <w:sz w:val="28"/>
      <w:szCs w:val="32"/>
    </w:rPr>
  </w:style>
  <w:style w:type="character" w:customStyle="1" w:styleId="eChar">
    <w:name w:val="e Char"/>
    <w:basedOn w:val="DefaultParagraphFont"/>
    <w:link w:val="e"/>
    <w:rsid w:val="00CD5DCD"/>
    <w:rPr>
      <w:rFonts w:ascii="Arial" w:eastAsia="Times New Roman" w:hAnsi="Arial" w:cs="Arial"/>
      <w:b/>
      <w:bCs/>
      <w:color w:val="FFFFFF" w:themeColor="background1"/>
      <w:kern w:val="32"/>
      <w:sz w:val="28"/>
      <w:szCs w:val="32"/>
      <w:shd w:val="clear" w:color="auto" w:fill="FF00FF" w:themeFill="accent1"/>
      <w:lang w:val="en-GB" w:eastAsia="en-GB"/>
    </w:rPr>
  </w:style>
  <w:style w:type="character" w:customStyle="1" w:styleId="Style6Char">
    <w:name w:val="Style6 Char"/>
    <w:basedOn w:val="DefaultParagraphFont"/>
    <w:link w:val="Style6"/>
    <w:rsid w:val="00CD5DCD"/>
    <w:rPr>
      <w:rFonts w:ascii="Arial" w:eastAsia="Times New Roman" w:hAnsi="Arial" w:cs="Arial"/>
      <w:b/>
      <w:bCs/>
      <w:color w:val="FFFFFF" w:themeColor="background1"/>
      <w:kern w:val="32"/>
      <w:sz w:val="28"/>
      <w:szCs w:val="32"/>
      <w:shd w:val="clear" w:color="auto" w:fill="3F0731" w:themeFill="text2"/>
      <w:lang w:val="en-GB" w:eastAsia="en-GB"/>
    </w:rPr>
  </w:style>
  <w:style w:type="paragraph" w:styleId="Revision">
    <w:name w:val="Revision"/>
    <w:hidden/>
    <w:uiPriority w:val="99"/>
    <w:semiHidden/>
    <w:rsid w:val="002D2A6F"/>
    <w:pPr>
      <w:spacing w:after="0"/>
    </w:pPr>
    <w:rPr>
      <w:kern w:val="2"/>
      <w:sz w:val="22"/>
      <w:szCs w:val="22"/>
      <w:lang w:val="en-GB"/>
      <w14:ligatures w14:val="standardContextual"/>
    </w:rPr>
  </w:style>
  <w:style w:type="character" w:customStyle="1" w:styleId="normaltextrun">
    <w:name w:val="normaltextrun"/>
    <w:basedOn w:val="DefaultParagraphFont"/>
    <w:rsid w:val="00447056"/>
  </w:style>
  <w:style w:type="character" w:customStyle="1" w:styleId="eop">
    <w:name w:val="eop"/>
    <w:basedOn w:val="DefaultParagraphFont"/>
    <w:rsid w:val="00447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87070527">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742944951">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fgem.gov.uk/sites/default/files/2024-09/Open_letter_TNUoS_intervention_vF_Publications.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ofgem.gov.uk/sites/default/files/2024-09/Open_letter_TNUoS_intervention_vF_Publications.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cid:image001.png@01DB4641.EDECCFA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so.energy/industry-information/codes/cusc/modifications/cmp413-rolling-10-year-wider-tnuos-generation-tariffs"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o.energy/industry-information/codes/cusc/modifications/cmp419-generation-zoning-methodology-review"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1014D81C-E18D-4506-B95E-582B90FFF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EA13BF95-61F0-46D5-8D81-7D1A32B5772C}">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1700</Words>
  <Characters>9690</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11368</CharactersWithSpaces>
  <SharedDoc>false</SharedDoc>
  <HLinks>
    <vt:vector size="24" baseType="variant">
      <vt:variant>
        <vt:i4>4718661</vt:i4>
      </vt:variant>
      <vt:variant>
        <vt:i4>9</vt:i4>
      </vt:variant>
      <vt:variant>
        <vt:i4>0</vt:i4>
      </vt:variant>
      <vt:variant>
        <vt:i4>5</vt:i4>
      </vt:variant>
      <vt:variant>
        <vt:lpwstr>https://www.neso.energy/industry-information/codes/cusc/modifications/cmp419-generation-zoning-methodology-review</vt:lpwstr>
      </vt:variant>
      <vt:variant>
        <vt:lpwstr/>
      </vt:variant>
      <vt:variant>
        <vt:i4>7208975</vt:i4>
      </vt:variant>
      <vt:variant>
        <vt:i4>6</vt:i4>
      </vt:variant>
      <vt:variant>
        <vt:i4>0</vt:i4>
      </vt:variant>
      <vt:variant>
        <vt:i4>5</vt:i4>
      </vt:variant>
      <vt:variant>
        <vt:lpwstr>https://www.ofgem.gov.uk/sites/default/files/2024-09/Open_letter_TNUoS_intervention_vF_Publications.pdf</vt:lpwstr>
      </vt:variant>
      <vt:variant>
        <vt:lpwstr/>
      </vt:variant>
      <vt:variant>
        <vt:i4>7208975</vt:i4>
      </vt:variant>
      <vt:variant>
        <vt:i4>3</vt:i4>
      </vt:variant>
      <vt:variant>
        <vt:i4>0</vt:i4>
      </vt:variant>
      <vt:variant>
        <vt:i4>5</vt:i4>
      </vt:variant>
      <vt:variant>
        <vt:lpwstr>https://www.ofgem.gov.uk/sites/default/files/2024-09/Open_letter_TNUoS_intervention_vF_Publications.pdf</vt:lpwstr>
      </vt:variant>
      <vt:variant>
        <vt:lpwstr/>
      </vt:variant>
      <vt:variant>
        <vt:i4>2818169</vt:i4>
      </vt:variant>
      <vt:variant>
        <vt:i4>0</vt:i4>
      </vt:variant>
      <vt:variant>
        <vt:i4>0</vt:i4>
      </vt:variant>
      <vt:variant>
        <vt:i4>5</vt:i4>
      </vt:variant>
      <vt:variant>
        <vt:lpwstr>https://www.neso.energy/industry-information/codes/cusc/modifications/cmp413-rolling-10-year-wider-tnuos-generation-tariffs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Clough, Damian</cp:lastModifiedBy>
  <cp:revision>9</cp:revision>
  <cp:lastPrinted>2020-06-01T22:47:00Z</cp:lastPrinted>
  <dcterms:created xsi:type="dcterms:W3CDTF">2024-12-20T23:02:00Z</dcterms:created>
  <dcterms:modified xsi:type="dcterms:W3CDTF">2024-12-20T15:20:00Z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MSIP_Label_9a1593e3-eb40-4b63-9198-a6ec3e998e52_Enabled">
    <vt:lpwstr>true</vt:lpwstr>
  </property>
  <property fmtid="{D5CDD505-2E9C-101B-9397-08002B2CF9AE}" pid="12" name="MSIP_Label_9a1593e3-eb40-4b63-9198-a6ec3e998e52_SetDate">
    <vt:lpwstr>2024-12-16T10:31:53Z</vt:lpwstr>
  </property>
  <property fmtid="{D5CDD505-2E9C-101B-9397-08002B2CF9AE}" pid="13" name="MSIP_Label_9a1593e3-eb40-4b63-9198-a6ec3e998e52_Method">
    <vt:lpwstr>Privileged</vt:lpwstr>
  </property>
  <property fmtid="{D5CDD505-2E9C-101B-9397-08002B2CF9AE}" pid="14" name="MSIP_Label_9a1593e3-eb40-4b63-9198-a6ec3e998e52_Name">
    <vt:lpwstr>9a1593e3-eb40-4b63-9198-a6ec3e998e52</vt:lpwstr>
  </property>
  <property fmtid="{D5CDD505-2E9C-101B-9397-08002B2CF9AE}" pid="15" name="MSIP_Label_9a1593e3-eb40-4b63-9198-a6ec3e998e52_SiteId">
    <vt:lpwstr>953b0f83-1ce6-45c3-82c9-1d847e372339</vt:lpwstr>
  </property>
  <property fmtid="{D5CDD505-2E9C-101B-9397-08002B2CF9AE}" pid="16" name="MSIP_Label_9a1593e3-eb40-4b63-9198-a6ec3e998e52_ActionId">
    <vt:lpwstr>757d56ae-401b-4d85-bb26-34aca66c35d1</vt:lpwstr>
  </property>
  <property fmtid="{D5CDD505-2E9C-101B-9397-08002B2CF9AE}" pid="17" name="MSIP_Label_9a1593e3-eb40-4b63-9198-a6ec3e998e52_ContentBits">
    <vt:lpwstr>4</vt:lpwstr>
  </property>
</Properties>
</file>