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1F3E8" w14:textId="77777777" w:rsidR="007B1C54" w:rsidRPr="006622CA" w:rsidRDefault="004758BF">
      <w:pPr>
        <w:rPr>
          <w:rFonts w:ascii="Calibri" w:hAnsi="Calibri"/>
          <w:b/>
        </w:rPr>
      </w:pPr>
      <w:r w:rsidRPr="006622CA">
        <w:rPr>
          <w:rFonts w:ascii="Calibri" w:hAnsi="Calibri"/>
          <w:b/>
        </w:rPr>
        <w:t>Substantially Modified Examples</w:t>
      </w:r>
    </w:p>
    <w:p w14:paraId="1FB6B53E" w14:textId="77777777" w:rsidR="004758BF" w:rsidRPr="006622CA" w:rsidRDefault="004758BF">
      <w:pPr>
        <w:rPr>
          <w:rFonts w:ascii="Calibri" w:hAnsi="Calibri"/>
        </w:rPr>
      </w:pPr>
      <w:r w:rsidRPr="006622CA">
        <w:rPr>
          <w:rFonts w:ascii="Calibri" w:hAnsi="Calibri"/>
        </w:rPr>
        <w:t xml:space="preserve">Following the EU Connection Codes Co-ordination Group meeting on </w:t>
      </w:r>
      <w:r w:rsidR="00C946D4" w:rsidRPr="006622CA">
        <w:rPr>
          <w:rFonts w:ascii="Calibri" w:hAnsi="Calibri"/>
        </w:rPr>
        <w:t>7</w:t>
      </w:r>
      <w:r w:rsidRPr="006622CA">
        <w:rPr>
          <w:rFonts w:ascii="Calibri" w:hAnsi="Calibri"/>
          <w:vertAlign w:val="superscript"/>
        </w:rPr>
        <w:t>th</w:t>
      </w:r>
      <w:r w:rsidR="00C946D4" w:rsidRPr="006622CA">
        <w:rPr>
          <w:rFonts w:ascii="Calibri" w:hAnsi="Calibri"/>
        </w:rPr>
        <w:t xml:space="preserve"> April 2016 discussion with respect to Article 4 (of the RfG)</w:t>
      </w:r>
      <w:r w:rsidR="00030166" w:rsidRPr="006622CA">
        <w:rPr>
          <w:rFonts w:ascii="Calibri" w:hAnsi="Calibri"/>
        </w:rPr>
        <w:t xml:space="preserve"> </w:t>
      </w:r>
      <w:r w:rsidRPr="006622CA">
        <w:rPr>
          <w:rFonts w:ascii="Calibri" w:hAnsi="Calibri"/>
        </w:rPr>
        <w:t>a table was developed with some illustrative examples</w:t>
      </w:r>
      <w:r w:rsidR="00C946D4" w:rsidRPr="006622CA">
        <w:rPr>
          <w:rFonts w:ascii="Calibri" w:hAnsi="Calibri"/>
        </w:rPr>
        <w:t xml:space="preserve"> of possible changes that may or may not mean that this </w:t>
      </w:r>
      <w:r w:rsidR="006A0C0D" w:rsidRPr="006622CA">
        <w:rPr>
          <w:rFonts w:ascii="Calibri" w:hAnsi="Calibri"/>
        </w:rPr>
        <w:t>c</w:t>
      </w:r>
      <w:r w:rsidR="00C946D4" w:rsidRPr="006622CA">
        <w:rPr>
          <w:rFonts w:ascii="Calibri" w:hAnsi="Calibri"/>
        </w:rPr>
        <w:t xml:space="preserve">ould lead to it remaining ‘classified’ as </w:t>
      </w:r>
      <w:r w:rsidR="00C946D4" w:rsidRPr="006622CA">
        <w:rPr>
          <w:rFonts w:ascii="Calibri" w:hAnsi="Calibri"/>
          <w:i/>
        </w:rPr>
        <w:t>existing</w:t>
      </w:r>
      <w:r w:rsidR="00C946D4" w:rsidRPr="006622CA">
        <w:rPr>
          <w:rFonts w:ascii="Calibri" w:hAnsi="Calibri"/>
        </w:rPr>
        <w:t xml:space="preserve"> (in the context of the RfG/ DCC / HVDC) or now be ‘classified’ as </w:t>
      </w:r>
      <w:r w:rsidR="00C946D4" w:rsidRPr="006622CA">
        <w:rPr>
          <w:rFonts w:ascii="Calibri" w:hAnsi="Calibri"/>
          <w:i/>
        </w:rPr>
        <w:t>new</w:t>
      </w:r>
      <w:r w:rsidR="00C946D4" w:rsidRPr="006622CA">
        <w:rPr>
          <w:rFonts w:ascii="Calibri" w:hAnsi="Calibri"/>
        </w:rPr>
        <w:t xml:space="preserve"> (in the context of the RfG/ DCC / HVDC)</w:t>
      </w:r>
      <w:r w:rsidRPr="006622CA">
        <w:rPr>
          <w:rFonts w:ascii="Calibri" w:hAnsi="Calibri"/>
        </w:rPr>
        <w:t>.</w:t>
      </w:r>
    </w:p>
    <w:tbl>
      <w:tblPr>
        <w:tblStyle w:val="TableGrid"/>
        <w:tblW w:w="0" w:type="auto"/>
        <w:tblLook w:val="04A0" w:firstRow="1" w:lastRow="0" w:firstColumn="1" w:lastColumn="0" w:noHBand="0" w:noVBand="1"/>
      </w:tblPr>
      <w:tblGrid>
        <w:gridCol w:w="977"/>
        <w:gridCol w:w="2473"/>
        <w:gridCol w:w="2058"/>
        <w:gridCol w:w="2014"/>
        <w:gridCol w:w="1494"/>
      </w:tblGrid>
      <w:tr w:rsidR="004758BF" w:rsidRPr="006622CA" w14:paraId="6327F593" w14:textId="77777777" w:rsidTr="00C807DB">
        <w:tc>
          <w:tcPr>
            <w:tcW w:w="976" w:type="dxa"/>
          </w:tcPr>
          <w:p w14:paraId="3F53DA93" w14:textId="77777777" w:rsidR="004758BF" w:rsidRPr="006622CA" w:rsidRDefault="004758BF">
            <w:pPr>
              <w:rPr>
                <w:rFonts w:ascii="Calibri" w:hAnsi="Calibri"/>
              </w:rPr>
            </w:pPr>
            <w:r w:rsidRPr="006622CA">
              <w:rPr>
                <w:rFonts w:ascii="Calibri" w:hAnsi="Calibri"/>
              </w:rPr>
              <w:t>Example Number</w:t>
            </w:r>
          </w:p>
        </w:tc>
        <w:tc>
          <w:tcPr>
            <w:tcW w:w="2593" w:type="dxa"/>
          </w:tcPr>
          <w:p w14:paraId="0EF50515" w14:textId="77777777" w:rsidR="004758BF" w:rsidRPr="006622CA" w:rsidRDefault="004758BF">
            <w:pPr>
              <w:rPr>
                <w:rFonts w:ascii="Calibri" w:hAnsi="Calibri"/>
              </w:rPr>
            </w:pPr>
            <w:r w:rsidRPr="006622CA">
              <w:rPr>
                <w:rFonts w:ascii="Calibri" w:hAnsi="Calibri"/>
              </w:rPr>
              <w:t>Example Details</w:t>
            </w:r>
          </w:p>
        </w:tc>
        <w:tc>
          <w:tcPr>
            <w:tcW w:w="2132" w:type="dxa"/>
          </w:tcPr>
          <w:p w14:paraId="68D0BBA3" w14:textId="77777777" w:rsidR="004758BF" w:rsidRPr="006622CA" w:rsidRDefault="004758BF">
            <w:pPr>
              <w:rPr>
                <w:rFonts w:ascii="Calibri" w:hAnsi="Calibri"/>
              </w:rPr>
            </w:pPr>
            <w:r w:rsidRPr="006622CA">
              <w:rPr>
                <w:rFonts w:ascii="Calibri" w:hAnsi="Calibri"/>
              </w:rPr>
              <w:t>This would be classified as ‘new’ because…..</w:t>
            </w:r>
          </w:p>
        </w:tc>
        <w:tc>
          <w:tcPr>
            <w:tcW w:w="2054" w:type="dxa"/>
          </w:tcPr>
          <w:p w14:paraId="2ABB4138" w14:textId="77777777" w:rsidR="004758BF" w:rsidRPr="006622CA" w:rsidRDefault="004758BF" w:rsidP="004758BF">
            <w:pPr>
              <w:rPr>
                <w:rFonts w:ascii="Calibri" w:hAnsi="Calibri"/>
              </w:rPr>
            </w:pPr>
            <w:r w:rsidRPr="006622CA">
              <w:rPr>
                <w:rFonts w:ascii="Calibri" w:hAnsi="Calibri"/>
              </w:rPr>
              <w:t>This would be classified as ‘existing’ because…..</w:t>
            </w:r>
          </w:p>
        </w:tc>
        <w:tc>
          <w:tcPr>
            <w:tcW w:w="1487" w:type="dxa"/>
          </w:tcPr>
          <w:p w14:paraId="6CC1D57C" w14:textId="77777777" w:rsidR="004758BF" w:rsidRPr="006622CA" w:rsidRDefault="004758BF">
            <w:pPr>
              <w:rPr>
                <w:rFonts w:ascii="Calibri" w:hAnsi="Calibri"/>
              </w:rPr>
            </w:pPr>
            <w:r w:rsidRPr="006622CA">
              <w:rPr>
                <w:rFonts w:ascii="Calibri" w:hAnsi="Calibri"/>
              </w:rPr>
              <w:t>Other comments</w:t>
            </w:r>
          </w:p>
        </w:tc>
      </w:tr>
      <w:tr w:rsidR="004758BF" w:rsidRPr="006622CA" w14:paraId="7F1FD8EA" w14:textId="77777777" w:rsidTr="00C807DB">
        <w:tc>
          <w:tcPr>
            <w:tcW w:w="976" w:type="dxa"/>
          </w:tcPr>
          <w:p w14:paraId="0F04E83D" w14:textId="77777777" w:rsidR="004758BF" w:rsidRPr="006622CA" w:rsidRDefault="006622CA">
            <w:pPr>
              <w:rPr>
                <w:rFonts w:ascii="Calibri" w:hAnsi="Calibri"/>
              </w:rPr>
            </w:pPr>
            <w:r w:rsidRPr="006622CA">
              <w:rPr>
                <w:rFonts w:ascii="Calibri" w:hAnsi="Calibri"/>
              </w:rPr>
              <w:t>1</w:t>
            </w:r>
          </w:p>
        </w:tc>
        <w:tc>
          <w:tcPr>
            <w:tcW w:w="2593" w:type="dxa"/>
          </w:tcPr>
          <w:p w14:paraId="4A4E2BD9" w14:textId="77777777" w:rsidR="004758BF" w:rsidRPr="006622CA" w:rsidRDefault="006622CA">
            <w:pPr>
              <w:rPr>
                <w:rFonts w:ascii="Calibri" w:hAnsi="Calibri"/>
              </w:rPr>
            </w:pPr>
            <w:r w:rsidRPr="006622CA">
              <w:rPr>
                <w:rFonts w:ascii="Calibri" w:hAnsi="Calibri"/>
              </w:rPr>
              <w:t>Existing 20 year old station comprising</w:t>
            </w:r>
            <w:r>
              <w:rPr>
                <w:rFonts w:ascii="Calibri" w:hAnsi="Calibri"/>
              </w:rPr>
              <w:t xml:space="preserve"> of synchronous generating units.  Excitation and Governor systems to be replaced on a like for like basis</w:t>
            </w:r>
            <w:r w:rsidRPr="006622CA">
              <w:rPr>
                <w:rFonts w:ascii="Calibri" w:hAnsi="Calibri"/>
              </w:rPr>
              <w:t xml:space="preserve">  </w:t>
            </w:r>
          </w:p>
        </w:tc>
        <w:tc>
          <w:tcPr>
            <w:tcW w:w="2132" w:type="dxa"/>
          </w:tcPr>
          <w:p w14:paraId="33F50CCF" w14:textId="77777777" w:rsidR="004758BF" w:rsidRPr="006622CA" w:rsidRDefault="006622CA">
            <w:pPr>
              <w:rPr>
                <w:rFonts w:ascii="Calibri" w:hAnsi="Calibri"/>
              </w:rPr>
            </w:pPr>
            <w:r>
              <w:rPr>
                <w:rFonts w:ascii="Calibri" w:hAnsi="Calibri"/>
              </w:rPr>
              <w:t>No</w:t>
            </w:r>
          </w:p>
        </w:tc>
        <w:tc>
          <w:tcPr>
            <w:tcW w:w="2054" w:type="dxa"/>
          </w:tcPr>
          <w:p w14:paraId="5AF92708" w14:textId="77777777" w:rsidR="004758BF" w:rsidRPr="006622CA" w:rsidRDefault="005E4C93">
            <w:pPr>
              <w:rPr>
                <w:rFonts w:ascii="Calibri" w:hAnsi="Calibri"/>
              </w:rPr>
            </w:pPr>
            <w:r>
              <w:rPr>
                <w:rFonts w:ascii="Calibri" w:hAnsi="Calibri"/>
              </w:rPr>
              <w:t xml:space="preserve">No material change to </w:t>
            </w:r>
            <w:r w:rsidR="006622CA">
              <w:rPr>
                <w:rFonts w:ascii="Calibri" w:hAnsi="Calibri"/>
              </w:rPr>
              <w:t xml:space="preserve">performance – plant </w:t>
            </w:r>
            <w:r>
              <w:rPr>
                <w:rFonts w:ascii="Calibri" w:hAnsi="Calibri"/>
              </w:rPr>
              <w:t>replaced with components of the same type and technology as when constructed.</w:t>
            </w:r>
          </w:p>
        </w:tc>
        <w:tc>
          <w:tcPr>
            <w:tcW w:w="1487" w:type="dxa"/>
          </w:tcPr>
          <w:p w14:paraId="235B42D6" w14:textId="18E12CEB" w:rsidR="004758BF" w:rsidRPr="006622CA" w:rsidRDefault="00802CCB">
            <w:pPr>
              <w:rPr>
                <w:rFonts w:ascii="Calibri" w:hAnsi="Calibri"/>
              </w:rPr>
            </w:pPr>
            <w:r>
              <w:rPr>
                <w:rFonts w:ascii="Calibri" w:hAnsi="Calibri"/>
              </w:rPr>
              <w:t>ESO</w:t>
            </w:r>
            <w:r w:rsidR="005E4C93">
              <w:rPr>
                <w:rFonts w:ascii="Calibri" w:hAnsi="Calibri"/>
              </w:rPr>
              <w:t xml:space="preserve"> to be notified of change.   </w:t>
            </w:r>
          </w:p>
        </w:tc>
      </w:tr>
      <w:tr w:rsidR="004758BF" w:rsidRPr="006622CA" w14:paraId="48D08110" w14:textId="77777777" w:rsidTr="00C807DB">
        <w:tc>
          <w:tcPr>
            <w:tcW w:w="976" w:type="dxa"/>
          </w:tcPr>
          <w:p w14:paraId="03D18CA9" w14:textId="77777777" w:rsidR="004758BF" w:rsidRPr="006622CA" w:rsidRDefault="005E4C93">
            <w:pPr>
              <w:rPr>
                <w:rFonts w:ascii="Calibri" w:hAnsi="Calibri"/>
              </w:rPr>
            </w:pPr>
            <w:r>
              <w:rPr>
                <w:rFonts w:ascii="Calibri" w:hAnsi="Calibri"/>
              </w:rPr>
              <w:t>2</w:t>
            </w:r>
          </w:p>
        </w:tc>
        <w:tc>
          <w:tcPr>
            <w:tcW w:w="2593" w:type="dxa"/>
          </w:tcPr>
          <w:p w14:paraId="190DE86B" w14:textId="77777777" w:rsidR="004758BF" w:rsidRPr="006622CA" w:rsidRDefault="005E4C93">
            <w:pPr>
              <w:rPr>
                <w:rFonts w:ascii="Calibri" w:hAnsi="Calibri"/>
              </w:rPr>
            </w:pPr>
            <w:r>
              <w:rPr>
                <w:rFonts w:ascii="Calibri" w:hAnsi="Calibri"/>
              </w:rPr>
              <w:t xml:space="preserve">Existing Power Station site  - old Generating Unit to be replaced with new Gas Turbines </w:t>
            </w:r>
          </w:p>
        </w:tc>
        <w:tc>
          <w:tcPr>
            <w:tcW w:w="2132" w:type="dxa"/>
          </w:tcPr>
          <w:p w14:paraId="459A0D1D" w14:textId="77777777" w:rsidR="004758BF" w:rsidRPr="006622CA" w:rsidRDefault="005E4C93">
            <w:pPr>
              <w:rPr>
                <w:rFonts w:ascii="Calibri" w:hAnsi="Calibri"/>
              </w:rPr>
            </w:pPr>
            <w:r>
              <w:rPr>
                <w:rFonts w:ascii="Calibri" w:hAnsi="Calibri"/>
              </w:rPr>
              <w:t xml:space="preserve">Yes – There is a material change to the plant – a brand new unit is replacing the existing retired unit </w:t>
            </w:r>
          </w:p>
        </w:tc>
        <w:tc>
          <w:tcPr>
            <w:tcW w:w="2054" w:type="dxa"/>
          </w:tcPr>
          <w:p w14:paraId="41F5ECDF" w14:textId="77777777" w:rsidR="004758BF" w:rsidRPr="006622CA" w:rsidRDefault="005E4C93">
            <w:pPr>
              <w:rPr>
                <w:rFonts w:ascii="Calibri" w:hAnsi="Calibri"/>
              </w:rPr>
            </w:pPr>
            <w:r>
              <w:rPr>
                <w:rFonts w:ascii="Calibri" w:hAnsi="Calibri"/>
              </w:rPr>
              <w:t>No</w:t>
            </w:r>
          </w:p>
        </w:tc>
        <w:tc>
          <w:tcPr>
            <w:tcW w:w="1487" w:type="dxa"/>
          </w:tcPr>
          <w:p w14:paraId="128D10F7" w14:textId="06A7DEDC" w:rsidR="004758BF" w:rsidRPr="006622CA" w:rsidRDefault="00802CCB">
            <w:pPr>
              <w:rPr>
                <w:rFonts w:ascii="Calibri" w:hAnsi="Calibri"/>
              </w:rPr>
            </w:pPr>
            <w:r>
              <w:rPr>
                <w:rFonts w:ascii="Calibri" w:hAnsi="Calibri"/>
              </w:rPr>
              <w:t>ESO</w:t>
            </w:r>
            <w:r w:rsidR="005E4C93">
              <w:rPr>
                <w:rFonts w:ascii="Calibri" w:hAnsi="Calibri"/>
              </w:rPr>
              <w:t xml:space="preserve"> to be notified and treated in the same way as a new generating unit. </w:t>
            </w:r>
          </w:p>
        </w:tc>
      </w:tr>
      <w:tr w:rsidR="004758BF" w:rsidRPr="006622CA" w14:paraId="7496EEF6" w14:textId="77777777" w:rsidTr="00C807DB">
        <w:tc>
          <w:tcPr>
            <w:tcW w:w="976" w:type="dxa"/>
          </w:tcPr>
          <w:p w14:paraId="01F41889" w14:textId="77777777" w:rsidR="004758BF" w:rsidRPr="006622CA" w:rsidRDefault="005E4C93">
            <w:pPr>
              <w:rPr>
                <w:rFonts w:ascii="Calibri" w:hAnsi="Calibri"/>
              </w:rPr>
            </w:pPr>
            <w:r>
              <w:rPr>
                <w:rFonts w:ascii="Calibri" w:hAnsi="Calibri"/>
              </w:rPr>
              <w:t>3</w:t>
            </w:r>
          </w:p>
        </w:tc>
        <w:tc>
          <w:tcPr>
            <w:tcW w:w="2593" w:type="dxa"/>
          </w:tcPr>
          <w:p w14:paraId="0C5DEB75" w14:textId="77777777" w:rsidR="004758BF" w:rsidRPr="006622CA" w:rsidRDefault="005E4C93">
            <w:pPr>
              <w:rPr>
                <w:rFonts w:ascii="Calibri" w:hAnsi="Calibri"/>
              </w:rPr>
            </w:pPr>
            <w:r>
              <w:rPr>
                <w:rFonts w:ascii="Calibri" w:hAnsi="Calibri"/>
              </w:rPr>
              <w:t>A 100MW wind farm comprises 50 x 2MW turbines.  The wind turbines are to be replaced by 20 x 5MW turbines.</w:t>
            </w:r>
          </w:p>
        </w:tc>
        <w:tc>
          <w:tcPr>
            <w:tcW w:w="2132" w:type="dxa"/>
          </w:tcPr>
          <w:p w14:paraId="0A1E9704" w14:textId="77777777" w:rsidR="004758BF" w:rsidRPr="006622CA" w:rsidRDefault="006632E4">
            <w:pPr>
              <w:rPr>
                <w:rFonts w:ascii="Calibri" w:hAnsi="Calibri"/>
              </w:rPr>
            </w:pPr>
            <w:r>
              <w:rPr>
                <w:rFonts w:ascii="Calibri" w:hAnsi="Calibri"/>
              </w:rPr>
              <w:t xml:space="preserve">Yes – The turbines, control systems and </w:t>
            </w:r>
            <w:r w:rsidR="00B574B2">
              <w:rPr>
                <w:rFonts w:ascii="Calibri" w:hAnsi="Calibri"/>
              </w:rPr>
              <w:t>performance are all using new plant even though the Grid Connection assets may remain largely unchanged.</w:t>
            </w:r>
          </w:p>
        </w:tc>
        <w:tc>
          <w:tcPr>
            <w:tcW w:w="2054" w:type="dxa"/>
          </w:tcPr>
          <w:p w14:paraId="52941EB4" w14:textId="77777777" w:rsidR="004758BF" w:rsidRPr="006622CA" w:rsidRDefault="00B574B2">
            <w:pPr>
              <w:rPr>
                <w:rFonts w:ascii="Calibri" w:hAnsi="Calibri"/>
              </w:rPr>
            </w:pPr>
            <w:r>
              <w:rPr>
                <w:rFonts w:ascii="Calibri" w:hAnsi="Calibri"/>
              </w:rPr>
              <w:t>No</w:t>
            </w:r>
          </w:p>
        </w:tc>
        <w:tc>
          <w:tcPr>
            <w:tcW w:w="1487" w:type="dxa"/>
          </w:tcPr>
          <w:p w14:paraId="176ABB0F" w14:textId="7E5717EA" w:rsidR="004758BF" w:rsidRPr="006622CA" w:rsidRDefault="00802CCB">
            <w:pPr>
              <w:rPr>
                <w:rFonts w:ascii="Calibri" w:hAnsi="Calibri"/>
              </w:rPr>
            </w:pPr>
            <w:r>
              <w:rPr>
                <w:rFonts w:ascii="Calibri" w:hAnsi="Calibri"/>
              </w:rPr>
              <w:t>ESO</w:t>
            </w:r>
            <w:commentRangeStart w:id="0"/>
            <w:commentRangeStart w:id="1"/>
            <w:commentRangeEnd w:id="0"/>
            <w:r w:rsidR="006E5202">
              <w:rPr>
                <w:rStyle w:val="CommentReference"/>
              </w:rPr>
              <w:commentReference w:id="0"/>
            </w:r>
            <w:commentRangeEnd w:id="1"/>
            <w:r w:rsidR="00B82126">
              <w:rPr>
                <w:rStyle w:val="CommentReference"/>
              </w:rPr>
              <w:commentReference w:id="1"/>
            </w:r>
            <w:r w:rsidR="00B574B2">
              <w:rPr>
                <w:rFonts w:ascii="Calibri" w:hAnsi="Calibri"/>
              </w:rPr>
              <w:t xml:space="preserve"> to be notified and treated in the same way as a new generating unit.</w:t>
            </w:r>
          </w:p>
        </w:tc>
      </w:tr>
      <w:tr w:rsidR="004758BF" w:rsidRPr="006622CA" w14:paraId="0A5B4345" w14:textId="77777777" w:rsidTr="00C807DB">
        <w:tc>
          <w:tcPr>
            <w:tcW w:w="976" w:type="dxa"/>
          </w:tcPr>
          <w:p w14:paraId="5D5A3C44" w14:textId="77777777" w:rsidR="004758BF" w:rsidRPr="006622CA" w:rsidRDefault="00B574B2">
            <w:pPr>
              <w:rPr>
                <w:rFonts w:ascii="Calibri" w:hAnsi="Calibri"/>
              </w:rPr>
            </w:pPr>
            <w:r>
              <w:rPr>
                <w:rFonts w:ascii="Calibri" w:hAnsi="Calibri"/>
              </w:rPr>
              <w:t>4</w:t>
            </w:r>
          </w:p>
        </w:tc>
        <w:tc>
          <w:tcPr>
            <w:tcW w:w="2593" w:type="dxa"/>
          </w:tcPr>
          <w:p w14:paraId="69C6E1EE" w14:textId="77777777" w:rsidR="004758BF" w:rsidRPr="006622CA" w:rsidRDefault="001869E3">
            <w:pPr>
              <w:rPr>
                <w:rFonts w:ascii="Calibri" w:hAnsi="Calibri"/>
              </w:rPr>
            </w:pPr>
            <w:r>
              <w:rPr>
                <w:rFonts w:ascii="Calibri" w:hAnsi="Calibri"/>
              </w:rPr>
              <w:t>Generator Transformer replaced at an existing 40 year old coal station with a grey spare</w:t>
            </w:r>
          </w:p>
        </w:tc>
        <w:tc>
          <w:tcPr>
            <w:tcW w:w="2132" w:type="dxa"/>
          </w:tcPr>
          <w:p w14:paraId="0DD65084" w14:textId="77777777" w:rsidR="004758BF" w:rsidRPr="006622CA" w:rsidRDefault="001869E3">
            <w:pPr>
              <w:rPr>
                <w:rFonts w:ascii="Calibri" w:hAnsi="Calibri"/>
              </w:rPr>
            </w:pPr>
            <w:r>
              <w:rPr>
                <w:rFonts w:ascii="Calibri" w:hAnsi="Calibri"/>
              </w:rPr>
              <w:t>No</w:t>
            </w:r>
          </w:p>
        </w:tc>
        <w:tc>
          <w:tcPr>
            <w:tcW w:w="2054" w:type="dxa"/>
          </w:tcPr>
          <w:p w14:paraId="71DB7E63" w14:textId="77777777" w:rsidR="004758BF" w:rsidRPr="006622CA" w:rsidRDefault="001869E3">
            <w:pPr>
              <w:rPr>
                <w:rFonts w:ascii="Calibri" w:hAnsi="Calibri"/>
              </w:rPr>
            </w:pPr>
            <w:r>
              <w:rPr>
                <w:rFonts w:ascii="Calibri" w:hAnsi="Calibri"/>
              </w:rPr>
              <w:t>Plant is using technology of the same type when the station was build.</w:t>
            </w:r>
          </w:p>
        </w:tc>
        <w:tc>
          <w:tcPr>
            <w:tcW w:w="1487" w:type="dxa"/>
          </w:tcPr>
          <w:p w14:paraId="0C8CA324" w14:textId="4575C50D" w:rsidR="004758BF" w:rsidRPr="006622CA" w:rsidRDefault="00802CCB">
            <w:pPr>
              <w:rPr>
                <w:rFonts w:ascii="Calibri" w:hAnsi="Calibri"/>
              </w:rPr>
            </w:pPr>
            <w:r>
              <w:rPr>
                <w:rFonts w:ascii="Calibri" w:hAnsi="Calibri"/>
              </w:rPr>
              <w:t>ESO</w:t>
            </w:r>
            <w:commentRangeStart w:id="2"/>
            <w:commentRangeStart w:id="3"/>
            <w:r w:rsidR="001869E3">
              <w:rPr>
                <w:rFonts w:ascii="Calibri" w:hAnsi="Calibri"/>
              </w:rPr>
              <w:t xml:space="preserve"> would need to assess any alterations in performance if different from the original plant eg tap range.</w:t>
            </w:r>
            <w:commentRangeEnd w:id="2"/>
            <w:r w:rsidR="006E5202">
              <w:rPr>
                <w:rStyle w:val="CommentReference"/>
              </w:rPr>
              <w:commentReference w:id="2"/>
            </w:r>
            <w:commentRangeEnd w:id="3"/>
            <w:r w:rsidR="00B82126">
              <w:rPr>
                <w:rStyle w:val="CommentReference"/>
              </w:rPr>
              <w:commentReference w:id="3"/>
            </w:r>
          </w:p>
        </w:tc>
      </w:tr>
      <w:tr w:rsidR="00B14A06" w:rsidRPr="006622CA" w14:paraId="02DEF3A8" w14:textId="77777777" w:rsidTr="00C807DB">
        <w:tc>
          <w:tcPr>
            <w:tcW w:w="976" w:type="dxa"/>
          </w:tcPr>
          <w:p w14:paraId="6A306177" w14:textId="77777777" w:rsidR="00B14A06" w:rsidRDefault="00B14A06">
            <w:pPr>
              <w:rPr>
                <w:rFonts w:ascii="Calibri" w:hAnsi="Calibri"/>
              </w:rPr>
            </w:pPr>
            <w:r>
              <w:rPr>
                <w:rFonts w:ascii="Calibri" w:hAnsi="Calibri"/>
              </w:rPr>
              <w:t>5</w:t>
            </w:r>
          </w:p>
        </w:tc>
        <w:tc>
          <w:tcPr>
            <w:tcW w:w="2593" w:type="dxa"/>
          </w:tcPr>
          <w:p w14:paraId="5D18034C" w14:textId="77777777" w:rsidR="00B14A06" w:rsidRDefault="00B14A06" w:rsidP="00E101B4">
            <w:pPr>
              <w:rPr>
                <w:rFonts w:ascii="Calibri" w:hAnsi="Calibri"/>
              </w:rPr>
            </w:pPr>
            <w:r>
              <w:rPr>
                <w:rFonts w:ascii="Calibri" w:hAnsi="Calibri"/>
              </w:rPr>
              <w:t>Change of Generator Ownership – no change to plant</w:t>
            </w:r>
          </w:p>
        </w:tc>
        <w:tc>
          <w:tcPr>
            <w:tcW w:w="2132" w:type="dxa"/>
          </w:tcPr>
          <w:p w14:paraId="7D43581E" w14:textId="77777777" w:rsidR="00B14A06" w:rsidRDefault="00B14A06" w:rsidP="00E101B4">
            <w:pPr>
              <w:rPr>
                <w:rFonts w:ascii="Calibri" w:hAnsi="Calibri"/>
              </w:rPr>
            </w:pPr>
            <w:r>
              <w:rPr>
                <w:rFonts w:ascii="Calibri" w:hAnsi="Calibri"/>
              </w:rPr>
              <w:t>No</w:t>
            </w:r>
          </w:p>
        </w:tc>
        <w:tc>
          <w:tcPr>
            <w:tcW w:w="2054" w:type="dxa"/>
          </w:tcPr>
          <w:p w14:paraId="1B986B1D" w14:textId="77777777" w:rsidR="00B14A06" w:rsidRDefault="00B14A06" w:rsidP="00E101B4">
            <w:pPr>
              <w:rPr>
                <w:rFonts w:ascii="Calibri" w:hAnsi="Calibri"/>
              </w:rPr>
            </w:pPr>
            <w:r>
              <w:rPr>
                <w:rFonts w:ascii="Calibri" w:hAnsi="Calibri"/>
              </w:rPr>
              <w:t>No material change to plant</w:t>
            </w:r>
          </w:p>
        </w:tc>
        <w:tc>
          <w:tcPr>
            <w:tcW w:w="1487" w:type="dxa"/>
          </w:tcPr>
          <w:p w14:paraId="415206E2" w14:textId="77777777" w:rsidR="00B14A06" w:rsidRDefault="00B14A06" w:rsidP="00E101B4">
            <w:pPr>
              <w:rPr>
                <w:rFonts w:ascii="Calibri" w:hAnsi="Calibri"/>
              </w:rPr>
            </w:pPr>
            <w:r>
              <w:rPr>
                <w:rFonts w:ascii="Calibri" w:hAnsi="Calibri"/>
              </w:rPr>
              <w:t xml:space="preserve">Bilateral Connection agreement to be updated using new terms where necessary (eg removal </w:t>
            </w:r>
            <w:r w:rsidR="002F0A9D">
              <w:rPr>
                <w:rFonts w:ascii="Calibri" w:hAnsi="Calibri"/>
              </w:rPr>
              <w:t xml:space="preserve">of </w:t>
            </w:r>
            <w:r w:rsidR="002F0A9D">
              <w:rPr>
                <w:rFonts w:ascii="Calibri" w:hAnsi="Calibri"/>
              </w:rPr>
              <w:lastRenderedPageBreak/>
              <w:t>M</w:t>
            </w:r>
            <w:r>
              <w:rPr>
                <w:rFonts w:ascii="Calibri" w:hAnsi="Calibri"/>
              </w:rPr>
              <w:t>CUSA with CUSC)</w:t>
            </w:r>
          </w:p>
        </w:tc>
      </w:tr>
      <w:tr w:rsidR="00B14A06" w:rsidRPr="006622CA" w14:paraId="77A59959" w14:textId="77777777" w:rsidTr="00C807DB">
        <w:tc>
          <w:tcPr>
            <w:tcW w:w="976" w:type="dxa"/>
          </w:tcPr>
          <w:p w14:paraId="3E36288E" w14:textId="77777777" w:rsidR="00B14A06" w:rsidRDefault="00B14A06">
            <w:pPr>
              <w:rPr>
                <w:rFonts w:ascii="Calibri" w:hAnsi="Calibri"/>
              </w:rPr>
            </w:pPr>
            <w:r>
              <w:rPr>
                <w:rFonts w:ascii="Calibri" w:hAnsi="Calibri"/>
              </w:rPr>
              <w:lastRenderedPageBreak/>
              <w:t>6</w:t>
            </w:r>
          </w:p>
        </w:tc>
        <w:tc>
          <w:tcPr>
            <w:tcW w:w="2593" w:type="dxa"/>
          </w:tcPr>
          <w:p w14:paraId="3EBEB617" w14:textId="77777777" w:rsidR="00B14A06" w:rsidRDefault="00AD181C">
            <w:pPr>
              <w:rPr>
                <w:rFonts w:ascii="Calibri" w:hAnsi="Calibri"/>
              </w:rPr>
            </w:pPr>
            <w:r>
              <w:rPr>
                <w:rFonts w:ascii="Calibri" w:hAnsi="Calibri"/>
              </w:rPr>
              <w:t xml:space="preserve">An existing wind farm adds additional new turbines </w:t>
            </w:r>
          </w:p>
        </w:tc>
        <w:tc>
          <w:tcPr>
            <w:tcW w:w="2132" w:type="dxa"/>
          </w:tcPr>
          <w:p w14:paraId="355C6D6B" w14:textId="77777777" w:rsidR="00B14A06" w:rsidRDefault="003E030B">
            <w:pPr>
              <w:rPr>
                <w:rFonts w:ascii="Calibri" w:hAnsi="Calibri"/>
              </w:rPr>
            </w:pPr>
            <w:r>
              <w:rPr>
                <w:rFonts w:ascii="Calibri" w:hAnsi="Calibri"/>
              </w:rPr>
              <w:t>New turbines would need to be Grid Code Compliant</w:t>
            </w:r>
          </w:p>
        </w:tc>
        <w:tc>
          <w:tcPr>
            <w:tcW w:w="2054" w:type="dxa"/>
          </w:tcPr>
          <w:p w14:paraId="35DE6C47" w14:textId="77777777" w:rsidR="00B14A06" w:rsidRDefault="003E030B">
            <w:pPr>
              <w:rPr>
                <w:rFonts w:ascii="Calibri" w:hAnsi="Calibri"/>
              </w:rPr>
            </w:pPr>
            <w:r>
              <w:rPr>
                <w:rFonts w:ascii="Calibri" w:hAnsi="Calibri"/>
              </w:rPr>
              <w:t xml:space="preserve">Major issue is that the requirements are based on the module not each turbine. </w:t>
            </w:r>
          </w:p>
          <w:p w14:paraId="30ECA16E" w14:textId="77777777" w:rsidR="007652E1" w:rsidRDefault="007652E1">
            <w:pPr>
              <w:rPr>
                <w:rFonts w:ascii="Calibri" w:hAnsi="Calibri"/>
              </w:rPr>
            </w:pPr>
          </w:p>
          <w:p w14:paraId="00F9D74D" w14:textId="631579DC" w:rsidR="007652E1" w:rsidRDefault="007652E1" w:rsidP="007652E1">
            <w:pPr>
              <w:rPr>
                <w:rFonts w:ascii="Calibri" w:hAnsi="Calibri"/>
              </w:rPr>
            </w:pPr>
            <w:r>
              <w:rPr>
                <w:rFonts w:ascii="Calibri" w:hAnsi="Calibri"/>
              </w:rPr>
              <w:t xml:space="preserve">Additional issue is that if the wind farm is </w:t>
            </w:r>
            <w:ins w:id="4" w:author="Antony Johnson" w:date="2024-12-04T18:43:00Z">
              <w:r w:rsidR="00CA1354">
                <w:rPr>
                  <w:rFonts w:ascii="Calibri" w:hAnsi="Calibri"/>
                </w:rPr>
                <w:t xml:space="preserve">a </w:t>
              </w:r>
            </w:ins>
            <w:r>
              <w:rPr>
                <w:rFonts w:ascii="Calibri" w:hAnsi="Calibri"/>
              </w:rPr>
              <w:t xml:space="preserve">small </w:t>
            </w:r>
            <w:ins w:id="5" w:author="Antony Johnson" w:date="2024-12-04T18:44:00Z">
              <w:r w:rsidR="00CA1354">
                <w:rPr>
                  <w:rFonts w:ascii="Calibri" w:hAnsi="Calibri"/>
                </w:rPr>
                <w:t xml:space="preserve">power staton </w:t>
              </w:r>
            </w:ins>
            <w:r>
              <w:rPr>
                <w:rFonts w:ascii="Calibri" w:hAnsi="Calibri"/>
              </w:rPr>
              <w:t>and the additional turbines increase the size of the Power Station to Medium or Large</w:t>
            </w:r>
            <w:ins w:id="6" w:author="Antony Johnson" w:date="2024-12-04T18:44:00Z">
              <w:r w:rsidR="00CA1354">
                <w:rPr>
                  <w:rFonts w:ascii="Calibri" w:hAnsi="Calibri"/>
                </w:rPr>
                <w:t xml:space="preserve"> Power Station this introduces </w:t>
              </w:r>
              <w:r w:rsidR="002877E2">
                <w:rPr>
                  <w:rFonts w:ascii="Calibri" w:hAnsi="Calibri"/>
                </w:rPr>
                <w:t>additional requirements</w:t>
              </w:r>
            </w:ins>
            <w:r>
              <w:rPr>
                <w:rFonts w:ascii="Calibri" w:hAnsi="Calibri"/>
              </w:rPr>
              <w:t xml:space="preserve">. </w:t>
            </w:r>
            <w:ins w:id="7" w:author="Antony Johnson" w:date="2024-12-04T18:44:00Z">
              <w:r w:rsidR="002877E2">
                <w:rPr>
                  <w:rFonts w:ascii="Calibri" w:hAnsi="Calibri"/>
                </w:rPr>
                <w:t>As a minimum t</w:t>
              </w:r>
            </w:ins>
            <w:commentRangeStart w:id="8"/>
            <w:commentRangeStart w:id="9"/>
            <w:del w:id="10" w:author="Antony Johnson" w:date="2024-12-04T18:44:00Z">
              <w:r w:rsidDel="002877E2">
                <w:rPr>
                  <w:rFonts w:ascii="Calibri" w:hAnsi="Calibri"/>
                </w:rPr>
                <w:delText>T</w:delText>
              </w:r>
            </w:del>
            <w:r>
              <w:rPr>
                <w:rFonts w:ascii="Calibri" w:hAnsi="Calibri"/>
              </w:rPr>
              <w:t xml:space="preserve">he new turbines would have to be RfG compliant </w:t>
            </w:r>
            <w:del w:id="11" w:author="Antony Johnson" w:date="2024-12-04T18:44:00Z">
              <w:r w:rsidDel="002877E2">
                <w:rPr>
                  <w:rFonts w:ascii="Calibri" w:hAnsi="Calibri"/>
                </w:rPr>
                <w:delText xml:space="preserve">but questions remain as to how the </w:delText>
              </w:r>
              <w:r w:rsidR="00780340" w:rsidDel="002877E2">
                <w:rPr>
                  <w:rFonts w:ascii="Calibri" w:hAnsi="Calibri"/>
                </w:rPr>
                <w:delText>existing Power Station should be treated.</w:delText>
              </w:r>
              <w:commentRangeEnd w:id="8"/>
              <w:r w:rsidR="000D0B19" w:rsidDel="002877E2">
                <w:rPr>
                  <w:rStyle w:val="CommentReference"/>
                </w:rPr>
                <w:commentReference w:id="8"/>
              </w:r>
              <w:commentRangeEnd w:id="9"/>
              <w:r w:rsidR="001161D2" w:rsidDel="002877E2">
                <w:rPr>
                  <w:rStyle w:val="CommentReference"/>
                </w:rPr>
                <w:commentReference w:id="9"/>
              </w:r>
            </w:del>
          </w:p>
        </w:tc>
        <w:tc>
          <w:tcPr>
            <w:tcW w:w="1487" w:type="dxa"/>
          </w:tcPr>
          <w:p w14:paraId="0BC54C63" w14:textId="77777777" w:rsidR="005A293C" w:rsidRDefault="00AD181C">
            <w:pPr>
              <w:rPr>
                <w:rFonts w:ascii="Calibri" w:hAnsi="Calibri"/>
              </w:rPr>
            </w:pPr>
            <w:r>
              <w:rPr>
                <w:rFonts w:ascii="Calibri" w:hAnsi="Calibri"/>
              </w:rPr>
              <w:t>Same issue as GB Code- Power Park Module extensions</w:t>
            </w:r>
            <w:r w:rsidR="003E030B">
              <w:rPr>
                <w:rFonts w:ascii="Calibri" w:hAnsi="Calibri"/>
              </w:rPr>
              <w:t xml:space="preserve">.  </w:t>
            </w:r>
          </w:p>
          <w:p w14:paraId="2B103A46" w14:textId="77777777" w:rsidR="005A293C" w:rsidRDefault="005A293C">
            <w:pPr>
              <w:rPr>
                <w:rFonts w:ascii="Calibri" w:hAnsi="Calibri"/>
              </w:rPr>
            </w:pPr>
          </w:p>
          <w:p w14:paraId="193CBBE2" w14:textId="77777777" w:rsidR="00B14A06" w:rsidRDefault="003E030B">
            <w:pPr>
              <w:rPr>
                <w:ins w:id="12" w:author="Antony Johnson" w:date="2024-12-04T18:44:00Z"/>
                <w:rFonts w:ascii="Calibri" w:hAnsi="Calibri"/>
              </w:rPr>
            </w:pPr>
            <w:r>
              <w:rPr>
                <w:rFonts w:ascii="Calibri" w:hAnsi="Calibri"/>
              </w:rPr>
              <w:t>Difficult to segregate turbine requirements from module requirements.  Major issue would be for an old wind farm (pre June 2005 without Grid Code requirements adding new turbines).</w:t>
            </w:r>
          </w:p>
          <w:p w14:paraId="0C7EE2D3" w14:textId="77777777" w:rsidR="002877E2" w:rsidRDefault="002877E2">
            <w:pPr>
              <w:rPr>
                <w:ins w:id="13" w:author="Antony Johnson" w:date="2024-12-04T18:45:00Z"/>
                <w:rFonts w:ascii="Calibri" w:hAnsi="Calibri"/>
              </w:rPr>
            </w:pPr>
          </w:p>
          <w:p w14:paraId="28985946" w14:textId="047F7005" w:rsidR="002877E2" w:rsidRDefault="002877E2">
            <w:pPr>
              <w:rPr>
                <w:rFonts w:ascii="Calibri" w:hAnsi="Calibri"/>
              </w:rPr>
            </w:pPr>
            <w:ins w:id="14" w:author="Antony Johnson" w:date="2024-12-04T18:45:00Z">
              <w:r>
                <w:rPr>
                  <w:rFonts w:ascii="Calibri" w:hAnsi="Calibri"/>
                </w:rPr>
                <w:t xml:space="preserve">One solution to this would be to treat the </w:t>
              </w:r>
              <w:r w:rsidR="00193D64">
                <w:rPr>
                  <w:rFonts w:ascii="Calibri" w:hAnsi="Calibri"/>
                </w:rPr>
                <w:t xml:space="preserve">wind farm in a similar way to a co-located site.  The shut </w:t>
              </w:r>
            </w:ins>
            <w:ins w:id="15" w:author="Antony Johnson" w:date="2024-12-04T18:46:00Z">
              <w:r w:rsidR="002F220C">
                <w:rPr>
                  <w:rFonts w:ascii="Calibri" w:hAnsi="Calibri"/>
                </w:rPr>
                <w:t xml:space="preserve">down and compliance tests are applied to the new units.  Limited compliance tests are then applied to the whole site.  If the plant transitioned from </w:t>
              </w:r>
            </w:ins>
            <w:ins w:id="16" w:author="Antony Johnson" w:date="2024-12-04T18:47:00Z">
              <w:r w:rsidR="00145404">
                <w:rPr>
                  <w:rFonts w:ascii="Calibri" w:hAnsi="Calibri"/>
                </w:rPr>
                <w:t xml:space="preserve">a </w:t>
              </w:r>
            </w:ins>
            <w:ins w:id="17" w:author="Antony Johnson" w:date="2024-12-04T18:46:00Z">
              <w:r w:rsidR="00145404">
                <w:rPr>
                  <w:rFonts w:ascii="Calibri" w:hAnsi="Calibri"/>
                </w:rPr>
                <w:t>Small</w:t>
              </w:r>
            </w:ins>
            <w:ins w:id="18" w:author="Antony Johnson" w:date="2024-12-04T18:47:00Z">
              <w:r w:rsidR="00145404">
                <w:rPr>
                  <w:rFonts w:ascii="Calibri" w:hAnsi="Calibri"/>
                </w:rPr>
                <w:t xml:space="preserve"> Power Station</w:t>
              </w:r>
            </w:ins>
            <w:ins w:id="19" w:author="Antony Johnson" w:date="2024-12-04T18:46:00Z">
              <w:r w:rsidR="00145404">
                <w:rPr>
                  <w:rFonts w:ascii="Calibri" w:hAnsi="Calibri"/>
                </w:rPr>
                <w:t xml:space="preserve"> to Medium </w:t>
              </w:r>
            </w:ins>
            <w:ins w:id="20" w:author="Antony Johnson" w:date="2024-12-04T18:47:00Z">
              <w:r w:rsidR="00145404">
                <w:rPr>
                  <w:rFonts w:ascii="Calibri" w:hAnsi="Calibri"/>
                </w:rPr>
                <w:t xml:space="preserve">or Small to Large Power Station the whole site </w:t>
              </w:r>
              <w:r w:rsidR="00145404">
                <w:rPr>
                  <w:rFonts w:ascii="Calibri" w:hAnsi="Calibri"/>
                </w:rPr>
                <w:lastRenderedPageBreak/>
                <w:t xml:space="preserve">would come under the banner of a Medium or Large Power Station </w:t>
              </w:r>
              <w:r w:rsidR="0093542E">
                <w:rPr>
                  <w:rFonts w:ascii="Calibri" w:hAnsi="Calibri"/>
                </w:rPr>
                <w:t>and applicable Grid Code requirements would apply</w:t>
              </w:r>
            </w:ins>
            <w:ins w:id="21" w:author="Tanmay Kadam (NESO)" w:date="2024-12-05T09:49:00Z">
              <w:r w:rsidR="00683BB6">
                <w:rPr>
                  <w:rFonts w:ascii="Calibri" w:hAnsi="Calibri"/>
                </w:rPr>
                <w:t xml:space="preserve"> to the whole site</w:t>
              </w:r>
            </w:ins>
            <w:ins w:id="22" w:author="Antony Johnson" w:date="2024-12-04T18:47:00Z">
              <w:r w:rsidR="0093542E">
                <w:rPr>
                  <w:rFonts w:ascii="Calibri" w:hAnsi="Calibri"/>
                </w:rPr>
                <w:t xml:space="preserve">. </w:t>
              </w:r>
            </w:ins>
            <w:ins w:id="23" w:author="Antony Johnson" w:date="2024-12-04T18:48:00Z">
              <w:r w:rsidR="0093542E">
                <w:rPr>
                  <w:rFonts w:ascii="Calibri" w:hAnsi="Calibri"/>
                </w:rPr>
                <w:t xml:space="preserve"> </w:t>
              </w:r>
            </w:ins>
            <w:ins w:id="24" w:author="Antony Johnson" w:date="2024-12-04T18:49:00Z">
              <w:r w:rsidR="00581A34">
                <w:rPr>
                  <w:rFonts w:ascii="Calibri" w:hAnsi="Calibri"/>
                </w:rPr>
                <w:t xml:space="preserve">The old turbines would be caught by the CC’s and the new turbines by the ECC’s though some assessment of the </w:t>
              </w:r>
              <w:r w:rsidR="00045468">
                <w:rPr>
                  <w:rFonts w:ascii="Calibri" w:hAnsi="Calibri"/>
                </w:rPr>
                <w:t>whole site would be necessary.  In addition</w:t>
              </w:r>
            </w:ins>
            <w:ins w:id="25" w:author="Antony Johnson" w:date="2024-12-04T18:50:00Z">
              <w:r w:rsidR="00045468">
                <w:rPr>
                  <w:rFonts w:ascii="Calibri" w:hAnsi="Calibri"/>
                </w:rPr>
                <w:t>,</w:t>
              </w:r>
            </w:ins>
            <w:ins w:id="26" w:author="Antony Johnson" w:date="2024-12-04T18:49:00Z">
              <w:r w:rsidR="00045468">
                <w:rPr>
                  <w:rFonts w:ascii="Calibri" w:hAnsi="Calibri"/>
                </w:rPr>
                <w:t xml:space="preserve"> </w:t>
              </w:r>
            </w:ins>
            <w:ins w:id="27" w:author="Antony Johnson" w:date="2024-12-04T18:50:00Z">
              <w:r w:rsidR="00045468">
                <w:rPr>
                  <w:rFonts w:ascii="Calibri" w:hAnsi="Calibri"/>
                </w:rPr>
                <w:t xml:space="preserve">the relative </w:t>
              </w:r>
              <w:r w:rsidR="00D26E26">
                <w:rPr>
                  <w:rFonts w:ascii="Calibri" w:hAnsi="Calibri"/>
                </w:rPr>
                <w:t>proportions of the site extension need to be considered.  For e</w:t>
              </w:r>
            </w:ins>
            <w:ins w:id="28" w:author="Antony Johnson" w:date="2024-12-04T18:51:00Z">
              <w:r w:rsidR="00D26E26">
                <w:rPr>
                  <w:rFonts w:ascii="Calibri" w:hAnsi="Calibri"/>
                </w:rPr>
                <w:t xml:space="preserve">xample </w:t>
              </w:r>
              <w:r w:rsidR="006A1A5B">
                <w:rPr>
                  <w:rFonts w:ascii="Calibri" w:hAnsi="Calibri"/>
                </w:rPr>
                <w:t xml:space="preserve">is the extension adding 2MW to a 49.9MW Small Power Station making it Medium or </w:t>
              </w:r>
              <w:r w:rsidR="007F6314">
                <w:rPr>
                  <w:rFonts w:ascii="Calibri" w:hAnsi="Calibri"/>
                </w:rPr>
                <w:t xml:space="preserve">is the extension substantial so that 49.9MW now </w:t>
              </w:r>
            </w:ins>
            <w:ins w:id="29" w:author="Antony Johnson" w:date="2024-12-04T18:52:00Z">
              <w:r w:rsidR="007F6314">
                <w:rPr>
                  <w:rFonts w:ascii="Calibri" w:hAnsi="Calibri"/>
                </w:rPr>
                <w:t xml:space="preserve">becomes a total of </w:t>
              </w:r>
            </w:ins>
            <w:ins w:id="30" w:author="Tanmay Kadam (NESO)" w:date="2024-12-05T09:50:00Z">
              <w:r w:rsidR="00683BB6">
                <w:rPr>
                  <w:rFonts w:ascii="Calibri" w:hAnsi="Calibri"/>
                </w:rPr>
                <w:t>1</w:t>
              </w:r>
            </w:ins>
            <w:ins w:id="31" w:author="Antony Johnson" w:date="2024-12-04T18:52:00Z">
              <w:del w:id="32" w:author="Tanmay Kadam (NESO)" w:date="2024-12-05T09:50:00Z">
                <w:r w:rsidR="007F6314" w:rsidDel="00683BB6">
                  <w:rPr>
                    <w:rFonts w:ascii="Calibri" w:hAnsi="Calibri"/>
                  </w:rPr>
                  <w:delText>2</w:delText>
                </w:r>
              </w:del>
              <w:r w:rsidR="007F6314">
                <w:rPr>
                  <w:rFonts w:ascii="Calibri" w:hAnsi="Calibri"/>
                </w:rPr>
                <w:t xml:space="preserve">00MW.  </w:t>
              </w:r>
              <w:commentRangeStart w:id="33"/>
              <w:commentRangeStart w:id="34"/>
              <w:r w:rsidR="007F6314">
                <w:rPr>
                  <w:rFonts w:ascii="Calibri" w:hAnsi="Calibri"/>
                </w:rPr>
                <w:t xml:space="preserve">In this case the </w:t>
              </w:r>
              <w:r w:rsidR="00515684">
                <w:rPr>
                  <w:rFonts w:ascii="Calibri" w:hAnsi="Calibri"/>
                </w:rPr>
                <w:t xml:space="preserve">criteria proposed under G99 may be more relevant. </w:t>
              </w:r>
            </w:ins>
            <w:ins w:id="35" w:author="Antony Johnson" w:date="2024-12-04T18:47:00Z">
              <w:r w:rsidR="00145404">
                <w:rPr>
                  <w:rFonts w:ascii="Calibri" w:hAnsi="Calibri"/>
                </w:rPr>
                <w:t xml:space="preserve"> </w:t>
              </w:r>
            </w:ins>
            <w:ins w:id="36" w:author="Antony Johnson" w:date="2024-12-04T18:46:00Z">
              <w:r w:rsidR="002F220C">
                <w:rPr>
                  <w:rFonts w:ascii="Calibri" w:hAnsi="Calibri"/>
                </w:rPr>
                <w:t xml:space="preserve"> </w:t>
              </w:r>
            </w:ins>
            <w:commentRangeEnd w:id="33"/>
            <w:r w:rsidR="00683BB6">
              <w:rPr>
                <w:rStyle w:val="CommentReference"/>
              </w:rPr>
              <w:commentReference w:id="33"/>
            </w:r>
            <w:commentRangeEnd w:id="34"/>
            <w:r w:rsidR="00FD51C1">
              <w:rPr>
                <w:rStyle w:val="CommentReference"/>
              </w:rPr>
              <w:commentReference w:id="34"/>
            </w:r>
          </w:p>
        </w:tc>
      </w:tr>
      <w:tr w:rsidR="00C807DB" w:rsidRPr="006622CA" w14:paraId="102ACFAC" w14:textId="77777777" w:rsidTr="00C807DB">
        <w:tc>
          <w:tcPr>
            <w:tcW w:w="976" w:type="dxa"/>
          </w:tcPr>
          <w:p w14:paraId="26F8D565" w14:textId="77777777" w:rsidR="00C807DB" w:rsidRDefault="00C807DB">
            <w:pPr>
              <w:rPr>
                <w:rFonts w:ascii="Calibri" w:hAnsi="Calibri"/>
              </w:rPr>
            </w:pPr>
            <w:r>
              <w:rPr>
                <w:rFonts w:ascii="Calibri" w:hAnsi="Calibri"/>
              </w:rPr>
              <w:lastRenderedPageBreak/>
              <w:t>7</w:t>
            </w:r>
          </w:p>
        </w:tc>
        <w:tc>
          <w:tcPr>
            <w:tcW w:w="2593" w:type="dxa"/>
          </w:tcPr>
          <w:p w14:paraId="331F4EB2" w14:textId="77777777" w:rsidR="00C807DB" w:rsidRDefault="00B848C2">
            <w:pPr>
              <w:rPr>
                <w:rFonts w:ascii="Calibri" w:hAnsi="Calibri"/>
              </w:rPr>
            </w:pPr>
            <w:commentRangeStart w:id="37"/>
            <w:commentRangeStart w:id="38"/>
            <w:r>
              <w:rPr>
                <w:rFonts w:ascii="Calibri" w:hAnsi="Calibri"/>
              </w:rPr>
              <w:t>Small Power Station re</w:t>
            </w:r>
            <w:r w:rsidR="00C807DB">
              <w:rPr>
                <w:rFonts w:ascii="Calibri" w:hAnsi="Calibri"/>
              </w:rPr>
              <w:t>plants with a new bigger unit</w:t>
            </w:r>
            <w:commentRangeEnd w:id="37"/>
            <w:r w:rsidR="000D0B19">
              <w:rPr>
                <w:rStyle w:val="CommentReference"/>
              </w:rPr>
              <w:commentReference w:id="37"/>
            </w:r>
            <w:commentRangeEnd w:id="38"/>
            <w:r w:rsidR="000F0B62">
              <w:rPr>
                <w:rStyle w:val="CommentReference"/>
              </w:rPr>
              <w:commentReference w:id="38"/>
            </w:r>
          </w:p>
        </w:tc>
        <w:tc>
          <w:tcPr>
            <w:tcW w:w="2132" w:type="dxa"/>
          </w:tcPr>
          <w:p w14:paraId="531AD5AF" w14:textId="77777777" w:rsidR="00C807DB" w:rsidRPr="006622CA" w:rsidRDefault="00C807DB" w:rsidP="002056F8">
            <w:pPr>
              <w:rPr>
                <w:rFonts w:ascii="Calibri" w:hAnsi="Calibri"/>
              </w:rPr>
            </w:pPr>
            <w:r>
              <w:rPr>
                <w:rFonts w:ascii="Calibri" w:hAnsi="Calibri"/>
              </w:rPr>
              <w:t xml:space="preserve">Yes – There is a material change to the plant – a brand new unit is replacing the existing retired unit </w:t>
            </w:r>
          </w:p>
        </w:tc>
        <w:tc>
          <w:tcPr>
            <w:tcW w:w="2054" w:type="dxa"/>
          </w:tcPr>
          <w:p w14:paraId="47847E4E" w14:textId="629B82A6" w:rsidR="00C807DB" w:rsidRDefault="00D25F89">
            <w:pPr>
              <w:rPr>
                <w:rFonts w:ascii="Calibri" w:hAnsi="Calibri"/>
              </w:rPr>
            </w:pPr>
            <w:ins w:id="39" w:author="Antony Johnson" w:date="2024-12-04T18:52:00Z">
              <w:r>
                <w:rPr>
                  <w:rFonts w:ascii="Calibri" w:hAnsi="Calibri"/>
                </w:rPr>
                <w:t xml:space="preserve">Yes this would be </w:t>
              </w:r>
            </w:ins>
            <w:ins w:id="40" w:author="Antony Johnson" w:date="2024-12-04T18:53:00Z">
              <w:r>
                <w:rPr>
                  <w:rFonts w:ascii="Calibri" w:hAnsi="Calibri"/>
                </w:rPr>
                <w:t xml:space="preserve">caught by the ECCs as the old plant has been replaced by brand new </w:t>
              </w:r>
              <w:r w:rsidR="007B1C54">
                <w:rPr>
                  <w:rFonts w:ascii="Calibri" w:hAnsi="Calibri"/>
                </w:rPr>
                <w:t>plant and therefore the full requirements of the ECC’s would apply.</w:t>
              </w:r>
            </w:ins>
          </w:p>
        </w:tc>
        <w:tc>
          <w:tcPr>
            <w:tcW w:w="1487" w:type="dxa"/>
          </w:tcPr>
          <w:p w14:paraId="40EE471C" w14:textId="77777777" w:rsidR="00C807DB" w:rsidRDefault="005A293C">
            <w:pPr>
              <w:rPr>
                <w:rFonts w:ascii="Calibri" w:hAnsi="Calibri"/>
              </w:rPr>
            </w:pPr>
            <w:r>
              <w:rPr>
                <w:rFonts w:ascii="Calibri" w:hAnsi="Calibri"/>
              </w:rPr>
              <w:t xml:space="preserve">Transfer from Small to Band C or </w:t>
            </w:r>
            <w:r w:rsidR="00C807DB">
              <w:rPr>
                <w:rFonts w:ascii="Calibri" w:hAnsi="Calibri"/>
              </w:rPr>
              <w:t>D.  Potentially more onerous requirements than previously but would effectively be treated in the same way as a new Generator.</w:t>
            </w:r>
          </w:p>
        </w:tc>
      </w:tr>
      <w:tr w:rsidR="00D30D75" w:rsidRPr="006622CA" w14:paraId="65DEBC2E" w14:textId="77777777" w:rsidTr="00C807DB">
        <w:tc>
          <w:tcPr>
            <w:tcW w:w="976" w:type="dxa"/>
          </w:tcPr>
          <w:p w14:paraId="556DAC6F" w14:textId="77777777" w:rsidR="00D30D75" w:rsidRDefault="00D30D75">
            <w:pPr>
              <w:rPr>
                <w:rFonts w:ascii="Calibri" w:hAnsi="Calibri"/>
              </w:rPr>
            </w:pPr>
            <w:r>
              <w:rPr>
                <w:rFonts w:ascii="Calibri" w:hAnsi="Calibri"/>
              </w:rPr>
              <w:t>8</w:t>
            </w:r>
          </w:p>
        </w:tc>
        <w:tc>
          <w:tcPr>
            <w:tcW w:w="2593" w:type="dxa"/>
          </w:tcPr>
          <w:p w14:paraId="6B7D0BF1" w14:textId="77777777" w:rsidR="00D30D75" w:rsidRDefault="00D30D75">
            <w:pPr>
              <w:rPr>
                <w:rFonts w:ascii="Calibri" w:hAnsi="Calibri"/>
              </w:rPr>
            </w:pPr>
            <w:r>
              <w:rPr>
                <w:rFonts w:ascii="Calibri" w:hAnsi="Calibri"/>
              </w:rPr>
              <w:t>Generator changes its TEC capacity or Connection Dates</w:t>
            </w:r>
          </w:p>
        </w:tc>
        <w:tc>
          <w:tcPr>
            <w:tcW w:w="2132" w:type="dxa"/>
          </w:tcPr>
          <w:p w14:paraId="374012CA" w14:textId="77777777" w:rsidR="00D30D75" w:rsidRDefault="00D30D75" w:rsidP="002056F8">
            <w:pPr>
              <w:rPr>
                <w:rFonts w:ascii="Calibri" w:hAnsi="Calibri"/>
              </w:rPr>
            </w:pPr>
            <w:commentRangeStart w:id="41"/>
            <w:commentRangeStart w:id="42"/>
            <w:r>
              <w:rPr>
                <w:rFonts w:ascii="Calibri" w:hAnsi="Calibri"/>
              </w:rPr>
              <w:t xml:space="preserve">Yes / No – depends if Main Plant has been ordered.  If main plant ordered no, if main plant not ordered and beyond Q2 2018 - yes </w:t>
            </w:r>
            <w:commentRangeEnd w:id="41"/>
            <w:r w:rsidR="000D0B19">
              <w:rPr>
                <w:rStyle w:val="CommentReference"/>
              </w:rPr>
              <w:commentReference w:id="41"/>
            </w:r>
            <w:commentRangeEnd w:id="42"/>
            <w:r w:rsidR="00931FA9">
              <w:rPr>
                <w:rStyle w:val="CommentReference"/>
              </w:rPr>
              <w:commentReference w:id="42"/>
            </w:r>
          </w:p>
        </w:tc>
        <w:tc>
          <w:tcPr>
            <w:tcW w:w="2054" w:type="dxa"/>
          </w:tcPr>
          <w:p w14:paraId="301D9B23" w14:textId="77777777" w:rsidR="00D30D75" w:rsidRDefault="00D30D75">
            <w:pPr>
              <w:rPr>
                <w:rFonts w:ascii="Calibri" w:hAnsi="Calibri"/>
              </w:rPr>
            </w:pPr>
          </w:p>
        </w:tc>
        <w:tc>
          <w:tcPr>
            <w:tcW w:w="1487" w:type="dxa"/>
          </w:tcPr>
          <w:p w14:paraId="7AD559B0" w14:textId="77777777" w:rsidR="00D30D75" w:rsidRDefault="00D30D75">
            <w:pPr>
              <w:rPr>
                <w:rFonts w:ascii="Calibri" w:hAnsi="Calibri"/>
              </w:rPr>
            </w:pPr>
          </w:p>
        </w:tc>
      </w:tr>
    </w:tbl>
    <w:p w14:paraId="2CE62BAB" w14:textId="77777777" w:rsidR="004758BF" w:rsidRPr="006622CA" w:rsidRDefault="004758BF">
      <w:pPr>
        <w:rPr>
          <w:rFonts w:ascii="Calibri" w:hAnsi="Calibri"/>
        </w:rPr>
      </w:pPr>
    </w:p>
    <w:sectPr w:rsidR="004758BF" w:rsidRPr="006622CA">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anmay Kadam (ESO)" w:date="2024-04-23T11:51:00Z" w:initials="TK(">
    <w:p w14:paraId="68C2A214" w14:textId="77777777" w:rsidR="006E5202" w:rsidRDefault="006E5202" w:rsidP="00924E08">
      <w:pPr>
        <w:pStyle w:val="CommentText"/>
      </w:pPr>
      <w:r>
        <w:rPr>
          <w:rStyle w:val="CommentReference"/>
        </w:rPr>
        <w:annotationRef/>
      </w:r>
      <w:r>
        <w:t>Should it not be ESO?</w:t>
      </w:r>
    </w:p>
  </w:comment>
  <w:comment w:id="1" w:author="Antony Johnson" w:date="2024-04-24T18:32:00Z" w:initials="AJ">
    <w:p w14:paraId="50E5AD62" w14:textId="77777777" w:rsidR="00B82126" w:rsidRDefault="00B82126" w:rsidP="004D61A8">
      <w:pPr>
        <w:pStyle w:val="CommentText"/>
      </w:pPr>
      <w:r>
        <w:rPr>
          <w:rStyle w:val="CommentReference"/>
        </w:rPr>
        <w:annotationRef/>
      </w:r>
      <w:r>
        <w:t>Yes it should.  The document however was prepared pre legal sep when we were still part of NGET.  All references in this document should therefore be ESO or NESO.</w:t>
      </w:r>
    </w:p>
  </w:comment>
  <w:comment w:id="2" w:author="Tanmay Kadam (ESO)" w:date="2024-04-23T11:51:00Z" w:initials="TK(">
    <w:p w14:paraId="66320846" w14:textId="7182FF98" w:rsidR="006E5202" w:rsidRDefault="006E5202" w:rsidP="000B359F">
      <w:pPr>
        <w:pStyle w:val="CommentText"/>
      </w:pPr>
      <w:r>
        <w:rPr>
          <w:rStyle w:val="CommentReference"/>
        </w:rPr>
        <w:annotationRef/>
      </w:r>
      <w:r>
        <w:t>Why is it NGET and not ESO?</w:t>
      </w:r>
    </w:p>
  </w:comment>
  <w:comment w:id="3" w:author="Antony Johnson" w:date="2024-04-24T18:32:00Z" w:initials="AJ">
    <w:p w14:paraId="681FA637" w14:textId="77777777" w:rsidR="00B82126" w:rsidRDefault="00B82126" w:rsidP="00EE32A5">
      <w:pPr>
        <w:pStyle w:val="CommentText"/>
      </w:pPr>
      <w:r>
        <w:rPr>
          <w:rStyle w:val="CommentReference"/>
        </w:rPr>
        <w:annotationRef/>
      </w:r>
      <w:r>
        <w:t>As above - should be ESO/NESO</w:t>
      </w:r>
    </w:p>
  </w:comment>
  <w:comment w:id="8" w:author="Tanmay Kadam (ESO)" w:date="2024-04-18T17:04:00Z" w:initials="TK(">
    <w:p w14:paraId="15FC04BA" w14:textId="2E8A5E7E" w:rsidR="000D0B19" w:rsidRDefault="000D0B19" w:rsidP="001679AC">
      <w:pPr>
        <w:pStyle w:val="CommentText"/>
      </w:pPr>
      <w:r>
        <w:rPr>
          <w:rStyle w:val="CommentReference"/>
        </w:rPr>
        <w:annotationRef/>
      </w:r>
      <w:r>
        <w:t>Compliance is tested at PPM level, so if new WTG are still part of an existing PPM, then I think the compliance shall be demonstrated for new WTG but also when existing WTG are operational. To be discussed</w:t>
      </w:r>
    </w:p>
  </w:comment>
  <w:comment w:id="9" w:author="Antony Johnson" w:date="2024-04-24T18:36:00Z" w:initials="AJ">
    <w:p w14:paraId="724E00A6" w14:textId="77777777" w:rsidR="001161D2" w:rsidRDefault="001161D2" w:rsidP="008C6AA0">
      <w:pPr>
        <w:pStyle w:val="CommentText"/>
      </w:pPr>
      <w:r>
        <w:rPr>
          <w:rStyle w:val="CommentReference"/>
        </w:rPr>
        <w:annotationRef/>
      </w:r>
      <w:r>
        <w:t>Agree - The new turbine would need to be complaint but the problem is that compliance is with respect to the Module not the unit.  Therefore if you have an existing Power Park Module and add a couple of new turbines compliance becomes very difficult.  The only way I think it could be done would be to shut down the existing units and solely test the new ones where practical but it is still a problem as the requirement is assessed on the module not the unit.  Happy to discuss.</w:t>
      </w:r>
    </w:p>
  </w:comment>
  <w:comment w:id="33" w:author="Tanmay Kadam (NESO)" w:date="2024-12-05T09:51:00Z" w:initials="TK(">
    <w:p w14:paraId="10ABE75A" w14:textId="77777777" w:rsidR="00683BB6" w:rsidRDefault="00683BB6" w:rsidP="006C22B1">
      <w:pPr>
        <w:pStyle w:val="CommentText"/>
      </w:pPr>
      <w:r>
        <w:rPr>
          <w:rStyle w:val="CommentReference"/>
        </w:rPr>
        <w:annotationRef/>
      </w:r>
      <w:r>
        <w:t xml:space="preserve">Are we talking about the 20% criterion in G99 which would require the power station to re-demonstrate the compliance? If so, I would agree. However, we need to agree on a similar implementation approach in the Grid Code </w:t>
      </w:r>
    </w:p>
  </w:comment>
  <w:comment w:id="34" w:author="Antony Johnson" w:date="2024-12-05T10:05:00Z" w:initials="AJ">
    <w:p w14:paraId="5B6E638C" w14:textId="77777777" w:rsidR="00B55A19" w:rsidRDefault="00FD51C1" w:rsidP="00915C5B">
      <w:pPr>
        <w:pStyle w:val="CommentText"/>
      </w:pPr>
      <w:r>
        <w:rPr>
          <w:rStyle w:val="CommentReference"/>
        </w:rPr>
        <w:annotationRef/>
      </w:r>
      <w:r w:rsidR="00B55A19">
        <w:t>Yes - This would be the 20% criterion but also would require the whole site needed to meet the requirements of the ECC's rather than the CC's.  I think this however is an issue outside the GC0173 work</w:t>
      </w:r>
    </w:p>
  </w:comment>
  <w:comment w:id="37" w:author="Tanmay Kadam (ESO)" w:date="2024-04-18T17:03:00Z" w:initials="TK(">
    <w:p w14:paraId="1F856087" w14:textId="5B87AEEF" w:rsidR="006E5202" w:rsidRDefault="000D0B19" w:rsidP="002D2451">
      <w:pPr>
        <w:pStyle w:val="CommentText"/>
      </w:pPr>
      <w:r>
        <w:rPr>
          <w:rStyle w:val="CommentReference"/>
        </w:rPr>
        <w:annotationRef/>
      </w:r>
      <w:r w:rsidR="006E5202">
        <w:t>So, If a Small Power Station with FON decides to install new units which increase the size of overall power station and makes it from Type C to Type D, and also from Small to Medium or Large, then in my view, they would have to go through ModApp and get an amended agreement. The compliance then shall be assessed for overall power station which would include both old and new generators.  To be discussed.</w:t>
      </w:r>
    </w:p>
  </w:comment>
  <w:comment w:id="38" w:author="Antony Johnson" w:date="2024-04-24T18:38:00Z" w:initials="AJ">
    <w:p w14:paraId="6BE43A7E" w14:textId="77777777" w:rsidR="000F0B62" w:rsidRDefault="000F0B62" w:rsidP="00A653F1">
      <w:pPr>
        <w:pStyle w:val="CommentText"/>
      </w:pPr>
      <w:r>
        <w:rPr>
          <w:rStyle w:val="CommentReference"/>
        </w:rPr>
        <w:annotationRef/>
      </w:r>
      <w:r>
        <w:t>Yes - If you have a Small Power Station and they Replant with new Power Generating Modules then the type of Power Generating Modules in the Power Station (which could say move from Small to Medium or to Large) then full compliance in respect of each new Module would be required.</w:t>
      </w:r>
    </w:p>
  </w:comment>
  <w:comment w:id="41" w:author="Tanmay Kadam (ESO)" w:date="2024-04-18T17:01:00Z" w:initials="TK(">
    <w:p w14:paraId="56B8B460" w14:textId="5F40AA1D" w:rsidR="000D0B19" w:rsidRDefault="000D0B19" w:rsidP="00F56348">
      <w:pPr>
        <w:pStyle w:val="CommentText"/>
      </w:pPr>
      <w:r>
        <w:rPr>
          <w:rStyle w:val="CommentReference"/>
        </w:rPr>
        <w:annotationRef/>
      </w:r>
      <w:r>
        <w:t xml:space="preserve">What do we mean by 'main plant ordered'? </w:t>
      </w:r>
    </w:p>
  </w:comment>
  <w:comment w:id="42" w:author="Antony Johnson" w:date="2024-04-24T18:39:00Z" w:initials="AJ">
    <w:p w14:paraId="59516440" w14:textId="77777777" w:rsidR="00931FA9" w:rsidRDefault="00931FA9" w:rsidP="00DD11E3">
      <w:pPr>
        <w:pStyle w:val="CommentText"/>
      </w:pPr>
      <w:r>
        <w:rPr>
          <w:rStyle w:val="CommentReference"/>
        </w:rPr>
        <w:annotationRef/>
      </w:r>
      <w:r>
        <w:t>This is the conclusion of the contract to buy the plant - A bit like buying a car - ie the date you agree to purchase the car and set up the finance or sign the contract for the car and pay for it.  Happy to discuss.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8C2A214" w15:done="1"/>
  <w15:commentEx w15:paraId="50E5AD62" w15:paraIdParent="68C2A214" w15:done="1"/>
  <w15:commentEx w15:paraId="66320846" w15:done="1"/>
  <w15:commentEx w15:paraId="681FA637" w15:paraIdParent="66320846" w15:done="1"/>
  <w15:commentEx w15:paraId="15FC04BA" w15:done="0"/>
  <w15:commentEx w15:paraId="724E00A6" w15:paraIdParent="15FC04BA" w15:done="0"/>
  <w15:commentEx w15:paraId="10ABE75A" w15:done="0"/>
  <w15:commentEx w15:paraId="5B6E638C" w15:paraIdParent="10ABE75A" w15:done="0"/>
  <w15:commentEx w15:paraId="1F856087" w15:done="0"/>
  <w15:commentEx w15:paraId="6BE43A7E" w15:paraIdParent="1F856087" w15:done="0"/>
  <w15:commentEx w15:paraId="56B8B460" w15:done="1"/>
  <w15:commentEx w15:paraId="59516440" w15:paraIdParent="56B8B46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21F45" w16cex:dateUtc="2024-04-23T10:51:00Z"/>
  <w16cex:commentExtensible w16cex:durableId="29D3CEAA" w16cex:dateUtc="2024-04-24T17:32:00Z"/>
  <w16cex:commentExtensible w16cex:durableId="29D21F38" w16cex:dateUtc="2024-04-23T10:51:00Z"/>
  <w16cex:commentExtensible w16cex:durableId="29D3CED7" w16cex:dateUtc="2024-04-24T17:32:00Z"/>
  <w16cex:commentExtensible w16cex:durableId="29CBD121" w16cex:dateUtc="2024-04-18T16:04:00Z"/>
  <w16cex:commentExtensible w16cex:durableId="29D3CF95" w16cex:dateUtc="2024-04-24T17:36:00Z"/>
  <w16cex:commentExtensible w16cex:durableId="2AFBF635" w16cex:dateUtc="2024-12-05T09:51:00Z"/>
  <w16cex:commentExtensible w16cex:durableId="2AFBF97C" w16cex:dateUtc="2024-12-05T10:05:00Z"/>
  <w16cex:commentExtensible w16cex:durableId="29CBD0D0" w16cex:dateUtc="2024-04-18T16:03:00Z"/>
  <w16cex:commentExtensible w16cex:durableId="29D3D024" w16cex:dateUtc="2024-04-24T17:38:00Z"/>
  <w16cex:commentExtensible w16cex:durableId="29CBD074" w16cex:dateUtc="2024-04-18T16:01:00Z"/>
  <w16cex:commentExtensible w16cex:durableId="29D3D07E" w16cex:dateUtc="2024-04-24T17: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8C2A214" w16cid:durableId="29D21F45"/>
  <w16cid:commentId w16cid:paraId="50E5AD62" w16cid:durableId="29D3CEAA"/>
  <w16cid:commentId w16cid:paraId="66320846" w16cid:durableId="29D21F38"/>
  <w16cid:commentId w16cid:paraId="681FA637" w16cid:durableId="29D3CED7"/>
  <w16cid:commentId w16cid:paraId="15FC04BA" w16cid:durableId="29CBD121"/>
  <w16cid:commentId w16cid:paraId="724E00A6" w16cid:durableId="29D3CF95"/>
  <w16cid:commentId w16cid:paraId="10ABE75A" w16cid:durableId="2AFBF635"/>
  <w16cid:commentId w16cid:paraId="5B6E638C" w16cid:durableId="2AFBF97C"/>
  <w16cid:commentId w16cid:paraId="1F856087" w16cid:durableId="29CBD0D0"/>
  <w16cid:commentId w16cid:paraId="6BE43A7E" w16cid:durableId="29D3D024"/>
  <w16cid:commentId w16cid:paraId="56B8B460" w16cid:durableId="29CBD074"/>
  <w16cid:commentId w16cid:paraId="59516440" w16cid:durableId="29D3D07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anmay Kadam (ESO)">
    <w15:presenceInfo w15:providerId="AD" w15:userId="S::Tanmay.Kadam@uk.nationalgrid.com::bd0b8041-88f6-46c1-92f8-c181d7416866"/>
  </w15:person>
  <w15:person w15:author="Antony Johnson">
    <w15:presenceInfo w15:providerId="AD" w15:userId="S::Antony.Johnson@uk.nationalgrid.com::ea3158fb-3b36-4d33-b3dc-8adf0fb14d86"/>
  </w15:person>
  <w15:person w15:author="Tanmay Kadam (NESO)">
    <w15:presenceInfo w15:providerId="AD" w15:userId="S::Tanmay.Kadam@uk.nationalgrid.com::bd0b8041-88f6-46c1-92f8-c181d74168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8BF"/>
    <w:rsid w:val="00030166"/>
    <w:rsid w:val="00045468"/>
    <w:rsid w:val="000642D0"/>
    <w:rsid w:val="000B6E99"/>
    <w:rsid w:val="000D0B19"/>
    <w:rsid w:val="000F0B62"/>
    <w:rsid w:val="001161D2"/>
    <w:rsid w:val="00145404"/>
    <w:rsid w:val="001869E3"/>
    <w:rsid w:val="00193D64"/>
    <w:rsid w:val="001D1909"/>
    <w:rsid w:val="002877E2"/>
    <w:rsid w:val="002F0A9D"/>
    <w:rsid w:val="002F220C"/>
    <w:rsid w:val="00387D2D"/>
    <w:rsid w:val="003E030B"/>
    <w:rsid w:val="004758BF"/>
    <w:rsid w:val="00515684"/>
    <w:rsid w:val="005468C3"/>
    <w:rsid w:val="00581A34"/>
    <w:rsid w:val="005A293C"/>
    <w:rsid w:val="005E4C93"/>
    <w:rsid w:val="006622CA"/>
    <w:rsid w:val="006632E4"/>
    <w:rsid w:val="00670D5F"/>
    <w:rsid w:val="00683BB6"/>
    <w:rsid w:val="006A0C0D"/>
    <w:rsid w:val="006A1A5B"/>
    <w:rsid w:val="006E5202"/>
    <w:rsid w:val="007652E1"/>
    <w:rsid w:val="00780340"/>
    <w:rsid w:val="007B1C54"/>
    <w:rsid w:val="007F6314"/>
    <w:rsid w:val="00802CCB"/>
    <w:rsid w:val="008E72B8"/>
    <w:rsid w:val="00931FA9"/>
    <w:rsid w:val="0093542E"/>
    <w:rsid w:val="009C6FD8"/>
    <w:rsid w:val="00A30EAB"/>
    <w:rsid w:val="00AB2642"/>
    <w:rsid w:val="00AD181C"/>
    <w:rsid w:val="00B05B09"/>
    <w:rsid w:val="00B14A06"/>
    <w:rsid w:val="00B55A19"/>
    <w:rsid w:val="00B574B2"/>
    <w:rsid w:val="00B738E7"/>
    <w:rsid w:val="00B82126"/>
    <w:rsid w:val="00B848C2"/>
    <w:rsid w:val="00BD7637"/>
    <w:rsid w:val="00C807DB"/>
    <w:rsid w:val="00C946D4"/>
    <w:rsid w:val="00CA1354"/>
    <w:rsid w:val="00D25F89"/>
    <w:rsid w:val="00D26E26"/>
    <w:rsid w:val="00D30D75"/>
    <w:rsid w:val="00DA4C2B"/>
    <w:rsid w:val="00DF5133"/>
    <w:rsid w:val="00E403EA"/>
    <w:rsid w:val="00EA785B"/>
    <w:rsid w:val="00FD51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2C240"/>
  <w15:docId w15:val="{DB4BFA42-8365-4908-A906-FB0F684D0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D0B19"/>
    <w:rPr>
      <w:sz w:val="16"/>
      <w:szCs w:val="16"/>
    </w:rPr>
  </w:style>
  <w:style w:type="paragraph" w:styleId="CommentText">
    <w:name w:val="annotation text"/>
    <w:basedOn w:val="Normal"/>
    <w:link w:val="CommentTextChar"/>
    <w:uiPriority w:val="99"/>
    <w:unhideWhenUsed/>
    <w:rsid w:val="000D0B19"/>
    <w:pPr>
      <w:spacing w:line="240" w:lineRule="auto"/>
    </w:pPr>
    <w:rPr>
      <w:sz w:val="20"/>
      <w:szCs w:val="20"/>
    </w:rPr>
  </w:style>
  <w:style w:type="character" w:customStyle="1" w:styleId="CommentTextChar">
    <w:name w:val="Comment Text Char"/>
    <w:basedOn w:val="DefaultParagraphFont"/>
    <w:link w:val="CommentText"/>
    <w:uiPriority w:val="99"/>
    <w:rsid w:val="000D0B19"/>
    <w:rPr>
      <w:sz w:val="20"/>
      <w:szCs w:val="20"/>
    </w:rPr>
  </w:style>
  <w:style w:type="paragraph" w:styleId="CommentSubject">
    <w:name w:val="annotation subject"/>
    <w:basedOn w:val="CommentText"/>
    <w:next w:val="CommentText"/>
    <w:link w:val="CommentSubjectChar"/>
    <w:uiPriority w:val="99"/>
    <w:semiHidden/>
    <w:unhideWhenUsed/>
    <w:rsid w:val="000D0B19"/>
    <w:rPr>
      <w:b/>
      <w:bCs/>
    </w:rPr>
  </w:style>
  <w:style w:type="character" w:customStyle="1" w:styleId="CommentSubjectChar">
    <w:name w:val="Comment Subject Char"/>
    <w:basedOn w:val="CommentTextChar"/>
    <w:link w:val="CommentSubject"/>
    <w:uiPriority w:val="99"/>
    <w:semiHidden/>
    <w:rsid w:val="000D0B19"/>
    <w:rPr>
      <w:b/>
      <w:bCs/>
      <w:sz w:val="20"/>
      <w:szCs w:val="20"/>
    </w:rPr>
  </w:style>
  <w:style w:type="paragraph" w:styleId="Revision">
    <w:name w:val="Revision"/>
    <w:hidden/>
    <w:uiPriority w:val="99"/>
    <w:semiHidden/>
    <w:rsid w:val="00CA13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645</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SSE / SGN / SEC</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Garth</dc:creator>
  <cp:lastModifiedBy>Antony Johnson</cp:lastModifiedBy>
  <cp:revision>4</cp:revision>
  <dcterms:created xsi:type="dcterms:W3CDTF">2024-12-05T10:04:00Z</dcterms:created>
  <dcterms:modified xsi:type="dcterms:W3CDTF">2024-12-05T10:08:00Z</dcterms:modified>
</cp:coreProperties>
</file>