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793"/>
        <w:tblW w:w="9572" w:type="dxa"/>
        <w:tblBorders>
          <w:top w:val="single" w:sz="4" w:space="0" w:color="800080"/>
          <w:left w:val="single" w:sz="4" w:space="0" w:color="800080"/>
          <w:bottom w:val="single" w:sz="4" w:space="0" w:color="800080"/>
          <w:right w:val="single" w:sz="4" w:space="0" w:color="800080"/>
          <w:insideH w:val="single" w:sz="4" w:space="0" w:color="800080"/>
          <w:insideV w:val="single" w:sz="4" w:space="0" w:color="800080"/>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9572"/>
      </w:tblGrid>
      <w:tr w:rsidR="001C4F9A" w:rsidRPr="00EB32BB" w14:paraId="085061AC" w14:textId="77777777" w:rsidTr="00734829">
        <w:trPr>
          <w:trHeight w:val="359"/>
        </w:trPr>
        <w:tc>
          <w:tcPr>
            <w:tcW w:w="9572" w:type="dxa"/>
            <w:shd w:val="clear" w:color="auto" w:fill="650B4E" w:themeFill="text2" w:themeFillTint="E6"/>
          </w:tcPr>
          <w:p w14:paraId="2EEAFF49" w14:textId="77777777" w:rsidR="001C4F9A" w:rsidRPr="00EB32BB" w:rsidRDefault="001C4F9A" w:rsidP="001C4F9A">
            <w:pPr>
              <w:pStyle w:val="BlockText"/>
              <w:spacing w:after="0" w:line="240" w:lineRule="auto"/>
              <w:rPr>
                <w:rFonts w:cs="Arial"/>
                <w:sz w:val="20"/>
                <w:szCs w:val="20"/>
              </w:rPr>
            </w:pPr>
            <w:r w:rsidRPr="00627D47">
              <w:rPr>
                <w:rFonts w:cs="Arial"/>
                <w:b/>
                <w:sz w:val="28"/>
                <w:szCs w:val="28"/>
              </w:rPr>
              <w:t>Workgroup Terms of Reference and Membership</w:t>
            </w:r>
          </w:p>
        </w:tc>
      </w:tr>
    </w:tbl>
    <w:p w14:paraId="354C8450" w14:textId="77777777" w:rsidR="001C4F9A" w:rsidRPr="00EB32BB" w:rsidRDefault="001C4F9A" w:rsidP="001C4F9A">
      <w:pPr>
        <w:pStyle w:val="Header"/>
        <w:rPr>
          <w:rFonts w:cs="Arial"/>
        </w:rPr>
      </w:pPr>
    </w:p>
    <w:p w14:paraId="644B1857" w14:textId="348483C8" w:rsidR="001C4F9A" w:rsidRPr="00734829" w:rsidRDefault="001C4F9A" w:rsidP="001C4F9A">
      <w:pPr>
        <w:pStyle w:val="Footer"/>
        <w:tabs>
          <w:tab w:val="left" w:pos="720"/>
        </w:tabs>
        <w:rPr>
          <w:rFonts w:cs="Arial"/>
          <w:b/>
          <w:color w:val="650B4E" w:themeColor="text2" w:themeTint="E6"/>
          <w:sz w:val="28"/>
        </w:rPr>
      </w:pPr>
      <w:bookmarkStart w:id="0" w:name="_Executive_Summary"/>
      <w:bookmarkStart w:id="1" w:name="_Workgroup_Consultation_Introduction"/>
      <w:bookmarkEnd w:id="0"/>
      <w:bookmarkEnd w:id="1"/>
      <w:r w:rsidRPr="00734829">
        <w:rPr>
          <w:rFonts w:cs="Arial"/>
          <w:b/>
          <w:color w:val="650B4E" w:themeColor="text2" w:themeTint="E6"/>
          <w:sz w:val="28"/>
        </w:rPr>
        <w:t>CMP</w:t>
      </w:r>
      <w:r w:rsidR="00EF7344" w:rsidRPr="00734829">
        <w:rPr>
          <w:rFonts w:cs="Arial"/>
          <w:b/>
          <w:color w:val="650B4E" w:themeColor="text2" w:themeTint="E6"/>
          <w:sz w:val="28"/>
        </w:rPr>
        <w:t>442</w:t>
      </w:r>
      <w:r w:rsidRPr="00734829">
        <w:rPr>
          <w:rFonts w:cs="Arial"/>
          <w:b/>
          <w:color w:val="650B4E" w:themeColor="text2" w:themeTint="E6"/>
          <w:sz w:val="28"/>
        </w:rPr>
        <w:t xml:space="preserve">: </w:t>
      </w:r>
      <w:r w:rsidR="00EF7344" w:rsidRPr="00734829">
        <w:rPr>
          <w:rFonts w:cs="Arial"/>
          <w:b/>
          <w:color w:val="650B4E" w:themeColor="text2" w:themeTint="E6"/>
          <w:sz w:val="28"/>
        </w:rPr>
        <w:t xml:space="preserve">Introducing the Option to Fix Generator TNUoS </w:t>
      </w:r>
      <w:proofErr w:type="gramStart"/>
      <w:r w:rsidR="00EF7344" w:rsidRPr="00734829">
        <w:rPr>
          <w:rFonts w:cs="Arial"/>
          <w:b/>
          <w:color w:val="650B4E" w:themeColor="text2" w:themeTint="E6"/>
          <w:sz w:val="28"/>
        </w:rPr>
        <w:t>charges</w:t>
      </w:r>
      <w:proofErr w:type="gramEnd"/>
    </w:p>
    <w:p w14:paraId="2FF1BDB1" w14:textId="77777777" w:rsidR="001C4F9A" w:rsidRDefault="001C4F9A" w:rsidP="001C4F9A">
      <w:pPr>
        <w:rPr>
          <w:rFonts w:cs="Arial"/>
          <w:b/>
          <w:bCs/>
          <w:color w:val="FFFFFF" w:themeColor="background1"/>
          <w:kern w:val="32"/>
          <w:sz w:val="28"/>
          <w:szCs w:val="32"/>
        </w:rPr>
      </w:pPr>
    </w:p>
    <w:p w14:paraId="6806F1FC" w14:textId="77777777" w:rsidR="001C4F9A" w:rsidRDefault="001C4F9A" w:rsidP="001C4F9A">
      <w:pPr>
        <w:pStyle w:val="Checklist"/>
      </w:pPr>
      <w:r>
        <w:t>Responsibilities</w:t>
      </w:r>
    </w:p>
    <w:p w14:paraId="1BA3B3FD" w14:textId="77777777" w:rsidR="00EF7344" w:rsidRPr="00810B20" w:rsidRDefault="00EF7344" w:rsidP="00EF7344">
      <w:pPr>
        <w:pStyle w:val="BodyText"/>
        <w:numPr>
          <w:ilvl w:val="0"/>
          <w:numId w:val="21"/>
        </w:numPr>
        <w:spacing w:after="0"/>
        <w:jc w:val="both"/>
        <w:rPr>
          <w:sz w:val="24"/>
        </w:rPr>
      </w:pPr>
      <w:r w:rsidRPr="00810B20">
        <w:rPr>
          <w:sz w:val="24"/>
        </w:rPr>
        <w:t xml:space="preserve">The Workgroup is responsible for assisting the CUSC Modification Panel in the evaluation of CUSC Modification Proposal </w:t>
      </w:r>
      <w:r w:rsidRPr="00235E38">
        <w:rPr>
          <w:b/>
          <w:bCs/>
          <w:sz w:val="24"/>
        </w:rPr>
        <w:t>CMP442: Introducing the option to fix Generator TNUoS charges</w:t>
      </w:r>
      <w:r w:rsidRPr="00E71728" w:rsidDel="00235E38">
        <w:rPr>
          <w:b/>
          <w:sz w:val="24"/>
        </w:rPr>
        <w:t xml:space="preserve"> </w:t>
      </w:r>
      <w:r w:rsidRPr="00810B20">
        <w:rPr>
          <w:sz w:val="24"/>
        </w:rPr>
        <w:t xml:space="preserve">raised by </w:t>
      </w:r>
      <w:r>
        <w:rPr>
          <w:b/>
          <w:sz w:val="24"/>
        </w:rPr>
        <w:t>RWE</w:t>
      </w:r>
      <w:r w:rsidRPr="00810B20">
        <w:rPr>
          <w:sz w:val="24"/>
        </w:rPr>
        <w:t xml:space="preserve"> at the Modifications Panel meeting on </w:t>
      </w:r>
      <w:r>
        <w:rPr>
          <w:b/>
          <w:sz w:val="24"/>
        </w:rPr>
        <w:t>25 October 2024</w:t>
      </w:r>
      <w:r w:rsidRPr="00810B20">
        <w:rPr>
          <w:sz w:val="24"/>
        </w:rPr>
        <w:t xml:space="preserve">. The proposal must be evaluated to consider whether it better facilitates achievement of the Applicable CUSC Objectives. </w:t>
      </w:r>
    </w:p>
    <w:p w14:paraId="1FF87DED" w14:textId="77777777" w:rsidR="001C4F9A" w:rsidRPr="003B6E37" w:rsidRDefault="001C4F9A" w:rsidP="001C4F9A">
      <w:pPr>
        <w:pStyle w:val="TOCMOD"/>
        <w:framePr w:hSpace="0" w:vSpace="0" w:wrap="auto" w:vAnchor="margin" w:yAlign="inline"/>
        <w:rPr>
          <w:b w:val="0"/>
          <w:bCs w:val="0"/>
          <w:noProof w:val="0"/>
          <w:color w:val="auto"/>
        </w:rPr>
      </w:pPr>
    </w:p>
    <w:p w14:paraId="1B03BAA7" w14:textId="77777777" w:rsidR="001C4F9A" w:rsidRPr="004F1A02" w:rsidRDefault="001C4F9A" w:rsidP="001C4F9A">
      <w:pPr>
        <w:pStyle w:val="Checklist"/>
      </w:pPr>
      <w:r>
        <w:t>Applicable CUSC (charging) Objectives</w:t>
      </w:r>
    </w:p>
    <w:p w14:paraId="791C4C11" w14:textId="77777777" w:rsidR="001C4F9A" w:rsidRPr="004F1A02" w:rsidRDefault="001C4F9A" w:rsidP="00311495">
      <w:pPr>
        <w:pStyle w:val="BodyText"/>
        <w:numPr>
          <w:ilvl w:val="0"/>
          <w:numId w:val="20"/>
        </w:numPr>
        <w:spacing w:after="0"/>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4F1A02">
        <w:rPr>
          <w:sz w:val="24"/>
        </w:rPr>
        <w:t>electricity;</w:t>
      </w:r>
      <w:proofErr w:type="gramEnd"/>
      <w:r w:rsidRPr="004F1A02">
        <w:rPr>
          <w:sz w:val="24"/>
        </w:rPr>
        <w:t xml:space="preserve"> </w:t>
      </w:r>
    </w:p>
    <w:p w14:paraId="4D9F193E" w14:textId="77777777" w:rsidR="001C4F9A" w:rsidRPr="004F1A02" w:rsidRDefault="001C4F9A" w:rsidP="00311495">
      <w:pPr>
        <w:pStyle w:val="BodyText"/>
        <w:numPr>
          <w:ilvl w:val="0"/>
          <w:numId w:val="20"/>
        </w:numPr>
        <w:spacing w:after="0"/>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4F1A02">
        <w:rPr>
          <w:sz w:val="24"/>
        </w:rPr>
        <w:t>);</w:t>
      </w:r>
      <w:proofErr w:type="gramEnd"/>
    </w:p>
    <w:p w14:paraId="6B983D1B" w14:textId="77777777" w:rsidR="001C4F9A" w:rsidRPr="004F1A02" w:rsidRDefault="001C4F9A" w:rsidP="00311495">
      <w:pPr>
        <w:pStyle w:val="BodyText"/>
        <w:numPr>
          <w:ilvl w:val="0"/>
          <w:numId w:val="20"/>
        </w:numPr>
        <w:spacing w:after="0"/>
        <w:jc w:val="both"/>
        <w:rPr>
          <w:sz w:val="24"/>
        </w:rPr>
      </w:pPr>
      <w:r w:rsidRPr="004F1A02">
        <w:rPr>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4F1A02">
        <w:rPr>
          <w:sz w:val="24"/>
        </w:rPr>
        <w:t>businesses;</w:t>
      </w:r>
      <w:proofErr w:type="gramEnd"/>
    </w:p>
    <w:p w14:paraId="4A6D2FFE" w14:textId="77777777" w:rsidR="001C4F9A" w:rsidRPr="004F1A02" w:rsidRDefault="001C4F9A" w:rsidP="00311495">
      <w:pPr>
        <w:pStyle w:val="BodyText"/>
        <w:numPr>
          <w:ilvl w:val="0"/>
          <w:numId w:val="20"/>
        </w:numPr>
        <w:spacing w:after="0"/>
        <w:jc w:val="both"/>
        <w:rPr>
          <w:sz w:val="24"/>
        </w:rPr>
      </w:pPr>
      <w:r w:rsidRPr="004F1A02">
        <w:rPr>
          <w:sz w:val="24"/>
        </w:rPr>
        <w:t>Compliance with the Electricity Regulation and any relevant legally binding decision of the European Commission and/or the Agency *; and</w:t>
      </w:r>
    </w:p>
    <w:p w14:paraId="59D6EE6D" w14:textId="77777777" w:rsidR="001C4F9A" w:rsidRPr="00B5210A" w:rsidRDefault="001C4F9A" w:rsidP="00311495">
      <w:pPr>
        <w:pStyle w:val="BodyText"/>
        <w:numPr>
          <w:ilvl w:val="0"/>
          <w:numId w:val="20"/>
        </w:numPr>
        <w:spacing w:after="0"/>
        <w:jc w:val="both"/>
        <w:rPr>
          <w:rFonts w:ascii="Calibri" w:hAnsi="Calibri"/>
          <w:bCs/>
          <w:sz w:val="24"/>
        </w:rPr>
      </w:pPr>
      <w:r w:rsidRPr="00B5210A">
        <w:rPr>
          <w:sz w:val="24"/>
        </w:rPr>
        <w:t xml:space="preserve">Promoting efficiency in the implementation and administration of the </w:t>
      </w:r>
      <w:r w:rsidRPr="00B5210A">
        <w:rPr>
          <w:bCs/>
          <w:sz w:val="24"/>
        </w:rPr>
        <w:t>system charging methodology</w:t>
      </w:r>
      <w:r>
        <w:rPr>
          <w:bCs/>
          <w:sz w:val="24"/>
        </w:rPr>
        <w:t>.</w:t>
      </w:r>
    </w:p>
    <w:p w14:paraId="2585AC8F" w14:textId="77777777" w:rsidR="001C4F9A" w:rsidRDefault="001C4F9A" w:rsidP="001C4F9A">
      <w:pPr>
        <w:pStyle w:val="BodyText"/>
        <w:spacing w:after="0"/>
        <w:jc w:val="both"/>
        <w:rPr>
          <w:sz w:val="24"/>
        </w:rPr>
      </w:pPr>
    </w:p>
    <w:p w14:paraId="14399F14" w14:textId="77777777" w:rsidR="001C4F9A" w:rsidRPr="00FD2295" w:rsidRDefault="001C4F9A" w:rsidP="001C4F9A">
      <w:pPr>
        <w:pStyle w:val="BodyText"/>
        <w:rPr>
          <w:sz w:val="24"/>
        </w:rPr>
      </w:pPr>
      <w:r w:rsidRPr="00FD2295">
        <w:rPr>
          <w:sz w:val="24"/>
        </w:rPr>
        <w:t>*</w:t>
      </w:r>
      <w:r w:rsidRPr="00067F08">
        <w:rPr>
          <w:sz w:val="24"/>
        </w:rPr>
        <w:t>The Electricity Regulation referred to in objective (</w:t>
      </w:r>
      <w:r>
        <w:rPr>
          <w:sz w:val="24"/>
        </w:rPr>
        <w:t>d</w:t>
      </w:r>
      <w:r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01986D6E" w14:textId="77777777" w:rsidR="001C4F9A" w:rsidRDefault="001C4F9A" w:rsidP="001C4F9A">
      <w:pPr>
        <w:pStyle w:val="BodyText"/>
        <w:spacing w:after="0"/>
        <w:jc w:val="both"/>
        <w:rPr>
          <w:sz w:val="24"/>
        </w:rPr>
      </w:pPr>
    </w:p>
    <w:p w14:paraId="2D629EE0" w14:textId="77777777" w:rsidR="001C4F9A" w:rsidRPr="00DE08D0" w:rsidRDefault="001C4F9A" w:rsidP="001C4F9A">
      <w:pPr>
        <w:pStyle w:val="BodyText"/>
        <w:spacing w:after="0"/>
        <w:jc w:val="both"/>
        <w:rPr>
          <w:sz w:val="24"/>
        </w:rPr>
      </w:pPr>
    </w:p>
    <w:p w14:paraId="3B75CA3F" w14:textId="77777777" w:rsidR="001C4F9A" w:rsidRPr="00597E62" w:rsidRDefault="001C4F9A" w:rsidP="00311495">
      <w:pPr>
        <w:pStyle w:val="BodyText"/>
        <w:numPr>
          <w:ilvl w:val="0"/>
          <w:numId w:val="21"/>
        </w:numPr>
        <w:spacing w:after="0"/>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0DCA8AE" w14:textId="77777777" w:rsidR="001C4F9A" w:rsidRDefault="001C4F9A" w:rsidP="001C4F9A">
      <w:pPr>
        <w:pStyle w:val="TOCMOD"/>
        <w:framePr w:hSpace="0" w:vSpace="0" w:wrap="auto" w:vAnchor="margin" w:yAlign="inline"/>
        <w:rPr>
          <w:b w:val="0"/>
          <w:bCs w:val="0"/>
          <w:noProof w:val="0"/>
          <w:color w:val="auto"/>
        </w:rPr>
      </w:pPr>
    </w:p>
    <w:p w14:paraId="1C3FF43A" w14:textId="77777777" w:rsidR="001C4F9A" w:rsidRPr="00190CC5" w:rsidRDefault="001C4F9A" w:rsidP="001C4F9A">
      <w:pPr>
        <w:pStyle w:val="Checklist"/>
      </w:pPr>
      <w:r>
        <w:lastRenderedPageBreak/>
        <w:t>Scope of work</w:t>
      </w:r>
    </w:p>
    <w:p w14:paraId="5C8926D1" w14:textId="77777777" w:rsidR="001C4F9A" w:rsidRDefault="001C4F9A" w:rsidP="00311495">
      <w:pPr>
        <w:pStyle w:val="BodyText"/>
        <w:numPr>
          <w:ilvl w:val="0"/>
          <w:numId w:val="21"/>
        </w:numPr>
        <w:spacing w:after="0"/>
        <w:jc w:val="both"/>
        <w:rPr>
          <w:sz w:val="24"/>
        </w:rPr>
      </w:pPr>
      <w:r w:rsidRPr="00782F0E">
        <w:rPr>
          <w:sz w:val="24"/>
        </w:rPr>
        <w:t xml:space="preserve">The Workgroup must consider the issues raised by the Modification Proposal and consider if the proposal identified better facilitates achievement of the Applicable </w:t>
      </w:r>
      <w:r>
        <w:rPr>
          <w:sz w:val="24"/>
        </w:rPr>
        <w:t>CUSC</w:t>
      </w:r>
      <w:r w:rsidRPr="00782F0E">
        <w:rPr>
          <w:sz w:val="24"/>
        </w:rPr>
        <w:t xml:space="preserve"> Objectives.</w:t>
      </w:r>
    </w:p>
    <w:p w14:paraId="14A30049" w14:textId="77777777" w:rsidR="001C4F9A" w:rsidRDefault="001C4F9A" w:rsidP="001C4F9A">
      <w:pPr>
        <w:pStyle w:val="BodyText"/>
        <w:spacing w:after="0"/>
        <w:ind w:left="720"/>
        <w:jc w:val="both"/>
        <w:rPr>
          <w:sz w:val="24"/>
        </w:rPr>
      </w:pPr>
    </w:p>
    <w:p w14:paraId="4C4EBAA0" w14:textId="77777777" w:rsidR="001C4F9A" w:rsidRPr="00DF3EDE" w:rsidRDefault="001C4F9A" w:rsidP="00311495">
      <w:pPr>
        <w:pStyle w:val="BodyText"/>
        <w:numPr>
          <w:ilvl w:val="0"/>
          <w:numId w:val="21"/>
        </w:numPr>
        <w:spacing w:after="0"/>
        <w:jc w:val="both"/>
        <w:rPr>
          <w:sz w:val="24"/>
        </w:rPr>
      </w:pPr>
      <w:r w:rsidRPr="00DF3EDE">
        <w:rPr>
          <w:sz w:val="24"/>
        </w:rPr>
        <w:t xml:space="preserve">In addition, the Workgroup shall consider and report on the following specific issues: </w:t>
      </w:r>
    </w:p>
    <w:p w14:paraId="035A5842" w14:textId="77777777" w:rsidR="001C4F9A" w:rsidRPr="00ED5C7C" w:rsidRDefault="001C4F9A" w:rsidP="001C4F9A">
      <w:pPr>
        <w:pStyle w:val="BodyText"/>
        <w:spacing w:after="0"/>
        <w:ind w:left="720"/>
        <w:jc w:val="both"/>
        <w:rPr>
          <w:sz w:val="24"/>
        </w:rPr>
      </w:pPr>
    </w:p>
    <w:tbl>
      <w:tblPr>
        <w:tblStyle w:val="TableGrid"/>
        <w:tblW w:w="0" w:type="auto"/>
        <w:tblInd w:w="-5" w:type="dxa"/>
        <w:tblBorders>
          <w:top w:val="single" w:sz="4" w:space="0" w:color="800080" w:themeColor="accent1" w:themeShade="80"/>
          <w:left w:val="single" w:sz="4" w:space="0" w:color="800080" w:themeColor="accent1" w:themeShade="80"/>
          <w:bottom w:val="single" w:sz="4" w:space="0" w:color="800080" w:themeColor="accent1" w:themeShade="80"/>
          <w:right w:val="single" w:sz="4" w:space="0" w:color="800080" w:themeColor="accent1" w:themeShade="80"/>
          <w:insideH w:val="single" w:sz="4" w:space="0" w:color="800080" w:themeColor="accent1" w:themeShade="80"/>
          <w:insideV w:val="single" w:sz="4" w:space="0" w:color="800080" w:themeColor="accent1" w:themeShade="80"/>
        </w:tblBorders>
        <w:tblLook w:val="04A0" w:firstRow="1" w:lastRow="0" w:firstColumn="1" w:lastColumn="0" w:noHBand="0" w:noVBand="1"/>
      </w:tblPr>
      <w:tblGrid>
        <w:gridCol w:w="5124"/>
        <w:gridCol w:w="4232"/>
      </w:tblGrid>
      <w:tr w:rsidR="001C4F9A" w14:paraId="49A1DC51" w14:textId="77777777" w:rsidTr="0059058F">
        <w:tc>
          <w:tcPr>
            <w:tcW w:w="5124" w:type="dxa"/>
            <w:shd w:val="clear" w:color="auto" w:fill="650B4E" w:themeFill="text2" w:themeFillTint="E6"/>
          </w:tcPr>
          <w:p w14:paraId="3BF87E12" w14:textId="77777777" w:rsidR="001C4F9A" w:rsidRPr="002D0F39" w:rsidRDefault="001C4F9A" w:rsidP="005F0E56">
            <w:pPr>
              <w:pStyle w:val="BodyText"/>
              <w:jc w:val="both"/>
              <w:rPr>
                <w:b/>
                <w:sz w:val="24"/>
              </w:rPr>
            </w:pPr>
            <w:r w:rsidRPr="002D0F39">
              <w:rPr>
                <w:b/>
                <w:color w:val="FFFFFF" w:themeColor="background1"/>
                <w:sz w:val="24"/>
              </w:rPr>
              <w:t>Workgroup Term of Reference</w:t>
            </w:r>
          </w:p>
        </w:tc>
        <w:tc>
          <w:tcPr>
            <w:tcW w:w="4232" w:type="dxa"/>
            <w:shd w:val="clear" w:color="auto" w:fill="650B4E" w:themeFill="text2" w:themeFillTint="E6"/>
          </w:tcPr>
          <w:p w14:paraId="470944D1" w14:textId="77777777" w:rsidR="001C4F9A" w:rsidRDefault="001C4F9A" w:rsidP="005F0E56">
            <w:pPr>
              <w:pStyle w:val="BodyText"/>
              <w:jc w:val="both"/>
              <w:rPr>
                <w:b/>
                <w:szCs w:val="22"/>
              </w:rPr>
            </w:pPr>
            <w:r w:rsidRPr="00194B25">
              <w:rPr>
                <w:b/>
                <w:color w:val="FFFFFF" w:themeColor="background1"/>
                <w:sz w:val="24"/>
                <w:szCs w:val="22"/>
              </w:rPr>
              <w:t>Location in Workgroup Report (to be completed at Workgroup Report stage)</w:t>
            </w:r>
          </w:p>
        </w:tc>
      </w:tr>
      <w:tr w:rsidR="001C4F9A" w14:paraId="43FD511A" w14:textId="77777777" w:rsidTr="0059058F">
        <w:tc>
          <w:tcPr>
            <w:tcW w:w="5124" w:type="dxa"/>
          </w:tcPr>
          <w:p w14:paraId="618DF9D2" w14:textId="77777777" w:rsidR="001C4F9A" w:rsidRPr="00572954" w:rsidRDefault="001C4F9A" w:rsidP="00311495">
            <w:pPr>
              <w:pStyle w:val="BodyText"/>
              <w:numPr>
                <w:ilvl w:val="0"/>
                <w:numId w:val="22"/>
              </w:numPr>
              <w:jc w:val="both"/>
              <w:rPr>
                <w:sz w:val="24"/>
              </w:rPr>
            </w:pPr>
            <w:r w:rsidRPr="00572954">
              <w:rPr>
                <w:sz w:val="24"/>
              </w:rPr>
              <w:t>Consider EB</w:t>
            </w:r>
            <w:r>
              <w:rPr>
                <w:sz w:val="24"/>
              </w:rPr>
              <w:t>R</w:t>
            </w:r>
            <w:r w:rsidRPr="00572954">
              <w:rPr>
                <w:sz w:val="24"/>
              </w:rPr>
              <w:t xml:space="preserve"> implications</w:t>
            </w:r>
          </w:p>
        </w:tc>
        <w:tc>
          <w:tcPr>
            <w:tcW w:w="4232" w:type="dxa"/>
          </w:tcPr>
          <w:p w14:paraId="1EB5EACC" w14:textId="77777777" w:rsidR="001C4F9A" w:rsidRDefault="001C4F9A" w:rsidP="005F0E56">
            <w:pPr>
              <w:pStyle w:val="BodyText"/>
              <w:jc w:val="both"/>
              <w:rPr>
                <w:b/>
                <w:szCs w:val="22"/>
              </w:rPr>
            </w:pPr>
          </w:p>
        </w:tc>
      </w:tr>
      <w:tr w:rsidR="001C4F9A" w14:paraId="358A9B48" w14:textId="77777777" w:rsidTr="0059058F">
        <w:tc>
          <w:tcPr>
            <w:tcW w:w="5124" w:type="dxa"/>
          </w:tcPr>
          <w:p w14:paraId="681D26BD" w14:textId="156924BC" w:rsidR="005973B7" w:rsidRPr="00625BBF" w:rsidRDefault="005973B7" w:rsidP="00625BBF">
            <w:pPr>
              <w:pStyle w:val="BodyText"/>
              <w:numPr>
                <w:ilvl w:val="0"/>
                <w:numId w:val="22"/>
              </w:numPr>
              <w:rPr>
                <w:bCs/>
                <w:sz w:val="24"/>
              </w:rPr>
            </w:pPr>
            <w:r w:rsidRPr="00625BBF">
              <w:rPr>
                <w:bCs/>
                <w:sz w:val="24"/>
              </w:rPr>
              <w:t xml:space="preserve">Consider the </w:t>
            </w:r>
            <w:hyperlink r:id="rId11" w:history="1">
              <w:r w:rsidRPr="00625BBF">
                <w:rPr>
                  <w:rStyle w:val="Hyperlink"/>
                  <w:bCs/>
                  <w:sz w:val="24"/>
                </w:rPr>
                <w:t>Open Letter on Seeking industry action</w:t>
              </w:r>
            </w:hyperlink>
            <w:r w:rsidRPr="00625BBF">
              <w:rPr>
                <w:bCs/>
                <w:sz w:val="24"/>
              </w:rPr>
              <w:t xml:space="preserve"> to mitigate the investment impacts of very high projected TNUoS charges</w:t>
            </w:r>
          </w:p>
        </w:tc>
        <w:tc>
          <w:tcPr>
            <w:tcW w:w="4232" w:type="dxa"/>
          </w:tcPr>
          <w:p w14:paraId="416407C3" w14:textId="77777777" w:rsidR="001C4F9A" w:rsidRDefault="001C4F9A" w:rsidP="005F0E56">
            <w:pPr>
              <w:pStyle w:val="BodyText"/>
              <w:jc w:val="both"/>
              <w:rPr>
                <w:b/>
                <w:szCs w:val="22"/>
              </w:rPr>
            </w:pPr>
          </w:p>
        </w:tc>
      </w:tr>
      <w:tr w:rsidR="001C4F9A" w14:paraId="61F23982" w14:textId="77777777" w:rsidTr="0059058F">
        <w:tc>
          <w:tcPr>
            <w:tcW w:w="5124" w:type="dxa"/>
          </w:tcPr>
          <w:p w14:paraId="2173F206" w14:textId="57FAC7B1" w:rsidR="001C4F9A" w:rsidRPr="004A58B0" w:rsidRDefault="00EF7344" w:rsidP="00EF7344">
            <w:pPr>
              <w:pStyle w:val="BodyText"/>
              <w:numPr>
                <w:ilvl w:val="0"/>
                <w:numId w:val="22"/>
              </w:numPr>
              <w:rPr>
                <w:sz w:val="24"/>
              </w:rPr>
            </w:pPr>
            <w:r w:rsidRPr="00EF7344">
              <w:rPr>
                <w:bCs/>
                <w:sz w:val="24"/>
              </w:rPr>
              <w:t xml:space="preserve">Consider interactions or possible overlap with the TNUoS Cap and Floor </w:t>
            </w:r>
            <w:r w:rsidR="008D5C27">
              <w:rPr>
                <w:bCs/>
                <w:sz w:val="24"/>
              </w:rPr>
              <w:t>CMP444.</w:t>
            </w:r>
          </w:p>
        </w:tc>
        <w:tc>
          <w:tcPr>
            <w:tcW w:w="4232" w:type="dxa"/>
          </w:tcPr>
          <w:p w14:paraId="781893FD" w14:textId="77777777" w:rsidR="001C4F9A" w:rsidRDefault="001C4F9A" w:rsidP="005F0E56">
            <w:pPr>
              <w:pStyle w:val="BodyText"/>
              <w:jc w:val="both"/>
              <w:rPr>
                <w:b/>
                <w:szCs w:val="22"/>
              </w:rPr>
            </w:pPr>
          </w:p>
        </w:tc>
      </w:tr>
      <w:tr w:rsidR="004C64E5" w14:paraId="7FBE36E3" w14:textId="77777777" w:rsidTr="0059058F">
        <w:tc>
          <w:tcPr>
            <w:tcW w:w="5124" w:type="dxa"/>
          </w:tcPr>
          <w:p w14:paraId="6922C68E" w14:textId="01C77929" w:rsidR="004C64E5" w:rsidRPr="00EF7344" w:rsidRDefault="009024BF" w:rsidP="00EF7344">
            <w:pPr>
              <w:pStyle w:val="BodyText"/>
              <w:numPr>
                <w:ilvl w:val="0"/>
                <w:numId w:val="22"/>
              </w:numPr>
              <w:rPr>
                <w:bCs/>
                <w:sz w:val="24"/>
              </w:rPr>
            </w:pPr>
            <w:r>
              <w:rPr>
                <w:bCs/>
                <w:sz w:val="24"/>
              </w:rPr>
              <w:t xml:space="preserve">Consider </w:t>
            </w:r>
            <w:r w:rsidR="0024105A">
              <w:rPr>
                <w:bCs/>
                <w:sz w:val="24"/>
              </w:rPr>
              <w:t>when fix window is post forecast publication</w:t>
            </w:r>
          </w:p>
        </w:tc>
        <w:tc>
          <w:tcPr>
            <w:tcW w:w="4232" w:type="dxa"/>
          </w:tcPr>
          <w:p w14:paraId="76283676" w14:textId="77777777" w:rsidR="004C64E5" w:rsidRDefault="004C64E5" w:rsidP="005F0E56">
            <w:pPr>
              <w:pStyle w:val="BodyText"/>
              <w:jc w:val="both"/>
              <w:rPr>
                <w:b/>
                <w:szCs w:val="22"/>
              </w:rPr>
            </w:pPr>
          </w:p>
        </w:tc>
      </w:tr>
      <w:tr w:rsidR="004C64E5" w14:paraId="291411C1" w14:textId="77777777" w:rsidTr="0059058F">
        <w:tc>
          <w:tcPr>
            <w:tcW w:w="5124" w:type="dxa"/>
          </w:tcPr>
          <w:p w14:paraId="7CFD5AB1" w14:textId="65C4A2BF" w:rsidR="004C64E5" w:rsidRPr="00EF7344" w:rsidRDefault="00B6509B" w:rsidP="00EF7344">
            <w:pPr>
              <w:pStyle w:val="BodyText"/>
              <w:numPr>
                <w:ilvl w:val="0"/>
                <w:numId w:val="22"/>
              </w:numPr>
              <w:rPr>
                <w:bCs/>
                <w:sz w:val="24"/>
              </w:rPr>
            </w:pPr>
            <w:r>
              <w:rPr>
                <w:bCs/>
                <w:sz w:val="24"/>
              </w:rPr>
              <w:t xml:space="preserve">Consider </w:t>
            </w:r>
            <w:r w:rsidR="00F65E02">
              <w:rPr>
                <w:bCs/>
                <w:sz w:val="24"/>
              </w:rPr>
              <w:t xml:space="preserve">the </w:t>
            </w:r>
            <w:r w:rsidR="00C46284">
              <w:rPr>
                <w:bCs/>
                <w:sz w:val="24"/>
              </w:rPr>
              <w:t xml:space="preserve">transitional arrangements associated with </w:t>
            </w:r>
            <w:r w:rsidR="00F65E02">
              <w:rPr>
                <w:bCs/>
                <w:sz w:val="24"/>
              </w:rPr>
              <w:t xml:space="preserve">data </w:t>
            </w:r>
            <w:r w:rsidR="000428D6">
              <w:rPr>
                <w:bCs/>
                <w:sz w:val="24"/>
              </w:rPr>
              <w:t>availab</w:t>
            </w:r>
            <w:r w:rsidR="00C46284">
              <w:rPr>
                <w:bCs/>
                <w:sz w:val="24"/>
              </w:rPr>
              <w:t>ility</w:t>
            </w:r>
          </w:p>
        </w:tc>
        <w:tc>
          <w:tcPr>
            <w:tcW w:w="4232" w:type="dxa"/>
          </w:tcPr>
          <w:p w14:paraId="1E8D2D6B" w14:textId="77777777" w:rsidR="004C64E5" w:rsidRDefault="004C64E5" w:rsidP="005F0E56">
            <w:pPr>
              <w:pStyle w:val="BodyText"/>
              <w:jc w:val="both"/>
              <w:rPr>
                <w:b/>
                <w:szCs w:val="22"/>
              </w:rPr>
            </w:pPr>
          </w:p>
        </w:tc>
      </w:tr>
      <w:tr w:rsidR="00AB7697" w14:paraId="5AA9C3E4" w14:textId="77777777" w:rsidTr="0059058F">
        <w:tc>
          <w:tcPr>
            <w:tcW w:w="5124" w:type="dxa"/>
          </w:tcPr>
          <w:p w14:paraId="0B10EBC9" w14:textId="4311D09D" w:rsidR="00AB7697" w:rsidRPr="00EF7344" w:rsidRDefault="00080A30" w:rsidP="00EF7344">
            <w:pPr>
              <w:pStyle w:val="BodyText"/>
              <w:numPr>
                <w:ilvl w:val="0"/>
                <w:numId w:val="22"/>
              </w:numPr>
              <w:rPr>
                <w:bCs/>
                <w:sz w:val="24"/>
              </w:rPr>
            </w:pPr>
            <w:r w:rsidRPr="00080A30">
              <w:rPr>
                <w:bCs/>
                <w:sz w:val="24"/>
              </w:rPr>
              <w:t>Consider interaction with securities and liabilities for both pre- and post-connection</w:t>
            </w:r>
          </w:p>
        </w:tc>
        <w:tc>
          <w:tcPr>
            <w:tcW w:w="4232" w:type="dxa"/>
          </w:tcPr>
          <w:p w14:paraId="233245BA" w14:textId="77777777" w:rsidR="00AB7697" w:rsidRDefault="00AB7697" w:rsidP="005F0E56">
            <w:pPr>
              <w:pStyle w:val="BodyText"/>
              <w:jc w:val="both"/>
              <w:rPr>
                <w:b/>
                <w:szCs w:val="22"/>
              </w:rPr>
            </w:pPr>
          </w:p>
        </w:tc>
      </w:tr>
      <w:tr w:rsidR="00AB7697" w14:paraId="633BF602" w14:textId="77777777" w:rsidTr="0059058F">
        <w:tc>
          <w:tcPr>
            <w:tcW w:w="5124" w:type="dxa"/>
          </w:tcPr>
          <w:p w14:paraId="3DCCDB11" w14:textId="150A3E46" w:rsidR="00AB7697" w:rsidRPr="00A215F2" w:rsidRDefault="00BD6B18" w:rsidP="00A215F2">
            <w:pPr>
              <w:pStyle w:val="BodyText"/>
              <w:numPr>
                <w:ilvl w:val="0"/>
                <w:numId w:val="22"/>
              </w:numPr>
              <w:rPr>
                <w:bCs/>
                <w:sz w:val="24"/>
              </w:rPr>
            </w:pPr>
            <w:r w:rsidRPr="00A215F2">
              <w:rPr>
                <w:bCs/>
                <w:sz w:val="24"/>
              </w:rPr>
              <w:t>Consider the accuracy of forecast required to provide a fixed tariff of up to 15 years’ duration.</w:t>
            </w:r>
          </w:p>
        </w:tc>
        <w:tc>
          <w:tcPr>
            <w:tcW w:w="4232" w:type="dxa"/>
          </w:tcPr>
          <w:p w14:paraId="76FD01D3" w14:textId="77777777" w:rsidR="00AB7697" w:rsidRDefault="00AB7697" w:rsidP="005F0E56">
            <w:pPr>
              <w:pStyle w:val="BodyText"/>
              <w:jc w:val="both"/>
              <w:rPr>
                <w:b/>
                <w:szCs w:val="22"/>
              </w:rPr>
            </w:pPr>
          </w:p>
        </w:tc>
      </w:tr>
      <w:tr w:rsidR="00B42C01" w14:paraId="52FCF63E" w14:textId="77777777" w:rsidTr="0059058F">
        <w:tc>
          <w:tcPr>
            <w:tcW w:w="5124" w:type="dxa"/>
          </w:tcPr>
          <w:p w14:paraId="54481C77" w14:textId="7AA7EF90" w:rsidR="00B42C01" w:rsidRPr="00A215F2" w:rsidRDefault="00C64275" w:rsidP="00A215F2">
            <w:pPr>
              <w:pStyle w:val="BodyText"/>
              <w:numPr>
                <w:ilvl w:val="0"/>
                <w:numId w:val="22"/>
              </w:numPr>
              <w:rPr>
                <w:bCs/>
                <w:sz w:val="24"/>
              </w:rPr>
            </w:pPr>
            <w:r w:rsidRPr="00A215F2">
              <w:rPr>
                <w:bCs/>
                <w:sz w:val="24"/>
              </w:rPr>
              <w:t>Consider the impact on generators who do not fix their TNUoS across a range of scenarios and any distributional impact on consumers.</w:t>
            </w:r>
          </w:p>
        </w:tc>
        <w:tc>
          <w:tcPr>
            <w:tcW w:w="4232" w:type="dxa"/>
          </w:tcPr>
          <w:p w14:paraId="6D78EBDA" w14:textId="77777777" w:rsidR="00B42C01" w:rsidRDefault="00B42C01" w:rsidP="005F0E56">
            <w:pPr>
              <w:pStyle w:val="BodyText"/>
              <w:jc w:val="both"/>
              <w:rPr>
                <w:b/>
                <w:szCs w:val="22"/>
              </w:rPr>
            </w:pPr>
          </w:p>
        </w:tc>
      </w:tr>
      <w:tr w:rsidR="00E47F12" w14:paraId="47CE2530" w14:textId="77777777" w:rsidTr="0059058F">
        <w:tc>
          <w:tcPr>
            <w:tcW w:w="5124" w:type="dxa"/>
          </w:tcPr>
          <w:p w14:paraId="7C03977A" w14:textId="611193B8" w:rsidR="00E47F12" w:rsidRDefault="00E47F12" w:rsidP="008C4776">
            <w:pPr>
              <w:pStyle w:val="BodyText"/>
              <w:numPr>
                <w:ilvl w:val="0"/>
                <w:numId w:val="22"/>
              </w:numPr>
              <w:rPr>
                <w:bCs/>
                <w:sz w:val="24"/>
              </w:rPr>
            </w:pPr>
            <w:r w:rsidRPr="008C4776">
              <w:rPr>
                <w:bCs/>
                <w:sz w:val="24"/>
              </w:rPr>
              <w:t>Would there be an eligibility window for fixing?</w:t>
            </w:r>
          </w:p>
        </w:tc>
        <w:tc>
          <w:tcPr>
            <w:tcW w:w="4232" w:type="dxa"/>
          </w:tcPr>
          <w:p w14:paraId="30D71F07" w14:textId="77777777" w:rsidR="00E47F12" w:rsidRDefault="00E47F12" w:rsidP="00E47F12">
            <w:pPr>
              <w:pStyle w:val="BodyText"/>
              <w:jc w:val="both"/>
              <w:rPr>
                <w:b/>
                <w:szCs w:val="22"/>
              </w:rPr>
            </w:pPr>
          </w:p>
        </w:tc>
      </w:tr>
      <w:tr w:rsidR="00E47F12" w14:paraId="6E80A2AC" w14:textId="77777777" w:rsidTr="0059058F">
        <w:tc>
          <w:tcPr>
            <w:tcW w:w="5124" w:type="dxa"/>
          </w:tcPr>
          <w:p w14:paraId="644FE663" w14:textId="7A5CD7E0" w:rsidR="00E47F12" w:rsidRDefault="00E47F12" w:rsidP="008C4776">
            <w:pPr>
              <w:pStyle w:val="BodyText"/>
              <w:numPr>
                <w:ilvl w:val="0"/>
                <w:numId w:val="22"/>
              </w:numPr>
              <w:rPr>
                <w:bCs/>
                <w:sz w:val="24"/>
              </w:rPr>
            </w:pPr>
            <w:r w:rsidRPr="008C4776">
              <w:rPr>
                <w:bCs/>
                <w:sz w:val="24"/>
              </w:rPr>
              <w:t>How can the arrangements be designed to prevent users from “gaming” the system? Given the significant current shortage of grid capacity and the steps being taken in connection reform, should this be a genuine concern?</w:t>
            </w:r>
          </w:p>
        </w:tc>
        <w:tc>
          <w:tcPr>
            <w:tcW w:w="4232" w:type="dxa"/>
          </w:tcPr>
          <w:p w14:paraId="68465D92" w14:textId="77777777" w:rsidR="00E47F12" w:rsidRDefault="00E47F12" w:rsidP="00E47F12">
            <w:pPr>
              <w:pStyle w:val="BodyText"/>
              <w:jc w:val="both"/>
              <w:rPr>
                <w:b/>
                <w:szCs w:val="22"/>
              </w:rPr>
            </w:pPr>
          </w:p>
        </w:tc>
      </w:tr>
      <w:tr w:rsidR="00E47F12" w14:paraId="04E62350" w14:textId="77777777" w:rsidTr="0059058F">
        <w:tc>
          <w:tcPr>
            <w:tcW w:w="5124" w:type="dxa"/>
          </w:tcPr>
          <w:p w14:paraId="0F518BBE" w14:textId="56D2AB01" w:rsidR="00E47F12" w:rsidRDefault="00E47F12" w:rsidP="008C4776">
            <w:pPr>
              <w:pStyle w:val="BodyText"/>
              <w:numPr>
                <w:ilvl w:val="0"/>
                <w:numId w:val="22"/>
              </w:numPr>
              <w:rPr>
                <w:bCs/>
                <w:sz w:val="24"/>
              </w:rPr>
            </w:pPr>
            <w:r w:rsidRPr="008C4776">
              <w:rPr>
                <w:bCs/>
                <w:sz w:val="24"/>
              </w:rPr>
              <w:t>Consider the impact on the Adjustment and whether it should also be fixed, at least in the short term or until a limit of users or capacity fixed is reached?</w:t>
            </w:r>
          </w:p>
        </w:tc>
        <w:tc>
          <w:tcPr>
            <w:tcW w:w="4232" w:type="dxa"/>
          </w:tcPr>
          <w:p w14:paraId="466AA91A" w14:textId="77777777" w:rsidR="00E47F12" w:rsidRDefault="00E47F12" w:rsidP="00E47F12">
            <w:pPr>
              <w:pStyle w:val="BodyText"/>
              <w:jc w:val="both"/>
              <w:rPr>
                <w:b/>
                <w:szCs w:val="22"/>
              </w:rPr>
            </w:pPr>
          </w:p>
        </w:tc>
      </w:tr>
      <w:tr w:rsidR="00E47F12" w14:paraId="5FF2A1C2" w14:textId="77777777" w:rsidTr="0059058F">
        <w:tc>
          <w:tcPr>
            <w:tcW w:w="5124" w:type="dxa"/>
          </w:tcPr>
          <w:p w14:paraId="6F4FD62D" w14:textId="6AF71E4D" w:rsidR="00E47F12" w:rsidRDefault="00E47F12" w:rsidP="008C4776">
            <w:pPr>
              <w:pStyle w:val="BodyText"/>
              <w:numPr>
                <w:ilvl w:val="0"/>
                <w:numId w:val="22"/>
              </w:numPr>
              <w:rPr>
                <w:bCs/>
                <w:sz w:val="24"/>
              </w:rPr>
            </w:pPr>
            <w:r w:rsidRPr="008C4776">
              <w:rPr>
                <w:bCs/>
                <w:sz w:val="24"/>
              </w:rPr>
              <w:lastRenderedPageBreak/>
              <w:t>Consider whether local circuit charges could also be fixed</w:t>
            </w:r>
          </w:p>
        </w:tc>
        <w:tc>
          <w:tcPr>
            <w:tcW w:w="4232" w:type="dxa"/>
          </w:tcPr>
          <w:p w14:paraId="64D87AF9" w14:textId="77777777" w:rsidR="00E47F12" w:rsidRDefault="00E47F12" w:rsidP="00E47F12">
            <w:pPr>
              <w:pStyle w:val="BodyText"/>
              <w:jc w:val="both"/>
              <w:rPr>
                <w:b/>
                <w:szCs w:val="22"/>
              </w:rPr>
            </w:pPr>
          </w:p>
        </w:tc>
      </w:tr>
      <w:tr w:rsidR="00E47F12" w14:paraId="1AB5AE8C" w14:textId="77777777" w:rsidTr="0059058F">
        <w:tc>
          <w:tcPr>
            <w:tcW w:w="5124" w:type="dxa"/>
          </w:tcPr>
          <w:p w14:paraId="7A34809D" w14:textId="2552611E" w:rsidR="00E47F12" w:rsidRDefault="00E47F12" w:rsidP="008C4776">
            <w:pPr>
              <w:pStyle w:val="BodyText"/>
              <w:numPr>
                <w:ilvl w:val="0"/>
                <w:numId w:val="22"/>
              </w:numPr>
              <w:rPr>
                <w:bCs/>
                <w:sz w:val="24"/>
              </w:rPr>
            </w:pPr>
            <w:r w:rsidRPr="008C4776">
              <w:rPr>
                <w:bCs/>
                <w:sz w:val="24"/>
              </w:rPr>
              <w:t>Is it appropriate to be able to lock in negative charges?</w:t>
            </w:r>
          </w:p>
        </w:tc>
        <w:tc>
          <w:tcPr>
            <w:tcW w:w="4232" w:type="dxa"/>
          </w:tcPr>
          <w:p w14:paraId="4B3711E0" w14:textId="77777777" w:rsidR="00E47F12" w:rsidRDefault="00E47F12" w:rsidP="00E47F12">
            <w:pPr>
              <w:pStyle w:val="BodyText"/>
              <w:jc w:val="both"/>
              <w:rPr>
                <w:b/>
                <w:szCs w:val="22"/>
              </w:rPr>
            </w:pPr>
          </w:p>
        </w:tc>
      </w:tr>
      <w:tr w:rsidR="00E47F12" w14:paraId="1ACE891A" w14:textId="77777777" w:rsidTr="0059058F">
        <w:tc>
          <w:tcPr>
            <w:tcW w:w="5124" w:type="dxa"/>
          </w:tcPr>
          <w:p w14:paraId="46F5E11D" w14:textId="64647A29" w:rsidR="00E47F12" w:rsidRDefault="00E47F12" w:rsidP="008C4776">
            <w:pPr>
              <w:pStyle w:val="BodyText"/>
              <w:numPr>
                <w:ilvl w:val="0"/>
                <w:numId w:val="22"/>
              </w:numPr>
              <w:rPr>
                <w:bCs/>
                <w:sz w:val="24"/>
              </w:rPr>
            </w:pPr>
            <w:r w:rsidRPr="008C4776">
              <w:rPr>
                <w:bCs/>
                <w:sz w:val="24"/>
              </w:rPr>
              <w:t>What happens to the fix if an additional technology is co-located at a site?</w:t>
            </w:r>
          </w:p>
        </w:tc>
        <w:tc>
          <w:tcPr>
            <w:tcW w:w="4232" w:type="dxa"/>
          </w:tcPr>
          <w:p w14:paraId="61C9EE79" w14:textId="77777777" w:rsidR="00E47F12" w:rsidRDefault="00E47F12" w:rsidP="00E47F12">
            <w:pPr>
              <w:pStyle w:val="BodyText"/>
              <w:jc w:val="both"/>
              <w:rPr>
                <w:b/>
                <w:szCs w:val="22"/>
              </w:rPr>
            </w:pPr>
          </w:p>
        </w:tc>
      </w:tr>
      <w:tr w:rsidR="00E47F12" w14:paraId="0AB8C62F" w14:textId="77777777" w:rsidTr="0059058F">
        <w:tc>
          <w:tcPr>
            <w:tcW w:w="5124" w:type="dxa"/>
          </w:tcPr>
          <w:p w14:paraId="4F2C2FAB" w14:textId="77777777" w:rsidR="00E47F12" w:rsidRDefault="00E47F12" w:rsidP="00080A30">
            <w:pPr>
              <w:rPr>
                <w:bCs/>
                <w:sz w:val="24"/>
              </w:rPr>
            </w:pPr>
          </w:p>
        </w:tc>
        <w:tc>
          <w:tcPr>
            <w:tcW w:w="4232" w:type="dxa"/>
          </w:tcPr>
          <w:p w14:paraId="6D2DA250" w14:textId="77777777" w:rsidR="00E47F12" w:rsidRDefault="00E47F12" w:rsidP="005F0E56">
            <w:pPr>
              <w:pStyle w:val="BodyText"/>
              <w:jc w:val="both"/>
              <w:rPr>
                <w:b/>
                <w:szCs w:val="22"/>
              </w:rPr>
            </w:pPr>
          </w:p>
        </w:tc>
      </w:tr>
      <w:tr w:rsidR="00E47F12" w14:paraId="585237EC" w14:textId="77777777" w:rsidTr="0059058F">
        <w:tc>
          <w:tcPr>
            <w:tcW w:w="5124" w:type="dxa"/>
          </w:tcPr>
          <w:p w14:paraId="60CC2FE7" w14:textId="77777777" w:rsidR="00E47F12" w:rsidRDefault="00E47F12" w:rsidP="00080A30">
            <w:pPr>
              <w:rPr>
                <w:bCs/>
                <w:sz w:val="24"/>
              </w:rPr>
            </w:pPr>
          </w:p>
        </w:tc>
        <w:tc>
          <w:tcPr>
            <w:tcW w:w="4232" w:type="dxa"/>
          </w:tcPr>
          <w:p w14:paraId="14569301" w14:textId="77777777" w:rsidR="00E47F12" w:rsidRDefault="00E47F12" w:rsidP="005F0E56">
            <w:pPr>
              <w:pStyle w:val="BodyText"/>
              <w:jc w:val="both"/>
              <w:rPr>
                <w:b/>
                <w:szCs w:val="22"/>
              </w:rPr>
            </w:pPr>
          </w:p>
        </w:tc>
      </w:tr>
    </w:tbl>
    <w:p w14:paraId="010F0103" w14:textId="77777777" w:rsidR="001C4F9A" w:rsidRPr="00E35941" w:rsidRDefault="001C4F9A" w:rsidP="001C4F9A">
      <w:pPr>
        <w:pStyle w:val="BodyText"/>
        <w:rPr>
          <w:sz w:val="24"/>
        </w:rPr>
      </w:pPr>
    </w:p>
    <w:p w14:paraId="37A67D6C" w14:textId="77777777" w:rsidR="001C4F9A" w:rsidRPr="00DF3EDE" w:rsidRDefault="001C4F9A" w:rsidP="00311495">
      <w:pPr>
        <w:pStyle w:val="ListParagraph"/>
        <w:numPr>
          <w:ilvl w:val="0"/>
          <w:numId w:val="21"/>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9266DF5" w14:textId="77777777" w:rsidR="001C4F9A" w:rsidRPr="00E35941" w:rsidRDefault="001C4F9A" w:rsidP="001C4F9A">
      <w:pPr>
        <w:ind w:left="720" w:hanging="720"/>
        <w:jc w:val="both"/>
        <w:rPr>
          <w:color w:val="000000"/>
          <w:sz w:val="24"/>
        </w:rPr>
      </w:pPr>
    </w:p>
    <w:p w14:paraId="22550727" w14:textId="77777777" w:rsidR="001C4F9A" w:rsidRPr="00DF3EDE" w:rsidRDefault="001C4F9A" w:rsidP="00311495">
      <w:pPr>
        <w:pStyle w:val="ListParagraph"/>
        <w:numPr>
          <w:ilvl w:val="0"/>
          <w:numId w:val="21"/>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The extent of the support for the Modification Proposal or any WACM arising from the Workgroup’s discussions should be clearly described in the final Workgroup Report to the CUSC Modifications Panel.</w:t>
      </w:r>
    </w:p>
    <w:p w14:paraId="33003105" w14:textId="77777777" w:rsidR="001C4F9A" w:rsidRPr="00E35941" w:rsidRDefault="001C4F9A" w:rsidP="001C4F9A">
      <w:pPr>
        <w:pStyle w:val="BodyText"/>
        <w:jc w:val="both"/>
        <w:rPr>
          <w:b/>
          <w:color w:val="000000"/>
          <w:sz w:val="24"/>
        </w:rPr>
      </w:pPr>
      <w:r w:rsidRPr="00E35941">
        <w:rPr>
          <w:color w:val="000000"/>
          <w:sz w:val="24"/>
        </w:rPr>
        <w:t xml:space="preserve">    </w:t>
      </w:r>
    </w:p>
    <w:p w14:paraId="29655C18" w14:textId="77777777" w:rsidR="001C4F9A" w:rsidRPr="00E35941" w:rsidRDefault="001C4F9A" w:rsidP="00311495">
      <w:pPr>
        <w:numPr>
          <w:ilvl w:val="0"/>
          <w:numId w:val="21"/>
        </w:numPr>
        <w:spacing w:after="0" w:line="240" w:lineRule="auto"/>
        <w:jc w:val="both"/>
        <w:rPr>
          <w:sz w:val="24"/>
        </w:rPr>
      </w:pPr>
      <w:r w:rsidRPr="00E35941">
        <w:rPr>
          <w:sz w:val="24"/>
        </w:rPr>
        <w:t>Workgroup members should be mindful of efficiency and propose the fewest number of WACMs possible.</w:t>
      </w:r>
    </w:p>
    <w:p w14:paraId="308ABEF0" w14:textId="77777777" w:rsidR="001C4F9A" w:rsidRPr="00E35941" w:rsidRDefault="001C4F9A" w:rsidP="001C4F9A">
      <w:pPr>
        <w:jc w:val="both"/>
        <w:rPr>
          <w:sz w:val="24"/>
        </w:rPr>
      </w:pPr>
    </w:p>
    <w:p w14:paraId="55CBDC32" w14:textId="77777777" w:rsidR="001C4F9A" w:rsidRPr="00E35941" w:rsidRDefault="001C4F9A" w:rsidP="00311495">
      <w:pPr>
        <w:numPr>
          <w:ilvl w:val="0"/>
          <w:numId w:val="21"/>
        </w:numPr>
        <w:spacing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08CB504C" w14:textId="77777777" w:rsidR="001C4F9A" w:rsidRPr="00E35941" w:rsidRDefault="001C4F9A" w:rsidP="001C4F9A">
      <w:pPr>
        <w:pStyle w:val="BodyText"/>
        <w:rPr>
          <w:b/>
          <w:sz w:val="24"/>
        </w:rPr>
      </w:pPr>
    </w:p>
    <w:p w14:paraId="7AD416D3" w14:textId="77777777" w:rsidR="001C4F9A" w:rsidRPr="00E35941" w:rsidRDefault="001C4F9A" w:rsidP="00311495">
      <w:pPr>
        <w:numPr>
          <w:ilvl w:val="0"/>
          <w:numId w:val="21"/>
        </w:numPr>
        <w:spacing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357C84BB" w14:textId="77777777" w:rsidR="001C4F9A" w:rsidRPr="00E35941" w:rsidRDefault="001C4F9A" w:rsidP="001C4F9A">
      <w:pPr>
        <w:jc w:val="both"/>
        <w:rPr>
          <w:sz w:val="24"/>
        </w:rPr>
      </w:pPr>
    </w:p>
    <w:p w14:paraId="04FCB8F4" w14:textId="77777777" w:rsidR="001C4F9A" w:rsidRPr="00E35941" w:rsidRDefault="001C4F9A" w:rsidP="00311495">
      <w:pPr>
        <w:numPr>
          <w:ilvl w:val="0"/>
          <w:numId w:val="21"/>
        </w:numPr>
        <w:spacing w:after="0" w:line="240" w:lineRule="auto"/>
        <w:jc w:val="both"/>
        <w:rPr>
          <w:sz w:val="24"/>
        </w:rPr>
      </w:pPr>
      <w:r w:rsidRPr="00E35941">
        <w:rPr>
          <w:sz w:val="24"/>
        </w:rPr>
        <w:t>Following the Consultation period</w:t>
      </w:r>
      <w:r>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6E5012E6" w14:textId="77777777" w:rsidR="001C4F9A" w:rsidRPr="00E35941" w:rsidRDefault="001C4F9A" w:rsidP="001C4F9A">
      <w:pPr>
        <w:jc w:val="both"/>
        <w:rPr>
          <w:sz w:val="24"/>
        </w:rPr>
      </w:pPr>
    </w:p>
    <w:p w14:paraId="10F1EC7B" w14:textId="77777777" w:rsidR="001C4F9A" w:rsidRPr="00E35941" w:rsidRDefault="001C4F9A" w:rsidP="001C4F9A">
      <w:pPr>
        <w:ind w:left="720"/>
        <w:jc w:val="both"/>
        <w:rPr>
          <w:sz w:val="24"/>
        </w:rPr>
      </w:pPr>
      <w:r w:rsidRPr="00E35941">
        <w:rPr>
          <w:sz w:val="24"/>
        </w:rPr>
        <w:lastRenderedPageBreak/>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Pr>
          <w:sz w:val="24"/>
        </w:rPr>
        <w:t>person</w:t>
      </w:r>
      <w:r w:rsidRPr="00E35941">
        <w:rPr>
          <w:sz w:val="24"/>
        </w:rPr>
        <w:t xml:space="preserve"> has exercised </w:t>
      </w:r>
      <w:r>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Pr>
          <w:sz w:val="24"/>
        </w:rPr>
        <w:t>person</w:t>
      </w:r>
      <w:r w:rsidRPr="00E35941">
        <w:rPr>
          <w:sz w:val="24"/>
        </w:rPr>
        <w:t xml:space="preserve"> is employed by the same organisation who submitted the WG Consultation Alternative Request.</w:t>
      </w:r>
    </w:p>
    <w:p w14:paraId="2C09E5F4" w14:textId="77777777" w:rsidR="001C4F9A" w:rsidRPr="00E35941" w:rsidRDefault="001C4F9A" w:rsidP="001C4F9A">
      <w:pPr>
        <w:jc w:val="both"/>
        <w:rPr>
          <w:sz w:val="24"/>
        </w:rPr>
      </w:pPr>
    </w:p>
    <w:p w14:paraId="12C78F1F" w14:textId="46EF92EA" w:rsidR="001C4F9A" w:rsidRPr="00E35941" w:rsidRDefault="001C4F9A" w:rsidP="00311495">
      <w:pPr>
        <w:numPr>
          <w:ilvl w:val="0"/>
          <w:numId w:val="21"/>
        </w:numPr>
        <w:spacing w:after="0" w:line="240" w:lineRule="auto"/>
        <w:jc w:val="both"/>
        <w:rPr>
          <w:sz w:val="24"/>
        </w:rPr>
      </w:pPr>
      <w:r w:rsidRPr="00E35941">
        <w:rPr>
          <w:sz w:val="24"/>
        </w:rPr>
        <w:t xml:space="preserve">The Workgroup is to submit its final </w:t>
      </w:r>
      <w:r>
        <w:rPr>
          <w:sz w:val="24"/>
        </w:rPr>
        <w:t>Workgroup R</w:t>
      </w:r>
      <w:r w:rsidRPr="00E35941">
        <w:rPr>
          <w:sz w:val="24"/>
        </w:rPr>
        <w:t xml:space="preserve">eport to the Modifications Panel Secretary on </w:t>
      </w:r>
      <w:r w:rsidR="00AA4A79" w:rsidRPr="00E35941">
        <w:rPr>
          <w:b/>
          <w:sz w:val="24"/>
        </w:rPr>
        <w:t>XX Month XXXX</w:t>
      </w:r>
      <w:r w:rsidR="00AA4A79" w:rsidRPr="00E35941">
        <w:rPr>
          <w:sz w:val="24"/>
        </w:rPr>
        <w:t xml:space="preserve"> </w:t>
      </w:r>
      <w:r w:rsidRPr="00E35941">
        <w:rPr>
          <w:sz w:val="24"/>
        </w:rPr>
        <w:t>for circulation to Panel Members. The final</w:t>
      </w:r>
      <w:r>
        <w:rPr>
          <w:sz w:val="24"/>
        </w:rPr>
        <w:t xml:space="preserve"> Workgroup</w:t>
      </w:r>
      <w:r w:rsidRPr="00E35941">
        <w:rPr>
          <w:sz w:val="24"/>
        </w:rPr>
        <w:t xml:space="preserve"> </w:t>
      </w:r>
      <w:r>
        <w:rPr>
          <w:sz w:val="24"/>
        </w:rPr>
        <w:t>R</w:t>
      </w:r>
      <w:r w:rsidRPr="00E35941">
        <w:rPr>
          <w:sz w:val="24"/>
        </w:rPr>
        <w:t xml:space="preserve">eport conclusions will be presented to the CUSC Modifications Panel meeting on </w:t>
      </w:r>
      <w:r w:rsidR="00AA4A79" w:rsidRPr="00E35941">
        <w:rPr>
          <w:b/>
          <w:sz w:val="24"/>
        </w:rPr>
        <w:t>XX Month XXXX</w:t>
      </w:r>
      <w:r w:rsidRPr="00E35941">
        <w:rPr>
          <w:b/>
          <w:sz w:val="24"/>
        </w:rPr>
        <w:t>.</w:t>
      </w:r>
      <w:r w:rsidR="00AA4A79">
        <w:rPr>
          <w:b/>
          <w:sz w:val="24"/>
        </w:rPr>
        <w:t xml:space="preserve"> </w:t>
      </w:r>
    </w:p>
    <w:p w14:paraId="0CCA44B3" w14:textId="77777777" w:rsidR="001C4F9A" w:rsidRPr="00194B25" w:rsidRDefault="001C4F9A" w:rsidP="001C4F9A">
      <w:pPr>
        <w:spacing w:after="0" w:line="240" w:lineRule="auto"/>
        <w:jc w:val="both"/>
        <w:rPr>
          <w:sz w:val="24"/>
        </w:rPr>
      </w:pPr>
    </w:p>
    <w:p w14:paraId="46BA2F7D" w14:textId="77777777" w:rsidR="001C4F9A" w:rsidRPr="00B5047E" w:rsidRDefault="001C4F9A" w:rsidP="001C4F9A">
      <w:pPr>
        <w:pStyle w:val="Checklist"/>
      </w:pPr>
      <w:r w:rsidRPr="00194B25">
        <w:t>Membership</w:t>
      </w:r>
    </w:p>
    <w:p w14:paraId="6FBCAB8B" w14:textId="77777777" w:rsidR="001C4F9A" w:rsidRPr="00194B25" w:rsidRDefault="001C4F9A" w:rsidP="00311495">
      <w:pPr>
        <w:numPr>
          <w:ilvl w:val="0"/>
          <w:numId w:val="21"/>
        </w:numPr>
        <w:spacing w:after="0" w:line="240" w:lineRule="auto"/>
        <w:jc w:val="both"/>
        <w:rPr>
          <w:rFonts w:cs="Arial"/>
          <w:sz w:val="24"/>
        </w:rPr>
      </w:pPr>
      <w:r w:rsidRPr="00194B25">
        <w:rPr>
          <w:sz w:val="24"/>
        </w:rPr>
        <w:t xml:space="preserve">It is recommended that the Workgroup has the following members: </w:t>
      </w:r>
    </w:p>
    <w:p w14:paraId="340DEB3C" w14:textId="77777777" w:rsidR="001C4F9A" w:rsidRPr="00194B25" w:rsidRDefault="001C4F9A" w:rsidP="001C4F9A">
      <w:pPr>
        <w:ind w:left="720"/>
        <w:jc w:val="both"/>
        <w:rPr>
          <w:rFonts w:cs="Arial"/>
          <w:sz w:val="24"/>
        </w:rPr>
      </w:pPr>
    </w:p>
    <w:tbl>
      <w:tblPr>
        <w:tblW w:w="9214" w:type="dxa"/>
        <w:tblInd w:w="-5"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1E0" w:firstRow="1" w:lastRow="1" w:firstColumn="1" w:lastColumn="1" w:noHBand="0" w:noVBand="0"/>
      </w:tblPr>
      <w:tblGrid>
        <w:gridCol w:w="2977"/>
        <w:gridCol w:w="3119"/>
        <w:gridCol w:w="3118"/>
      </w:tblGrid>
      <w:tr w:rsidR="001C4F9A" w:rsidRPr="00194B25" w14:paraId="6E3ED88B" w14:textId="77777777" w:rsidTr="005F0E56">
        <w:tc>
          <w:tcPr>
            <w:tcW w:w="2977" w:type="dxa"/>
            <w:shd w:val="clear" w:color="auto" w:fill="FF00FF" w:themeFill="accent1"/>
            <w:hideMark/>
          </w:tcPr>
          <w:p w14:paraId="15061A77" w14:textId="77777777" w:rsidR="001C4F9A" w:rsidRPr="00194B25" w:rsidRDefault="001C4F9A" w:rsidP="005F0E56">
            <w:pPr>
              <w:jc w:val="both"/>
              <w:rPr>
                <w:rFonts w:cs="Arial"/>
                <w:b/>
                <w:color w:val="FFFFFF"/>
                <w:sz w:val="24"/>
              </w:rPr>
            </w:pPr>
            <w:r w:rsidRPr="00194B25">
              <w:rPr>
                <w:rFonts w:cs="Arial"/>
                <w:b/>
                <w:color w:val="FFFFFF"/>
                <w:sz w:val="24"/>
              </w:rPr>
              <w:t>Role</w:t>
            </w:r>
          </w:p>
        </w:tc>
        <w:tc>
          <w:tcPr>
            <w:tcW w:w="3119" w:type="dxa"/>
            <w:shd w:val="clear" w:color="auto" w:fill="FF00FF" w:themeFill="accent1"/>
            <w:hideMark/>
          </w:tcPr>
          <w:p w14:paraId="26320D84" w14:textId="77777777" w:rsidR="001C4F9A" w:rsidRPr="00194B25" w:rsidRDefault="001C4F9A" w:rsidP="005F0E56">
            <w:pPr>
              <w:jc w:val="both"/>
              <w:rPr>
                <w:rFonts w:cs="Arial"/>
                <w:b/>
                <w:color w:val="FFFFFF"/>
                <w:sz w:val="24"/>
              </w:rPr>
            </w:pPr>
            <w:r w:rsidRPr="00194B25">
              <w:rPr>
                <w:rFonts w:cs="Arial"/>
                <w:b/>
                <w:color w:val="FFFFFF"/>
                <w:sz w:val="24"/>
              </w:rPr>
              <w:t>Name</w:t>
            </w:r>
          </w:p>
        </w:tc>
        <w:tc>
          <w:tcPr>
            <w:tcW w:w="3118" w:type="dxa"/>
            <w:shd w:val="clear" w:color="auto" w:fill="FF00FF" w:themeFill="accent1"/>
            <w:hideMark/>
          </w:tcPr>
          <w:p w14:paraId="693D42F6" w14:textId="77777777" w:rsidR="001C4F9A" w:rsidRPr="00194B25" w:rsidRDefault="001C4F9A" w:rsidP="005F0E56">
            <w:pPr>
              <w:jc w:val="both"/>
              <w:rPr>
                <w:rFonts w:cs="Arial"/>
                <w:b/>
                <w:color w:val="FFFFFF"/>
                <w:sz w:val="24"/>
              </w:rPr>
            </w:pPr>
            <w:r w:rsidRPr="00194B25">
              <w:rPr>
                <w:rFonts w:cs="Arial"/>
                <w:b/>
                <w:color w:val="FFFFFF"/>
                <w:sz w:val="24"/>
              </w:rPr>
              <w:t>Representing</w:t>
            </w:r>
          </w:p>
        </w:tc>
      </w:tr>
      <w:tr w:rsidR="001C4F9A" w:rsidRPr="00194B25" w14:paraId="1A124474" w14:textId="77777777" w:rsidTr="005F0E56">
        <w:tc>
          <w:tcPr>
            <w:tcW w:w="2977" w:type="dxa"/>
            <w:hideMark/>
          </w:tcPr>
          <w:p w14:paraId="7C062C07" w14:textId="77777777" w:rsidR="001C4F9A" w:rsidRPr="00194B25" w:rsidRDefault="001C4F9A" w:rsidP="005F0E56">
            <w:pPr>
              <w:rPr>
                <w:rFonts w:cs="Arial"/>
                <w:sz w:val="24"/>
              </w:rPr>
            </w:pPr>
            <w:r w:rsidRPr="00194B25">
              <w:rPr>
                <w:rFonts w:cs="Arial"/>
                <w:sz w:val="24"/>
              </w:rPr>
              <w:t>Chair</w:t>
            </w:r>
          </w:p>
        </w:tc>
        <w:tc>
          <w:tcPr>
            <w:tcW w:w="3119" w:type="dxa"/>
          </w:tcPr>
          <w:p w14:paraId="13D3F92A" w14:textId="77777777" w:rsidR="001C4F9A" w:rsidRPr="00194B25" w:rsidRDefault="001C4F9A" w:rsidP="005F0E56">
            <w:pPr>
              <w:rPr>
                <w:rFonts w:cs="Arial"/>
                <w:sz w:val="24"/>
              </w:rPr>
            </w:pPr>
          </w:p>
        </w:tc>
        <w:tc>
          <w:tcPr>
            <w:tcW w:w="3118" w:type="dxa"/>
          </w:tcPr>
          <w:p w14:paraId="460A7409" w14:textId="77777777" w:rsidR="001C4F9A" w:rsidRPr="00194B25" w:rsidRDefault="001C4F9A" w:rsidP="005F0E56">
            <w:pPr>
              <w:rPr>
                <w:rFonts w:cs="Arial"/>
                <w:sz w:val="24"/>
              </w:rPr>
            </w:pPr>
          </w:p>
        </w:tc>
      </w:tr>
      <w:tr w:rsidR="001C4F9A" w:rsidRPr="00194B25" w14:paraId="696835AD" w14:textId="77777777" w:rsidTr="005F0E56">
        <w:tc>
          <w:tcPr>
            <w:tcW w:w="2977" w:type="dxa"/>
            <w:hideMark/>
          </w:tcPr>
          <w:p w14:paraId="49D8DF0C" w14:textId="77777777" w:rsidR="001C4F9A" w:rsidRPr="00194B25" w:rsidRDefault="001C4F9A" w:rsidP="005F0E56">
            <w:pPr>
              <w:rPr>
                <w:rFonts w:cs="Arial"/>
                <w:sz w:val="24"/>
              </w:rPr>
            </w:pPr>
            <w:r w:rsidRPr="00194B25">
              <w:rPr>
                <w:rFonts w:cs="Arial"/>
                <w:sz w:val="24"/>
              </w:rPr>
              <w:t>Technical Secretary</w:t>
            </w:r>
          </w:p>
        </w:tc>
        <w:tc>
          <w:tcPr>
            <w:tcW w:w="3119" w:type="dxa"/>
          </w:tcPr>
          <w:p w14:paraId="1FF19F16" w14:textId="77777777" w:rsidR="001C4F9A" w:rsidRPr="00194B25" w:rsidRDefault="001C4F9A" w:rsidP="005F0E56">
            <w:pPr>
              <w:rPr>
                <w:rFonts w:cs="Arial"/>
                <w:sz w:val="24"/>
              </w:rPr>
            </w:pPr>
          </w:p>
        </w:tc>
        <w:tc>
          <w:tcPr>
            <w:tcW w:w="3118" w:type="dxa"/>
          </w:tcPr>
          <w:p w14:paraId="1370CCA9" w14:textId="77777777" w:rsidR="001C4F9A" w:rsidRPr="00194B25" w:rsidRDefault="001C4F9A" w:rsidP="005F0E56">
            <w:pPr>
              <w:rPr>
                <w:rFonts w:cs="Arial"/>
                <w:sz w:val="24"/>
              </w:rPr>
            </w:pPr>
          </w:p>
        </w:tc>
      </w:tr>
      <w:tr w:rsidR="001C4F9A" w:rsidRPr="00194B25" w14:paraId="4773A973" w14:textId="77777777" w:rsidTr="005F0E56">
        <w:tc>
          <w:tcPr>
            <w:tcW w:w="2977" w:type="dxa"/>
            <w:hideMark/>
          </w:tcPr>
          <w:p w14:paraId="5DE01639" w14:textId="77777777" w:rsidR="001C4F9A" w:rsidRPr="00194B25" w:rsidRDefault="001C4F9A" w:rsidP="005F0E56">
            <w:pPr>
              <w:rPr>
                <w:rFonts w:cs="Arial"/>
                <w:sz w:val="24"/>
              </w:rPr>
            </w:pPr>
            <w:r w:rsidRPr="00194B25">
              <w:rPr>
                <w:rFonts w:cs="Arial"/>
                <w:sz w:val="24"/>
              </w:rPr>
              <w:t>Proposer</w:t>
            </w:r>
          </w:p>
        </w:tc>
        <w:tc>
          <w:tcPr>
            <w:tcW w:w="3119" w:type="dxa"/>
          </w:tcPr>
          <w:p w14:paraId="78C16384" w14:textId="62C9BC5E" w:rsidR="001C4F9A" w:rsidRPr="00194B25" w:rsidRDefault="00EF7344" w:rsidP="005F0E56">
            <w:pPr>
              <w:rPr>
                <w:rFonts w:cs="Arial"/>
                <w:sz w:val="24"/>
              </w:rPr>
            </w:pPr>
            <w:r>
              <w:rPr>
                <w:rFonts w:cs="Arial"/>
                <w:sz w:val="24"/>
              </w:rPr>
              <w:t xml:space="preserve">Tom Steward </w:t>
            </w:r>
          </w:p>
        </w:tc>
        <w:tc>
          <w:tcPr>
            <w:tcW w:w="3118" w:type="dxa"/>
          </w:tcPr>
          <w:p w14:paraId="2E13C4DA" w14:textId="64DE749F" w:rsidR="001C4F9A" w:rsidRPr="00194B25" w:rsidRDefault="00EF7344" w:rsidP="005F0E56">
            <w:pPr>
              <w:rPr>
                <w:rFonts w:cs="Arial"/>
                <w:sz w:val="24"/>
              </w:rPr>
            </w:pPr>
            <w:r>
              <w:rPr>
                <w:rFonts w:cs="Arial"/>
                <w:sz w:val="24"/>
              </w:rPr>
              <w:t>RWE Offshore</w:t>
            </w:r>
          </w:p>
        </w:tc>
      </w:tr>
      <w:tr w:rsidR="001C4F9A" w:rsidRPr="00194B25" w14:paraId="2032014C" w14:textId="77777777" w:rsidTr="005F0E56">
        <w:tc>
          <w:tcPr>
            <w:tcW w:w="2977" w:type="dxa"/>
            <w:hideMark/>
          </w:tcPr>
          <w:p w14:paraId="3B387AD7" w14:textId="77777777" w:rsidR="001C4F9A" w:rsidRPr="00194B25" w:rsidRDefault="001C4F9A" w:rsidP="005F0E56">
            <w:pPr>
              <w:rPr>
                <w:rFonts w:cs="Arial"/>
                <w:sz w:val="24"/>
              </w:rPr>
            </w:pPr>
            <w:r w:rsidRPr="00194B25">
              <w:rPr>
                <w:rFonts w:cs="Arial"/>
                <w:sz w:val="24"/>
              </w:rPr>
              <w:t>Workgroup Member</w:t>
            </w:r>
          </w:p>
        </w:tc>
        <w:tc>
          <w:tcPr>
            <w:tcW w:w="3119" w:type="dxa"/>
          </w:tcPr>
          <w:p w14:paraId="00CD70B0" w14:textId="77777777" w:rsidR="001C4F9A" w:rsidRPr="00194B25" w:rsidRDefault="001C4F9A" w:rsidP="005F0E56">
            <w:pPr>
              <w:rPr>
                <w:rFonts w:cs="Arial"/>
                <w:sz w:val="24"/>
              </w:rPr>
            </w:pPr>
          </w:p>
        </w:tc>
        <w:tc>
          <w:tcPr>
            <w:tcW w:w="3118" w:type="dxa"/>
          </w:tcPr>
          <w:p w14:paraId="6468B699" w14:textId="77777777" w:rsidR="001C4F9A" w:rsidRPr="00194B25" w:rsidRDefault="001C4F9A" w:rsidP="005F0E56">
            <w:pPr>
              <w:rPr>
                <w:rFonts w:cs="Arial"/>
                <w:sz w:val="24"/>
              </w:rPr>
            </w:pPr>
          </w:p>
        </w:tc>
      </w:tr>
      <w:tr w:rsidR="001C4F9A" w:rsidRPr="00194B25" w14:paraId="1A33F43D" w14:textId="77777777" w:rsidTr="005F0E56">
        <w:tc>
          <w:tcPr>
            <w:tcW w:w="2977" w:type="dxa"/>
            <w:hideMark/>
          </w:tcPr>
          <w:p w14:paraId="39688D43" w14:textId="77777777" w:rsidR="001C4F9A" w:rsidRPr="00194B25" w:rsidRDefault="001C4F9A" w:rsidP="005F0E56">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7B001635" w14:textId="77777777" w:rsidR="001C4F9A" w:rsidRPr="00194B25" w:rsidRDefault="001C4F9A" w:rsidP="005F0E56">
            <w:pPr>
              <w:rPr>
                <w:rFonts w:cs="Arial"/>
                <w:sz w:val="24"/>
              </w:rPr>
            </w:pPr>
          </w:p>
        </w:tc>
        <w:tc>
          <w:tcPr>
            <w:tcW w:w="3118" w:type="dxa"/>
          </w:tcPr>
          <w:p w14:paraId="4D60EB69" w14:textId="77777777" w:rsidR="001C4F9A" w:rsidRPr="00194B25" w:rsidRDefault="001C4F9A" w:rsidP="005F0E56">
            <w:pPr>
              <w:rPr>
                <w:rFonts w:cs="Arial"/>
                <w:sz w:val="24"/>
              </w:rPr>
            </w:pPr>
          </w:p>
        </w:tc>
      </w:tr>
      <w:tr w:rsidR="001C4F9A" w:rsidRPr="00194B25" w14:paraId="67884ABD" w14:textId="77777777" w:rsidTr="005F0E56">
        <w:trPr>
          <w:trHeight w:val="131"/>
        </w:trPr>
        <w:tc>
          <w:tcPr>
            <w:tcW w:w="2977" w:type="dxa"/>
            <w:hideMark/>
          </w:tcPr>
          <w:p w14:paraId="562D7A83" w14:textId="77777777" w:rsidR="001C4F9A" w:rsidRPr="00194B25" w:rsidRDefault="001C4F9A" w:rsidP="005F0E56">
            <w:pPr>
              <w:rPr>
                <w:rFonts w:cs="Arial"/>
                <w:sz w:val="24"/>
              </w:rPr>
            </w:pPr>
            <w:r w:rsidRPr="00194B25">
              <w:rPr>
                <w:rFonts w:cs="Arial"/>
                <w:sz w:val="24"/>
              </w:rPr>
              <w:t>Workgroup Member</w:t>
            </w:r>
          </w:p>
        </w:tc>
        <w:tc>
          <w:tcPr>
            <w:tcW w:w="3119" w:type="dxa"/>
          </w:tcPr>
          <w:p w14:paraId="29C1CFD4" w14:textId="77777777" w:rsidR="001C4F9A" w:rsidRPr="00194B25" w:rsidRDefault="001C4F9A" w:rsidP="005F0E56">
            <w:pPr>
              <w:rPr>
                <w:rFonts w:cs="Arial"/>
                <w:sz w:val="24"/>
              </w:rPr>
            </w:pPr>
          </w:p>
        </w:tc>
        <w:tc>
          <w:tcPr>
            <w:tcW w:w="3118" w:type="dxa"/>
          </w:tcPr>
          <w:p w14:paraId="0B4EC27F" w14:textId="77777777" w:rsidR="001C4F9A" w:rsidRPr="00194B25" w:rsidRDefault="001C4F9A" w:rsidP="005F0E56">
            <w:pPr>
              <w:rPr>
                <w:rFonts w:cs="Arial"/>
                <w:sz w:val="24"/>
              </w:rPr>
            </w:pPr>
          </w:p>
        </w:tc>
      </w:tr>
      <w:tr w:rsidR="001C4F9A" w:rsidRPr="00194B25" w14:paraId="7B6A5CCC" w14:textId="77777777" w:rsidTr="005F0E56">
        <w:tc>
          <w:tcPr>
            <w:tcW w:w="2977" w:type="dxa"/>
            <w:hideMark/>
          </w:tcPr>
          <w:p w14:paraId="72A8353C" w14:textId="77777777" w:rsidR="001C4F9A" w:rsidRPr="00194B25" w:rsidRDefault="001C4F9A" w:rsidP="005F0E56">
            <w:pPr>
              <w:rPr>
                <w:rFonts w:cs="Arial"/>
                <w:sz w:val="24"/>
              </w:rPr>
            </w:pPr>
            <w:r w:rsidRPr="00194B25">
              <w:rPr>
                <w:rFonts w:cs="Arial"/>
                <w:sz w:val="24"/>
              </w:rPr>
              <w:t>Workgroup Member</w:t>
            </w:r>
          </w:p>
        </w:tc>
        <w:tc>
          <w:tcPr>
            <w:tcW w:w="3119" w:type="dxa"/>
          </w:tcPr>
          <w:p w14:paraId="3A0F3350" w14:textId="77777777" w:rsidR="001C4F9A" w:rsidRPr="00194B25" w:rsidRDefault="001C4F9A" w:rsidP="005F0E56">
            <w:pPr>
              <w:rPr>
                <w:rFonts w:cs="Arial"/>
                <w:sz w:val="24"/>
              </w:rPr>
            </w:pPr>
          </w:p>
        </w:tc>
        <w:tc>
          <w:tcPr>
            <w:tcW w:w="3118" w:type="dxa"/>
          </w:tcPr>
          <w:p w14:paraId="743048EB" w14:textId="77777777" w:rsidR="001C4F9A" w:rsidRPr="00194B25" w:rsidRDefault="001C4F9A" w:rsidP="005F0E56">
            <w:pPr>
              <w:rPr>
                <w:rFonts w:cs="Arial"/>
                <w:sz w:val="24"/>
              </w:rPr>
            </w:pPr>
          </w:p>
        </w:tc>
      </w:tr>
      <w:tr w:rsidR="001C4F9A" w:rsidRPr="00194B25" w14:paraId="3220645B" w14:textId="77777777" w:rsidTr="005F0E56">
        <w:tc>
          <w:tcPr>
            <w:tcW w:w="2977" w:type="dxa"/>
            <w:hideMark/>
          </w:tcPr>
          <w:p w14:paraId="3A770103" w14:textId="77777777" w:rsidR="001C4F9A" w:rsidRPr="00194B25" w:rsidRDefault="001C4F9A" w:rsidP="005F0E56">
            <w:pPr>
              <w:rPr>
                <w:rFonts w:cs="Arial"/>
                <w:sz w:val="24"/>
              </w:rPr>
            </w:pPr>
            <w:r w:rsidRPr="00194B25">
              <w:rPr>
                <w:rFonts w:cs="Arial"/>
                <w:sz w:val="24"/>
              </w:rPr>
              <w:t>Workgroup Member (Alternate)</w:t>
            </w:r>
          </w:p>
        </w:tc>
        <w:tc>
          <w:tcPr>
            <w:tcW w:w="3119" w:type="dxa"/>
          </w:tcPr>
          <w:p w14:paraId="026E9028" w14:textId="77777777" w:rsidR="001C4F9A" w:rsidRPr="00194B25" w:rsidRDefault="001C4F9A" w:rsidP="005F0E56">
            <w:pPr>
              <w:rPr>
                <w:rFonts w:cs="Arial"/>
                <w:sz w:val="24"/>
              </w:rPr>
            </w:pPr>
          </w:p>
        </w:tc>
        <w:tc>
          <w:tcPr>
            <w:tcW w:w="3118" w:type="dxa"/>
          </w:tcPr>
          <w:p w14:paraId="669D0D9E" w14:textId="77777777" w:rsidR="001C4F9A" w:rsidRPr="00194B25" w:rsidRDefault="001C4F9A" w:rsidP="005F0E56">
            <w:pPr>
              <w:rPr>
                <w:rFonts w:cs="Arial"/>
                <w:sz w:val="24"/>
              </w:rPr>
            </w:pPr>
          </w:p>
        </w:tc>
      </w:tr>
      <w:tr w:rsidR="001C4F9A" w:rsidRPr="00194B25" w14:paraId="53FAF99A" w14:textId="77777777" w:rsidTr="005F0E56">
        <w:tc>
          <w:tcPr>
            <w:tcW w:w="2977" w:type="dxa"/>
            <w:hideMark/>
          </w:tcPr>
          <w:p w14:paraId="1FB6CE81" w14:textId="77777777" w:rsidR="001C4F9A" w:rsidRPr="00194B25" w:rsidRDefault="001C4F9A" w:rsidP="005F0E56">
            <w:pPr>
              <w:rPr>
                <w:rFonts w:cs="Arial"/>
                <w:sz w:val="24"/>
              </w:rPr>
            </w:pPr>
            <w:r w:rsidRPr="00194B25">
              <w:rPr>
                <w:rFonts w:cs="Arial"/>
                <w:sz w:val="24"/>
              </w:rPr>
              <w:t xml:space="preserve">Authority Representative </w:t>
            </w:r>
          </w:p>
        </w:tc>
        <w:tc>
          <w:tcPr>
            <w:tcW w:w="3119" w:type="dxa"/>
          </w:tcPr>
          <w:p w14:paraId="431CDD5D" w14:textId="77777777" w:rsidR="001C4F9A" w:rsidRPr="00194B25" w:rsidRDefault="001C4F9A" w:rsidP="005F0E56">
            <w:pPr>
              <w:rPr>
                <w:rFonts w:cs="Arial"/>
                <w:sz w:val="24"/>
              </w:rPr>
            </w:pPr>
          </w:p>
        </w:tc>
        <w:tc>
          <w:tcPr>
            <w:tcW w:w="3118" w:type="dxa"/>
          </w:tcPr>
          <w:p w14:paraId="456522F5" w14:textId="77777777" w:rsidR="001C4F9A" w:rsidRPr="00194B25" w:rsidRDefault="001C4F9A" w:rsidP="005F0E56">
            <w:pPr>
              <w:rPr>
                <w:rFonts w:cs="Arial"/>
                <w:sz w:val="24"/>
              </w:rPr>
            </w:pPr>
          </w:p>
        </w:tc>
      </w:tr>
    </w:tbl>
    <w:p w14:paraId="5E4678A9" w14:textId="77777777" w:rsidR="001C4F9A" w:rsidRPr="00194B25" w:rsidRDefault="001C4F9A" w:rsidP="001C4F9A">
      <w:pPr>
        <w:jc w:val="both"/>
        <w:rPr>
          <w:rFonts w:cs="Arial"/>
          <w:sz w:val="24"/>
        </w:rPr>
      </w:pPr>
    </w:p>
    <w:p w14:paraId="508FE4ED" w14:textId="77777777" w:rsidR="001C4F9A" w:rsidRPr="00C72699" w:rsidRDefault="001C4F9A" w:rsidP="001C4F9A">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3B4E49C4" w14:textId="77777777" w:rsidR="001C4F9A" w:rsidRPr="00C72699" w:rsidRDefault="001C4F9A" w:rsidP="001C4F9A">
      <w:pPr>
        <w:autoSpaceDE w:val="0"/>
        <w:autoSpaceDN w:val="0"/>
        <w:adjustRightInd w:val="0"/>
        <w:snapToGrid w:val="0"/>
        <w:rPr>
          <w:sz w:val="24"/>
        </w:rPr>
      </w:pPr>
    </w:p>
    <w:p w14:paraId="4570ACBC" w14:textId="77777777" w:rsidR="001C4F9A" w:rsidRPr="00C72699" w:rsidRDefault="001C4F9A" w:rsidP="00311495">
      <w:pPr>
        <w:pStyle w:val="ListParagraph"/>
        <w:numPr>
          <w:ilvl w:val="0"/>
          <w:numId w:val="21"/>
        </w:numPr>
        <w:jc w:val="both"/>
        <w:rPr>
          <w:sz w:val="24"/>
        </w:rPr>
      </w:pPr>
      <w:r w:rsidRPr="00C72699">
        <w:rPr>
          <w:sz w:val="24"/>
        </w:rPr>
        <w:lastRenderedPageBreak/>
        <w:t xml:space="preserve">The </w:t>
      </w:r>
      <w:r>
        <w:rPr>
          <w:sz w:val="24"/>
        </w:rPr>
        <w:t>C</w:t>
      </w:r>
      <w:r w:rsidRPr="00C72699">
        <w:rPr>
          <w:sz w:val="24"/>
        </w:rPr>
        <w:t>hair</w:t>
      </w:r>
      <w:r>
        <w:rPr>
          <w:sz w:val="24"/>
        </w:rPr>
        <w:t>person</w:t>
      </w:r>
      <w:r w:rsidRPr="00C72699">
        <w:rPr>
          <w:sz w:val="24"/>
        </w:rPr>
        <w:t xml:space="preserve"> of the Workgroup and the Modifications Panel Chair</w:t>
      </w:r>
      <w:r>
        <w:rPr>
          <w:sz w:val="24"/>
        </w:rPr>
        <w:t>person</w:t>
      </w:r>
      <w:r w:rsidRPr="00C72699">
        <w:rPr>
          <w:sz w:val="24"/>
        </w:rPr>
        <w:t xml:space="preserve"> must agree a number that will be quorum for each Workgroup meeting.  The agreed figure for </w:t>
      </w:r>
      <w:r>
        <w:rPr>
          <w:sz w:val="24"/>
        </w:rPr>
        <w:t>this modification</w:t>
      </w:r>
      <w:r w:rsidRPr="00C72699">
        <w:rPr>
          <w:sz w:val="24"/>
        </w:rPr>
        <w:t xml:space="preserve"> is that at least 5 Workgroup members must participate in a meeting for quorum to be met.</w:t>
      </w:r>
    </w:p>
    <w:p w14:paraId="0E9F7B8C" w14:textId="77777777" w:rsidR="001C4F9A" w:rsidRPr="00C72699" w:rsidRDefault="001C4F9A" w:rsidP="001C4F9A">
      <w:pPr>
        <w:autoSpaceDE w:val="0"/>
        <w:autoSpaceDN w:val="0"/>
        <w:adjustRightInd w:val="0"/>
        <w:snapToGrid w:val="0"/>
        <w:ind w:left="720" w:hanging="720"/>
        <w:rPr>
          <w:sz w:val="24"/>
        </w:rPr>
      </w:pPr>
    </w:p>
    <w:p w14:paraId="175355C5" w14:textId="77777777" w:rsidR="001C4F9A" w:rsidRPr="00326E49" w:rsidRDefault="001C4F9A" w:rsidP="00311495">
      <w:pPr>
        <w:pStyle w:val="ListParagraph"/>
        <w:numPr>
          <w:ilvl w:val="0"/>
          <w:numId w:val="21"/>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Pr>
          <w:sz w:val="24"/>
        </w:rPr>
        <w:t>person</w:t>
      </w:r>
      <w:r w:rsidRPr="00C72699">
        <w:rPr>
          <w:sz w:val="24"/>
        </w:rPr>
        <w:t xml:space="preserve"> shall not have a vote, casting or otherwise.  There may be up to three rounds of voting, as follows:</w:t>
      </w:r>
    </w:p>
    <w:p w14:paraId="730E2AF9" w14:textId="77777777" w:rsidR="001C4F9A" w:rsidRPr="00C72699" w:rsidRDefault="001C4F9A" w:rsidP="001C4F9A">
      <w:pPr>
        <w:tabs>
          <w:tab w:val="left" w:pos="1276"/>
        </w:tabs>
        <w:spacing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1938C72" w14:textId="77777777" w:rsidR="001C4F9A" w:rsidRPr="00C72699" w:rsidRDefault="001C4F9A" w:rsidP="001C4F9A">
      <w:pPr>
        <w:spacing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147F99CE" w14:textId="77777777" w:rsidR="001C4F9A" w:rsidRPr="00C72699" w:rsidRDefault="001C4F9A" w:rsidP="001C4F9A">
      <w:pPr>
        <w:spacing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7E3C23A3" w14:textId="77777777" w:rsidR="001C4F9A" w:rsidRPr="00326E49" w:rsidRDefault="001C4F9A" w:rsidP="001C4F9A">
      <w:pPr>
        <w:ind w:left="720"/>
        <w:jc w:val="both"/>
        <w:rPr>
          <w:sz w:val="24"/>
        </w:rPr>
      </w:pPr>
      <w:r w:rsidRPr="00326E49">
        <w:rPr>
          <w:sz w:val="24"/>
        </w:rPr>
        <w:t>The results from the vote and the reasons for such voting shall be recorded in the Workgroup report in as much detail as practicable.</w:t>
      </w:r>
    </w:p>
    <w:p w14:paraId="64302B92" w14:textId="77777777" w:rsidR="001C4F9A" w:rsidRPr="00C72699" w:rsidRDefault="001C4F9A" w:rsidP="001C4F9A">
      <w:pPr>
        <w:jc w:val="both"/>
        <w:rPr>
          <w:sz w:val="24"/>
        </w:rPr>
      </w:pPr>
    </w:p>
    <w:p w14:paraId="2704724E" w14:textId="77777777" w:rsidR="001C4F9A" w:rsidRPr="00C72699" w:rsidRDefault="001C4F9A" w:rsidP="00311495">
      <w:pPr>
        <w:numPr>
          <w:ilvl w:val="0"/>
          <w:numId w:val="21"/>
        </w:numPr>
        <w:spacing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70A1F43F" w14:textId="77777777" w:rsidR="001C4F9A" w:rsidRPr="00C72699" w:rsidRDefault="001C4F9A" w:rsidP="001C4F9A">
      <w:pPr>
        <w:jc w:val="both"/>
        <w:rPr>
          <w:sz w:val="24"/>
        </w:rPr>
      </w:pPr>
    </w:p>
    <w:p w14:paraId="102413E5" w14:textId="77777777" w:rsidR="001C4F9A" w:rsidRPr="00C72699" w:rsidRDefault="001C4F9A" w:rsidP="00311495">
      <w:pPr>
        <w:numPr>
          <w:ilvl w:val="0"/>
          <w:numId w:val="21"/>
        </w:numPr>
        <w:spacing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531BE72C" w14:textId="77777777" w:rsidR="001C4F9A" w:rsidRPr="00C72699" w:rsidRDefault="001C4F9A" w:rsidP="001C4F9A">
      <w:pPr>
        <w:jc w:val="both"/>
        <w:rPr>
          <w:sz w:val="24"/>
        </w:rPr>
      </w:pPr>
    </w:p>
    <w:p w14:paraId="7080588D" w14:textId="77777777" w:rsidR="001C4F9A" w:rsidRPr="00C72699" w:rsidRDefault="001C4F9A" w:rsidP="00311495">
      <w:pPr>
        <w:numPr>
          <w:ilvl w:val="0"/>
          <w:numId w:val="21"/>
        </w:numPr>
        <w:spacing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6D203B3" w14:textId="77777777" w:rsidR="001C4F9A" w:rsidRPr="00C72699" w:rsidRDefault="001C4F9A" w:rsidP="001C4F9A">
      <w:pPr>
        <w:jc w:val="both"/>
        <w:rPr>
          <w:sz w:val="24"/>
        </w:rPr>
      </w:pPr>
    </w:p>
    <w:p w14:paraId="41E4A1D9" w14:textId="77777777" w:rsidR="001C4F9A" w:rsidRPr="00C72699" w:rsidRDefault="001C4F9A" w:rsidP="00311495">
      <w:pPr>
        <w:numPr>
          <w:ilvl w:val="0"/>
          <w:numId w:val="21"/>
        </w:numPr>
        <w:spacing w:after="0" w:line="240" w:lineRule="auto"/>
        <w:jc w:val="both"/>
        <w:rPr>
          <w:sz w:val="24"/>
        </w:rPr>
      </w:pPr>
      <w:r w:rsidRPr="00C72699">
        <w:rPr>
          <w:sz w:val="24"/>
        </w:rPr>
        <w:t>The Workgroup membership can be amended from time to time by the CUSC Modifications Panel.</w:t>
      </w:r>
    </w:p>
    <w:p w14:paraId="7B21E808" w14:textId="77777777" w:rsidR="001C4F9A" w:rsidRPr="00194B25" w:rsidRDefault="001C4F9A" w:rsidP="001C4F9A">
      <w:pPr>
        <w:jc w:val="both"/>
        <w:rPr>
          <w:rFonts w:cs="Arial"/>
          <w:sz w:val="24"/>
        </w:rPr>
      </w:pPr>
    </w:p>
    <w:p w14:paraId="5ECF71D1" w14:textId="77777777" w:rsidR="001C4F9A" w:rsidRPr="00194B25" w:rsidRDefault="001C4F9A" w:rsidP="001C4F9A">
      <w:pPr>
        <w:pStyle w:val="TOCMOD"/>
        <w:framePr w:hSpace="0" w:vSpace="0" w:wrap="auto" w:vAnchor="margin" w:yAlign="inline"/>
        <w:rPr>
          <w:rFonts w:cs="Arial"/>
          <w:color w:val="F9DF5E" w:themeColor="accent5"/>
        </w:rPr>
      </w:pPr>
    </w:p>
    <w:p w14:paraId="574E42F4" w14:textId="77777777" w:rsidR="001C4F9A" w:rsidRPr="00D45B26" w:rsidRDefault="001C4F9A" w:rsidP="001C4F9A">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C4F9A" w:rsidRPr="00826BB5" w14:paraId="6048679F" w14:textId="77777777" w:rsidTr="005F0E56">
        <w:trPr>
          <w:trHeight w:val="345"/>
          <w:jc w:val="center"/>
        </w:trPr>
        <w:tc>
          <w:tcPr>
            <w:tcW w:w="846" w:type="dxa"/>
            <w:vAlign w:val="center"/>
          </w:tcPr>
          <w:p w14:paraId="706B7749" w14:textId="77777777" w:rsidR="001C4F9A" w:rsidRPr="005C1BCC" w:rsidRDefault="001C4F9A" w:rsidP="005F0E56">
            <w:pPr>
              <w:spacing w:after="0" w:line="240" w:lineRule="auto"/>
              <w:jc w:val="center"/>
              <w:rPr>
                <w:b/>
                <w:szCs w:val="20"/>
              </w:rPr>
            </w:pPr>
            <w:r>
              <w:rPr>
                <w:b/>
                <w:szCs w:val="20"/>
              </w:rPr>
              <w:t>Issue</w:t>
            </w:r>
          </w:p>
        </w:tc>
        <w:tc>
          <w:tcPr>
            <w:tcW w:w="1276" w:type="dxa"/>
            <w:vAlign w:val="center"/>
          </w:tcPr>
          <w:p w14:paraId="65CC13E5" w14:textId="77777777" w:rsidR="001C4F9A" w:rsidRPr="005C1BCC" w:rsidRDefault="001C4F9A" w:rsidP="005F0E56">
            <w:pPr>
              <w:spacing w:after="0" w:line="240" w:lineRule="auto"/>
              <w:jc w:val="center"/>
              <w:rPr>
                <w:b/>
                <w:szCs w:val="20"/>
              </w:rPr>
            </w:pPr>
            <w:r w:rsidRPr="005C1BCC">
              <w:rPr>
                <w:b/>
                <w:szCs w:val="20"/>
              </w:rPr>
              <w:t>Date</w:t>
            </w:r>
          </w:p>
        </w:tc>
        <w:tc>
          <w:tcPr>
            <w:tcW w:w="4233" w:type="dxa"/>
            <w:vAlign w:val="center"/>
          </w:tcPr>
          <w:p w14:paraId="61241314" w14:textId="77777777" w:rsidR="001C4F9A" w:rsidRPr="005C1BCC" w:rsidRDefault="001C4F9A" w:rsidP="005F0E56">
            <w:pPr>
              <w:spacing w:after="0" w:line="240" w:lineRule="auto"/>
              <w:jc w:val="center"/>
              <w:rPr>
                <w:b/>
                <w:szCs w:val="20"/>
              </w:rPr>
            </w:pPr>
            <w:r w:rsidRPr="005C1BCC">
              <w:rPr>
                <w:b/>
                <w:szCs w:val="20"/>
              </w:rPr>
              <w:t>Summary of Changes / Reasons</w:t>
            </w:r>
          </w:p>
        </w:tc>
        <w:tc>
          <w:tcPr>
            <w:tcW w:w="2666" w:type="dxa"/>
            <w:vAlign w:val="center"/>
          </w:tcPr>
          <w:p w14:paraId="3FFCCCC5" w14:textId="77777777" w:rsidR="001C4F9A" w:rsidRPr="005C1BCC" w:rsidRDefault="001C4F9A" w:rsidP="005F0E56">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C4F9A" w:rsidRPr="00826BB5" w14:paraId="5A5194FC" w14:textId="77777777" w:rsidTr="00791818">
        <w:trPr>
          <w:jc w:val="center"/>
        </w:trPr>
        <w:tc>
          <w:tcPr>
            <w:tcW w:w="846" w:type="dxa"/>
            <w:shd w:val="clear" w:color="auto" w:fill="auto"/>
            <w:vAlign w:val="center"/>
          </w:tcPr>
          <w:p w14:paraId="54BC3898" w14:textId="77777777" w:rsidR="001C4F9A" w:rsidRPr="00791818" w:rsidRDefault="001C4F9A" w:rsidP="005F0E56">
            <w:pPr>
              <w:spacing w:after="0" w:line="240" w:lineRule="auto"/>
              <w:jc w:val="center"/>
              <w:rPr>
                <w:sz w:val="16"/>
                <w:szCs w:val="20"/>
              </w:rPr>
            </w:pPr>
            <w:r w:rsidRPr="00791818">
              <w:rPr>
                <w:sz w:val="16"/>
                <w:szCs w:val="20"/>
              </w:rPr>
              <w:lastRenderedPageBreak/>
              <w:t>1</w:t>
            </w:r>
          </w:p>
        </w:tc>
        <w:tc>
          <w:tcPr>
            <w:tcW w:w="1276" w:type="dxa"/>
            <w:shd w:val="clear" w:color="auto" w:fill="auto"/>
            <w:vAlign w:val="center"/>
          </w:tcPr>
          <w:p w14:paraId="53D40665" w14:textId="74580179" w:rsidR="001C4F9A" w:rsidRPr="00791818" w:rsidRDefault="00EF7344" w:rsidP="005F0E56">
            <w:pPr>
              <w:spacing w:after="0" w:line="240" w:lineRule="auto"/>
              <w:jc w:val="center"/>
              <w:rPr>
                <w:sz w:val="16"/>
                <w:szCs w:val="20"/>
              </w:rPr>
            </w:pPr>
            <w:r w:rsidRPr="00791818">
              <w:rPr>
                <w:sz w:val="16"/>
                <w:szCs w:val="20"/>
              </w:rPr>
              <w:t>1</w:t>
            </w:r>
            <w:r w:rsidR="00791818" w:rsidRPr="00791818">
              <w:rPr>
                <w:sz w:val="16"/>
                <w:szCs w:val="20"/>
              </w:rPr>
              <w:t>0</w:t>
            </w:r>
            <w:r w:rsidRPr="00791818">
              <w:rPr>
                <w:sz w:val="16"/>
                <w:szCs w:val="20"/>
              </w:rPr>
              <w:t>/10/2024</w:t>
            </w:r>
          </w:p>
        </w:tc>
        <w:tc>
          <w:tcPr>
            <w:tcW w:w="4233" w:type="dxa"/>
            <w:shd w:val="clear" w:color="auto" w:fill="auto"/>
            <w:vAlign w:val="center"/>
          </w:tcPr>
          <w:p w14:paraId="08062F1B" w14:textId="77777777" w:rsidR="001C4F9A" w:rsidRPr="00791818" w:rsidRDefault="001C4F9A" w:rsidP="005F0E56">
            <w:pPr>
              <w:spacing w:after="0" w:line="240" w:lineRule="auto"/>
              <w:jc w:val="center"/>
              <w:rPr>
                <w:sz w:val="16"/>
                <w:szCs w:val="20"/>
              </w:rPr>
            </w:pPr>
            <w:r w:rsidRPr="00791818">
              <w:rPr>
                <w:sz w:val="16"/>
                <w:szCs w:val="20"/>
              </w:rPr>
              <w:t>Panel approved Terms of Reference ahead of nominations</w:t>
            </w:r>
          </w:p>
        </w:tc>
        <w:tc>
          <w:tcPr>
            <w:tcW w:w="2666" w:type="dxa"/>
            <w:shd w:val="clear" w:color="auto" w:fill="auto"/>
            <w:vAlign w:val="center"/>
          </w:tcPr>
          <w:p w14:paraId="7049CD30" w14:textId="423A4503" w:rsidR="001C4F9A" w:rsidRPr="00791818" w:rsidRDefault="0096731B" w:rsidP="005F0E56">
            <w:pPr>
              <w:spacing w:after="0" w:line="240" w:lineRule="auto"/>
              <w:jc w:val="center"/>
              <w:rPr>
                <w:sz w:val="16"/>
                <w:szCs w:val="20"/>
              </w:rPr>
            </w:pPr>
            <w:r w:rsidRPr="0096731B">
              <w:rPr>
                <w:sz w:val="16"/>
                <w:szCs w:val="20"/>
                <w:highlight w:val="yellow"/>
              </w:rPr>
              <w:t>XX</w:t>
            </w:r>
            <w:r w:rsidR="00EF7344" w:rsidRPr="00791818">
              <w:rPr>
                <w:sz w:val="16"/>
                <w:szCs w:val="20"/>
              </w:rPr>
              <w:t>/10/2024</w:t>
            </w:r>
          </w:p>
        </w:tc>
      </w:tr>
    </w:tbl>
    <w:p w14:paraId="06CD6CC7" w14:textId="77777777" w:rsidR="001C4F9A" w:rsidRPr="00174391" w:rsidRDefault="001C4F9A" w:rsidP="001C4F9A">
      <w:pPr>
        <w:pStyle w:val="TOCMOD"/>
        <w:framePr w:hSpace="0" w:vSpace="0" w:wrap="auto" w:vAnchor="margin" w:yAlign="inline"/>
        <w:rPr>
          <w:rFonts w:cs="Arial"/>
          <w:color w:val="F9DF5E" w:themeColor="accent5"/>
        </w:rPr>
      </w:pPr>
    </w:p>
    <w:p w14:paraId="458D298B" w14:textId="77777777" w:rsidR="00F4613D" w:rsidRPr="00E8542E" w:rsidRDefault="00F4613D" w:rsidP="00E8542E"/>
    <w:sectPr w:rsidR="00F4613D" w:rsidRPr="00E8542E" w:rsidSect="001E68CF">
      <w:headerReference w:type="default" r:id="rId12"/>
      <w:footerReference w:type="default" r:id="rId13"/>
      <w:headerReference w:type="first" r:id="rId14"/>
      <w:footerReference w:type="first" r:id="rId15"/>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164D3" w14:textId="77777777" w:rsidR="00291A7C" w:rsidRDefault="00291A7C" w:rsidP="00A62BFF">
      <w:pPr>
        <w:spacing w:after="0"/>
      </w:pPr>
      <w:r>
        <w:separator/>
      </w:r>
    </w:p>
  </w:endnote>
  <w:endnote w:type="continuationSeparator" w:id="0">
    <w:p w14:paraId="512DD8B3" w14:textId="77777777" w:rsidR="00291A7C" w:rsidRDefault="00291A7C" w:rsidP="00A62BFF">
      <w:pPr>
        <w:spacing w:after="0"/>
      </w:pPr>
      <w:r>
        <w:continuationSeparator/>
      </w:r>
    </w:p>
  </w:endnote>
  <w:endnote w:type="continuationNotice" w:id="1">
    <w:p w14:paraId="1B0EB962" w14:textId="77777777" w:rsidR="00291A7C" w:rsidRDefault="00291A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C8ED" w14:textId="77777777" w:rsidR="00B26D29" w:rsidRDefault="00F4613D" w:rsidP="00B17C6A">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2337" behindDoc="0" locked="0" layoutInCell="1" allowOverlap="1" wp14:anchorId="0D379134" wp14:editId="27CA27B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79134"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FAF9"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0289" behindDoc="0" locked="0" layoutInCell="1" allowOverlap="1" wp14:anchorId="13E02A81" wp14:editId="19CB4F70">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02A81"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90FD0" w14:textId="77777777" w:rsidR="00291A7C" w:rsidRDefault="00291A7C" w:rsidP="00A62BFF">
      <w:pPr>
        <w:spacing w:after="0"/>
      </w:pPr>
      <w:r>
        <w:separator/>
      </w:r>
    </w:p>
  </w:footnote>
  <w:footnote w:type="continuationSeparator" w:id="0">
    <w:p w14:paraId="45FD7DE0" w14:textId="77777777" w:rsidR="00291A7C" w:rsidRDefault="00291A7C" w:rsidP="00A62BFF">
      <w:pPr>
        <w:spacing w:after="0"/>
      </w:pPr>
      <w:r>
        <w:continuationSeparator/>
      </w:r>
    </w:p>
  </w:footnote>
  <w:footnote w:type="continuationNotice" w:id="1">
    <w:p w14:paraId="3AED761C" w14:textId="77777777" w:rsidR="00291A7C" w:rsidRDefault="00291A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8F5D"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r w:rsidRPr="00B27F49">
      <w:rPr>
        <w:rFonts w:asciiTheme="majorHAnsi" w:hAnsiTheme="majorHAnsi" w:cstheme="majorHAnsi"/>
        <w:b/>
        <w:bCs/>
      </w:rPr>
      <w:drawing>
        <wp:anchor distT="0" distB="0" distL="114300" distR="114300" simplePos="0" relativeHeight="251658241" behindDoc="1" locked="0" layoutInCell="1" allowOverlap="1" wp14:anchorId="04702231" wp14:editId="5CDC5F0E">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35E5CF82"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4C567748"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2C2AE2D1"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044C47B8" w14:textId="77777777" w:rsidR="008313D5"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DF2D" w14:textId="3ED54FBE" w:rsidR="00DF17EF" w:rsidRPr="00B27F49" w:rsidRDefault="006E510D" w:rsidP="00DF17EF">
    <w:pPr>
      <w:pStyle w:val="Header"/>
      <w:ind w:left="0"/>
      <w:jc w:val="left"/>
      <w:rPr>
        <w:rFonts w:asciiTheme="majorHAnsi" w:eastAsia="HGPMinchoE" w:hAnsiTheme="majorHAnsi" w:cstheme="majorHAnsi"/>
        <w:sz w:val="28"/>
        <w:szCs w:val="40"/>
      </w:rPr>
    </w:pPr>
    <w:r w:rsidRPr="00B27F49">
      <w:rPr>
        <w:rFonts w:asciiTheme="majorHAnsi" w:eastAsia="HGPMinchoE" w:hAnsiTheme="majorHAnsi" w:cstheme="majorHAnsi"/>
        <w:sz w:val="28"/>
        <w:szCs w:val="40"/>
      </w:rPr>
      <w:drawing>
        <wp:anchor distT="0" distB="0" distL="114300" distR="114300" simplePos="0" relativeHeight="251658240" behindDoc="1" locked="0" layoutInCell="1" allowOverlap="1" wp14:anchorId="1161AD29" wp14:editId="6B3CBB09">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5315B0EA"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0230ECAF"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29F4A9BA" w14:textId="05DBD85C" w:rsidR="00DF17EF" w:rsidRPr="00B27F49" w:rsidRDefault="00A964A3" w:rsidP="00DF17EF">
    <w:pPr>
      <w:pStyle w:val="Header"/>
      <w:ind w:left="0"/>
      <w:jc w:val="left"/>
      <w:rPr>
        <w:rFonts w:asciiTheme="majorHAnsi" w:eastAsia="HGPMinchoE" w:hAnsiTheme="majorHAnsi" w:cstheme="majorHAnsi"/>
        <w:sz w:val="28"/>
        <w:szCs w:val="40"/>
      </w:rPr>
    </w:pPr>
    <w:r>
      <w:t>Terms of Reference CMP</w:t>
    </w:r>
    <w:r w:rsidR="00EF7344">
      <w:t>442</w:t>
    </w:r>
  </w:p>
  <w:p w14:paraId="2A20083C" w14:textId="77777777" w:rsidR="00B26D29"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5BF4218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674420"/>
    <w:multiLevelType w:val="multilevel"/>
    <w:tmpl w:val="F91C5114"/>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360ACD"/>
    <w:multiLevelType w:val="multilevel"/>
    <w:tmpl w:val="57861932"/>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35AE1373"/>
    <w:multiLevelType w:val="hybridMultilevel"/>
    <w:tmpl w:val="63AE745A"/>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CA297C"/>
    <w:multiLevelType w:val="hybridMultilevel"/>
    <w:tmpl w:val="E12A832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0" w15:restartNumberingAfterBreak="0">
    <w:nsid w:val="6C19419A"/>
    <w:multiLevelType w:val="hybridMultilevel"/>
    <w:tmpl w:val="7B0E26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778E4D1C"/>
    <w:multiLevelType w:val="multilevel"/>
    <w:tmpl w:val="A7AAD1EA"/>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19"/>
  </w:num>
  <w:num w:numId="12" w16cid:durableId="351030145">
    <w:abstractNumId w:val="11"/>
  </w:num>
  <w:num w:numId="13" w16cid:durableId="478769964">
    <w:abstractNumId w:val="13"/>
  </w:num>
  <w:num w:numId="14" w16cid:durableId="778262459">
    <w:abstractNumId w:val="15"/>
  </w:num>
  <w:num w:numId="15" w16cid:durableId="1574043876">
    <w:abstractNumId w:val="20"/>
  </w:num>
  <w:num w:numId="16" w16cid:durableId="1669096986">
    <w:abstractNumId w:val="17"/>
  </w:num>
  <w:num w:numId="17" w16cid:durableId="812258246">
    <w:abstractNumId w:val="2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002398027">
    <w:abstractNumId w:val="16"/>
  </w:num>
  <w:num w:numId="19" w16cid:durableId="1446345873">
    <w:abstractNumId w:val="10"/>
  </w:num>
  <w:num w:numId="20" w16cid:durableId="521820874">
    <w:abstractNumId w:val="12"/>
  </w:num>
  <w:num w:numId="21" w16cid:durableId="972322984">
    <w:abstractNumId w:val="18"/>
  </w:num>
  <w:num w:numId="22" w16cid:durableId="525212309">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56"/>
    <w:rsid w:val="0000092C"/>
    <w:rsid w:val="000017C7"/>
    <w:rsid w:val="00007028"/>
    <w:rsid w:val="00010E32"/>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28D6"/>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0A30"/>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05B7"/>
    <w:rsid w:val="001510CA"/>
    <w:rsid w:val="001516B9"/>
    <w:rsid w:val="00151D8A"/>
    <w:rsid w:val="00152912"/>
    <w:rsid w:val="00153066"/>
    <w:rsid w:val="001535B0"/>
    <w:rsid w:val="001536C3"/>
    <w:rsid w:val="00154713"/>
    <w:rsid w:val="00154C3B"/>
    <w:rsid w:val="00155E29"/>
    <w:rsid w:val="001613C2"/>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2B1"/>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09B6"/>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4F9A"/>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05A"/>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A7C"/>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1495"/>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33FF"/>
    <w:rsid w:val="003C53ED"/>
    <w:rsid w:val="003D01FA"/>
    <w:rsid w:val="003D365A"/>
    <w:rsid w:val="003D634B"/>
    <w:rsid w:val="003D6B83"/>
    <w:rsid w:val="003E0A82"/>
    <w:rsid w:val="003E245C"/>
    <w:rsid w:val="003E2DA4"/>
    <w:rsid w:val="003E300B"/>
    <w:rsid w:val="003E4E47"/>
    <w:rsid w:val="003E59AF"/>
    <w:rsid w:val="003E780E"/>
    <w:rsid w:val="003F0415"/>
    <w:rsid w:val="003F183A"/>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6F06"/>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64E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2AD0"/>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56A8"/>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58F"/>
    <w:rsid w:val="00590A20"/>
    <w:rsid w:val="00591F83"/>
    <w:rsid w:val="005942E0"/>
    <w:rsid w:val="005946B9"/>
    <w:rsid w:val="0059487D"/>
    <w:rsid w:val="00595AA9"/>
    <w:rsid w:val="00596E08"/>
    <w:rsid w:val="005973B7"/>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036F"/>
    <w:rsid w:val="00621DC9"/>
    <w:rsid w:val="00622179"/>
    <w:rsid w:val="00624624"/>
    <w:rsid w:val="00624B10"/>
    <w:rsid w:val="0062521E"/>
    <w:rsid w:val="00625BBF"/>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7944"/>
    <w:rsid w:val="0069167B"/>
    <w:rsid w:val="00691E5D"/>
    <w:rsid w:val="00692057"/>
    <w:rsid w:val="0069237B"/>
    <w:rsid w:val="0069393D"/>
    <w:rsid w:val="00693C39"/>
    <w:rsid w:val="00695F2A"/>
    <w:rsid w:val="006961C5"/>
    <w:rsid w:val="00696B6E"/>
    <w:rsid w:val="00697560"/>
    <w:rsid w:val="006A0021"/>
    <w:rsid w:val="006A0156"/>
    <w:rsid w:val="006A11C9"/>
    <w:rsid w:val="006A2517"/>
    <w:rsid w:val="006A644C"/>
    <w:rsid w:val="006A69E4"/>
    <w:rsid w:val="006A7045"/>
    <w:rsid w:val="006A7D75"/>
    <w:rsid w:val="006B0BE8"/>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0D7"/>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4829"/>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09B"/>
    <w:rsid w:val="007578B1"/>
    <w:rsid w:val="00757CBA"/>
    <w:rsid w:val="00757E52"/>
    <w:rsid w:val="007612FB"/>
    <w:rsid w:val="00761CF5"/>
    <w:rsid w:val="0076418A"/>
    <w:rsid w:val="007642CB"/>
    <w:rsid w:val="00765226"/>
    <w:rsid w:val="00765520"/>
    <w:rsid w:val="00766879"/>
    <w:rsid w:val="00767842"/>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818"/>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8BC"/>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C1D"/>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1CEA"/>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D9D"/>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76"/>
    <w:rsid w:val="008C47BB"/>
    <w:rsid w:val="008C4959"/>
    <w:rsid w:val="008C4C42"/>
    <w:rsid w:val="008C4F08"/>
    <w:rsid w:val="008C5A14"/>
    <w:rsid w:val="008C7013"/>
    <w:rsid w:val="008C7401"/>
    <w:rsid w:val="008D00DC"/>
    <w:rsid w:val="008D1455"/>
    <w:rsid w:val="008D21C1"/>
    <w:rsid w:val="008D22AA"/>
    <w:rsid w:val="008D2C57"/>
    <w:rsid w:val="008D2C83"/>
    <w:rsid w:val="008D3764"/>
    <w:rsid w:val="008D3981"/>
    <w:rsid w:val="008D4443"/>
    <w:rsid w:val="008D5C27"/>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24B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6731B"/>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15F2"/>
    <w:rsid w:val="00A21BEC"/>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1D5"/>
    <w:rsid w:val="00A964A3"/>
    <w:rsid w:val="00A967FD"/>
    <w:rsid w:val="00A97281"/>
    <w:rsid w:val="00AA0280"/>
    <w:rsid w:val="00AA3692"/>
    <w:rsid w:val="00AA4A79"/>
    <w:rsid w:val="00AA640B"/>
    <w:rsid w:val="00AA7BEB"/>
    <w:rsid w:val="00AB05A1"/>
    <w:rsid w:val="00AB0A4D"/>
    <w:rsid w:val="00AB0CB2"/>
    <w:rsid w:val="00AB3F5F"/>
    <w:rsid w:val="00AB4A75"/>
    <w:rsid w:val="00AB5A67"/>
    <w:rsid w:val="00AB5A91"/>
    <w:rsid w:val="00AB6717"/>
    <w:rsid w:val="00AB769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61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2C01"/>
    <w:rsid w:val="00B47721"/>
    <w:rsid w:val="00B51375"/>
    <w:rsid w:val="00B528EA"/>
    <w:rsid w:val="00B532FD"/>
    <w:rsid w:val="00B54EFE"/>
    <w:rsid w:val="00B552D5"/>
    <w:rsid w:val="00B55BEB"/>
    <w:rsid w:val="00B60E8B"/>
    <w:rsid w:val="00B6242E"/>
    <w:rsid w:val="00B64D66"/>
    <w:rsid w:val="00B64EA4"/>
    <w:rsid w:val="00B6509B"/>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7EF"/>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B18"/>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0F37"/>
    <w:rsid w:val="00C4113C"/>
    <w:rsid w:val="00C41B0D"/>
    <w:rsid w:val="00C42311"/>
    <w:rsid w:val="00C4380F"/>
    <w:rsid w:val="00C439AA"/>
    <w:rsid w:val="00C44916"/>
    <w:rsid w:val="00C44F0F"/>
    <w:rsid w:val="00C46284"/>
    <w:rsid w:val="00C4690E"/>
    <w:rsid w:val="00C46A57"/>
    <w:rsid w:val="00C51235"/>
    <w:rsid w:val="00C531AF"/>
    <w:rsid w:val="00C54A40"/>
    <w:rsid w:val="00C54AEA"/>
    <w:rsid w:val="00C55842"/>
    <w:rsid w:val="00C55B8C"/>
    <w:rsid w:val="00C56DB8"/>
    <w:rsid w:val="00C60C17"/>
    <w:rsid w:val="00C621CD"/>
    <w:rsid w:val="00C639DB"/>
    <w:rsid w:val="00C64275"/>
    <w:rsid w:val="00C6466E"/>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1C46"/>
    <w:rsid w:val="00D52C83"/>
    <w:rsid w:val="00D53510"/>
    <w:rsid w:val="00D5478A"/>
    <w:rsid w:val="00D5488D"/>
    <w:rsid w:val="00D54DEB"/>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47F12"/>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42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6EE"/>
    <w:rsid w:val="00EE3968"/>
    <w:rsid w:val="00EE403C"/>
    <w:rsid w:val="00EE4DF3"/>
    <w:rsid w:val="00EE7662"/>
    <w:rsid w:val="00EE78A6"/>
    <w:rsid w:val="00EF0EC7"/>
    <w:rsid w:val="00EF2BA0"/>
    <w:rsid w:val="00EF2F36"/>
    <w:rsid w:val="00EF6D0B"/>
    <w:rsid w:val="00EF7344"/>
    <w:rsid w:val="00F00265"/>
    <w:rsid w:val="00F0186C"/>
    <w:rsid w:val="00F024CC"/>
    <w:rsid w:val="00F02534"/>
    <w:rsid w:val="00F05BBE"/>
    <w:rsid w:val="00F061E5"/>
    <w:rsid w:val="00F06D0B"/>
    <w:rsid w:val="00F0728A"/>
    <w:rsid w:val="00F07413"/>
    <w:rsid w:val="00F0746B"/>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E02"/>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380E50"/>
  <w15:docId w15:val="{AC31AD8F-A174-4177-BFC3-C88E8527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829"/>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AA4A79"/>
    <w:pPr>
      <w:keepNext/>
      <w:keepLines/>
      <w:spacing w:before="240"/>
      <w:outlineLvl w:val="0"/>
    </w:pPr>
    <w:rPr>
      <w:rFonts w:asciiTheme="majorHAnsi" w:eastAsiaTheme="majorEastAsia" w:hAnsiTheme="majorHAnsi" w:cstheme="majorBidi"/>
      <w:b/>
      <w:bCs/>
      <w:color w:val="3F0731" w:themeColor="text2"/>
      <w:sz w:val="28"/>
      <w:szCs w:val="28"/>
    </w:rPr>
  </w:style>
  <w:style w:type="paragraph" w:styleId="Heading2">
    <w:name w:val="heading 2"/>
    <w:basedOn w:val="Normal"/>
    <w:next w:val="BodyText"/>
    <w:link w:val="Heading2Char"/>
    <w:uiPriority w:val="4"/>
    <w:qFormat/>
    <w:rsid w:val="00AA4A79"/>
    <w:pPr>
      <w:keepNext/>
      <w:keepLines/>
      <w:spacing w:before="240"/>
      <w:outlineLvl w:val="1"/>
    </w:pPr>
    <w:rPr>
      <w:rFonts w:asciiTheme="majorHAnsi" w:eastAsiaTheme="majorEastAsia" w:hAnsiTheme="majorHAnsi" w:cstheme="majorBidi"/>
      <w:b/>
      <w:bCs/>
      <w:color w:val="3F0731" w:themeColor="text2"/>
      <w:sz w:val="28"/>
      <w:szCs w:val="26"/>
    </w:rPr>
  </w:style>
  <w:style w:type="paragraph" w:styleId="Heading3">
    <w:name w:val="heading 3"/>
    <w:basedOn w:val="Normal"/>
    <w:next w:val="BodyText"/>
    <w:link w:val="Heading3Char"/>
    <w:uiPriority w:val="4"/>
    <w:qFormat/>
    <w:rsid w:val="00AA4A79"/>
    <w:pPr>
      <w:keepNext/>
      <w:keepLines/>
      <w:spacing w:before="240"/>
      <w:outlineLvl w:val="2"/>
    </w:pPr>
    <w:rPr>
      <w:rFonts w:eastAsiaTheme="majorEastAsia" w:cstheme="majorBidi"/>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AA4A79"/>
    <w:pPr>
      <w:keepNext/>
      <w:keepLines/>
      <w:numPr>
        <w:ilvl w:val="3"/>
        <w:numId w:val="13"/>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A4A79"/>
    <w:pPr>
      <w:keepNext/>
      <w:keepLines/>
      <w:numPr>
        <w:ilvl w:val="4"/>
        <w:numId w:val="13"/>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A4A79"/>
    <w:pPr>
      <w:keepNext/>
      <w:keepLines/>
      <w:numPr>
        <w:ilvl w:val="5"/>
        <w:numId w:val="13"/>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A4A79"/>
    <w:pPr>
      <w:keepNext/>
      <w:keepLines/>
      <w:numPr>
        <w:ilvl w:val="6"/>
        <w:numId w:val="13"/>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A4A79"/>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A4A79"/>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7348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829"/>
  </w:style>
  <w:style w:type="paragraph" w:customStyle="1" w:styleId="TableColumnHeading">
    <w:name w:val="Table Column Heading"/>
    <w:basedOn w:val="BodyText"/>
    <w:uiPriority w:val="7"/>
    <w:qFormat/>
    <w:rsid w:val="00AA4A79"/>
    <w:pPr>
      <w:spacing w:before="60" w:after="60"/>
    </w:pPr>
    <w:rPr>
      <w:b/>
      <w:bCs/>
    </w:rPr>
  </w:style>
  <w:style w:type="paragraph" w:styleId="Footer">
    <w:name w:val="footer"/>
    <w:basedOn w:val="Normal"/>
    <w:link w:val="FooterChar"/>
    <w:uiPriority w:val="99"/>
    <w:unhideWhenUsed/>
    <w:rsid w:val="00AA4A79"/>
    <w:pPr>
      <w:tabs>
        <w:tab w:val="center" w:pos="4513"/>
        <w:tab w:val="right" w:pos="9026"/>
      </w:tabs>
      <w:spacing w:after="0"/>
    </w:pPr>
  </w:style>
  <w:style w:type="character" w:customStyle="1" w:styleId="FooterChar">
    <w:name w:val="Footer Char"/>
    <w:basedOn w:val="DefaultParagraphFont"/>
    <w:link w:val="Footer"/>
    <w:uiPriority w:val="99"/>
    <w:rsid w:val="00AA4A7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AA4A79"/>
    <w:pPr>
      <w:jc w:val="right"/>
    </w:pPr>
  </w:style>
  <w:style w:type="paragraph" w:customStyle="1" w:styleId="PageTitle">
    <w:name w:val="Page Title"/>
    <w:basedOn w:val="Normal"/>
    <w:next w:val="BodyText"/>
    <w:uiPriority w:val="3"/>
    <w:qFormat/>
    <w:rsid w:val="00AA4A79"/>
    <w:pPr>
      <w:keepNext/>
      <w:spacing w:before="480"/>
      <w:outlineLvl w:val="0"/>
    </w:pPr>
    <w:rPr>
      <w:rFonts w:asciiTheme="majorHAnsi" w:hAnsiTheme="majorHAnsi"/>
      <w:b/>
      <w:noProof/>
      <w:color w:val="3F0731" w:themeColor="text2"/>
      <w:sz w:val="32"/>
      <w:szCs w:val="48"/>
    </w:rPr>
  </w:style>
  <w:style w:type="paragraph" w:customStyle="1" w:styleId="TableBodyRight">
    <w:name w:val="Table Body Right"/>
    <w:basedOn w:val="TableBody"/>
    <w:uiPriority w:val="8"/>
    <w:qFormat/>
    <w:rsid w:val="00AA4A79"/>
    <w:pPr>
      <w:jc w:val="right"/>
    </w:pPr>
  </w:style>
  <w:style w:type="character" w:customStyle="1" w:styleId="Bold">
    <w:name w:val="Bold"/>
    <w:basedOn w:val="DefaultParagraphFont"/>
    <w:uiPriority w:val="2"/>
    <w:qFormat/>
    <w:rsid w:val="00AA4A79"/>
    <w:rPr>
      <w:rFonts w:asciiTheme="minorHAnsi" w:hAnsiTheme="minorHAnsi"/>
      <w:b/>
      <w:i w:val="0"/>
      <w:color w:val="000000" w:themeColor="text1"/>
    </w:rPr>
  </w:style>
  <w:style w:type="paragraph" w:customStyle="1" w:styleId="DocumentTitle">
    <w:name w:val="Document Title"/>
    <w:next w:val="DocumentSubtitle"/>
    <w:uiPriority w:val="26"/>
    <w:rsid w:val="00AA4A79"/>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A4A79"/>
    <w:pPr>
      <w:spacing w:after="0"/>
      <w:ind w:left="3969"/>
      <w:jc w:val="right"/>
    </w:pPr>
    <w:rPr>
      <w:noProof/>
      <w:sz w:val="18"/>
    </w:rPr>
  </w:style>
  <w:style w:type="paragraph" w:styleId="BalloonText">
    <w:name w:val="Balloon Text"/>
    <w:basedOn w:val="Normal"/>
    <w:link w:val="BalloonTextChar"/>
    <w:uiPriority w:val="99"/>
    <w:semiHidden/>
    <w:unhideWhenUsed/>
    <w:rsid w:val="00AA4A7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A79"/>
    <w:rPr>
      <w:rFonts w:ascii="Tahoma" w:hAnsi="Tahoma" w:cs="Tahoma"/>
      <w:kern w:val="2"/>
      <w:sz w:val="16"/>
      <w:szCs w:val="16"/>
      <w:lang w:val="en-GB"/>
      <w14:ligatures w14:val="standardContextual"/>
    </w:rPr>
  </w:style>
  <w:style w:type="character" w:customStyle="1" w:styleId="HeaderChar">
    <w:name w:val="Header Char"/>
    <w:basedOn w:val="DefaultParagraphFont"/>
    <w:link w:val="Header"/>
    <w:uiPriority w:val="99"/>
    <w:rsid w:val="00AA4A79"/>
    <w:rPr>
      <w:noProof/>
      <w:kern w:val="2"/>
      <w:sz w:val="18"/>
      <w:szCs w:val="22"/>
      <w:lang w:val="en-GB"/>
      <w14:ligatures w14:val="standardContextual"/>
    </w:rPr>
  </w:style>
  <w:style w:type="character" w:customStyle="1" w:styleId="Heading1Char">
    <w:name w:val="Heading 1 Char"/>
    <w:basedOn w:val="DefaultParagraphFont"/>
    <w:link w:val="Heading1"/>
    <w:uiPriority w:val="4"/>
    <w:rsid w:val="00AA4A79"/>
    <w:rPr>
      <w:rFonts w:asciiTheme="majorHAnsi" w:eastAsiaTheme="majorEastAsia" w:hAnsiTheme="majorHAnsi"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AA4A79"/>
    <w:rPr>
      <w:rFonts w:asciiTheme="majorHAnsi" w:eastAsiaTheme="majorEastAsia" w:hAnsiTheme="majorHAnsi" w:cstheme="majorBidi"/>
      <w:b/>
      <w:bCs/>
      <w:color w:val="3F0731" w:themeColor="text2"/>
      <w:kern w:val="2"/>
      <w:sz w:val="28"/>
      <w:szCs w:val="26"/>
      <w:lang w:val="en-GB"/>
      <w14:ligatures w14:val="standardContextual"/>
    </w:rPr>
  </w:style>
  <w:style w:type="table" w:styleId="TableGrid">
    <w:name w:val="Table Grid"/>
    <w:basedOn w:val="TableNormal"/>
    <w:uiPriority w:val="59"/>
    <w:rsid w:val="00AA4A7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A4A79"/>
    <w:pPr>
      <w:spacing w:before="60" w:after="60"/>
    </w:pPr>
    <w:rPr>
      <w:rFonts w:ascii="Arial" w:hAnsi="Arial"/>
      <w:lang w:eastAsia="en-NZ"/>
    </w:rPr>
  </w:style>
  <w:style w:type="paragraph" w:styleId="ListBullet">
    <w:name w:val="List Bullet"/>
    <w:basedOn w:val="Normal"/>
    <w:uiPriority w:val="99"/>
    <w:semiHidden/>
    <w:rsid w:val="00AA4A79"/>
    <w:pPr>
      <w:numPr>
        <w:numId w:val="1"/>
      </w:numPr>
      <w:contextualSpacing/>
    </w:pPr>
  </w:style>
  <w:style w:type="paragraph" w:styleId="ListBullet2">
    <w:name w:val="List Bullet 2"/>
    <w:basedOn w:val="Normal"/>
    <w:uiPriority w:val="99"/>
    <w:semiHidden/>
    <w:rsid w:val="00AA4A79"/>
    <w:pPr>
      <w:numPr>
        <w:numId w:val="2"/>
      </w:numPr>
      <w:contextualSpacing/>
    </w:pPr>
  </w:style>
  <w:style w:type="paragraph" w:styleId="ListBullet3">
    <w:name w:val="List Bullet 3"/>
    <w:basedOn w:val="Normal"/>
    <w:uiPriority w:val="99"/>
    <w:semiHidden/>
    <w:rsid w:val="00AA4A79"/>
    <w:pPr>
      <w:numPr>
        <w:numId w:val="3"/>
      </w:numPr>
      <w:contextualSpacing/>
    </w:pPr>
  </w:style>
  <w:style w:type="paragraph" w:styleId="ListBullet4">
    <w:name w:val="List Bullet 4"/>
    <w:basedOn w:val="Normal"/>
    <w:uiPriority w:val="99"/>
    <w:semiHidden/>
    <w:rsid w:val="00AA4A79"/>
    <w:pPr>
      <w:numPr>
        <w:numId w:val="4"/>
      </w:numPr>
      <w:contextualSpacing/>
    </w:pPr>
  </w:style>
  <w:style w:type="paragraph" w:styleId="ListBullet5">
    <w:name w:val="List Bullet 5"/>
    <w:basedOn w:val="Normal"/>
    <w:uiPriority w:val="99"/>
    <w:semiHidden/>
    <w:rsid w:val="00AA4A79"/>
    <w:pPr>
      <w:numPr>
        <w:numId w:val="5"/>
      </w:numPr>
      <w:contextualSpacing/>
    </w:pPr>
  </w:style>
  <w:style w:type="paragraph" w:styleId="ListNumber">
    <w:name w:val="List Number"/>
    <w:basedOn w:val="Normal"/>
    <w:uiPriority w:val="99"/>
    <w:semiHidden/>
    <w:rsid w:val="00AA4A79"/>
    <w:pPr>
      <w:numPr>
        <w:numId w:val="6"/>
      </w:numPr>
      <w:contextualSpacing/>
    </w:pPr>
  </w:style>
  <w:style w:type="paragraph" w:styleId="ListNumber2">
    <w:name w:val="List Number 2"/>
    <w:basedOn w:val="Normal"/>
    <w:uiPriority w:val="99"/>
    <w:semiHidden/>
    <w:rsid w:val="00AA4A79"/>
    <w:pPr>
      <w:numPr>
        <w:numId w:val="7"/>
      </w:numPr>
      <w:contextualSpacing/>
    </w:pPr>
  </w:style>
  <w:style w:type="paragraph" w:styleId="ListNumber3">
    <w:name w:val="List Number 3"/>
    <w:basedOn w:val="Normal"/>
    <w:uiPriority w:val="99"/>
    <w:semiHidden/>
    <w:rsid w:val="00AA4A79"/>
    <w:pPr>
      <w:numPr>
        <w:numId w:val="8"/>
      </w:numPr>
      <w:contextualSpacing/>
    </w:pPr>
  </w:style>
  <w:style w:type="paragraph" w:styleId="ListNumber4">
    <w:name w:val="List Number 4"/>
    <w:basedOn w:val="Normal"/>
    <w:uiPriority w:val="99"/>
    <w:semiHidden/>
    <w:rsid w:val="00AA4A79"/>
    <w:pPr>
      <w:numPr>
        <w:numId w:val="9"/>
      </w:numPr>
      <w:contextualSpacing/>
    </w:pPr>
  </w:style>
  <w:style w:type="paragraph" w:styleId="ListNumber5">
    <w:name w:val="List Number 5"/>
    <w:basedOn w:val="Normal"/>
    <w:uiPriority w:val="99"/>
    <w:semiHidden/>
    <w:rsid w:val="00AA4A79"/>
    <w:pPr>
      <w:numPr>
        <w:numId w:val="10"/>
      </w:numPr>
      <w:contextualSpacing/>
    </w:pPr>
  </w:style>
  <w:style w:type="paragraph" w:styleId="List">
    <w:name w:val="List"/>
    <w:basedOn w:val="Normal"/>
    <w:uiPriority w:val="99"/>
    <w:semiHidden/>
    <w:rsid w:val="00AA4A79"/>
    <w:pPr>
      <w:ind w:left="283" w:hanging="283"/>
      <w:contextualSpacing/>
    </w:pPr>
  </w:style>
  <w:style w:type="paragraph" w:styleId="List2">
    <w:name w:val="List 2"/>
    <w:basedOn w:val="Normal"/>
    <w:uiPriority w:val="99"/>
    <w:semiHidden/>
    <w:rsid w:val="00AA4A79"/>
    <w:pPr>
      <w:ind w:left="566" w:hanging="283"/>
      <w:contextualSpacing/>
    </w:pPr>
  </w:style>
  <w:style w:type="paragraph" w:styleId="List3">
    <w:name w:val="List 3"/>
    <w:basedOn w:val="Normal"/>
    <w:uiPriority w:val="99"/>
    <w:semiHidden/>
    <w:rsid w:val="00AA4A79"/>
    <w:pPr>
      <w:ind w:left="849" w:hanging="283"/>
      <w:contextualSpacing/>
    </w:pPr>
  </w:style>
  <w:style w:type="paragraph" w:styleId="List4">
    <w:name w:val="List 4"/>
    <w:basedOn w:val="Normal"/>
    <w:uiPriority w:val="99"/>
    <w:semiHidden/>
    <w:rsid w:val="00AA4A79"/>
    <w:pPr>
      <w:ind w:left="1132" w:hanging="283"/>
      <w:contextualSpacing/>
    </w:pPr>
  </w:style>
  <w:style w:type="paragraph" w:styleId="List5">
    <w:name w:val="List 5"/>
    <w:basedOn w:val="Normal"/>
    <w:uiPriority w:val="99"/>
    <w:semiHidden/>
    <w:rsid w:val="00AA4A79"/>
    <w:pPr>
      <w:ind w:left="1415" w:hanging="283"/>
      <w:contextualSpacing/>
    </w:pPr>
  </w:style>
  <w:style w:type="character" w:styleId="CommentReference">
    <w:name w:val="annotation reference"/>
    <w:basedOn w:val="DefaultParagraphFont"/>
    <w:uiPriority w:val="99"/>
    <w:unhideWhenUsed/>
    <w:rsid w:val="00AA4A79"/>
    <w:rPr>
      <w:sz w:val="16"/>
      <w:szCs w:val="16"/>
    </w:rPr>
  </w:style>
  <w:style w:type="paragraph" w:styleId="CommentText">
    <w:name w:val="annotation text"/>
    <w:basedOn w:val="Normal"/>
    <w:link w:val="CommentTextChar"/>
    <w:uiPriority w:val="99"/>
    <w:unhideWhenUsed/>
    <w:rsid w:val="00AA4A79"/>
  </w:style>
  <w:style w:type="character" w:customStyle="1" w:styleId="CommentTextChar">
    <w:name w:val="Comment Text Char"/>
    <w:basedOn w:val="DefaultParagraphFont"/>
    <w:link w:val="CommentText"/>
    <w:uiPriority w:val="99"/>
    <w:rsid w:val="00AA4A79"/>
    <w:rPr>
      <w:kern w:val="2"/>
      <w:sz w:val="22"/>
      <w:szCs w:val="22"/>
      <w:lang w:val="en-GB"/>
      <w14:ligatures w14:val="standardContextual"/>
    </w:rPr>
  </w:style>
  <w:style w:type="paragraph" w:styleId="CommentSubject">
    <w:name w:val="annotation subject"/>
    <w:basedOn w:val="CommentText"/>
    <w:next w:val="CommentText"/>
    <w:link w:val="CommentSubjectChar"/>
    <w:uiPriority w:val="99"/>
    <w:semiHidden/>
    <w:unhideWhenUsed/>
    <w:rsid w:val="00AA4A79"/>
    <w:rPr>
      <w:b/>
      <w:bCs/>
    </w:rPr>
  </w:style>
  <w:style w:type="character" w:customStyle="1" w:styleId="CommentSubjectChar">
    <w:name w:val="Comment Subject Char"/>
    <w:basedOn w:val="CommentTextChar"/>
    <w:link w:val="CommentSubject"/>
    <w:uiPriority w:val="99"/>
    <w:semiHidden/>
    <w:rsid w:val="00AA4A79"/>
    <w:rPr>
      <w:b/>
      <w:bCs/>
      <w:kern w:val="2"/>
      <w:sz w:val="22"/>
      <w:szCs w:val="22"/>
      <w:lang w:val="en-GB"/>
      <w14:ligatures w14:val="standardContextual"/>
    </w:rPr>
  </w:style>
  <w:style w:type="character" w:styleId="Emphasis">
    <w:name w:val="Emphasis"/>
    <w:basedOn w:val="DefaultParagraphFont"/>
    <w:uiPriority w:val="27"/>
    <w:qFormat/>
    <w:rsid w:val="00AA4A79"/>
    <w:rPr>
      <w:rFonts w:ascii="Arial" w:hAnsi="Arial"/>
      <w:i/>
      <w:iCs/>
    </w:rPr>
  </w:style>
  <w:style w:type="paragraph" w:customStyle="1" w:styleId="DocumentSubtitle">
    <w:name w:val="Document Subtitle"/>
    <w:basedOn w:val="DocumentTitle"/>
    <w:next w:val="Normal"/>
    <w:uiPriority w:val="26"/>
    <w:rsid w:val="00AA4A79"/>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A4A79"/>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A4A79"/>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AA4A79"/>
    <w:pPr>
      <w:numPr>
        <w:numId w:val="14"/>
      </w:numPr>
    </w:pPr>
  </w:style>
  <w:style w:type="paragraph" w:customStyle="1" w:styleId="Bullet2">
    <w:name w:val="Bullet 2"/>
    <w:basedOn w:val="BodyText"/>
    <w:uiPriority w:val="1"/>
    <w:qFormat/>
    <w:rsid w:val="00AA4A79"/>
    <w:pPr>
      <w:numPr>
        <w:numId w:val="15"/>
      </w:numPr>
    </w:pPr>
  </w:style>
  <w:style w:type="paragraph" w:customStyle="1" w:styleId="Bullet3">
    <w:name w:val="Bullet 3"/>
    <w:basedOn w:val="BodyText"/>
    <w:uiPriority w:val="1"/>
    <w:qFormat/>
    <w:rsid w:val="00AA4A79"/>
    <w:pPr>
      <w:numPr>
        <w:numId w:val="16"/>
      </w:numPr>
    </w:pPr>
  </w:style>
  <w:style w:type="paragraph" w:customStyle="1" w:styleId="NumberedBullet1">
    <w:name w:val="Numbered Bullet 1"/>
    <w:basedOn w:val="BodyText"/>
    <w:uiPriority w:val="5"/>
    <w:qFormat/>
    <w:rsid w:val="00AA4A79"/>
    <w:pPr>
      <w:numPr>
        <w:numId w:val="17"/>
      </w:numPr>
      <w:spacing w:before="60" w:after="60"/>
    </w:pPr>
  </w:style>
  <w:style w:type="paragraph" w:customStyle="1" w:styleId="NumberedBullet2">
    <w:name w:val="Numbered Bullet 2"/>
    <w:basedOn w:val="BodyText"/>
    <w:uiPriority w:val="5"/>
    <w:qFormat/>
    <w:rsid w:val="00AA4A79"/>
    <w:pPr>
      <w:numPr>
        <w:ilvl w:val="1"/>
        <w:numId w:val="17"/>
      </w:numPr>
      <w:tabs>
        <w:tab w:val="left" w:pos="709"/>
      </w:tabs>
    </w:pPr>
  </w:style>
  <w:style w:type="paragraph" w:customStyle="1" w:styleId="NumberedBullet3">
    <w:name w:val="Numbered Bullet 3"/>
    <w:basedOn w:val="BodyText"/>
    <w:uiPriority w:val="5"/>
    <w:qFormat/>
    <w:rsid w:val="00AA4A79"/>
    <w:pPr>
      <w:numPr>
        <w:ilvl w:val="2"/>
        <w:numId w:val="17"/>
      </w:numPr>
      <w:tabs>
        <w:tab w:val="left" w:pos="1276"/>
      </w:tabs>
    </w:pPr>
  </w:style>
  <w:style w:type="numbering" w:customStyle="1" w:styleId="NumberedBulletsList">
    <w:name w:val="Numbered Bullets List"/>
    <w:uiPriority w:val="99"/>
    <w:rsid w:val="00AA4A79"/>
    <w:pPr>
      <w:numPr>
        <w:numId w:val="11"/>
      </w:numPr>
    </w:pPr>
  </w:style>
  <w:style w:type="paragraph" w:customStyle="1" w:styleId="Indent1">
    <w:name w:val="Indent 1"/>
    <w:basedOn w:val="BodyText"/>
    <w:uiPriority w:val="6"/>
    <w:semiHidden/>
    <w:unhideWhenUsed/>
    <w:qFormat/>
    <w:rsid w:val="00AA4A79"/>
    <w:pPr>
      <w:ind w:left="284"/>
    </w:pPr>
  </w:style>
  <w:style w:type="paragraph" w:customStyle="1" w:styleId="Indent2">
    <w:name w:val="Indent 2"/>
    <w:basedOn w:val="BodyText"/>
    <w:uiPriority w:val="6"/>
    <w:semiHidden/>
    <w:unhideWhenUsed/>
    <w:qFormat/>
    <w:rsid w:val="00AA4A79"/>
    <w:pPr>
      <w:ind w:left="567"/>
    </w:pPr>
  </w:style>
  <w:style w:type="paragraph" w:customStyle="1" w:styleId="Indent3">
    <w:name w:val="Indent 3"/>
    <w:basedOn w:val="BodyText"/>
    <w:uiPriority w:val="6"/>
    <w:semiHidden/>
    <w:unhideWhenUsed/>
    <w:qFormat/>
    <w:rsid w:val="00AA4A79"/>
    <w:pPr>
      <w:ind w:left="851"/>
    </w:pPr>
  </w:style>
  <w:style w:type="paragraph" w:customStyle="1" w:styleId="ShadedHeading">
    <w:name w:val="Shaded Heading"/>
    <w:basedOn w:val="BodyText"/>
    <w:next w:val="ShadedBody"/>
    <w:uiPriority w:val="10"/>
    <w:rsid w:val="00AA4A79"/>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A4A79"/>
    <w:rPr>
      <w:color w:val="808080"/>
    </w:rPr>
  </w:style>
  <w:style w:type="paragraph" w:customStyle="1" w:styleId="Authors">
    <w:name w:val="Authors"/>
    <w:basedOn w:val="Footer"/>
    <w:link w:val="AuthorsChar"/>
    <w:uiPriority w:val="99"/>
    <w:rsid w:val="00AA4A79"/>
    <w:pPr>
      <w:spacing w:before="60" w:after="60"/>
    </w:pPr>
  </w:style>
  <w:style w:type="character" w:customStyle="1" w:styleId="Heading4Char">
    <w:name w:val="Heading 4 Char"/>
    <w:aliases w:val="Heading 4 (table &amp; chart) Char"/>
    <w:basedOn w:val="DefaultParagraphFont"/>
    <w:link w:val="Heading4"/>
    <w:uiPriority w:val="23"/>
    <w:semiHidden/>
    <w:rsid w:val="00AA4A79"/>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A4A79"/>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A4A79"/>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A4A79"/>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A4A79"/>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AA4A7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rsid w:val="00AA4A79"/>
    <w:rPr>
      <w:rFonts w:asciiTheme="majorHAnsi" w:eastAsiaTheme="majorEastAsia" w:hAnsiTheme="majorHAnsi"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AA4A79"/>
    <w:rPr>
      <w:b/>
    </w:rPr>
  </w:style>
  <w:style w:type="character" w:customStyle="1" w:styleId="HighlightAccent4">
    <w:name w:val="Highlight Accent 4"/>
    <w:basedOn w:val="DefaultParagraphFont"/>
    <w:uiPriority w:val="9"/>
    <w:qFormat/>
    <w:rsid w:val="00AA4A79"/>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A4A79"/>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A4A79"/>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A4A79"/>
    <w:rPr>
      <w:color w:val="000000" w:themeColor="text1"/>
      <w:u w:val="single"/>
    </w:rPr>
  </w:style>
  <w:style w:type="paragraph" w:styleId="ListParagraph">
    <w:name w:val="List Paragraph"/>
    <w:basedOn w:val="Normal"/>
    <w:link w:val="ListParagraphChar"/>
    <w:uiPriority w:val="35"/>
    <w:qFormat/>
    <w:rsid w:val="00AA4A79"/>
    <w:pPr>
      <w:ind w:left="720"/>
      <w:contextualSpacing/>
    </w:pPr>
  </w:style>
  <w:style w:type="paragraph" w:customStyle="1" w:styleId="Heading1Numbered">
    <w:name w:val="Heading 1 Numbered"/>
    <w:basedOn w:val="Heading1"/>
    <w:next w:val="BodyText"/>
    <w:uiPriority w:val="4"/>
    <w:qFormat/>
    <w:rsid w:val="00AA4A79"/>
    <w:pPr>
      <w:numPr>
        <w:numId w:val="18"/>
      </w:numPr>
    </w:pPr>
  </w:style>
  <w:style w:type="character" w:customStyle="1" w:styleId="HighlightAccent2">
    <w:name w:val="Highlight Accent 2"/>
    <w:basedOn w:val="DefaultParagraphFont"/>
    <w:uiPriority w:val="9"/>
    <w:qFormat/>
    <w:rsid w:val="00AA4A79"/>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A4A79"/>
    <w:rPr>
      <w:b/>
      <w:i/>
    </w:rPr>
  </w:style>
  <w:style w:type="paragraph" w:styleId="NoSpacing">
    <w:name w:val="No Spacing"/>
    <w:next w:val="BodyText"/>
    <w:rsid w:val="00AA4A79"/>
    <w:pPr>
      <w:spacing w:after="0"/>
    </w:pPr>
    <w:rPr>
      <w:sz w:val="18"/>
      <w:lang w:val="en-GB"/>
    </w:rPr>
  </w:style>
  <w:style w:type="paragraph" w:styleId="TOC2">
    <w:name w:val="toc 2"/>
    <w:basedOn w:val="Normal"/>
    <w:next w:val="Normal"/>
    <w:autoRedefine/>
    <w:uiPriority w:val="39"/>
    <w:rsid w:val="00AA4A79"/>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A4A79"/>
    <w:pPr>
      <w:tabs>
        <w:tab w:val="right" w:leader="dot" w:pos="10194"/>
      </w:tabs>
      <w:spacing w:before="240" w:after="0"/>
    </w:pPr>
    <w:rPr>
      <w:rFonts w:cstheme="minorHAnsi"/>
      <w:noProof/>
      <w:color w:val="3F0731" w:themeColor="text2"/>
      <w:szCs w:val="24"/>
    </w:rPr>
  </w:style>
  <w:style w:type="paragraph" w:customStyle="1" w:styleId="Contents">
    <w:name w:val="Contents"/>
    <w:basedOn w:val="PageTitle"/>
    <w:next w:val="BodyText"/>
    <w:uiPriority w:val="99"/>
    <w:unhideWhenUsed/>
    <w:rsid w:val="00AA4A79"/>
    <w:pPr>
      <w:framePr w:wrap="notBeside" w:hAnchor="text" w:y="710"/>
    </w:pPr>
  </w:style>
  <w:style w:type="paragraph" w:customStyle="1" w:styleId="Dateofpapers">
    <w:name w:val="Date of papers"/>
    <w:basedOn w:val="Footer"/>
    <w:link w:val="DateofpapersChar"/>
    <w:uiPriority w:val="99"/>
    <w:rsid w:val="00AA4A79"/>
    <w:pPr>
      <w:spacing w:before="60" w:after="60"/>
    </w:pPr>
  </w:style>
  <w:style w:type="paragraph" w:customStyle="1" w:styleId="Introtext">
    <w:name w:val="Intro text"/>
    <w:basedOn w:val="Normal"/>
    <w:uiPriority w:val="99"/>
    <w:qFormat/>
    <w:rsid w:val="00AA4A79"/>
    <w:rPr>
      <w:color w:val="3F0731" w:themeColor="text2"/>
      <w:sz w:val="24"/>
    </w:rPr>
  </w:style>
  <w:style w:type="paragraph" w:customStyle="1" w:styleId="FrameBody">
    <w:name w:val="Frame Body"/>
    <w:basedOn w:val="FrameHeading"/>
    <w:uiPriority w:val="13"/>
    <w:rsid w:val="00AA4A79"/>
    <w:pPr>
      <w:framePr w:wrap="around"/>
    </w:pPr>
    <w:rPr>
      <w:b w:val="0"/>
      <w:sz w:val="20"/>
    </w:rPr>
  </w:style>
  <w:style w:type="paragraph" w:styleId="BodyText">
    <w:name w:val="Body Text"/>
    <w:link w:val="BodyTextChar"/>
    <w:qFormat/>
    <w:rsid w:val="00AA4A79"/>
    <w:rPr>
      <w:color w:val="000000" w:themeColor="text1"/>
      <w:lang w:val="en-GB"/>
    </w:rPr>
  </w:style>
  <w:style w:type="character" w:customStyle="1" w:styleId="BodyTextChar">
    <w:name w:val="Body Text Char"/>
    <w:basedOn w:val="DefaultParagraphFont"/>
    <w:link w:val="BodyText"/>
    <w:rsid w:val="00AA4A79"/>
    <w:rPr>
      <w:color w:val="000000" w:themeColor="text1"/>
      <w:lang w:val="en-GB"/>
    </w:rPr>
  </w:style>
  <w:style w:type="numbering" w:customStyle="1" w:styleId="Bullets">
    <w:name w:val="Bullets"/>
    <w:uiPriority w:val="99"/>
    <w:rsid w:val="00AA4A79"/>
    <w:pPr>
      <w:numPr>
        <w:numId w:val="12"/>
      </w:numPr>
    </w:pPr>
  </w:style>
  <w:style w:type="paragraph" w:customStyle="1" w:styleId="TableTitle">
    <w:name w:val="Table Title"/>
    <w:basedOn w:val="BodyText"/>
    <w:next w:val="BodyText"/>
    <w:uiPriority w:val="6"/>
    <w:qFormat/>
    <w:rsid w:val="00AA4A79"/>
    <w:pPr>
      <w:keepNext/>
      <w:keepLines/>
      <w:spacing w:before="120"/>
    </w:pPr>
    <w:rPr>
      <w:rFonts w:cstheme="majorHAnsi"/>
      <w:b/>
      <w:color w:val="3F0731" w:themeColor="text2"/>
    </w:rPr>
  </w:style>
  <w:style w:type="paragraph" w:customStyle="1" w:styleId="ShadedBody">
    <w:name w:val="Shaded Body"/>
    <w:basedOn w:val="ShadedHeading"/>
    <w:uiPriority w:val="11"/>
    <w:rsid w:val="00AA4A79"/>
    <w:pPr>
      <w:keepNext w:val="0"/>
      <w:spacing w:before="0"/>
    </w:pPr>
    <w:rPr>
      <w:sz w:val="20"/>
    </w:rPr>
  </w:style>
  <w:style w:type="paragraph" w:customStyle="1" w:styleId="FrameHeading">
    <w:name w:val="Frame Heading"/>
    <w:basedOn w:val="BodyText"/>
    <w:next w:val="FrameBody"/>
    <w:uiPriority w:val="12"/>
    <w:rsid w:val="00AA4A79"/>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A4A79"/>
    <w:rPr>
      <w:kern w:val="2"/>
      <w:sz w:val="22"/>
      <w:szCs w:val="22"/>
      <w:lang w:val="en-GB"/>
      <w14:ligatures w14:val="standardContextual"/>
    </w:rPr>
  </w:style>
  <w:style w:type="character" w:customStyle="1" w:styleId="DateofpapersChar">
    <w:name w:val="Date of papers Char"/>
    <w:basedOn w:val="FooterChar"/>
    <w:link w:val="Dateofpapers"/>
    <w:uiPriority w:val="99"/>
    <w:rsid w:val="00AA4A79"/>
    <w:rPr>
      <w:kern w:val="2"/>
      <w:sz w:val="22"/>
      <w:szCs w:val="22"/>
      <w:lang w:val="en-GB"/>
      <w14:ligatures w14:val="standardContextual"/>
    </w:rPr>
  </w:style>
  <w:style w:type="paragraph" w:customStyle="1" w:styleId="CVName">
    <w:name w:val="CV Name"/>
    <w:basedOn w:val="BodyText"/>
    <w:uiPriority w:val="99"/>
    <w:qFormat/>
    <w:rsid w:val="00AA4A79"/>
    <w:pPr>
      <w:spacing w:before="60" w:after="0"/>
    </w:pPr>
    <w:rPr>
      <w:b/>
      <w:bCs/>
      <w:color w:val="3F0731" w:themeColor="text2"/>
      <w:sz w:val="22"/>
    </w:rPr>
  </w:style>
  <w:style w:type="paragraph" w:customStyle="1" w:styleId="CVlocation">
    <w:name w:val="CV location"/>
    <w:basedOn w:val="BodyText"/>
    <w:uiPriority w:val="99"/>
    <w:rsid w:val="00AA4A79"/>
    <w:pPr>
      <w:spacing w:after="0"/>
    </w:pPr>
    <w:rPr>
      <w:sz w:val="18"/>
    </w:rPr>
  </w:style>
  <w:style w:type="paragraph" w:customStyle="1" w:styleId="CVTitle">
    <w:name w:val="CV Title"/>
    <w:basedOn w:val="BodyText"/>
    <w:uiPriority w:val="99"/>
    <w:qFormat/>
    <w:rsid w:val="00AA4A79"/>
    <w:pPr>
      <w:spacing w:after="0"/>
    </w:pPr>
  </w:style>
  <w:style w:type="paragraph" w:customStyle="1" w:styleId="Backcoverdisclaimer">
    <w:name w:val="Back cover disclaimer"/>
    <w:basedOn w:val="Footer"/>
    <w:uiPriority w:val="99"/>
    <w:qFormat/>
    <w:rsid w:val="00AA4A79"/>
    <w:pPr>
      <w:tabs>
        <w:tab w:val="clear" w:pos="4513"/>
        <w:tab w:val="clear" w:pos="9026"/>
      </w:tabs>
      <w:spacing w:after="160"/>
    </w:pPr>
    <w:rPr>
      <w:noProof/>
      <w:sz w:val="18"/>
    </w:rPr>
  </w:style>
  <w:style w:type="paragraph" w:customStyle="1" w:styleId="Disclaimertext">
    <w:name w:val="Disclaimer text"/>
    <w:basedOn w:val="Backcoverdisclaimer"/>
    <w:uiPriority w:val="99"/>
    <w:rsid w:val="00AA4A79"/>
  </w:style>
  <w:style w:type="paragraph" w:customStyle="1" w:styleId="SourceNotes">
    <w:name w:val="Source &amp; Notes"/>
    <w:basedOn w:val="BodyText"/>
    <w:uiPriority w:val="99"/>
    <w:qFormat/>
    <w:rsid w:val="00AA4A79"/>
    <w:pPr>
      <w:tabs>
        <w:tab w:val="left" w:pos="709"/>
      </w:tabs>
      <w:contextualSpacing/>
    </w:pPr>
    <w:rPr>
      <w:sz w:val="16"/>
    </w:rPr>
  </w:style>
  <w:style w:type="character" w:styleId="UnresolvedMention">
    <w:name w:val="Unresolved Mention"/>
    <w:basedOn w:val="DefaultParagraphFont"/>
    <w:uiPriority w:val="99"/>
    <w:semiHidden/>
    <w:unhideWhenUsed/>
    <w:rsid w:val="00AA4A79"/>
    <w:rPr>
      <w:color w:val="605E5C"/>
      <w:shd w:val="clear" w:color="auto" w:fill="E1DFDD"/>
    </w:rPr>
  </w:style>
  <w:style w:type="character" w:styleId="FollowedHyperlink">
    <w:name w:val="FollowedHyperlink"/>
    <w:basedOn w:val="DefaultParagraphFont"/>
    <w:uiPriority w:val="99"/>
    <w:semiHidden/>
    <w:unhideWhenUsed/>
    <w:rsid w:val="00AA4A79"/>
    <w:rPr>
      <w:color w:val="7A3864" w:themeColor="followedHyperlink"/>
      <w:u w:val="single"/>
    </w:rPr>
  </w:style>
  <w:style w:type="paragraph" w:customStyle="1" w:styleId="SectionHeading">
    <w:name w:val="Section Heading"/>
    <w:basedOn w:val="DocumentTitle"/>
    <w:uiPriority w:val="99"/>
    <w:rsid w:val="00AA4A79"/>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A4A79"/>
    <w:pPr>
      <w:framePr w:w="10038" w:wrap="notBeside" w:vAnchor="page" w:hAnchor="page" w:x="397" w:y="14053" w:anchorLock="1"/>
      <w:numPr>
        <w:numId w:val="19"/>
      </w:numPr>
      <w:spacing w:after="120" w:line="240" w:lineRule="auto"/>
      <w:ind w:right="306"/>
    </w:pPr>
    <w:rPr>
      <w:rFonts w:asciiTheme="majorHAnsi" w:hAnsiTheme="majorHAnsi"/>
      <w:b/>
      <w:bCs/>
      <w:color w:val="000000" w:themeColor="text1"/>
      <w:kern w:val="0"/>
      <w:sz w:val="56"/>
      <w:szCs w:val="24"/>
      <w14:ligatures w14:val="none"/>
    </w:rPr>
  </w:style>
  <w:style w:type="paragraph" w:customStyle="1" w:styleId="SectionSubtitle">
    <w:name w:val="Section Subtitle"/>
    <w:basedOn w:val="Normal"/>
    <w:uiPriority w:val="99"/>
    <w:qFormat/>
    <w:rsid w:val="00AA4A79"/>
    <w:pPr>
      <w:framePr w:w="10038" w:wrap="notBeside" w:vAnchor="page" w:hAnchor="page" w:x="1140" w:y="13885" w:anchorLock="1"/>
      <w:spacing w:after="120" w:line="240" w:lineRule="auto"/>
      <w:ind w:left="1080" w:right="306" w:hanging="720"/>
    </w:pPr>
    <w:rPr>
      <w:rFonts w:ascii="Arial" w:hAnsi="Arial"/>
      <w:color w:val="636462"/>
      <w:kern w:val="0"/>
      <w:sz w:val="52"/>
      <w14:ligatures w14:val="none"/>
    </w:rPr>
  </w:style>
  <w:style w:type="character" w:styleId="PageNumber">
    <w:name w:val="page number"/>
    <w:basedOn w:val="DefaultParagraphFont"/>
    <w:uiPriority w:val="99"/>
    <w:semiHidden/>
    <w:unhideWhenUsed/>
    <w:rsid w:val="00AA4A79"/>
  </w:style>
  <w:style w:type="paragraph" w:customStyle="1" w:styleId="Shadedheading0">
    <w:name w:val="Shaded heading"/>
    <w:basedOn w:val="SectionHeader"/>
    <w:uiPriority w:val="99"/>
    <w:qFormat/>
    <w:rsid w:val="00AA4A79"/>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A4A79"/>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A4A79"/>
    <w:pPr>
      <w:tabs>
        <w:tab w:val="center" w:pos="1438"/>
      </w:tabs>
      <w:spacing w:before="60" w:after="0"/>
    </w:pPr>
    <w:rPr>
      <w:color w:val="3F0731" w:themeColor="text2"/>
      <w:sz w:val="18"/>
    </w:rPr>
  </w:style>
  <w:style w:type="paragraph" w:styleId="NormalWeb">
    <w:name w:val="Normal (Web)"/>
    <w:basedOn w:val="Normal"/>
    <w:uiPriority w:val="99"/>
    <w:unhideWhenUsed/>
    <w:rsid w:val="00AA4A79"/>
    <w:pPr>
      <w:spacing w:before="100" w:beforeAutospacing="1" w:after="100" w:afterAutospacing="1"/>
    </w:pPr>
    <w:rPr>
      <w:rFonts w:ascii="Times New Roman" w:eastAsia="Times New Roman" w:hAnsi="Times New Roman" w:cs="Times New Roman"/>
      <w:sz w:val="24"/>
      <w:szCs w:val="24"/>
      <w:lang w:eastAsia="en-GB"/>
    </w:rPr>
  </w:style>
  <w:style w:type="table" w:customStyle="1" w:styleId="NESO">
    <w:name w:val="NESO"/>
    <w:basedOn w:val="TableNormal"/>
    <w:uiPriority w:val="99"/>
    <w:rsid w:val="00AA4A7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Subtitle">
    <w:name w:val="Subtitle"/>
    <w:basedOn w:val="Normal"/>
    <w:next w:val="Normal"/>
    <w:link w:val="SubtitleChar"/>
    <w:uiPriority w:val="25"/>
    <w:semiHidden/>
    <w:qFormat/>
    <w:rsid w:val="00AA4A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semiHidden/>
    <w:rsid w:val="00AA4A79"/>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semiHidden/>
    <w:qFormat/>
    <w:rsid w:val="00AA4A79"/>
    <w:pPr>
      <w:spacing w:before="160"/>
      <w:jc w:val="center"/>
    </w:pPr>
    <w:rPr>
      <w:i/>
      <w:iCs/>
      <w:color w:val="404040" w:themeColor="text1" w:themeTint="BF"/>
    </w:rPr>
  </w:style>
  <w:style w:type="character" w:customStyle="1" w:styleId="QuoteChar">
    <w:name w:val="Quote Char"/>
    <w:basedOn w:val="DefaultParagraphFont"/>
    <w:link w:val="Quote"/>
    <w:uiPriority w:val="30"/>
    <w:semiHidden/>
    <w:rsid w:val="00AA4A79"/>
    <w:rPr>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semiHidden/>
    <w:qFormat/>
    <w:rsid w:val="00AA4A79"/>
    <w:rPr>
      <w:i/>
      <w:iCs/>
      <w:color w:val="BF00BF" w:themeColor="accent1" w:themeShade="BF"/>
    </w:rPr>
  </w:style>
  <w:style w:type="character" w:styleId="IntenseReference">
    <w:name w:val="Intense Reference"/>
    <w:basedOn w:val="DefaultParagraphFont"/>
    <w:uiPriority w:val="33"/>
    <w:semiHidden/>
    <w:qFormat/>
    <w:rsid w:val="00AA4A79"/>
    <w:rPr>
      <w:b/>
      <w:bCs/>
      <w:smallCaps/>
      <w:color w:val="BF00BF" w:themeColor="accent1" w:themeShade="BF"/>
      <w:spacing w:val="5"/>
    </w:rPr>
  </w:style>
  <w:style w:type="paragraph" w:styleId="BlockText">
    <w:name w:val="Block Text"/>
    <w:basedOn w:val="Footer"/>
    <w:link w:val="BlockTextChar"/>
    <w:rsid w:val="001C4F9A"/>
    <w:pPr>
      <w:tabs>
        <w:tab w:val="clear" w:pos="4513"/>
        <w:tab w:val="clear" w:pos="9026"/>
        <w:tab w:val="center" w:pos="4153"/>
        <w:tab w:val="right" w:pos="8306"/>
      </w:tabs>
      <w:spacing w:after="120" w:line="220" w:lineRule="atLeast"/>
    </w:pPr>
    <w:rPr>
      <w:color w:val="FFFFFF"/>
      <w:sz w:val="18"/>
    </w:rPr>
  </w:style>
  <w:style w:type="character" w:customStyle="1" w:styleId="BlockTextChar">
    <w:name w:val="Block Text Char"/>
    <w:link w:val="BlockText"/>
    <w:rsid w:val="001C4F9A"/>
    <w:rPr>
      <w:rFonts w:ascii="Arial" w:eastAsia="Times New Roman" w:hAnsi="Arial" w:cs="Times New Roman"/>
      <w:color w:val="FFFFFF"/>
      <w:sz w:val="18"/>
      <w:szCs w:val="24"/>
      <w:lang w:val="en-GB" w:eastAsia="en-GB"/>
    </w:rPr>
  </w:style>
  <w:style w:type="paragraph" w:customStyle="1" w:styleId="TOCMOD">
    <w:name w:val="TOC MOD"/>
    <w:basedOn w:val="Normal"/>
    <w:qFormat/>
    <w:rsid w:val="001C4F9A"/>
    <w:pPr>
      <w:framePr w:hSpace="181" w:vSpace="181" w:wrap="around" w:vAnchor="text" w:hAnchor="text" w:y="1"/>
      <w:tabs>
        <w:tab w:val="left" w:pos="382"/>
        <w:tab w:val="right" w:pos="7655"/>
      </w:tabs>
      <w:ind w:right="318"/>
    </w:pPr>
    <w:rPr>
      <w:b/>
      <w:bCs/>
      <w:noProof/>
      <w:color w:val="008576"/>
      <w:sz w:val="24"/>
    </w:rPr>
  </w:style>
  <w:style w:type="paragraph" w:customStyle="1" w:styleId="Checklist">
    <w:name w:val="Checklist"/>
    <w:basedOn w:val="Normal"/>
    <w:link w:val="ChecklistChar"/>
    <w:qFormat/>
    <w:rsid w:val="00734829"/>
    <w:pPr>
      <w:keepNext/>
      <w:numPr>
        <w:ilvl w:val="7"/>
      </w:numPr>
      <w:shd w:val="clear" w:color="auto" w:fill="650B4E" w:themeFill="text2" w:themeFillTint="E6"/>
      <w:spacing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734829"/>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5"/>
    <w:locked/>
    <w:rsid w:val="001C4F9A"/>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2756452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716470522">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36778875">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34971145">
      <w:bodyDiv w:val="1"/>
      <w:marLeft w:val="0"/>
      <w:marRight w:val="0"/>
      <w:marTop w:val="0"/>
      <w:marBottom w:val="0"/>
      <w:divBdr>
        <w:top w:val="none" w:sz="0" w:space="0" w:color="auto"/>
        <w:left w:val="none" w:sz="0" w:space="0" w:color="auto"/>
        <w:bottom w:val="none" w:sz="0" w:space="0" w:color="auto"/>
        <w:right w:val="none" w:sz="0" w:space="0" w:color="auto"/>
      </w:divBdr>
    </w:div>
    <w:div w:id="1990942038">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defense.com/v3/__https:/www.ofgem.gov.uk/publications/seeking-industry-action-mitigate-investment-impacts-very-high-projected-tnuos-charges?utm_medium=email&amp;utm_source=dotMailer&amp;utm_campaign=Daily-Alert_30-09-2024&amp;utm_content=Seeking*industry*action*to*mitigate*the*investment*impacts*of*very*high*projected*TNUoS*charges&amp;dm_i=1QCB,8QQJB,8QRJH9,10BYF7,1__;KysrKysrKysrKysrKw!!B3hxM_NYsQ!yT5KILf-MO5qM1teYQy4fXyzw8-k9trQuocO7vmq1CrUaQG8fWuewAAi2SerdrrqVIIHK7xJDZlM_d9j8cYJ8k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customXml/itemProps4.xml><?xml version="1.0" encoding="utf-8"?>
<ds:datastoreItem xmlns:ds="http://schemas.openxmlformats.org/officeDocument/2006/customXml" ds:itemID="{80D2F14B-138C-4704-9431-4FE8C8285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1202</TotalTime>
  <Pages>6</Pages>
  <Words>1516</Words>
  <Characters>8645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Rivalland (ESO)</dc:creator>
  <cp:keywords/>
  <dc:description/>
  <cp:lastModifiedBy>Milly Lewis</cp:lastModifiedBy>
  <cp:revision>34</cp:revision>
  <cp:lastPrinted>2020-06-01T14:47:00Z</cp:lastPrinted>
  <dcterms:created xsi:type="dcterms:W3CDTF">2024-10-15T10:04:00Z</dcterms:created>
  <dcterms:modified xsi:type="dcterms:W3CDTF">2024-10-29T07:05:00Z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GrammarlyDocumentId">
    <vt:lpwstr>d9d622e2-3461-4d27-b8c5-4be217988c33</vt:lpwstr>
  </property>
</Properties>
</file>