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D7423" w14:textId="77777777" w:rsidR="00B24C90" w:rsidRDefault="00B24C90">
      <w:pPr>
        <w:pStyle w:val="Heading1"/>
        <w:keepNext w:val="0"/>
        <w:pageBreakBefore w:val="0"/>
        <w:widowControl w:val="0"/>
        <w:rPr>
          <w:rFonts w:ascii="Arial" w:hAnsi="Arial"/>
          <w:u w:val="single"/>
        </w:rPr>
      </w:pPr>
      <w:bookmarkStart w:id="0" w:name="_Toc493310304"/>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t>CUSC - SECTION 3</w:t>
      </w:r>
      <w:r>
        <w:rPr>
          <w:rFonts w:ascii="Arial" w:hAnsi="Arial"/>
          <w:sz w:val="24"/>
          <w:u w:val="single"/>
        </w:rPr>
        <w:br/>
      </w:r>
      <w:r>
        <w:rPr>
          <w:rFonts w:ascii="Arial" w:hAnsi="Arial"/>
          <w:sz w:val="24"/>
          <w:u w:val="single"/>
        </w:rPr>
        <w:br/>
        <w:t>USE OF SYSTEM</w:t>
      </w:r>
      <w:bookmarkEnd w:id="0"/>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1"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1"/>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there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 xml:space="preserve">If the conditions precedent of 3.2.2(a)(i)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2" w:name="_Toc490940267"/>
      <w:r>
        <w:rPr>
          <w:rFonts w:ascii="Arial" w:hAnsi="Arial"/>
          <w:b/>
        </w:rPr>
        <w:t>OTHER SITE SPECIFIC TECHNICAL CONDITIONS</w:t>
      </w:r>
      <w:bookmarkEnd w:id="2"/>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PersonName">
        <w:smartTag w:uri="urn:schemas-microsoft-com:office:smarttags" w:element="Stat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Bilateral Embedded 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Pr>
          <w:rFonts w:ascii="Arial" w:hAnsi="Arial"/>
          <w:b/>
        </w:rPr>
        <w:t xml:space="preserve">Transmission 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3"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Insofar as the provisions of this Paragraph 3.6 conflict with any other provision of this Section 3 dealing with an equivalent issue, the provisions of this Paragraph 3.6 shall prevail in relation to such a category.</w:t>
      </w:r>
    </w:p>
    <w:p w14:paraId="301B424D" w14:textId="77777777"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Pr>
          <w:rFonts w:ascii="Arial" w:hAnsi="Arial"/>
          <w:b/>
        </w:rPr>
        <w:t>Transmission 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rsidP="00C94A29">
      <w:pPr>
        <w:pStyle w:val="Heading4"/>
        <w:numPr>
          <w:ilvl w:val="0"/>
          <w:numId w:val="0"/>
        </w:numPr>
        <w:ind w:left="1134" w:hanging="567"/>
        <w:rPr>
          <w:rFonts w:ascii="Arial" w:hAnsi="Arial" w:cs="Arial"/>
          <w:b/>
          <w:szCs w:val="24"/>
        </w:rPr>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3.6.9.1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777777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3.6.9.1,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77777777"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3.6.9.1:</w:t>
      </w:r>
    </w:p>
    <w:p w14:paraId="62479DCC" w14:textId="77777777" w:rsidR="00C94A29" w:rsidRPr="0072521E" w:rsidRDefault="00C94A29" w:rsidP="00C94A29">
      <w:pPr>
        <w:pStyle w:val="Default"/>
        <w:ind w:left="851" w:hanging="851"/>
        <w:jc w:val="both"/>
        <w:rPr>
          <w:color w:val="auto"/>
        </w:rPr>
      </w:pPr>
    </w:p>
    <w:p w14:paraId="707D8342" w14:textId="77777777"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3.6.9.7,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3"/>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Default="00B24C90" w:rsidP="008C4C8D">
      <w:pPr>
        <w:pStyle w:val="Heading4"/>
        <w:ind w:hanging="851"/>
        <w:jc w:val="both"/>
        <w:rPr>
          <w:rFonts w:ascii="Arial" w:hAnsi="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4BB9F238" w14:textId="77777777" w:rsidR="001F48BD" w:rsidRPr="00F63103" w:rsidRDefault="002C6F31" w:rsidP="008C4C8D">
      <w:pPr>
        <w:pStyle w:val="Heading4"/>
        <w:ind w:hanging="851"/>
        <w:jc w:val="both"/>
        <w:rPr>
          <w:rFonts w:ascii="Arial" w:hAnsi="Arial"/>
          <w:color w:val="FF0000"/>
        </w:rPr>
      </w:pPr>
      <w:r w:rsidRPr="00F63103">
        <w:rPr>
          <w:rFonts w:ascii="Arial" w:hAnsi="Arial"/>
          <w:color w:val="FF0000"/>
        </w:rPr>
        <w:t xml:space="preserve">Where </w:t>
      </w:r>
      <w:r w:rsidR="001F48BD" w:rsidRPr="00F63103">
        <w:rPr>
          <w:rFonts w:ascii="Arial" w:hAnsi="Arial"/>
          <w:color w:val="FF0000"/>
        </w:rPr>
        <w:t xml:space="preserve">the </w:t>
      </w:r>
      <w:r w:rsidR="001F48BD" w:rsidRPr="00F63103">
        <w:rPr>
          <w:rFonts w:ascii="Arial" w:hAnsi="Arial"/>
          <w:b/>
          <w:bCs/>
          <w:color w:val="FF0000"/>
        </w:rPr>
        <w:t>Use of System Application</w:t>
      </w:r>
      <w:r w:rsidR="001F48BD" w:rsidRPr="00F63103">
        <w:rPr>
          <w:rFonts w:ascii="Arial" w:hAnsi="Arial"/>
          <w:color w:val="FF0000"/>
        </w:rPr>
        <w:t>:</w:t>
      </w:r>
    </w:p>
    <w:p w14:paraId="587418D8" w14:textId="77D93D4E" w:rsidR="00B24C90" w:rsidRDefault="00653BD1" w:rsidP="00F63103">
      <w:pPr>
        <w:pStyle w:val="Heading4"/>
        <w:numPr>
          <w:ilvl w:val="0"/>
          <w:numId w:val="0"/>
        </w:numPr>
        <w:ind w:left="1560" w:hanging="851"/>
        <w:jc w:val="both"/>
        <w:rPr>
          <w:rFonts w:ascii="Arial" w:hAnsi="Arial"/>
        </w:rPr>
      </w:pPr>
      <w:r w:rsidRPr="009439C9">
        <w:rPr>
          <w:rFonts w:ascii="Arial" w:hAnsi="Arial"/>
          <w:color w:val="FF0000"/>
        </w:rPr>
        <w:t>3.7.2.1</w:t>
      </w:r>
      <w:r>
        <w:rPr>
          <w:rFonts w:ascii="Arial" w:hAnsi="Arial"/>
        </w:rPr>
        <w:tab/>
      </w:r>
      <w:r w:rsidRPr="00F63103">
        <w:rPr>
          <w:rFonts w:ascii="Arial" w:hAnsi="Arial"/>
          <w:color w:val="FF0000"/>
        </w:rPr>
        <w:t xml:space="preserve">is not a </w:t>
      </w:r>
      <w:r w:rsidRPr="00F63103">
        <w:rPr>
          <w:rFonts w:ascii="Arial" w:hAnsi="Arial"/>
          <w:b/>
          <w:bCs/>
          <w:color w:val="FF0000"/>
        </w:rPr>
        <w:t xml:space="preserve">Gated </w:t>
      </w:r>
      <w:r w:rsidR="00F63103" w:rsidRPr="00F63103">
        <w:rPr>
          <w:rFonts w:ascii="Arial" w:hAnsi="Arial"/>
          <w:b/>
          <w:bCs/>
          <w:color w:val="FF0000"/>
        </w:rPr>
        <w:t>Application</w:t>
      </w:r>
      <w:r w:rsidR="00F63103" w:rsidRPr="00F63103">
        <w:rPr>
          <w:rFonts w:ascii="Arial" w:hAnsi="Arial"/>
          <w:color w:val="FF0000"/>
        </w:rPr>
        <w:t xml:space="preserve">, </w:t>
      </w:r>
      <w:proofErr w:type="spellStart"/>
      <w:r w:rsidR="00F63103" w:rsidRPr="00F63103">
        <w:rPr>
          <w:rFonts w:ascii="Arial" w:hAnsi="Arial"/>
          <w:color w:val="FF0000"/>
        </w:rPr>
        <w:t>w</w:t>
      </w:r>
      <w:r w:rsidR="00B24C90" w:rsidRPr="00F63103">
        <w:rPr>
          <w:rFonts w:ascii="Arial" w:hAnsi="Arial"/>
          <w:strike/>
        </w:rPr>
        <w:t>W</w:t>
      </w:r>
      <w:r w:rsidR="00B24C90">
        <w:rPr>
          <w:rFonts w:ascii="Arial" w:hAnsi="Arial"/>
        </w:rPr>
        <w:t>ithout</w:t>
      </w:r>
      <w:proofErr w:type="spellEnd"/>
      <w:r w:rsidR="00B24C90">
        <w:rPr>
          <w:rFonts w:ascii="Arial" w:hAnsi="Arial"/>
        </w:rPr>
        <w:t xml:space="preserve"> prejudice to </w:t>
      </w:r>
      <w:commentRangeStart w:id="4"/>
      <w:r w:rsidR="00B24C90">
        <w:rPr>
          <w:rFonts w:ascii="Arial" w:hAnsi="Arial"/>
        </w:rPr>
        <w:t xml:space="preserve">Standard Condition C8 of the </w:t>
      </w:r>
      <w:r w:rsidR="00B24C90">
        <w:rPr>
          <w:rFonts w:ascii="Arial" w:hAnsi="Arial"/>
          <w:b/>
        </w:rPr>
        <w:t xml:space="preserve">Transmission Licence </w:t>
      </w:r>
      <w:commentRangeEnd w:id="4"/>
      <w:r w:rsidR="00F63103">
        <w:rPr>
          <w:rStyle w:val="CommentReference"/>
        </w:rPr>
        <w:commentReference w:id="4"/>
      </w:r>
      <w:r w:rsidR="00B24C90">
        <w:rPr>
          <w:rFonts w:ascii="Arial" w:hAnsi="Arial"/>
          <w:b/>
        </w:rPr>
        <w:t>The Company</w:t>
      </w:r>
      <w:r w:rsidR="00B24C90">
        <w:rPr>
          <w:rFonts w:ascii="Arial" w:hAnsi="Arial"/>
        </w:rPr>
        <w:t xml:space="preserve"> shall make a </w:t>
      </w:r>
      <w:r w:rsidR="00B24C90">
        <w:rPr>
          <w:rFonts w:ascii="Arial" w:hAnsi="Arial"/>
          <w:b/>
        </w:rPr>
        <w:t>Use of System Offer</w:t>
      </w:r>
      <w:r w:rsidR="00B24C90">
        <w:rPr>
          <w:rFonts w:ascii="Arial" w:hAnsi="Arial"/>
        </w:rPr>
        <w:t xml:space="preserve"> to that </w:t>
      </w:r>
      <w:r w:rsidR="00B24C90">
        <w:rPr>
          <w:rFonts w:ascii="Arial" w:hAnsi="Arial"/>
          <w:b/>
        </w:rPr>
        <w:t>User</w:t>
      </w:r>
      <w:r w:rsidR="00B24C90">
        <w:rPr>
          <w:rFonts w:ascii="Arial" w:hAnsi="Arial"/>
        </w:rPr>
        <w:t xml:space="preserve"> as soon as practicable after receipt of the </w:t>
      </w:r>
      <w:r w:rsidR="00B24C90">
        <w:rPr>
          <w:rFonts w:ascii="Arial" w:hAnsi="Arial"/>
          <w:b/>
        </w:rPr>
        <w:t>Use of System</w:t>
      </w:r>
      <w:r w:rsidR="00B24C90">
        <w:rPr>
          <w:rFonts w:ascii="Arial" w:hAnsi="Arial"/>
        </w:rPr>
        <w:t xml:space="preserve"> </w:t>
      </w:r>
      <w:r w:rsidR="00B24C90">
        <w:rPr>
          <w:rFonts w:ascii="Arial" w:hAnsi="Arial"/>
          <w:b/>
        </w:rPr>
        <w:t>Application</w:t>
      </w:r>
      <w:r w:rsidR="00B24C90">
        <w:rPr>
          <w:rFonts w:ascii="Arial" w:hAnsi="Arial"/>
        </w:rPr>
        <w:t xml:space="preserve"> and (save where the </w:t>
      </w:r>
      <w:r w:rsidR="00B24C90">
        <w:rPr>
          <w:rFonts w:ascii="Arial" w:hAnsi="Arial"/>
          <w:b/>
        </w:rPr>
        <w:t>Authority</w:t>
      </w:r>
      <w:r w:rsidR="00B24C90">
        <w:rPr>
          <w:rFonts w:ascii="Arial" w:hAnsi="Arial"/>
        </w:rPr>
        <w:t xml:space="preserve"> consents to a longer period) in any event not more than 28 days after receipt by </w:t>
      </w:r>
      <w:r w:rsidR="00B24C90">
        <w:rPr>
          <w:rFonts w:ascii="Arial" w:hAnsi="Arial"/>
          <w:b/>
        </w:rPr>
        <w:t>The Company</w:t>
      </w:r>
      <w:r w:rsidR="00B24C90">
        <w:rPr>
          <w:rFonts w:ascii="Arial" w:hAnsi="Arial"/>
        </w:rPr>
        <w:t xml:space="preserve"> of the </w:t>
      </w:r>
      <w:r w:rsidR="00B24C90">
        <w:rPr>
          <w:rFonts w:ascii="Arial" w:hAnsi="Arial"/>
          <w:b/>
        </w:rPr>
        <w:t>Use of System Application</w:t>
      </w:r>
      <w:r w:rsidR="00B24C90">
        <w:rPr>
          <w:rFonts w:ascii="Arial" w:hAnsi="Arial"/>
        </w:rPr>
        <w:t>.</w:t>
      </w:r>
    </w:p>
    <w:p w14:paraId="2FEE326C" w14:textId="30D245FC" w:rsidR="009439C9" w:rsidRPr="009439C9" w:rsidRDefault="009439C9" w:rsidP="00F63103">
      <w:pPr>
        <w:pStyle w:val="Heading4"/>
        <w:numPr>
          <w:ilvl w:val="0"/>
          <w:numId w:val="0"/>
        </w:numPr>
        <w:ind w:left="1560" w:hanging="851"/>
        <w:jc w:val="both"/>
        <w:rPr>
          <w:rFonts w:ascii="Arial" w:hAnsi="Arial"/>
          <w:color w:val="FF0000"/>
        </w:rPr>
      </w:pPr>
      <w:r w:rsidRPr="009439C9">
        <w:rPr>
          <w:rFonts w:ascii="Arial" w:hAnsi="Arial"/>
          <w:color w:val="FF0000"/>
        </w:rPr>
        <w:t>3.7.2.2</w:t>
      </w:r>
      <w:r w:rsidR="00C94AFE">
        <w:rPr>
          <w:rFonts w:ascii="Arial" w:hAnsi="Arial"/>
          <w:color w:val="FF0000"/>
        </w:rPr>
        <w:t xml:space="preserve"> </w:t>
      </w:r>
      <w:r>
        <w:rPr>
          <w:rFonts w:ascii="Arial" w:hAnsi="Arial"/>
          <w:color w:val="FF0000"/>
        </w:rPr>
        <w:t xml:space="preserve">is a </w:t>
      </w:r>
      <w:r w:rsidRPr="00E86624">
        <w:rPr>
          <w:rFonts w:ascii="Arial" w:hAnsi="Arial"/>
          <w:b/>
          <w:bCs/>
          <w:color w:val="FF0000"/>
        </w:rPr>
        <w:t>Gated Applicat</w:t>
      </w:r>
      <w:r w:rsidR="00C94AFE" w:rsidRPr="00E86624">
        <w:rPr>
          <w:rFonts w:ascii="Arial" w:hAnsi="Arial"/>
          <w:b/>
          <w:bCs/>
          <w:color w:val="FF0000"/>
        </w:rPr>
        <w:t>ion</w:t>
      </w:r>
      <w:r w:rsidR="00C94AFE">
        <w:rPr>
          <w:rFonts w:ascii="Arial" w:hAnsi="Arial"/>
          <w:color w:val="FF0000"/>
        </w:rPr>
        <w:t xml:space="preserve">, the </w:t>
      </w:r>
      <w:r w:rsidR="00C94AFE" w:rsidRPr="00E86624">
        <w:rPr>
          <w:rFonts w:ascii="Arial" w:hAnsi="Arial"/>
          <w:b/>
          <w:bCs/>
          <w:color w:val="FF0000"/>
        </w:rPr>
        <w:t>Use of System Application</w:t>
      </w:r>
      <w:r w:rsidR="00C94AFE">
        <w:rPr>
          <w:rFonts w:ascii="Arial" w:hAnsi="Arial"/>
          <w:color w:val="FF0000"/>
        </w:rPr>
        <w:t xml:space="preserve"> and </w:t>
      </w:r>
      <w:r w:rsidR="00C94AFE" w:rsidRPr="00E86624">
        <w:rPr>
          <w:rFonts w:ascii="Arial" w:hAnsi="Arial"/>
          <w:b/>
          <w:bCs/>
          <w:color w:val="FF0000"/>
        </w:rPr>
        <w:t>Use of System Offer</w:t>
      </w:r>
      <w:r w:rsidR="00C94AFE">
        <w:rPr>
          <w:rFonts w:ascii="Arial" w:hAnsi="Arial"/>
          <w:color w:val="FF0000"/>
        </w:rPr>
        <w:t xml:space="preserve"> shall be processed in accordance with the </w:t>
      </w:r>
      <w:r w:rsidR="00C94AFE" w:rsidRPr="00E86624">
        <w:rPr>
          <w:rFonts w:ascii="Arial" w:hAnsi="Arial"/>
          <w:b/>
          <w:bCs/>
          <w:color w:val="FF0000"/>
        </w:rPr>
        <w:t>Gated Application and Offer Process</w:t>
      </w:r>
      <w:r w:rsidR="00E86624">
        <w:rPr>
          <w:rFonts w:ascii="Arial" w:hAnsi="Arial"/>
          <w:color w:val="FF0000"/>
        </w:rPr>
        <w:t>.</w:t>
      </w:r>
    </w:p>
    <w:p w14:paraId="78EA098E" w14:textId="77777777" w:rsidR="00B24C90" w:rsidRDefault="00B24C90" w:rsidP="008C4C8D">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in 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77777777"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w:t>
      </w:r>
      <w:commentRangeStart w:id="5"/>
      <w:r>
        <w:rPr>
          <w:rFonts w:ascii="Arial" w:hAnsi="Arial"/>
        </w:rPr>
        <w:t xml:space="preserve">under Standard Condition C9 of the </w:t>
      </w:r>
      <w:r>
        <w:rPr>
          <w:rFonts w:ascii="Arial" w:hAnsi="Arial"/>
          <w:b/>
        </w:rPr>
        <w:t>Transmission Licence</w:t>
      </w:r>
      <w:commentRangeEnd w:id="5"/>
      <w:r w:rsidR="00E86624">
        <w:rPr>
          <w:rStyle w:val="CommentReference"/>
        </w:rPr>
        <w:commentReference w:id="5"/>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77777777"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63898938" w:rsidR="00B24C90"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 xml:space="preserve">of System Charging Methodology </w:t>
      </w:r>
      <w:r w:rsidRPr="00DF2982">
        <w:rPr>
          <w:rFonts w:ascii="Arial" w:hAnsi="Arial" w:cs="Arial"/>
        </w:rPr>
        <w:t xml:space="preserve">and Standard Condition C13 of the </w:t>
      </w:r>
      <w:r w:rsidRPr="00DF2982">
        <w:rPr>
          <w:rFonts w:ascii="Arial" w:hAnsi="Arial" w:cs="Arial"/>
          <w:b/>
        </w:rPr>
        <w:t>Transmission Licence</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 </w:t>
      </w:r>
      <w:r w:rsidRPr="00DF2982">
        <w:rPr>
          <w:rFonts w:ascii="Arial" w:hAnsi="Arial" w:cs="Arial"/>
        </w:rPr>
        <w:t xml:space="preserve">and Standard Condition C13 of the </w:t>
      </w:r>
      <w:r w:rsidRPr="00DF2982">
        <w:rPr>
          <w:rFonts w:ascii="Arial" w:hAnsi="Arial" w:cs="Arial"/>
          <w:b/>
        </w:rPr>
        <w:t>Transmission Licence</w:t>
      </w:r>
      <w:r w:rsidR="00B24C90">
        <w:rPr>
          <w:rFonts w:ascii="Arial" w:hAnsi="Arial"/>
          <w:i/>
        </w:rPr>
        <w:t>.</w:t>
      </w:r>
    </w:p>
    <w:p w14:paraId="0A78C56B" w14:textId="77777777" w:rsidR="00B24C90" w:rsidRDefault="00B24C90" w:rsidP="00065502">
      <w:pPr>
        <w:pStyle w:val="Heading4"/>
        <w:ind w:hanging="851"/>
        <w:jc w:val="both"/>
        <w:rPr>
          <w:rFonts w:ascii="Arial" w:hAnsi="Arial"/>
        </w:rPr>
      </w:pPr>
      <w:r>
        <w:rPr>
          <w:rFonts w:ascii="Arial" w:hAnsi="Arial"/>
        </w:rPr>
        <w:t>Each</w:t>
      </w:r>
      <w:r>
        <w:rPr>
          <w:rFonts w:ascii="Arial" w:hAnsi="Arial"/>
          <w:b/>
        </w:rPr>
        <w:t xml:space="preserve"> User</w:t>
      </w:r>
      <w:r>
        <w:rPr>
          <w:rFonts w:ascii="Arial" w:hAnsi="Arial"/>
        </w:rPr>
        <w:t xml:space="preserve"> shall,</w:t>
      </w:r>
      <w:r>
        <w:rPr>
          <w:rFonts w:ascii="Arial" w:hAnsi="Arial"/>
          <w:b/>
        </w:rPr>
        <w:t xml:space="preserve"> </w:t>
      </w:r>
      <w:r>
        <w:rPr>
          <w:rFonts w:ascii="Arial" w:hAnsi="Arial"/>
        </w:rPr>
        <w:t xml:space="preserve">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 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(or </w:t>
      </w:r>
      <w:r>
        <w:rPr>
          <w:rFonts w:ascii="Arial" w:hAnsi="Arial"/>
          <w:b/>
        </w:rPr>
        <w:t>The Company</w:t>
      </w:r>
      <w:r>
        <w:rPr>
          <w:rFonts w:ascii="Arial" w:hAnsi="Arial"/>
        </w:rPr>
        <w:t xml:space="preserve"> shall be so liable to pay to the </w:t>
      </w:r>
      <w:r>
        <w:rPr>
          <w:rFonts w:ascii="Arial" w:hAnsi="Arial"/>
          <w:b/>
        </w:rPr>
        <w:t>User</w:t>
      </w:r>
      <w:r>
        <w:rPr>
          <w:rFonts w:ascii="Arial" w:hAnsi="Arial"/>
        </w:rPr>
        <w:t xml:space="preserve">) the </w:t>
      </w:r>
      <w:r>
        <w:rPr>
          <w:rFonts w:ascii="Arial" w:hAnsi="Arial"/>
          <w:b/>
        </w:rPr>
        <w:t>Transmission</w:t>
      </w:r>
      <w:r>
        <w:rPr>
          <w:rFonts w:ascii="Arial" w:hAnsi="Arial"/>
        </w:rPr>
        <w:t xml:space="preserve"> </w:t>
      </w:r>
      <w:r>
        <w:rPr>
          <w:rFonts w:ascii="Arial" w:hAnsi="Arial"/>
          <w:b/>
        </w:rPr>
        <w:t>Network Use of System Charges</w:t>
      </w:r>
      <w:r>
        <w:rPr>
          <w:rFonts w:ascii="Arial" w:hAnsi="Arial"/>
        </w:rPr>
        <w:t xml:space="preserve"> and (if appropriate) the </w:t>
      </w:r>
      <w:r>
        <w:rPr>
          <w:rFonts w:ascii="Arial" w:hAnsi="Arial"/>
          <w:b/>
        </w:rPr>
        <w:t>STTEC</w:t>
      </w:r>
      <w:r>
        <w:rPr>
          <w:rFonts w:ascii="Arial" w:hAnsi="Arial"/>
        </w:rPr>
        <w:t xml:space="preserve"> </w:t>
      </w:r>
      <w:r w:rsidR="002C4636">
        <w:rPr>
          <w:rFonts w:ascii="Arial" w:hAnsi="Arial"/>
        </w:rPr>
        <w:t xml:space="preserve">and </w:t>
      </w:r>
      <w:r w:rsidR="002C4636" w:rsidRPr="002C4636">
        <w:rPr>
          <w:rFonts w:ascii="Arial" w:hAnsi="Arial"/>
          <w:b/>
        </w:rPr>
        <w:t xml:space="preserve">LDTEC Charge </w:t>
      </w:r>
      <w:r>
        <w:rPr>
          <w:rFonts w:ascii="Arial" w:hAnsi="Arial"/>
        </w:rPr>
        <w:t xml:space="preserve">in respect of its use of the </w:t>
      </w:r>
      <w:r w:rsidR="00BC2E4D">
        <w:rPr>
          <w:rFonts w:ascii="Arial" w:hAnsi="Arial"/>
          <w:b/>
        </w:rPr>
        <w:t>National Electricity Transmission</w:t>
      </w:r>
      <w:r>
        <w:rPr>
          <w:rFonts w:ascii="Arial" w:hAnsi="Arial"/>
          <w:b/>
        </w:rPr>
        <w:t xml:space="preserve"> System</w:t>
      </w:r>
      <w:r>
        <w:rPr>
          <w:rFonts w:ascii="Arial" w:hAnsi="Arial"/>
        </w:rPr>
        <w:t xml:space="preserve"> applied and calculated in accordance with the </w:t>
      </w:r>
      <w:r>
        <w:rPr>
          <w:rFonts w:ascii="Arial" w:hAnsi="Arial"/>
          <w:b/>
        </w:rPr>
        <w:t>Statement of</w:t>
      </w:r>
      <w:r>
        <w:rPr>
          <w:rFonts w:ascii="Arial" w:hAnsi="Arial"/>
        </w:rPr>
        <w:t xml:space="preserve"> </w:t>
      </w:r>
      <w:r>
        <w:rPr>
          <w:rFonts w:ascii="Arial" w:hAnsi="Arial"/>
          <w:b/>
        </w:rPr>
        <w:t xml:space="preserve">Use of System Charges </w:t>
      </w:r>
      <w:r>
        <w:rPr>
          <w:rFonts w:ascii="Arial" w:hAnsi="Arial"/>
        </w:rPr>
        <w:t xml:space="preserve">and </w:t>
      </w:r>
      <w:r>
        <w:rPr>
          <w:rFonts w:ascii="Arial" w:hAnsi="Arial"/>
          <w:b/>
        </w:rPr>
        <w:t xml:space="preserve">Statement of the Use of System Charging Methodology </w:t>
      </w:r>
      <w:r>
        <w:rPr>
          <w:rFonts w:ascii="Arial" w:hAnsi="Arial"/>
        </w:rPr>
        <w:t xml:space="preserve">and Standard Condition C13 of the </w:t>
      </w:r>
      <w:r>
        <w:rPr>
          <w:rFonts w:ascii="Arial" w:hAnsi="Arial"/>
          <w:b/>
        </w:rPr>
        <w:t>Transmission Licence</w:t>
      </w:r>
      <w:r>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6"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6"/>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Pr="006A6A9C">
        <w:rPr>
          <w:rFonts w:ascii="Arial" w:hAnsi="Arial"/>
          <w:b/>
        </w:rPr>
        <w:t>Transmission 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Pr="006A6A9C">
        <w:rPr>
          <w:rFonts w:ascii="Arial" w:hAnsi="Arial"/>
          <w:b/>
        </w:rPr>
        <w:t>Transmission</w:t>
      </w:r>
      <w:r w:rsidRPr="006A6A9C">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Pr="006A6A9C">
        <w:rPr>
          <w:rFonts w:ascii="Arial" w:hAnsi="Arial"/>
          <w:b/>
        </w:rPr>
        <w:t>Transmission</w:t>
      </w:r>
      <w:r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77777777"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Pr="006A6A9C">
        <w:rPr>
          <w:rFonts w:ascii="Arial" w:hAnsi="Arial"/>
          <w:b/>
        </w:rPr>
        <w:t>Transmission</w:t>
      </w:r>
      <w:r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Calculation of </w:t>
      </w:r>
      <w:r w:rsidRPr="006A6A9C">
        <w:rPr>
          <w:rFonts w:ascii="Arial" w:hAnsi="Arial" w:cs="Arial"/>
          <w:b/>
          <w:bCs/>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Calculation of </w:t>
      </w:r>
      <w:r w:rsidRPr="006A6A9C">
        <w:rPr>
          <w:rFonts w:ascii="Arial" w:hAnsi="Arial" w:cs="Arial"/>
          <w:b/>
          <w:bCs/>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3B222A71"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 xml:space="preserve">2A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35pt;height:40.05pt" o:ole="">
            <v:imagedata r:id="rId19" o:title=""/>
          </v:shape>
          <o:OLEObject Type="Embed" ProgID="Equation.3" ShapeID="_x0000_i1025" DrawAspect="Content" ObjectID="_1787394043" r:id="rId20"/>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000000"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5pt;height:40.05pt" o:ole="">
            <v:imagedata r:id="rId21" o:title=""/>
          </v:shape>
          <o:OLEObject Type="Embed" ProgID="Equation.3" ShapeID="_x0000_i1026" DrawAspect="Content" ObjectID="_1787394044" r:id="rId22"/>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5EEA5907" w:rsidR="000B0D52" w:rsidRPr="006A6A9C" w:rsidRDefault="000B0D52" w:rsidP="00243D86">
      <w:pPr>
        <w:pStyle w:val="Heading5"/>
        <w:numPr>
          <w:ilvl w:val="0"/>
          <w:numId w:val="0"/>
        </w:numPr>
        <w:tabs>
          <w:tab w:val="left" w:pos="990"/>
        </w:tabs>
        <w:ind w:left="990" w:firstLine="900"/>
        <w:rPr>
          <w:rFonts w:ascii="Arial" w:hAnsi="Arial" w:cs="Arial"/>
          <w:szCs w:val="24"/>
        </w:rPr>
      </w:pPr>
      <w:r w:rsidRPr="006A6A9C">
        <w:rPr>
          <w:rFonts w:ascii="Cambria Math" w:hAnsi="Cambria Math" w:cs="Arial"/>
        </w:rPr>
        <w:br/>
      </w:r>
      <m:oMathPara>
        <m:oMath>
          <m:sSub>
            <m:sSubPr>
              <m:ctrlPr>
                <w:ins w:id="7" w:author="Author">
                  <w:rPr>
                    <w:rFonts w:ascii="Cambria Math" w:hAnsi="Cambria Math" w:cs="Arial"/>
                    <w:i/>
                  </w:rPr>
                </w:ins>
              </m:ctrlPr>
            </m:sSubPr>
            <m:e>
              <m:r>
                <w:ins w:id="8" w:author="Author">
                  <w:rPr>
                    <w:rFonts w:ascii="Cambria Math" w:hAnsi="Cambria Math" w:cs="Arial"/>
                  </w:rPr>
                  <m:t>RIA</m:t>
                </w:ins>
              </m:r>
            </m:e>
            <m:sub>
              <m:r>
                <w:ins w:id="9" w:author="Author">
                  <w:rPr>
                    <w:rFonts w:ascii="Cambria Math" w:hAnsi="Cambria Math" w:cs="Arial"/>
                  </w:rPr>
                  <m:t>NHH, m</m:t>
                </w:ins>
              </m:r>
            </m:sub>
          </m:sSub>
          <m:r>
            <w:ins w:id="10" w:author="Author">
              <w:rPr>
                <w:rFonts w:ascii="Cambria Math" w:hAnsi="Cambria Math" w:cs="Arial"/>
              </w:rPr>
              <m:t>= min</m:t>
            </w:ins>
          </m:r>
          <m:d>
            <m:dPr>
              <m:begChr m:val="["/>
              <m:endChr m:val="]"/>
              <m:ctrlPr>
                <w:ins w:id="11" w:author="Author">
                  <w:rPr>
                    <w:rFonts w:ascii="Cambria Math" w:hAnsi="Cambria Math" w:cs="Arial"/>
                    <w:i/>
                  </w:rPr>
                </w:ins>
              </m:ctrlPr>
            </m:dPr>
            <m:e>
              <m:d>
                <m:dPr>
                  <m:ctrlPr>
                    <w:ins w:id="12" w:author="Author">
                      <w:rPr>
                        <w:rFonts w:ascii="Cambria Math" w:hAnsi="Cambria Math" w:cs="Arial"/>
                        <w:i/>
                      </w:rPr>
                    </w:ins>
                  </m:ctrlPr>
                </m:dPr>
                <m:e>
                  <m:r>
                    <w:ins w:id="13" w:author="Author">
                      <w:rPr>
                        <w:rFonts w:ascii="Cambria Math" w:hAnsi="Cambria Math" w:cs="Arial"/>
                      </w:rPr>
                      <m:t>1+</m:t>
                    </w:ins>
                  </m:r>
                  <m:d>
                    <m:dPr>
                      <m:begChr m:val="["/>
                      <m:endChr m:val="]"/>
                      <m:ctrlPr>
                        <w:ins w:id="14" w:author="Author">
                          <w:rPr>
                            <w:rFonts w:ascii="Cambria Math" w:hAnsi="Cambria Math" w:cs="Arial"/>
                            <w:i/>
                          </w:rPr>
                        </w:ins>
                      </m:ctrlPr>
                    </m:dPr>
                    <m:e>
                      <m:r>
                        <w:ins w:id="15" w:author="Author">
                          <w:rPr>
                            <w:rFonts w:ascii="Cambria Math" w:hAnsi="Cambria Math" w:cs="Arial"/>
                          </w:rPr>
                          <m:t>max</m:t>
                        </w:ins>
                      </m:r>
                      <m:d>
                        <m:dPr>
                          <m:ctrlPr>
                            <w:ins w:id="16" w:author="Author">
                              <w:rPr>
                                <w:rFonts w:ascii="Cambria Math" w:hAnsi="Cambria Math" w:cs="Arial"/>
                                <w:i/>
                              </w:rPr>
                            </w:ins>
                          </m:ctrlPr>
                        </m:dPr>
                        <m:e>
                          <m:f>
                            <m:fPr>
                              <m:ctrlPr>
                                <w:ins w:id="17" w:author="Author">
                                  <w:rPr>
                                    <w:rFonts w:ascii="Cambria Math" w:hAnsi="Cambria Math" w:cs="Arial"/>
                                    <w:i/>
                                  </w:rPr>
                                </w:ins>
                              </m:ctrlPr>
                            </m:fPr>
                            <m:num>
                              <m:sSub>
                                <m:sSubPr>
                                  <m:ctrlPr>
                                    <w:ins w:id="18" w:author="Author">
                                      <w:rPr>
                                        <w:rFonts w:ascii="Cambria Math" w:hAnsi="Cambria Math" w:cs="Arial"/>
                                        <w:i/>
                                      </w:rPr>
                                    </w:ins>
                                  </m:ctrlPr>
                                </m:sSubPr>
                                <m:e>
                                  <m:r>
                                    <w:ins w:id="19" w:author="Author">
                                      <w:rPr>
                                        <w:rFonts w:ascii="Cambria Math" w:hAnsi="Cambria Math" w:cs="Arial"/>
                                      </w:rPr>
                                      <m:t>DUB</m:t>
                                    </w:ins>
                                  </m:r>
                                </m:e>
                                <m:sub>
                                  <m:r>
                                    <w:ins w:id="20" w:author="Author">
                                      <w:rPr>
                                        <w:rFonts w:ascii="Cambria Math" w:hAnsi="Cambria Math" w:cs="Arial"/>
                                      </w:rPr>
                                      <m:t>NHH,p</m:t>
                                    </w:ins>
                                  </m:r>
                                </m:sub>
                              </m:sSub>
                            </m:num>
                            <m:den>
                              <m:sSub>
                                <m:sSubPr>
                                  <m:ctrlPr>
                                    <w:ins w:id="21" w:author="Author">
                                      <w:rPr>
                                        <w:rFonts w:ascii="Cambria Math" w:hAnsi="Cambria Math" w:cs="Arial"/>
                                        <w:i/>
                                      </w:rPr>
                                    </w:ins>
                                  </m:ctrlPr>
                                </m:sSubPr>
                                <m:e>
                                  <m:r>
                                    <w:ins w:id="22" w:author="Author">
                                      <w:rPr>
                                        <w:rFonts w:ascii="Cambria Math" w:hAnsi="Cambria Math" w:cs="Arial"/>
                                      </w:rPr>
                                      <m:t>DUA</m:t>
                                    </w:ins>
                                  </m:r>
                                </m:e>
                                <m:sub>
                                  <m:r>
                                    <w:ins w:id="23" w:author="Author">
                                      <w:rPr>
                                        <w:rFonts w:ascii="Cambria Math" w:hAnsi="Cambria Math" w:cs="Arial"/>
                                      </w:rPr>
                                      <m:t>NHH,p</m:t>
                                    </w:ins>
                                  </m:r>
                                </m:sub>
                              </m:sSub>
                            </m:den>
                          </m:f>
                          <m:r>
                            <w:ins w:id="24" w:author="Author">
                              <w:rPr>
                                <w:rFonts w:ascii="Cambria Math" w:hAnsi="Cambria Math" w:cs="Arial"/>
                              </w:rPr>
                              <m:t xml:space="preserve">- </m:t>
                            </w:ins>
                          </m:r>
                          <m:f>
                            <m:fPr>
                              <m:ctrlPr>
                                <w:ins w:id="25" w:author="Author">
                                  <w:rPr>
                                    <w:rFonts w:ascii="Cambria Math" w:hAnsi="Cambria Math" w:cs="Arial"/>
                                    <w:i/>
                                  </w:rPr>
                                </w:ins>
                              </m:ctrlPr>
                            </m:fPr>
                            <m:num>
                              <m:sSub>
                                <m:sSubPr>
                                  <m:ctrlPr>
                                    <w:ins w:id="26" w:author="Author">
                                      <w:rPr>
                                        <w:rFonts w:ascii="Cambria Math" w:hAnsi="Cambria Math" w:cs="Arial"/>
                                        <w:i/>
                                      </w:rPr>
                                    </w:ins>
                                  </m:ctrlPr>
                                </m:sSubPr>
                                <m:e>
                                  <m:r>
                                    <w:ins w:id="27" w:author="Author">
                                      <w:rPr>
                                        <w:rFonts w:ascii="Cambria Math" w:hAnsi="Cambria Math" w:cs="Arial"/>
                                      </w:rPr>
                                      <m:t>DSB</m:t>
                                    </w:ins>
                                  </m:r>
                                </m:e>
                                <m:sub>
                                  <m:r>
                                    <w:ins w:id="28" w:author="Author">
                                      <w:rPr>
                                        <w:rFonts w:ascii="Cambria Math" w:hAnsi="Cambria Math" w:cs="Arial"/>
                                      </w:rPr>
                                      <m:t>NHH,p</m:t>
                                    </w:ins>
                                  </m:r>
                                </m:sub>
                              </m:sSub>
                            </m:num>
                            <m:den>
                              <m:sSub>
                                <m:sSubPr>
                                  <m:ctrlPr>
                                    <w:ins w:id="29" w:author="Author">
                                      <w:rPr>
                                        <w:rFonts w:ascii="Cambria Math" w:hAnsi="Cambria Math" w:cs="Arial"/>
                                        <w:i/>
                                      </w:rPr>
                                    </w:ins>
                                  </m:ctrlPr>
                                </m:sSubPr>
                                <m:e>
                                  <m:r>
                                    <w:ins w:id="30" w:author="Author">
                                      <w:rPr>
                                        <w:rFonts w:ascii="Cambria Math" w:hAnsi="Cambria Math" w:cs="Arial"/>
                                      </w:rPr>
                                      <m:t>DSA</m:t>
                                    </w:ins>
                                  </m:r>
                                </m:e>
                                <m:sub>
                                  <m:r>
                                    <w:ins w:id="31" w:author="Author">
                                      <w:rPr>
                                        <w:rFonts w:ascii="Cambria Math" w:hAnsi="Cambria Math" w:cs="Arial"/>
                                      </w:rPr>
                                      <m:t>NHH,p</m:t>
                                    </w:ins>
                                  </m:r>
                                </m:sub>
                              </m:sSub>
                            </m:den>
                          </m:f>
                          <m:r>
                            <w:ins w:id="32" w:author="Author">
                              <w:rPr>
                                <w:rFonts w:ascii="Cambria Math" w:hAnsi="Cambria Math" w:cs="Arial"/>
                              </w:rPr>
                              <m:t>, 0</m:t>
                            </w:ins>
                          </m:r>
                        </m:e>
                      </m:d>
                      <m:r>
                        <w:ins w:id="33" w:author="Author">
                          <w:rPr>
                            <w:rFonts w:ascii="Cambria Math" w:hAnsi="Cambria Math" w:cs="Arial"/>
                          </w:rPr>
                          <m:t xml:space="preserve">* </m:t>
                        </w:ins>
                      </m:r>
                      <m:sSub>
                        <m:sSubPr>
                          <m:ctrlPr>
                            <w:ins w:id="34" w:author="Author">
                              <w:rPr>
                                <w:rFonts w:ascii="Cambria Math" w:hAnsi="Cambria Math" w:cs="Arial"/>
                                <w:i/>
                              </w:rPr>
                            </w:ins>
                          </m:ctrlPr>
                        </m:sSubPr>
                        <m:e>
                          <m:r>
                            <w:ins w:id="35" w:author="Author">
                              <w:rPr>
                                <w:rFonts w:ascii="Cambria Math" w:hAnsi="Cambria Math" w:cs="Arial"/>
                              </w:rPr>
                              <m:t>RD</m:t>
                            </w:ins>
                          </m:r>
                        </m:e>
                        <m:sub>
                          <m:r>
                            <w:ins w:id="36" w:author="Author">
                              <w:rPr>
                                <w:rFonts w:ascii="Cambria Math" w:hAnsi="Cambria Math" w:cs="Arial"/>
                              </w:rPr>
                              <m:t>NHH,p</m:t>
                            </w:ins>
                          </m:r>
                        </m:sub>
                      </m:sSub>
                    </m:e>
                  </m:d>
                </m:e>
              </m:d>
              <m:r>
                <w:ins w:id="37" w:author="Author">
                  <w:rPr>
                    <w:rFonts w:ascii="Cambria Math" w:hAnsi="Cambria Math" w:cs="Arial"/>
                  </w:rPr>
                  <m:t xml:space="preserve">* </m:t>
                </w:ins>
              </m:r>
              <m:sSub>
                <m:sSubPr>
                  <m:ctrlPr>
                    <w:ins w:id="38" w:author="Author">
                      <w:rPr>
                        <w:rFonts w:ascii="Cambria Math" w:hAnsi="Cambria Math" w:cs="Arial"/>
                        <w:i/>
                      </w:rPr>
                    </w:ins>
                  </m:ctrlPr>
                </m:sSubPr>
                <m:e>
                  <m:r>
                    <w:ins w:id="39" w:author="Author">
                      <w:rPr>
                        <w:rFonts w:ascii="Cambria Math" w:hAnsi="Cambria Math" w:cs="Arial"/>
                      </w:rPr>
                      <m:t>IA</m:t>
                    </w:ins>
                  </m:r>
                </m:e>
                <m:sub>
                  <m:r>
                    <w:ins w:id="40" w:author="Author">
                      <w:rPr>
                        <w:rFonts w:ascii="Cambria Math" w:hAnsi="Cambria Math" w:cs="Arial"/>
                      </w:rPr>
                      <m:t>NHH,m</m:t>
                    </w:ins>
                  </m:r>
                </m:sub>
              </m:sSub>
              <m:r>
                <w:ins w:id="41" w:author="Author">
                  <w:rPr>
                    <w:rFonts w:ascii="Cambria Math" w:hAnsi="Cambria Math" w:cs="Arial"/>
                  </w:rPr>
                  <m:t xml:space="preserve">, </m:t>
                </w:ins>
              </m:r>
              <m:sSub>
                <m:sSubPr>
                  <m:ctrlPr>
                    <w:ins w:id="42" w:author="Author">
                      <w:rPr>
                        <w:rFonts w:ascii="Cambria Math" w:hAnsi="Cambria Math" w:cs="Arial"/>
                        <w:i/>
                      </w:rPr>
                    </w:ins>
                  </m:ctrlPr>
                </m:sSubPr>
                <m:e>
                  <m:r>
                    <w:ins w:id="43" w:author="Author">
                      <w:rPr>
                        <w:rFonts w:ascii="Cambria Math" w:hAnsi="Cambria Math" w:cs="Arial"/>
                      </w:rPr>
                      <m:t>IA</m:t>
                    </w:ins>
                  </m:r>
                </m:e>
                <m:sub>
                  <m:r>
                    <w:ins w:id="44" w:author="Author">
                      <w:rPr>
                        <w:rFonts w:ascii="Cambria Math" w:hAnsi="Cambria Math" w:cs="Arial"/>
                      </w:rPr>
                      <m:t>NHH,p</m:t>
                    </w:ins>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3"/>
      <w:footerReference w:type="default" r:id="rId24"/>
      <w:footerReference w:type="first" r:id="rId25"/>
      <w:pgSz w:w="11907" w:h="16840" w:code="9"/>
      <w:pgMar w:top="1412" w:right="1701" w:bottom="1412" w:left="1701"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thor" w:initials="A">
    <w:p w14:paraId="1915F470" w14:textId="77777777" w:rsidR="00F63103" w:rsidRDefault="00F63103" w:rsidP="009B55E8">
      <w:pPr>
        <w:pStyle w:val="CommentText"/>
      </w:pPr>
      <w:r>
        <w:rPr>
          <w:rStyle w:val="CommentReference"/>
        </w:rPr>
        <w:annotationRef/>
      </w:r>
      <w:r>
        <w:t>To be updated for NESO</w:t>
      </w:r>
    </w:p>
  </w:comment>
  <w:comment w:id="5" w:author="Author" w:initials="A">
    <w:p w14:paraId="0DD3B3A2" w14:textId="77777777" w:rsidR="00E86624" w:rsidRDefault="00E86624" w:rsidP="002A14A5">
      <w:pPr>
        <w:pStyle w:val="CommentText"/>
      </w:pPr>
      <w:r>
        <w:rPr>
          <w:rStyle w:val="CommentReference"/>
        </w:rPr>
        <w:annotationRef/>
      </w:r>
      <w:r>
        <w:t>Updated for NESO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15F470" w15:done="0"/>
  <w15:commentEx w15:paraId="0DD3B3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15F470" w16cid:durableId="2A80DA8E"/>
  <w16cid:commentId w16cid:paraId="0DD3B3A2" w16cid:durableId="2A80DB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85BBD" w14:textId="77777777" w:rsidR="00163E0A" w:rsidRDefault="00163E0A">
      <w:r>
        <w:separator/>
      </w:r>
    </w:p>
  </w:endnote>
  <w:endnote w:type="continuationSeparator" w:id="0">
    <w:p w14:paraId="1F3B9048" w14:textId="77777777" w:rsidR="00163E0A" w:rsidRDefault="00163E0A">
      <w:r>
        <w:continuationSeparator/>
      </w:r>
    </w:p>
  </w:endnote>
  <w:endnote w:type="continuationNotice" w:id="1">
    <w:p w14:paraId="611E3131" w14:textId="77777777" w:rsidR="00163E0A" w:rsidRDefault="00163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6BDA861C" w:rsidR="008F7C50" w:rsidRDefault="002C1FAB">
    <w:pPr>
      <w:pStyle w:val="Footer"/>
    </w:pPr>
    <w:fldSimple w:instr="KEYWORDS  \* MERGEFORMAT">
      <w:r w:rsidR="00FC13ED">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8BAC" w14:textId="6059FDEB"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r w:rsidR="00C62788" w:rsidRPr="00BC61DC">
      <w:rPr>
        <w:rStyle w:val="PageNumber"/>
        <w:rFonts w:ascii="Arial" w:hAnsi="Arial" w:cs="Arial"/>
        <w:sz w:val="20"/>
      </w:rPr>
      <w:t>4</w:t>
    </w:r>
    <w:r w:rsidR="0053079C" w:rsidRPr="00BC61DC">
      <w:rPr>
        <w:rStyle w:val="PageNumber"/>
        <w:rFonts w:ascii="Arial" w:hAnsi="Arial" w:cs="Arial"/>
        <w:sz w:val="20"/>
      </w:rPr>
      <w:t xml:space="preserve"> </w:t>
    </w:r>
    <w:r w:rsidRPr="00BC61DC">
      <w:rPr>
        <w:rStyle w:val="PageNumber"/>
        <w:rFonts w:ascii="Arial" w:hAnsi="Arial" w:cs="Arial"/>
        <w:sz w:val="20"/>
      </w:rPr>
      <w:t>–</w:t>
    </w:r>
    <w:r w:rsidR="009D1D4B" w:rsidRPr="00BC61DC">
      <w:rPr>
        <w:rStyle w:val="PageNumber"/>
        <w:rFonts w:ascii="Arial" w:hAnsi="Arial" w:cs="Arial"/>
        <w:sz w:val="20"/>
      </w:rPr>
      <w:t xml:space="preserve"> </w:t>
    </w:r>
    <w:r w:rsidR="00C62788" w:rsidRPr="00BC61DC">
      <w:rPr>
        <w:rStyle w:val="PageNumber"/>
        <w:rFonts w:ascii="Arial" w:hAnsi="Arial" w:cs="Arial"/>
        <w:sz w:val="20"/>
      </w:rPr>
      <w:t>1 April</w:t>
    </w:r>
    <w:r w:rsidR="004E7DE5" w:rsidRPr="00BC61DC">
      <w:rPr>
        <w:rStyle w:val="PageNumber"/>
        <w:rFonts w:ascii="Arial" w:hAnsi="Arial" w:cs="Arial"/>
        <w:sz w:val="20"/>
      </w:rPr>
      <w:t xml:space="preserve"> 202</w:t>
    </w:r>
    <w:r w:rsidR="00C62788" w:rsidRPr="00BC61DC">
      <w:rPr>
        <w:rStyle w:val="PageNumber"/>
        <w:rFonts w:ascii="Arial" w:hAnsi="Arial" w:cs="Arial"/>
        <w:sz w:val="20"/>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CD2F" w14:textId="120D24D1"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r w:rsidR="00BE46A5" w:rsidRPr="0021297A">
      <w:rPr>
        <w:rStyle w:val="PageNumber"/>
        <w:rFonts w:ascii="Arial" w:hAnsi="Arial" w:cs="Arial"/>
        <w:sz w:val="20"/>
      </w:rPr>
      <w:t>2</w:t>
    </w:r>
    <w:r w:rsidR="00275948" w:rsidRPr="0021297A">
      <w:rPr>
        <w:rStyle w:val="PageNumber"/>
        <w:rFonts w:ascii="Arial" w:hAnsi="Arial" w:cs="Arial"/>
        <w:sz w:val="20"/>
      </w:rPr>
      <w:t>4</w:t>
    </w:r>
    <w:r w:rsidRPr="0021297A">
      <w:rPr>
        <w:rStyle w:val="PageNumber"/>
        <w:rFonts w:ascii="Arial" w:hAnsi="Arial" w:cs="Arial"/>
        <w:sz w:val="20"/>
      </w:rPr>
      <w:t xml:space="preserve"> – </w:t>
    </w:r>
    <w:r w:rsidR="00A34809" w:rsidRPr="0021297A">
      <w:rPr>
        <w:rStyle w:val="PageNumber"/>
        <w:rFonts w:ascii="Arial" w:hAnsi="Arial" w:cs="Arial"/>
        <w:sz w:val="20"/>
      </w:rPr>
      <w:t>1 April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95C2" w14:textId="77777777" w:rsidR="00163E0A" w:rsidRDefault="00163E0A"/>
  </w:footnote>
  <w:footnote w:type="continuationSeparator" w:id="0">
    <w:p w14:paraId="5462109C" w14:textId="77777777" w:rsidR="00163E0A" w:rsidRDefault="00163E0A">
      <w:r>
        <w:continuationSeparator/>
      </w:r>
    </w:p>
  </w:footnote>
  <w:footnote w:type="continuationNotice" w:id="1">
    <w:p w14:paraId="718E3469" w14:textId="77777777" w:rsidR="00163E0A" w:rsidRDefault="00163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16DE" w14:textId="65D2E7E7"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40A" w14:textId="7ACD28B2"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275948" w:rsidRPr="0021297A">
      <w:rPr>
        <w:rFonts w:ascii="Arial" w:hAnsi="Arial"/>
        <w:snapToGrid w:val="0"/>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Vt8rNYnXd5TWHlM1T5qHrVwbRTn+ZchmcV9Ijb+oH7qi4U6WzR9tCAC0+9i+DHraN/pz2F8pxJEY0l11FItjcw==" w:salt="zhhgi9wlKQaHps6iMQHAaA=="/>
  <w:defaultTabStop w:val="851"/>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45C8"/>
    <w:rsid w:val="0003374A"/>
    <w:rsid w:val="00035666"/>
    <w:rsid w:val="0004135C"/>
    <w:rsid w:val="00047910"/>
    <w:rsid w:val="00065502"/>
    <w:rsid w:val="00065BE5"/>
    <w:rsid w:val="00076B4D"/>
    <w:rsid w:val="000804F5"/>
    <w:rsid w:val="00085FD1"/>
    <w:rsid w:val="000A1EB4"/>
    <w:rsid w:val="000B0D52"/>
    <w:rsid w:val="000B5B54"/>
    <w:rsid w:val="000B6169"/>
    <w:rsid w:val="000C0707"/>
    <w:rsid w:val="000D28BC"/>
    <w:rsid w:val="000D433F"/>
    <w:rsid w:val="000F552D"/>
    <w:rsid w:val="0010298D"/>
    <w:rsid w:val="0010314C"/>
    <w:rsid w:val="00106FBC"/>
    <w:rsid w:val="001224B3"/>
    <w:rsid w:val="001278CA"/>
    <w:rsid w:val="00130136"/>
    <w:rsid w:val="00134DEE"/>
    <w:rsid w:val="001502E4"/>
    <w:rsid w:val="00163E0A"/>
    <w:rsid w:val="0016531A"/>
    <w:rsid w:val="00181C91"/>
    <w:rsid w:val="001B23DB"/>
    <w:rsid w:val="001C6E3F"/>
    <w:rsid w:val="001D384D"/>
    <w:rsid w:val="001E7F70"/>
    <w:rsid w:val="001F0A3F"/>
    <w:rsid w:val="001F2F9C"/>
    <w:rsid w:val="001F48BD"/>
    <w:rsid w:val="00200D5F"/>
    <w:rsid w:val="0021297A"/>
    <w:rsid w:val="00231F78"/>
    <w:rsid w:val="00243D86"/>
    <w:rsid w:val="0027356A"/>
    <w:rsid w:val="00275948"/>
    <w:rsid w:val="00275FF7"/>
    <w:rsid w:val="002802BC"/>
    <w:rsid w:val="00291E76"/>
    <w:rsid w:val="002A08FD"/>
    <w:rsid w:val="002A3EAE"/>
    <w:rsid w:val="002C1FAB"/>
    <w:rsid w:val="002C213B"/>
    <w:rsid w:val="002C3DB5"/>
    <w:rsid w:val="002C4636"/>
    <w:rsid w:val="002C52D2"/>
    <w:rsid w:val="002C6F31"/>
    <w:rsid w:val="002E5D56"/>
    <w:rsid w:val="002E683C"/>
    <w:rsid w:val="002F4725"/>
    <w:rsid w:val="0030750F"/>
    <w:rsid w:val="00313406"/>
    <w:rsid w:val="003223C8"/>
    <w:rsid w:val="00341368"/>
    <w:rsid w:val="003414CD"/>
    <w:rsid w:val="00344A2E"/>
    <w:rsid w:val="003452A2"/>
    <w:rsid w:val="00354948"/>
    <w:rsid w:val="00377A93"/>
    <w:rsid w:val="00384225"/>
    <w:rsid w:val="003F22E3"/>
    <w:rsid w:val="004320CE"/>
    <w:rsid w:val="0043542D"/>
    <w:rsid w:val="00451730"/>
    <w:rsid w:val="0045179F"/>
    <w:rsid w:val="004722F4"/>
    <w:rsid w:val="004825BE"/>
    <w:rsid w:val="00483779"/>
    <w:rsid w:val="00486940"/>
    <w:rsid w:val="00486AC6"/>
    <w:rsid w:val="004931E5"/>
    <w:rsid w:val="004A0530"/>
    <w:rsid w:val="004A3BB9"/>
    <w:rsid w:val="004C5EC0"/>
    <w:rsid w:val="004E42A3"/>
    <w:rsid w:val="004E7DE5"/>
    <w:rsid w:val="004F1F05"/>
    <w:rsid w:val="004F3A8D"/>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E364D"/>
    <w:rsid w:val="005F22D9"/>
    <w:rsid w:val="005F5498"/>
    <w:rsid w:val="00616BBE"/>
    <w:rsid w:val="00622B1B"/>
    <w:rsid w:val="00627EDC"/>
    <w:rsid w:val="00653BD1"/>
    <w:rsid w:val="006563F5"/>
    <w:rsid w:val="00683BC7"/>
    <w:rsid w:val="006A6A9C"/>
    <w:rsid w:val="006E658A"/>
    <w:rsid w:val="00711150"/>
    <w:rsid w:val="00716212"/>
    <w:rsid w:val="007218AB"/>
    <w:rsid w:val="0072521E"/>
    <w:rsid w:val="00732E1C"/>
    <w:rsid w:val="007411D2"/>
    <w:rsid w:val="00762360"/>
    <w:rsid w:val="0076287F"/>
    <w:rsid w:val="00785223"/>
    <w:rsid w:val="007856C1"/>
    <w:rsid w:val="00791BD8"/>
    <w:rsid w:val="00792763"/>
    <w:rsid w:val="007F0BCC"/>
    <w:rsid w:val="00814390"/>
    <w:rsid w:val="00821A84"/>
    <w:rsid w:val="00825186"/>
    <w:rsid w:val="008367EE"/>
    <w:rsid w:val="00843952"/>
    <w:rsid w:val="00843DFA"/>
    <w:rsid w:val="008440C4"/>
    <w:rsid w:val="00852596"/>
    <w:rsid w:val="008639D5"/>
    <w:rsid w:val="00880C4D"/>
    <w:rsid w:val="008A6E1B"/>
    <w:rsid w:val="008B198D"/>
    <w:rsid w:val="008B2DF6"/>
    <w:rsid w:val="008C40CB"/>
    <w:rsid w:val="008C4C8D"/>
    <w:rsid w:val="008D4CFF"/>
    <w:rsid w:val="008D7A78"/>
    <w:rsid w:val="008E2C5C"/>
    <w:rsid w:val="008E3797"/>
    <w:rsid w:val="008E40C7"/>
    <w:rsid w:val="008E5014"/>
    <w:rsid w:val="008F3C38"/>
    <w:rsid w:val="008F562E"/>
    <w:rsid w:val="008F7C50"/>
    <w:rsid w:val="009154DE"/>
    <w:rsid w:val="00924D4E"/>
    <w:rsid w:val="009439C9"/>
    <w:rsid w:val="00943AC2"/>
    <w:rsid w:val="0096293E"/>
    <w:rsid w:val="00976969"/>
    <w:rsid w:val="009806FD"/>
    <w:rsid w:val="009818D4"/>
    <w:rsid w:val="00982BFB"/>
    <w:rsid w:val="009C3132"/>
    <w:rsid w:val="009D1D4B"/>
    <w:rsid w:val="009D6C8A"/>
    <w:rsid w:val="009D7B7D"/>
    <w:rsid w:val="009E2F97"/>
    <w:rsid w:val="009E3C86"/>
    <w:rsid w:val="009F1082"/>
    <w:rsid w:val="00A038F3"/>
    <w:rsid w:val="00A1615D"/>
    <w:rsid w:val="00A16836"/>
    <w:rsid w:val="00A22FF0"/>
    <w:rsid w:val="00A31571"/>
    <w:rsid w:val="00A34809"/>
    <w:rsid w:val="00A36607"/>
    <w:rsid w:val="00A4688D"/>
    <w:rsid w:val="00A47C21"/>
    <w:rsid w:val="00A5780F"/>
    <w:rsid w:val="00A57D17"/>
    <w:rsid w:val="00A72FB7"/>
    <w:rsid w:val="00A9318C"/>
    <w:rsid w:val="00AD7D7D"/>
    <w:rsid w:val="00AE0EA0"/>
    <w:rsid w:val="00AE4170"/>
    <w:rsid w:val="00AE621A"/>
    <w:rsid w:val="00AF4751"/>
    <w:rsid w:val="00AF4C20"/>
    <w:rsid w:val="00AF7374"/>
    <w:rsid w:val="00B0384E"/>
    <w:rsid w:val="00B24C90"/>
    <w:rsid w:val="00B32D9D"/>
    <w:rsid w:val="00B47657"/>
    <w:rsid w:val="00B47EA0"/>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F6387"/>
    <w:rsid w:val="00BF7931"/>
    <w:rsid w:val="00C0459C"/>
    <w:rsid w:val="00C06691"/>
    <w:rsid w:val="00C13B54"/>
    <w:rsid w:val="00C2712A"/>
    <w:rsid w:val="00C307D9"/>
    <w:rsid w:val="00C44A99"/>
    <w:rsid w:val="00C551A8"/>
    <w:rsid w:val="00C62788"/>
    <w:rsid w:val="00C86A35"/>
    <w:rsid w:val="00C9245F"/>
    <w:rsid w:val="00C94A29"/>
    <w:rsid w:val="00C94AFE"/>
    <w:rsid w:val="00C957D3"/>
    <w:rsid w:val="00C9610D"/>
    <w:rsid w:val="00CC0D65"/>
    <w:rsid w:val="00CC3A98"/>
    <w:rsid w:val="00CC6D09"/>
    <w:rsid w:val="00CD0514"/>
    <w:rsid w:val="00CE34BB"/>
    <w:rsid w:val="00CF76D2"/>
    <w:rsid w:val="00D33366"/>
    <w:rsid w:val="00D40FF9"/>
    <w:rsid w:val="00D453CA"/>
    <w:rsid w:val="00D51DA6"/>
    <w:rsid w:val="00D63DB3"/>
    <w:rsid w:val="00D64523"/>
    <w:rsid w:val="00D75F13"/>
    <w:rsid w:val="00D871B6"/>
    <w:rsid w:val="00D93B17"/>
    <w:rsid w:val="00D94605"/>
    <w:rsid w:val="00DD5139"/>
    <w:rsid w:val="00DF2982"/>
    <w:rsid w:val="00E054D6"/>
    <w:rsid w:val="00E13730"/>
    <w:rsid w:val="00E22C9C"/>
    <w:rsid w:val="00E24253"/>
    <w:rsid w:val="00E31610"/>
    <w:rsid w:val="00E54A16"/>
    <w:rsid w:val="00E5662B"/>
    <w:rsid w:val="00E66488"/>
    <w:rsid w:val="00E67A5E"/>
    <w:rsid w:val="00E725B7"/>
    <w:rsid w:val="00E745F1"/>
    <w:rsid w:val="00E86624"/>
    <w:rsid w:val="00E879E7"/>
    <w:rsid w:val="00EB35FA"/>
    <w:rsid w:val="00EC58F8"/>
    <w:rsid w:val="00EC634B"/>
    <w:rsid w:val="00EE4669"/>
    <w:rsid w:val="00EF4EE6"/>
    <w:rsid w:val="00F008F5"/>
    <w:rsid w:val="00F128F4"/>
    <w:rsid w:val="00F356E0"/>
    <w:rsid w:val="00F36A1E"/>
    <w:rsid w:val="00F40274"/>
    <w:rsid w:val="00F40ABB"/>
    <w:rsid w:val="00F620CE"/>
    <w:rsid w:val="00F63103"/>
    <w:rsid w:val="00F70F2A"/>
    <w:rsid w:val="00F778CA"/>
    <w:rsid w:val="00FB64DD"/>
    <w:rsid w:val="00FC13ED"/>
    <w:rsid w:val="00FD7F57"/>
    <w:rsid w:val="00FE481A"/>
    <w:rsid w:val="00FE5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0"/>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2C1FAB"/>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oleObject" Target="embeddings/oleObject2.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customXml/itemProps2.xml><?xml version="1.0" encoding="utf-8"?>
<ds:datastoreItem xmlns:ds="http://schemas.openxmlformats.org/officeDocument/2006/customXml" ds:itemID="{43E246DB-2906-4A07-B394-AC0DC7D00C16}">
  <ds:schemaRefs>
    <ds:schemaRef ds:uri="http://schemas.microsoft.com/sharepoint/v3/contenttype/forms"/>
  </ds:schemaRefs>
</ds:datastoreItem>
</file>

<file path=customXml/itemProps3.xml><?xml version="1.0" encoding="utf-8"?>
<ds:datastoreItem xmlns:ds="http://schemas.openxmlformats.org/officeDocument/2006/customXml" ds:itemID="{0416CD80-4E4E-4A96-9EFF-C4AEB49C019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CD436F27-FF57-4853-9696-A003D53F4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14768</Words>
  <Characters>84183</Characters>
  <Application>Microsoft Office Word</Application>
  <DocSecurity>10</DocSecurity>
  <Lines>701</Lines>
  <Paragraphs>197</Paragraphs>
  <ScaleCrop>false</ScaleCrop>
  <HeadingPairs>
    <vt:vector size="2" baseType="variant">
      <vt:variant>
        <vt:lpstr>Title</vt:lpstr>
      </vt:variant>
      <vt:variant>
        <vt:i4>1</vt:i4>
      </vt:variant>
    </vt:vector>
  </HeadingPairs>
  <TitlesOfParts>
    <vt:vector size="1" baseType="lpstr">
      <vt:lpstr>CUSC - SECTION 3</vt:lpstr>
    </vt:vector>
  </TitlesOfParts>
  <LinksUpToDate>false</LinksUpToDate>
  <CharactersWithSpaces>98754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2024-09-09T08:42:00Z</dcterms:created>
  <dcterms:modified xsi:type="dcterms:W3CDTF">2024-09-09T12:34:00Z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ies>
</file>