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A86" w:rsidRDefault="00E62A86" w:rsidP="00E62A86">
      <w:pPr>
        <w:pStyle w:val="Heading1"/>
        <w:numPr>
          <w:ilvl w:val="0"/>
          <w:numId w:val="0"/>
        </w:numPr>
      </w:pPr>
      <w:bookmarkStart w:id="0" w:name="_Toc288131448"/>
      <w:r>
        <w:t xml:space="preserve"> </w:t>
      </w:r>
      <w:r w:rsidR="004F3D8B">
        <w:t xml:space="preserve">GLDPM </w:t>
      </w:r>
      <w:r w:rsidR="006B12C9">
        <w:t>Consultation</w:t>
      </w:r>
      <w:r>
        <w:t xml:space="preserve"> Response Proforma</w:t>
      </w:r>
      <w:bookmarkEnd w:id="0"/>
    </w:p>
    <w:p w:rsidR="00481DC0" w:rsidRDefault="00481DC0" w:rsidP="00E62A86">
      <w:pPr>
        <w:rPr>
          <w:rFonts w:cs="Arial"/>
          <w:b/>
          <w:szCs w:val="22"/>
        </w:rPr>
      </w:pPr>
    </w:p>
    <w:p w:rsidR="004F3D8B" w:rsidRPr="001A5F5C" w:rsidRDefault="004F3D8B" w:rsidP="004F3D8B">
      <w:pPr>
        <w:jc w:val="both"/>
      </w:pPr>
      <w:r w:rsidRPr="001A5F5C">
        <w:rPr>
          <w:b/>
        </w:rPr>
        <w:t xml:space="preserve">Consultation on the implementation of the Generation and Load Data Provision Methodology within existing GB framework </w:t>
      </w:r>
      <w:r w:rsidRPr="001A5F5C">
        <w:t xml:space="preserve"> </w:t>
      </w:r>
    </w:p>
    <w:p w:rsidR="00976E28" w:rsidRPr="003F639A" w:rsidRDefault="00976E28" w:rsidP="00976E28">
      <w:pPr>
        <w:rPr>
          <w:rFonts w:cs="Arial"/>
          <w:szCs w:val="22"/>
        </w:rPr>
      </w:pPr>
    </w:p>
    <w:p w:rsidR="00E62A86" w:rsidRPr="003F639A" w:rsidRDefault="00E62A86" w:rsidP="00E62A86">
      <w:pPr>
        <w:pStyle w:val="BodyText"/>
        <w:ind w:right="-97"/>
        <w:rPr>
          <w:rFonts w:cs="Arial"/>
          <w:spacing w:val="-3"/>
          <w:szCs w:val="22"/>
        </w:rPr>
      </w:pPr>
      <w:r w:rsidRPr="003F639A">
        <w:rPr>
          <w:rFonts w:cs="Arial"/>
          <w:spacing w:val="-3"/>
          <w:szCs w:val="22"/>
        </w:rPr>
        <w:t xml:space="preserve">Industry parties are invited to respond to this consultation expressing their views and supplying the rationale for those views, particularly in respect of </w:t>
      </w:r>
      <w:r>
        <w:rPr>
          <w:rFonts w:cs="Arial"/>
          <w:spacing w:val="-3"/>
          <w:szCs w:val="22"/>
        </w:rPr>
        <w:t xml:space="preserve">any </w:t>
      </w:r>
      <w:r w:rsidRPr="003F639A">
        <w:rPr>
          <w:rFonts w:cs="Arial"/>
          <w:spacing w:val="-3"/>
          <w:szCs w:val="22"/>
        </w:rPr>
        <w:t>specific questions detailed below.</w:t>
      </w:r>
    </w:p>
    <w:p w:rsidR="00E62A86" w:rsidRPr="00694354" w:rsidRDefault="00E62A86" w:rsidP="00E62A86">
      <w:pPr>
        <w:pStyle w:val="BodyText"/>
        <w:ind w:right="-97"/>
        <w:rPr>
          <w:rFonts w:cs="Arial"/>
          <w:spacing w:val="-3"/>
          <w:szCs w:val="22"/>
        </w:rPr>
      </w:pPr>
      <w:r w:rsidRPr="00694354">
        <w:rPr>
          <w:rFonts w:cs="Arial"/>
          <w:spacing w:val="-3"/>
          <w:szCs w:val="22"/>
        </w:rPr>
        <w:t xml:space="preserve">Please send your responses </w:t>
      </w:r>
      <w:r w:rsidR="004F3D8B">
        <w:rPr>
          <w:rFonts w:cs="Arial"/>
          <w:spacing w:val="-3"/>
          <w:szCs w:val="22"/>
        </w:rPr>
        <w:t xml:space="preserve">to </w:t>
      </w:r>
      <w:hyperlink r:id="rId8" w:history="1">
        <w:r w:rsidR="004F3D8B" w:rsidRPr="002C09D1">
          <w:rPr>
            <w:rStyle w:val="Hyperlink"/>
          </w:rPr>
          <w:t>europeancodes.electricity@nationalgrid.com</w:t>
        </w:r>
      </w:hyperlink>
      <w:r w:rsidR="001E6AE5">
        <w:rPr>
          <w:rFonts w:cs="Arial"/>
          <w:spacing w:val="-3"/>
          <w:szCs w:val="22"/>
        </w:rPr>
        <w:t xml:space="preserve"> </w:t>
      </w:r>
      <w:r w:rsidRPr="00694354">
        <w:rPr>
          <w:rFonts w:cs="Arial"/>
          <w:spacing w:val="-3"/>
          <w:szCs w:val="22"/>
        </w:rPr>
        <w:t xml:space="preserve"> </w:t>
      </w:r>
      <w:r w:rsidR="004F3D8B">
        <w:rPr>
          <w:rFonts w:cs="Arial"/>
          <w:spacing w:val="-3"/>
          <w:szCs w:val="22"/>
        </w:rPr>
        <w:t xml:space="preserve">by </w:t>
      </w:r>
      <w:r w:rsidR="004F3D8B">
        <w:rPr>
          <w:rFonts w:cs="Arial"/>
          <w:b/>
          <w:spacing w:val="-3"/>
          <w:szCs w:val="22"/>
        </w:rPr>
        <w:t>2</w:t>
      </w:r>
      <w:r w:rsidR="00F23DC8">
        <w:rPr>
          <w:rFonts w:cs="Arial"/>
          <w:b/>
          <w:spacing w:val="-3"/>
          <w:szCs w:val="22"/>
        </w:rPr>
        <w:t>6</w:t>
      </w:r>
      <w:r w:rsidR="00F23DC8" w:rsidRPr="00F23DC8">
        <w:rPr>
          <w:rFonts w:cs="Arial"/>
          <w:b/>
          <w:spacing w:val="-3"/>
          <w:szCs w:val="22"/>
          <w:vertAlign w:val="superscript"/>
        </w:rPr>
        <w:t>th</w:t>
      </w:r>
      <w:r w:rsidR="00F23DC8">
        <w:rPr>
          <w:rFonts w:cs="Arial"/>
          <w:b/>
          <w:spacing w:val="-3"/>
          <w:szCs w:val="22"/>
        </w:rPr>
        <w:t xml:space="preserve"> </w:t>
      </w:r>
      <w:r w:rsidR="004F3D8B">
        <w:rPr>
          <w:rFonts w:cs="Arial"/>
          <w:b/>
          <w:spacing w:val="-3"/>
          <w:szCs w:val="22"/>
        </w:rPr>
        <w:t>January 2017</w:t>
      </w:r>
      <w:r w:rsidR="004F3D8B">
        <w:rPr>
          <w:rFonts w:cs="Arial"/>
          <w:spacing w:val="-3"/>
          <w:szCs w:val="22"/>
        </w:rPr>
        <w:t xml:space="preserve">. </w:t>
      </w:r>
      <w:r w:rsidRPr="00694354">
        <w:rPr>
          <w:rFonts w:cs="Arial"/>
          <w:spacing w:val="-3"/>
          <w:szCs w:val="22"/>
        </w:rPr>
        <w:t>Please note that any responses received after the deadline or sent to a different email address may not receive due consideration by the Work</w:t>
      </w:r>
      <w:r>
        <w:rPr>
          <w:rFonts w:cs="Arial"/>
          <w:spacing w:val="-3"/>
          <w:szCs w:val="22"/>
        </w:rPr>
        <w:t>group.</w:t>
      </w:r>
    </w:p>
    <w:p w:rsidR="00C15869" w:rsidRDefault="00E62A86" w:rsidP="00E62A86">
      <w:pPr>
        <w:rPr>
          <w:rFonts w:cs="Arial"/>
          <w:szCs w:val="22"/>
        </w:rPr>
      </w:pPr>
      <w:r w:rsidRPr="00651F79">
        <w:rPr>
          <w:rFonts w:cs="Arial"/>
          <w:szCs w:val="22"/>
        </w:rPr>
        <w:t>Any queries on the content of the consultation should be addressed to</w:t>
      </w:r>
      <w:r w:rsidR="004F3D8B">
        <w:rPr>
          <w:rFonts w:cs="Arial"/>
          <w:szCs w:val="22"/>
        </w:rPr>
        <w:t xml:space="preserve"> James Bradley; </w:t>
      </w:r>
      <w:hyperlink r:id="rId9" w:history="1">
        <w:r w:rsidR="004F3D8B" w:rsidRPr="002C09D1">
          <w:rPr>
            <w:rStyle w:val="Hyperlink"/>
            <w:rFonts w:cs="Arial"/>
            <w:szCs w:val="22"/>
          </w:rPr>
          <w:t>james.bradley@nationalgrid.com</w:t>
        </w:r>
      </w:hyperlink>
      <w:r w:rsidR="004F3D8B">
        <w:rPr>
          <w:rFonts w:cs="Arial"/>
          <w:szCs w:val="22"/>
        </w:rPr>
        <w:t xml:space="preserve"> </w:t>
      </w:r>
    </w:p>
    <w:p w:rsidR="00E62A86" w:rsidRDefault="00E62A86" w:rsidP="00E62A86">
      <w:pPr>
        <w:rPr>
          <w:rFonts w:cs="Arial"/>
          <w:szCs w:val="22"/>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402"/>
        <w:gridCol w:w="6558"/>
      </w:tblGrid>
      <w:tr w:rsidR="00E62A86" w:rsidRPr="00170E5E" w:rsidTr="00E62A86">
        <w:tc>
          <w:tcPr>
            <w:tcW w:w="3402" w:type="dxa"/>
          </w:tcPr>
          <w:p w:rsidR="00E62A86" w:rsidRPr="00651F79" w:rsidRDefault="00E62A86" w:rsidP="00E62A86">
            <w:pPr>
              <w:pStyle w:val="BodyText"/>
              <w:rPr>
                <w:rFonts w:cs="Arial"/>
                <w:b/>
                <w:szCs w:val="22"/>
              </w:rPr>
            </w:pPr>
            <w:r w:rsidRPr="00651F79">
              <w:rPr>
                <w:rFonts w:cs="Arial"/>
                <w:b/>
                <w:szCs w:val="22"/>
              </w:rPr>
              <w:t>Respondent:</w:t>
            </w:r>
          </w:p>
        </w:tc>
        <w:tc>
          <w:tcPr>
            <w:tcW w:w="6558" w:type="dxa"/>
          </w:tcPr>
          <w:p w:rsidR="00E62A86" w:rsidRDefault="0028070B" w:rsidP="00E62A86">
            <w:pPr>
              <w:pStyle w:val="BodyText"/>
              <w:rPr>
                <w:rFonts w:cs="Arial"/>
                <w:i/>
                <w:szCs w:val="22"/>
              </w:rPr>
            </w:pPr>
            <w:r>
              <w:rPr>
                <w:rFonts w:cs="Arial"/>
                <w:i/>
                <w:szCs w:val="22"/>
              </w:rPr>
              <w:t>David Spillett</w:t>
            </w:r>
          </w:p>
          <w:p w:rsidR="0028070B" w:rsidRDefault="000C613A" w:rsidP="00E62A86">
            <w:pPr>
              <w:pStyle w:val="BodyText"/>
              <w:rPr>
                <w:rFonts w:cs="Arial"/>
                <w:i/>
                <w:szCs w:val="22"/>
              </w:rPr>
            </w:pPr>
            <w:hyperlink r:id="rId10" w:history="1">
              <w:r w:rsidR="0028070B" w:rsidRPr="00D23DEA">
                <w:rPr>
                  <w:rStyle w:val="Hyperlink"/>
                  <w:rFonts w:cs="Arial"/>
                  <w:i/>
                  <w:szCs w:val="22"/>
                </w:rPr>
                <w:t>david.spillett@energynetworks.org</w:t>
              </w:r>
            </w:hyperlink>
          </w:p>
          <w:p w:rsidR="0028070B" w:rsidRPr="00651F79" w:rsidRDefault="0028070B" w:rsidP="00E62A86">
            <w:pPr>
              <w:pStyle w:val="BodyText"/>
              <w:rPr>
                <w:rFonts w:cs="Arial"/>
                <w:i/>
                <w:szCs w:val="22"/>
              </w:rPr>
            </w:pPr>
            <w:r>
              <w:rPr>
                <w:rFonts w:cs="Arial"/>
                <w:i/>
                <w:szCs w:val="22"/>
              </w:rPr>
              <w:t>020 7706 5124</w:t>
            </w:r>
          </w:p>
        </w:tc>
      </w:tr>
      <w:tr w:rsidR="00E62A86" w:rsidRPr="00170E5E" w:rsidTr="00E62A86">
        <w:trPr>
          <w:trHeight w:val="317"/>
        </w:trPr>
        <w:tc>
          <w:tcPr>
            <w:tcW w:w="3402" w:type="dxa"/>
          </w:tcPr>
          <w:p w:rsidR="00E62A86" w:rsidRPr="00651F79" w:rsidRDefault="00E62A86" w:rsidP="00E62A86">
            <w:pPr>
              <w:pStyle w:val="BodyText"/>
              <w:rPr>
                <w:rFonts w:cs="Arial"/>
                <w:b/>
                <w:szCs w:val="22"/>
              </w:rPr>
            </w:pPr>
            <w:r w:rsidRPr="00651F79">
              <w:rPr>
                <w:rFonts w:cs="Arial"/>
                <w:b/>
                <w:szCs w:val="22"/>
              </w:rPr>
              <w:t>Company Name:</w:t>
            </w:r>
          </w:p>
        </w:tc>
        <w:tc>
          <w:tcPr>
            <w:tcW w:w="6558" w:type="dxa"/>
          </w:tcPr>
          <w:p w:rsidR="00E62A86" w:rsidRPr="00651F79" w:rsidRDefault="0028070B" w:rsidP="00E62A86">
            <w:pPr>
              <w:pStyle w:val="BodyText"/>
              <w:rPr>
                <w:rFonts w:cs="Arial"/>
                <w:i/>
                <w:szCs w:val="22"/>
              </w:rPr>
            </w:pPr>
            <w:r>
              <w:rPr>
                <w:rFonts w:cs="Arial"/>
                <w:i/>
                <w:szCs w:val="22"/>
              </w:rPr>
              <w:t>Energy Networks Association</w:t>
            </w:r>
          </w:p>
        </w:tc>
      </w:tr>
    </w:tbl>
    <w:p w:rsidR="00E62A86" w:rsidRDefault="00E62A86" w:rsidP="00E62A86"/>
    <w:p w:rsidR="00E62A86" w:rsidRDefault="00343E50" w:rsidP="00E62A86">
      <w:pPr>
        <w:rPr>
          <w:b/>
        </w:rPr>
      </w:pPr>
      <w:r>
        <w:rPr>
          <w:b/>
        </w:rPr>
        <w:t>C</w:t>
      </w:r>
      <w:r w:rsidR="007E526A" w:rsidRPr="007E526A">
        <w:rPr>
          <w:b/>
        </w:rPr>
        <w:t>onsultation questions</w:t>
      </w:r>
    </w:p>
    <w:p w:rsidR="007E526A" w:rsidRDefault="007E526A" w:rsidP="00E62A86">
      <w:pPr>
        <w:rPr>
          <w:b/>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67"/>
        <w:gridCol w:w="3057"/>
        <w:gridCol w:w="6336"/>
      </w:tblGrid>
      <w:tr w:rsidR="007E526A" w:rsidRPr="00651F79" w:rsidTr="00FA07C6">
        <w:trPr>
          <w:cantSplit/>
          <w:trHeight w:val="267"/>
          <w:tblHeader/>
        </w:trPr>
        <w:tc>
          <w:tcPr>
            <w:tcW w:w="567" w:type="dxa"/>
            <w:shd w:val="clear" w:color="auto" w:fill="D9D9D9"/>
          </w:tcPr>
          <w:p w:rsidR="007E526A" w:rsidRPr="00651F79" w:rsidRDefault="007E526A" w:rsidP="00731A0D">
            <w:pPr>
              <w:rPr>
                <w:rFonts w:cs="Arial"/>
                <w:b/>
                <w:szCs w:val="22"/>
              </w:rPr>
            </w:pPr>
            <w:r w:rsidRPr="00651F79">
              <w:rPr>
                <w:rFonts w:cs="Arial"/>
                <w:b/>
                <w:szCs w:val="22"/>
              </w:rPr>
              <w:t>Q</w:t>
            </w:r>
          </w:p>
        </w:tc>
        <w:tc>
          <w:tcPr>
            <w:tcW w:w="3057" w:type="dxa"/>
            <w:shd w:val="clear" w:color="auto" w:fill="D9D9D9"/>
          </w:tcPr>
          <w:p w:rsidR="007E526A" w:rsidRPr="00651F79" w:rsidRDefault="007E526A" w:rsidP="00731A0D">
            <w:pPr>
              <w:rPr>
                <w:rFonts w:cs="Arial"/>
                <w:b/>
                <w:szCs w:val="22"/>
              </w:rPr>
            </w:pPr>
            <w:r w:rsidRPr="00651F79">
              <w:rPr>
                <w:rFonts w:cs="Arial"/>
                <w:b/>
                <w:szCs w:val="22"/>
              </w:rPr>
              <w:t>Question</w:t>
            </w:r>
          </w:p>
        </w:tc>
        <w:tc>
          <w:tcPr>
            <w:tcW w:w="6336" w:type="dxa"/>
            <w:shd w:val="clear" w:color="auto" w:fill="D9D9D9"/>
          </w:tcPr>
          <w:p w:rsidR="007E526A" w:rsidRPr="00651F79" w:rsidRDefault="007E526A" w:rsidP="00731A0D">
            <w:pPr>
              <w:rPr>
                <w:rFonts w:cs="Arial"/>
                <w:b/>
                <w:szCs w:val="22"/>
              </w:rPr>
            </w:pPr>
            <w:r w:rsidRPr="00651F79">
              <w:rPr>
                <w:rFonts w:cs="Arial"/>
                <w:b/>
                <w:szCs w:val="22"/>
              </w:rPr>
              <w:t>Response</w:t>
            </w:r>
          </w:p>
        </w:tc>
      </w:tr>
      <w:tr w:rsidR="00343E50" w:rsidRPr="00651F79" w:rsidTr="00731A0D">
        <w:trPr>
          <w:cantSplit/>
          <w:trHeight w:val="267"/>
        </w:trPr>
        <w:tc>
          <w:tcPr>
            <w:tcW w:w="567" w:type="dxa"/>
          </w:tcPr>
          <w:p w:rsidR="00343E50" w:rsidRPr="00651F79" w:rsidRDefault="00343E50" w:rsidP="00731A0D">
            <w:pPr>
              <w:rPr>
                <w:rFonts w:cs="Arial"/>
                <w:szCs w:val="22"/>
              </w:rPr>
            </w:pPr>
            <w:r>
              <w:rPr>
                <w:rFonts w:cs="Arial"/>
                <w:szCs w:val="22"/>
              </w:rPr>
              <w:t>1</w:t>
            </w:r>
          </w:p>
        </w:tc>
        <w:tc>
          <w:tcPr>
            <w:tcW w:w="3057" w:type="dxa"/>
          </w:tcPr>
          <w:p w:rsidR="00343E50" w:rsidRPr="00187F2E" w:rsidRDefault="00187F2E" w:rsidP="00187F2E">
            <w:pPr>
              <w:spacing w:before="120" w:after="120" w:line="240" w:lineRule="auto"/>
              <w:ind w:left="34" w:right="114"/>
              <w:jc w:val="both"/>
              <w:rPr>
                <w:b/>
              </w:rPr>
            </w:pPr>
            <w:r>
              <w:rPr>
                <w:rFonts w:cs="Arial"/>
                <w:b/>
              </w:rPr>
              <w:t xml:space="preserve">Do you </w:t>
            </w:r>
            <w:r w:rsidRPr="00565099">
              <w:rPr>
                <w:b/>
              </w:rPr>
              <w:t xml:space="preserve">agree with the position explained </w:t>
            </w:r>
            <w:r>
              <w:rPr>
                <w:b/>
              </w:rPr>
              <w:t>in the table above</w:t>
            </w:r>
            <w:r w:rsidRPr="00565099">
              <w:rPr>
                <w:b/>
              </w:rPr>
              <w:t xml:space="preserve"> that no further data items are required</w:t>
            </w:r>
            <w:r>
              <w:rPr>
                <w:b/>
              </w:rPr>
              <w:t>?</w:t>
            </w:r>
          </w:p>
        </w:tc>
        <w:tc>
          <w:tcPr>
            <w:tcW w:w="6336" w:type="dxa"/>
          </w:tcPr>
          <w:p w:rsidR="004F3D8B" w:rsidRDefault="00B60111" w:rsidP="00731A0D">
            <w:pPr>
              <w:rPr>
                <w:rFonts w:cs="Arial"/>
                <w:szCs w:val="22"/>
              </w:rPr>
            </w:pPr>
            <w:r>
              <w:rPr>
                <w:rFonts w:cs="Arial"/>
                <w:szCs w:val="22"/>
              </w:rPr>
              <w:t xml:space="preserve">Yes.  From reading the </w:t>
            </w:r>
            <w:r w:rsidR="001B1182" w:rsidRPr="001B1182">
              <w:rPr>
                <w:rFonts w:cs="Arial"/>
                <w:szCs w:val="22"/>
              </w:rPr>
              <w:t xml:space="preserve">Generation and Load Data Provision Methodology </w:t>
            </w:r>
            <w:r w:rsidR="001B1182">
              <w:rPr>
                <w:rFonts w:cs="Arial"/>
                <w:szCs w:val="22"/>
              </w:rPr>
              <w:t>(</w:t>
            </w:r>
            <w:r>
              <w:rPr>
                <w:rFonts w:cs="Arial"/>
                <w:szCs w:val="22"/>
              </w:rPr>
              <w:t>GLDPM</w:t>
            </w:r>
            <w:r w:rsidR="001B1182">
              <w:rPr>
                <w:rFonts w:cs="Arial"/>
                <w:szCs w:val="22"/>
              </w:rPr>
              <w:t>)</w:t>
            </w:r>
            <w:r>
              <w:rPr>
                <w:rFonts w:cs="Arial"/>
                <w:szCs w:val="22"/>
              </w:rPr>
              <w:t xml:space="preserve"> it is clear that D</w:t>
            </w:r>
            <w:r w:rsidR="001B1182">
              <w:rPr>
                <w:rFonts w:cs="Arial"/>
                <w:szCs w:val="22"/>
              </w:rPr>
              <w:t xml:space="preserve">istribution </w:t>
            </w:r>
            <w:r>
              <w:rPr>
                <w:rFonts w:cs="Arial"/>
                <w:szCs w:val="22"/>
              </w:rPr>
              <w:t>N</w:t>
            </w:r>
            <w:r w:rsidR="001B1182">
              <w:rPr>
                <w:rFonts w:cs="Arial"/>
                <w:szCs w:val="22"/>
              </w:rPr>
              <w:t xml:space="preserve">etwork </w:t>
            </w:r>
            <w:r>
              <w:rPr>
                <w:rFonts w:cs="Arial"/>
                <w:szCs w:val="22"/>
              </w:rPr>
              <w:t>O</w:t>
            </w:r>
            <w:r w:rsidR="001B1182">
              <w:rPr>
                <w:rFonts w:cs="Arial"/>
                <w:szCs w:val="22"/>
              </w:rPr>
              <w:t>perator</w:t>
            </w:r>
            <w:r>
              <w:rPr>
                <w:rFonts w:cs="Arial"/>
                <w:szCs w:val="22"/>
              </w:rPr>
              <w:t>s</w:t>
            </w:r>
            <w:r w:rsidR="001B1182">
              <w:rPr>
                <w:rFonts w:cs="Arial"/>
                <w:szCs w:val="22"/>
              </w:rPr>
              <w:t xml:space="preserve"> (DNOs)</w:t>
            </w:r>
            <w:r>
              <w:rPr>
                <w:rFonts w:cs="Arial"/>
                <w:szCs w:val="22"/>
              </w:rPr>
              <w:t xml:space="preserve"> have to provide data only in either of the two cases where the assets etc are connected at 220kV or above or where the Regional Operational Security Analysis </w:t>
            </w:r>
            <w:r w:rsidR="001B1182">
              <w:rPr>
                <w:rFonts w:cs="Arial"/>
                <w:szCs w:val="22"/>
              </w:rPr>
              <w:t xml:space="preserve">(ROSA) </w:t>
            </w:r>
            <w:r>
              <w:rPr>
                <w:rFonts w:cs="Arial"/>
                <w:szCs w:val="22"/>
              </w:rPr>
              <w:t>requires it.  As the ROSA will not exist for probably 15 months after the T</w:t>
            </w:r>
            <w:r w:rsidR="001B1182">
              <w:rPr>
                <w:rFonts w:cs="Arial"/>
                <w:szCs w:val="22"/>
              </w:rPr>
              <w:t xml:space="preserve">ransmission System </w:t>
            </w:r>
            <w:r>
              <w:rPr>
                <w:rFonts w:cs="Arial"/>
                <w:szCs w:val="22"/>
              </w:rPr>
              <w:t>O</w:t>
            </w:r>
            <w:r w:rsidR="001B1182">
              <w:rPr>
                <w:rFonts w:cs="Arial"/>
                <w:szCs w:val="22"/>
              </w:rPr>
              <w:t xml:space="preserve">perators </w:t>
            </w:r>
            <w:r>
              <w:rPr>
                <w:rFonts w:cs="Arial"/>
                <w:szCs w:val="22"/>
              </w:rPr>
              <w:t>G</w:t>
            </w:r>
            <w:r w:rsidR="001B1182">
              <w:rPr>
                <w:rFonts w:cs="Arial"/>
                <w:szCs w:val="22"/>
              </w:rPr>
              <w:t>uidelines</w:t>
            </w:r>
            <w:r>
              <w:rPr>
                <w:rFonts w:cs="Arial"/>
                <w:szCs w:val="22"/>
              </w:rPr>
              <w:t xml:space="preserve"> </w:t>
            </w:r>
            <w:r w:rsidR="001B1182">
              <w:rPr>
                <w:rFonts w:cs="Arial"/>
                <w:szCs w:val="22"/>
              </w:rPr>
              <w:t xml:space="preserve">(TSOG) </w:t>
            </w:r>
            <w:bookmarkStart w:id="1" w:name="_GoBack"/>
            <w:bookmarkEnd w:id="1"/>
            <w:r>
              <w:rPr>
                <w:rFonts w:cs="Arial"/>
                <w:szCs w:val="22"/>
              </w:rPr>
              <w:t>enters into force, there is no immediate data required under the ROSA or GLDPM.</w:t>
            </w:r>
          </w:p>
          <w:p w:rsidR="004F3D8B" w:rsidRPr="00651F79" w:rsidRDefault="004F3D8B" w:rsidP="00731A0D">
            <w:pPr>
              <w:rPr>
                <w:rFonts w:cs="Arial"/>
                <w:szCs w:val="22"/>
              </w:rPr>
            </w:pPr>
          </w:p>
        </w:tc>
      </w:tr>
      <w:tr w:rsidR="00343E50" w:rsidRPr="00651F79" w:rsidTr="00731A0D">
        <w:trPr>
          <w:cantSplit/>
          <w:trHeight w:val="267"/>
        </w:trPr>
        <w:tc>
          <w:tcPr>
            <w:tcW w:w="567" w:type="dxa"/>
          </w:tcPr>
          <w:p w:rsidR="00343E50" w:rsidRPr="00651F79" w:rsidRDefault="00343E50" w:rsidP="00731A0D">
            <w:pPr>
              <w:rPr>
                <w:rFonts w:cs="Arial"/>
                <w:szCs w:val="22"/>
              </w:rPr>
            </w:pPr>
            <w:r>
              <w:rPr>
                <w:rFonts w:cs="Arial"/>
                <w:szCs w:val="22"/>
              </w:rPr>
              <w:lastRenderedPageBreak/>
              <w:t>2</w:t>
            </w:r>
          </w:p>
        </w:tc>
        <w:tc>
          <w:tcPr>
            <w:tcW w:w="3057" w:type="dxa"/>
          </w:tcPr>
          <w:p w:rsidR="00343E50" w:rsidRPr="00A112A9" w:rsidRDefault="00187F2E" w:rsidP="00187F2E">
            <w:pPr>
              <w:spacing w:before="120" w:after="120"/>
              <w:ind w:right="114"/>
              <w:rPr>
                <w:rFonts w:cs="Arial"/>
                <w:b/>
              </w:rPr>
            </w:pPr>
            <w:r w:rsidRPr="00565099">
              <w:rPr>
                <w:b/>
              </w:rPr>
              <w:t xml:space="preserve">Do you agree that no other Grid code changes are required to facilitate this process other than to allow the </w:t>
            </w:r>
            <w:r w:rsidRPr="00565099">
              <w:rPr>
                <w:b/>
                <w:i/>
              </w:rPr>
              <w:t>currently provided</w:t>
            </w:r>
            <w:r w:rsidRPr="00565099">
              <w:rPr>
                <w:b/>
              </w:rPr>
              <w:t xml:space="preserve"> data to be shared?</w:t>
            </w:r>
          </w:p>
        </w:tc>
        <w:tc>
          <w:tcPr>
            <w:tcW w:w="6336" w:type="dxa"/>
          </w:tcPr>
          <w:p w:rsidR="00187F2E" w:rsidRDefault="00B60111" w:rsidP="00187F2E">
            <w:pPr>
              <w:tabs>
                <w:tab w:val="left" w:pos="3853"/>
              </w:tabs>
              <w:rPr>
                <w:rFonts w:cs="Arial"/>
                <w:szCs w:val="22"/>
              </w:rPr>
            </w:pPr>
            <w:r>
              <w:rPr>
                <w:rFonts w:cs="Arial"/>
                <w:szCs w:val="22"/>
              </w:rPr>
              <w:t>In the short term yes.</w:t>
            </w:r>
          </w:p>
          <w:p w:rsidR="00B60111" w:rsidRDefault="00B60111" w:rsidP="00187F2E">
            <w:pPr>
              <w:tabs>
                <w:tab w:val="left" w:pos="3853"/>
              </w:tabs>
              <w:rPr>
                <w:rFonts w:cs="Arial"/>
                <w:szCs w:val="22"/>
              </w:rPr>
            </w:pPr>
          </w:p>
          <w:p w:rsidR="00B60111" w:rsidRDefault="00B60111" w:rsidP="00187F2E">
            <w:pPr>
              <w:tabs>
                <w:tab w:val="left" w:pos="3853"/>
              </w:tabs>
              <w:rPr>
                <w:rFonts w:cs="Arial"/>
                <w:szCs w:val="22"/>
              </w:rPr>
            </w:pPr>
            <w:r>
              <w:rPr>
                <w:rFonts w:cs="Arial"/>
                <w:szCs w:val="22"/>
              </w:rPr>
              <w:t xml:space="preserve">In the longer term, dependent on the detail of the ROSA, and on further consideration of the GB </w:t>
            </w:r>
            <w:r w:rsidR="001B1182">
              <w:rPr>
                <w:rFonts w:cs="Arial"/>
                <w:szCs w:val="22"/>
              </w:rPr>
              <w:t xml:space="preserve">codes in relation to it, some Grid </w:t>
            </w:r>
            <w:r>
              <w:rPr>
                <w:rFonts w:cs="Arial"/>
                <w:szCs w:val="22"/>
              </w:rPr>
              <w:t>Code amendments might be necessary.  Appendix 1 to this submission includes some observations on current G</w:t>
            </w:r>
            <w:r w:rsidR="001B1182">
              <w:rPr>
                <w:rFonts w:cs="Arial"/>
                <w:szCs w:val="22"/>
              </w:rPr>
              <w:t>rid</w:t>
            </w:r>
            <w:r>
              <w:rPr>
                <w:rFonts w:cs="Arial"/>
                <w:szCs w:val="22"/>
              </w:rPr>
              <w:t xml:space="preserve"> Code drafting that might need to be considered in parallel with the ROSA.</w:t>
            </w:r>
          </w:p>
          <w:p w:rsidR="00B60111" w:rsidRDefault="00B60111" w:rsidP="00187F2E">
            <w:pPr>
              <w:tabs>
                <w:tab w:val="left" w:pos="3853"/>
              </w:tabs>
              <w:rPr>
                <w:rFonts w:cs="Arial"/>
                <w:szCs w:val="22"/>
              </w:rPr>
            </w:pPr>
          </w:p>
          <w:p w:rsidR="00B60111" w:rsidRDefault="00B60111" w:rsidP="00187F2E">
            <w:pPr>
              <w:tabs>
                <w:tab w:val="left" w:pos="3853"/>
              </w:tabs>
              <w:rPr>
                <w:rFonts w:cs="Arial"/>
                <w:szCs w:val="22"/>
              </w:rPr>
            </w:pPr>
            <w:r>
              <w:rPr>
                <w:rFonts w:cs="Arial"/>
                <w:szCs w:val="22"/>
              </w:rPr>
              <w:t>Please note that</w:t>
            </w:r>
            <w:r w:rsidR="0028070B">
              <w:rPr>
                <w:rFonts w:cs="Arial"/>
                <w:szCs w:val="22"/>
              </w:rPr>
              <w:t xml:space="preserve"> ENA</w:t>
            </w:r>
            <w:r>
              <w:rPr>
                <w:rFonts w:cs="Arial"/>
                <w:szCs w:val="22"/>
              </w:rPr>
              <w:t xml:space="preserve"> do not believe that the Grid Code can make any binding or authoritative provisions for the management of commercial sensitive data; it can merely reflect other legal requirements.  In particular section 105 of the Utilities Act 2000 seems to be applicable here, and from a cursory inspection, it might be that BEIS need to consider this aspect.</w:t>
            </w:r>
          </w:p>
          <w:p w:rsidR="00343E50" w:rsidRPr="00187F2E" w:rsidRDefault="00187F2E" w:rsidP="00187F2E">
            <w:pPr>
              <w:tabs>
                <w:tab w:val="left" w:pos="3853"/>
              </w:tabs>
              <w:rPr>
                <w:rFonts w:cs="Arial"/>
                <w:szCs w:val="22"/>
              </w:rPr>
            </w:pPr>
            <w:r>
              <w:rPr>
                <w:rFonts w:cs="Arial"/>
                <w:szCs w:val="22"/>
              </w:rPr>
              <w:tab/>
            </w:r>
          </w:p>
        </w:tc>
      </w:tr>
      <w:tr w:rsidR="00343E50" w:rsidRPr="00651F79" w:rsidTr="00731A0D">
        <w:trPr>
          <w:cantSplit/>
          <w:trHeight w:val="267"/>
        </w:trPr>
        <w:tc>
          <w:tcPr>
            <w:tcW w:w="567" w:type="dxa"/>
          </w:tcPr>
          <w:p w:rsidR="00343E50" w:rsidRDefault="00343E50" w:rsidP="00731A0D">
            <w:pPr>
              <w:rPr>
                <w:rFonts w:cs="Arial"/>
                <w:szCs w:val="22"/>
              </w:rPr>
            </w:pPr>
            <w:r>
              <w:rPr>
                <w:rFonts w:cs="Arial"/>
                <w:szCs w:val="22"/>
              </w:rPr>
              <w:t>3</w:t>
            </w:r>
          </w:p>
        </w:tc>
        <w:tc>
          <w:tcPr>
            <w:tcW w:w="3057" w:type="dxa"/>
          </w:tcPr>
          <w:p w:rsidR="00343E50" w:rsidRPr="00A112A9" w:rsidRDefault="00187F2E" w:rsidP="00187F2E">
            <w:pPr>
              <w:spacing w:before="120" w:after="120"/>
              <w:ind w:left="34" w:right="114"/>
              <w:rPr>
                <w:rFonts w:cs="Arial"/>
                <w:b/>
              </w:rPr>
            </w:pPr>
            <w:r w:rsidRPr="00565099">
              <w:rPr>
                <w:b/>
              </w:rPr>
              <w:t>Do you have any other comments on the implementation of the GLDPM?</w:t>
            </w:r>
          </w:p>
        </w:tc>
        <w:tc>
          <w:tcPr>
            <w:tcW w:w="6336" w:type="dxa"/>
          </w:tcPr>
          <w:p w:rsidR="00343E50" w:rsidRDefault="00343E50" w:rsidP="00731A0D">
            <w:pPr>
              <w:rPr>
                <w:rFonts w:cs="Arial"/>
                <w:szCs w:val="22"/>
              </w:rPr>
            </w:pPr>
          </w:p>
          <w:p w:rsidR="00187F2E" w:rsidRDefault="00B60111" w:rsidP="00731A0D">
            <w:pPr>
              <w:rPr>
                <w:rFonts w:cs="Arial"/>
                <w:szCs w:val="22"/>
              </w:rPr>
            </w:pPr>
            <w:r>
              <w:rPr>
                <w:rFonts w:cs="Arial"/>
                <w:szCs w:val="22"/>
              </w:rPr>
              <w:t>No.</w:t>
            </w:r>
          </w:p>
          <w:p w:rsidR="00187F2E" w:rsidRDefault="00187F2E" w:rsidP="00731A0D">
            <w:pPr>
              <w:rPr>
                <w:rFonts w:cs="Arial"/>
                <w:szCs w:val="22"/>
              </w:rPr>
            </w:pPr>
          </w:p>
          <w:p w:rsidR="00187F2E" w:rsidRDefault="00187F2E" w:rsidP="00731A0D">
            <w:pPr>
              <w:rPr>
                <w:rFonts w:cs="Arial"/>
                <w:szCs w:val="22"/>
              </w:rPr>
            </w:pPr>
          </w:p>
          <w:p w:rsidR="004F3D8B" w:rsidRDefault="004F3D8B" w:rsidP="00731A0D">
            <w:pPr>
              <w:rPr>
                <w:rFonts w:cs="Arial"/>
                <w:szCs w:val="22"/>
              </w:rPr>
            </w:pPr>
          </w:p>
          <w:p w:rsidR="00187F2E" w:rsidRDefault="00187F2E" w:rsidP="00731A0D">
            <w:pPr>
              <w:rPr>
                <w:rFonts w:cs="Arial"/>
                <w:szCs w:val="22"/>
              </w:rPr>
            </w:pPr>
          </w:p>
          <w:p w:rsidR="00187F2E" w:rsidRPr="00651F79" w:rsidRDefault="00187F2E" w:rsidP="00731A0D">
            <w:pPr>
              <w:rPr>
                <w:rFonts w:cs="Arial"/>
                <w:szCs w:val="22"/>
              </w:rPr>
            </w:pPr>
          </w:p>
        </w:tc>
      </w:tr>
    </w:tbl>
    <w:p w:rsidR="00E47FCF" w:rsidRDefault="00E47FCF" w:rsidP="00187F2E">
      <w:pPr>
        <w:sectPr w:rsidR="00E47FCF" w:rsidSect="00423A90">
          <w:type w:val="continuous"/>
          <w:pgSz w:w="11905" w:h="16837" w:code="9"/>
          <w:pgMar w:top="816" w:right="1440" w:bottom="1259" w:left="1440" w:header="448" w:footer="40" w:gutter="0"/>
          <w:cols w:space="708"/>
          <w:noEndnote/>
          <w:docGrid w:linePitch="326"/>
        </w:sectPr>
      </w:pPr>
    </w:p>
    <w:p w:rsidR="00B60111" w:rsidRPr="00B60111" w:rsidRDefault="00B60111" w:rsidP="00187F2E">
      <w:pPr>
        <w:rPr>
          <w:u w:val="single"/>
        </w:rPr>
      </w:pPr>
      <w:r w:rsidRPr="00B60111">
        <w:rPr>
          <w:u w:val="single"/>
        </w:rPr>
        <w:lastRenderedPageBreak/>
        <w:t>Appendix 1 – GLDPM provisions that might require more detailed G Code consideration</w:t>
      </w:r>
    </w:p>
    <w:p w:rsidR="00B60111" w:rsidRDefault="00B60111" w:rsidP="00187F2E"/>
    <w:p w:rsidR="00594962" w:rsidRDefault="004106D9" w:rsidP="00187F2E">
      <w:r>
        <w:t>Art 5 5 – Seasonal and other ratings do not seem to be specified for DNOs in PC.A.2.2.  They are for Offshore, but not for DNOs.</w:t>
      </w:r>
    </w:p>
    <w:p w:rsidR="002079D4" w:rsidRDefault="002079D4" w:rsidP="00187F2E"/>
    <w:p w:rsidR="002079D4" w:rsidRDefault="002079D4" w:rsidP="00187F2E">
      <w:r>
        <w:t>Art 5.5(d) – these are requested as DPD II data in Schedule 5.  It is not clear if NG receive much data in relation to this schedule.  It would probably be appropriate to redraft this schedule in the light of GLPDM requirements.</w:t>
      </w:r>
    </w:p>
    <w:p w:rsidR="002079D4" w:rsidRDefault="002079D4" w:rsidP="00187F2E"/>
    <w:p w:rsidR="002079D4" w:rsidRDefault="002079D4" w:rsidP="00187F2E">
      <w:r>
        <w:t>Art 6 1(a) -presumably this is not required if the TX has AVR?</w:t>
      </w:r>
    </w:p>
    <w:p w:rsidR="002079D4" w:rsidRDefault="002079D4" w:rsidP="00187F2E"/>
    <w:p w:rsidR="00325B19" w:rsidRDefault="00325B19" w:rsidP="00187F2E">
      <w:r>
        <w:t>Art 6 1(c)(i) – tap changer is specified in PC.A.2.2.5.1 and Schedule 5, but the AVR settings are not.  This might need a G Code change if any schemes are deemed to be “modelled and relevant”.</w:t>
      </w:r>
    </w:p>
    <w:p w:rsidR="00325B19" w:rsidRDefault="00325B19" w:rsidP="00187F2E"/>
    <w:p w:rsidR="00325B19" w:rsidRDefault="00325B19" w:rsidP="00187F2E">
      <w:r>
        <w:t>Art 6 1(d) – Presumably none of these generally will meet the “where applicable” test?</w:t>
      </w:r>
    </w:p>
    <w:p w:rsidR="00BE64FB" w:rsidRDefault="00BE64FB" w:rsidP="00187F2E"/>
    <w:p w:rsidR="00BE64FB" w:rsidRDefault="00BE64FB" w:rsidP="00187F2E">
      <w:r>
        <w:t>Art 6 1(d)(iii) – PC.A.2.5.4.2 does require Users to provide target voltages.</w:t>
      </w:r>
    </w:p>
    <w:p w:rsidR="00325B19" w:rsidRDefault="00325B19" w:rsidP="00187F2E"/>
    <w:p w:rsidR="00325B19" w:rsidRDefault="00325B19" w:rsidP="00187F2E">
      <w:r>
        <w:t>Art 11 4(c) – power factor of demand at GSP is provided</w:t>
      </w:r>
      <w:r w:rsidR="00BE64FB">
        <w:t xml:space="preserve"> – PC</w:t>
      </w:r>
      <w:r w:rsidR="00A7470A">
        <w:t>.</w:t>
      </w:r>
      <w:r w:rsidR="00BE64FB">
        <w:t>A.4.3</w:t>
      </w:r>
    </w:p>
    <w:sectPr w:rsidR="00325B19" w:rsidSect="00E47FCF">
      <w:pgSz w:w="11905" w:h="16837" w:code="9"/>
      <w:pgMar w:top="816" w:right="1440" w:bottom="1259" w:left="1440" w:header="448" w:footer="4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13A" w:rsidRDefault="000C613A">
      <w:r>
        <w:separator/>
      </w:r>
    </w:p>
  </w:endnote>
  <w:endnote w:type="continuationSeparator" w:id="0">
    <w:p w:rsidR="000C613A" w:rsidRDefault="000C6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13A" w:rsidRDefault="000C613A">
      <w:r>
        <w:separator/>
      </w:r>
    </w:p>
  </w:footnote>
  <w:footnote w:type="continuationSeparator" w:id="0">
    <w:p w:rsidR="000C613A" w:rsidRDefault="000C6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6B8F0AF4"/>
    <w:multiLevelType w:val="hybridMultilevel"/>
    <w:tmpl w:val="C88883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6CBA6CE8"/>
    <w:multiLevelType w:val="singleLevel"/>
    <w:tmpl w:val="778E0C9A"/>
    <w:lvl w:ilvl="0">
      <w:start w:val="1"/>
      <w:numFmt w:val="lowerLetter"/>
      <w:lvlText w:val="(%1)"/>
      <w:lvlJc w:val="left"/>
      <w:pPr>
        <w:tabs>
          <w:tab w:val="num" w:pos="504"/>
        </w:tabs>
        <w:ind w:left="504" w:hanging="432"/>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86"/>
    <w:rsid w:val="00003FF4"/>
    <w:rsid w:val="000245C7"/>
    <w:rsid w:val="00027334"/>
    <w:rsid w:val="00031630"/>
    <w:rsid w:val="0003213A"/>
    <w:rsid w:val="00057443"/>
    <w:rsid w:val="000642CC"/>
    <w:rsid w:val="00064F1E"/>
    <w:rsid w:val="00083788"/>
    <w:rsid w:val="000840E3"/>
    <w:rsid w:val="00087204"/>
    <w:rsid w:val="00091DE7"/>
    <w:rsid w:val="000C613A"/>
    <w:rsid w:val="000F4E7A"/>
    <w:rsid w:val="00100103"/>
    <w:rsid w:val="0010032A"/>
    <w:rsid w:val="0012208D"/>
    <w:rsid w:val="00124A50"/>
    <w:rsid w:val="00132BAC"/>
    <w:rsid w:val="001628C2"/>
    <w:rsid w:val="00187F2E"/>
    <w:rsid w:val="00196A22"/>
    <w:rsid w:val="001A38EA"/>
    <w:rsid w:val="001B1182"/>
    <w:rsid w:val="001D2A93"/>
    <w:rsid w:val="001E44D8"/>
    <w:rsid w:val="001E6AE5"/>
    <w:rsid w:val="002042CC"/>
    <w:rsid w:val="002060CE"/>
    <w:rsid w:val="002079D4"/>
    <w:rsid w:val="0021533A"/>
    <w:rsid w:val="002362A8"/>
    <w:rsid w:val="002368F6"/>
    <w:rsid w:val="00242625"/>
    <w:rsid w:val="00245FF6"/>
    <w:rsid w:val="00253EEF"/>
    <w:rsid w:val="0028070B"/>
    <w:rsid w:val="002A1ED0"/>
    <w:rsid w:val="002A6DA8"/>
    <w:rsid w:val="002A7646"/>
    <w:rsid w:val="002C1202"/>
    <w:rsid w:val="002E102B"/>
    <w:rsid w:val="002E4C32"/>
    <w:rsid w:val="002F28F3"/>
    <w:rsid w:val="00303C2B"/>
    <w:rsid w:val="00306436"/>
    <w:rsid w:val="003113C6"/>
    <w:rsid w:val="00325B19"/>
    <w:rsid w:val="00341E2C"/>
    <w:rsid w:val="00341ED6"/>
    <w:rsid w:val="00343E50"/>
    <w:rsid w:val="00352E12"/>
    <w:rsid w:val="00360A16"/>
    <w:rsid w:val="003721E7"/>
    <w:rsid w:val="00376F00"/>
    <w:rsid w:val="003F230F"/>
    <w:rsid w:val="004106D9"/>
    <w:rsid w:val="00413871"/>
    <w:rsid w:val="00413FDD"/>
    <w:rsid w:val="00414685"/>
    <w:rsid w:val="00423A90"/>
    <w:rsid w:val="00442BCE"/>
    <w:rsid w:val="0047334D"/>
    <w:rsid w:val="00476F53"/>
    <w:rsid w:val="00481DC0"/>
    <w:rsid w:val="00487486"/>
    <w:rsid w:val="004A78DB"/>
    <w:rsid w:val="004B2969"/>
    <w:rsid w:val="004E7A2B"/>
    <w:rsid w:val="004F3D8B"/>
    <w:rsid w:val="00502C4E"/>
    <w:rsid w:val="005226D7"/>
    <w:rsid w:val="005336C5"/>
    <w:rsid w:val="00551D62"/>
    <w:rsid w:val="00594962"/>
    <w:rsid w:val="005A6B07"/>
    <w:rsid w:val="005C64BE"/>
    <w:rsid w:val="006053B6"/>
    <w:rsid w:val="0063389C"/>
    <w:rsid w:val="00652883"/>
    <w:rsid w:val="00655166"/>
    <w:rsid w:val="006720B4"/>
    <w:rsid w:val="0067767F"/>
    <w:rsid w:val="006965EB"/>
    <w:rsid w:val="006A3790"/>
    <w:rsid w:val="006B12C9"/>
    <w:rsid w:val="006B60E2"/>
    <w:rsid w:val="006B6DEA"/>
    <w:rsid w:val="006C1B70"/>
    <w:rsid w:val="006D14B9"/>
    <w:rsid w:val="006D73C3"/>
    <w:rsid w:val="006F7239"/>
    <w:rsid w:val="007043A3"/>
    <w:rsid w:val="00711FF7"/>
    <w:rsid w:val="00731325"/>
    <w:rsid w:val="00731A0D"/>
    <w:rsid w:val="00737AF9"/>
    <w:rsid w:val="00741E06"/>
    <w:rsid w:val="00745A4F"/>
    <w:rsid w:val="007526B5"/>
    <w:rsid w:val="00762462"/>
    <w:rsid w:val="007640EA"/>
    <w:rsid w:val="00772927"/>
    <w:rsid w:val="00791E12"/>
    <w:rsid w:val="00792155"/>
    <w:rsid w:val="00794648"/>
    <w:rsid w:val="007A2ED3"/>
    <w:rsid w:val="007A53C3"/>
    <w:rsid w:val="007E526A"/>
    <w:rsid w:val="007F0ED7"/>
    <w:rsid w:val="007F68E5"/>
    <w:rsid w:val="007F71E1"/>
    <w:rsid w:val="00803051"/>
    <w:rsid w:val="0080459B"/>
    <w:rsid w:val="00813AC0"/>
    <w:rsid w:val="00835EAC"/>
    <w:rsid w:val="00891EDA"/>
    <w:rsid w:val="0089771B"/>
    <w:rsid w:val="008A3746"/>
    <w:rsid w:val="008B2356"/>
    <w:rsid w:val="008E0C16"/>
    <w:rsid w:val="008F1DF3"/>
    <w:rsid w:val="00904E27"/>
    <w:rsid w:val="00907E5B"/>
    <w:rsid w:val="009179DF"/>
    <w:rsid w:val="0093010B"/>
    <w:rsid w:val="009358EB"/>
    <w:rsid w:val="00957999"/>
    <w:rsid w:val="009646AD"/>
    <w:rsid w:val="0097582C"/>
    <w:rsid w:val="00976E28"/>
    <w:rsid w:val="0099115E"/>
    <w:rsid w:val="009963D4"/>
    <w:rsid w:val="009971AD"/>
    <w:rsid w:val="009B3A78"/>
    <w:rsid w:val="009C00B0"/>
    <w:rsid w:val="009D1890"/>
    <w:rsid w:val="00A06C17"/>
    <w:rsid w:val="00A11AA6"/>
    <w:rsid w:val="00A13D11"/>
    <w:rsid w:val="00A3211E"/>
    <w:rsid w:val="00A550C3"/>
    <w:rsid w:val="00A70311"/>
    <w:rsid w:val="00A72997"/>
    <w:rsid w:val="00A733EA"/>
    <w:rsid w:val="00A7470A"/>
    <w:rsid w:val="00A77D2B"/>
    <w:rsid w:val="00AA0868"/>
    <w:rsid w:val="00AE69B6"/>
    <w:rsid w:val="00AE7BC0"/>
    <w:rsid w:val="00AF3627"/>
    <w:rsid w:val="00B13174"/>
    <w:rsid w:val="00B27176"/>
    <w:rsid w:val="00B27C81"/>
    <w:rsid w:val="00B4122C"/>
    <w:rsid w:val="00B449D5"/>
    <w:rsid w:val="00B520FB"/>
    <w:rsid w:val="00B53B86"/>
    <w:rsid w:val="00B60111"/>
    <w:rsid w:val="00B6019C"/>
    <w:rsid w:val="00B77ABB"/>
    <w:rsid w:val="00B82D18"/>
    <w:rsid w:val="00B85B61"/>
    <w:rsid w:val="00B927C6"/>
    <w:rsid w:val="00B95C8A"/>
    <w:rsid w:val="00BA26FA"/>
    <w:rsid w:val="00BB7D02"/>
    <w:rsid w:val="00BD77BF"/>
    <w:rsid w:val="00BE3373"/>
    <w:rsid w:val="00BE64FB"/>
    <w:rsid w:val="00BE7EBF"/>
    <w:rsid w:val="00BF1F85"/>
    <w:rsid w:val="00BF4072"/>
    <w:rsid w:val="00C05471"/>
    <w:rsid w:val="00C11CC8"/>
    <w:rsid w:val="00C15869"/>
    <w:rsid w:val="00C17009"/>
    <w:rsid w:val="00C20D54"/>
    <w:rsid w:val="00C22DE6"/>
    <w:rsid w:val="00C23B41"/>
    <w:rsid w:val="00C24BD9"/>
    <w:rsid w:val="00C27790"/>
    <w:rsid w:val="00C33567"/>
    <w:rsid w:val="00C34C5F"/>
    <w:rsid w:val="00C64BCE"/>
    <w:rsid w:val="00C66EFE"/>
    <w:rsid w:val="00C67ACC"/>
    <w:rsid w:val="00C90785"/>
    <w:rsid w:val="00CA3243"/>
    <w:rsid w:val="00CA3EC6"/>
    <w:rsid w:val="00CC1E11"/>
    <w:rsid w:val="00CC5812"/>
    <w:rsid w:val="00CF1CC8"/>
    <w:rsid w:val="00D0732D"/>
    <w:rsid w:val="00D31C6F"/>
    <w:rsid w:val="00D51151"/>
    <w:rsid w:val="00D5712D"/>
    <w:rsid w:val="00D6191B"/>
    <w:rsid w:val="00D91374"/>
    <w:rsid w:val="00D91F5C"/>
    <w:rsid w:val="00D94547"/>
    <w:rsid w:val="00D96B36"/>
    <w:rsid w:val="00DA7997"/>
    <w:rsid w:val="00DC2D15"/>
    <w:rsid w:val="00DC3DC3"/>
    <w:rsid w:val="00DC69E7"/>
    <w:rsid w:val="00DD20B9"/>
    <w:rsid w:val="00DD2906"/>
    <w:rsid w:val="00DD79CA"/>
    <w:rsid w:val="00DF54AB"/>
    <w:rsid w:val="00E04AB4"/>
    <w:rsid w:val="00E26718"/>
    <w:rsid w:val="00E27292"/>
    <w:rsid w:val="00E36ECF"/>
    <w:rsid w:val="00E47FCF"/>
    <w:rsid w:val="00E52628"/>
    <w:rsid w:val="00E62A86"/>
    <w:rsid w:val="00E96D23"/>
    <w:rsid w:val="00EA5EF3"/>
    <w:rsid w:val="00EC3BE1"/>
    <w:rsid w:val="00ED33B0"/>
    <w:rsid w:val="00EF6675"/>
    <w:rsid w:val="00F0297E"/>
    <w:rsid w:val="00F06905"/>
    <w:rsid w:val="00F23DC8"/>
    <w:rsid w:val="00F324F3"/>
    <w:rsid w:val="00F40B9A"/>
    <w:rsid w:val="00F553AA"/>
    <w:rsid w:val="00F832F5"/>
    <w:rsid w:val="00F83765"/>
    <w:rsid w:val="00F8432E"/>
    <w:rsid w:val="00F95779"/>
    <w:rsid w:val="00FA07C6"/>
    <w:rsid w:val="00FB2695"/>
    <w:rsid w:val="00FB360F"/>
    <w:rsid w:val="00FC2F0A"/>
    <w:rsid w:val="00FE28C4"/>
    <w:rsid w:val="00FF2EAE"/>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347837F-AF10-4DBE-8CEC-56983D825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uropeancodes.electricity@nationalgri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avid.spillett@energynetworks.org" TargetMode="External"/><Relationship Id="rId4" Type="http://schemas.openxmlformats.org/officeDocument/2006/relationships/settings" Target="settings.xml"/><Relationship Id="rId9" Type="http://schemas.openxmlformats.org/officeDocument/2006/relationships/hyperlink" Target="mailto:james.bradley@nationalgr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63DD7-0B50-4E77-9525-E3A7300CA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1C3AB33D</Template>
  <TotalTime>70</TotalTime>
  <Pages>3</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Annex 4 - CUSC Workgroup Consultation Response Proforma</vt:lpstr>
    </vt:vector>
  </TitlesOfParts>
  <Company>National Grid</Company>
  <LinksUpToDate>false</LinksUpToDate>
  <CharactersWithSpaces>3533</CharactersWithSpaces>
  <SharedDoc>false</SharedDoc>
  <HLinks>
    <vt:vector size="24" baseType="variant">
      <vt:variant>
        <vt:i4>983158</vt:i4>
      </vt:variant>
      <vt:variant>
        <vt:i4>6</vt:i4>
      </vt:variant>
      <vt:variant>
        <vt:i4>0</vt:i4>
      </vt:variant>
      <vt:variant>
        <vt:i4>5</vt:i4>
      </vt:variant>
      <vt:variant>
        <vt:lpwstr>mailto:cusc.team@nationalgrid.com</vt:lpwstr>
      </vt:variant>
      <vt:variant>
        <vt:lpwstr/>
      </vt:variant>
      <vt:variant>
        <vt:i4>5308460</vt:i4>
      </vt:variant>
      <vt:variant>
        <vt:i4>3</vt:i4>
      </vt:variant>
      <vt:variant>
        <vt:i4>0</vt:i4>
      </vt:variant>
      <vt:variant>
        <vt:i4>5</vt:i4>
      </vt:variant>
      <vt:variant>
        <vt:lpwstr>mailto:heena.chauhan@nationalgrid.com</vt:lpwstr>
      </vt:variant>
      <vt:variant>
        <vt:lpwstr/>
      </vt:variant>
      <vt:variant>
        <vt:i4>983158</vt:i4>
      </vt:variant>
      <vt:variant>
        <vt:i4>0</vt:i4>
      </vt:variant>
      <vt:variant>
        <vt:i4>0</vt:i4>
      </vt:variant>
      <vt:variant>
        <vt:i4>5</vt:i4>
      </vt:variant>
      <vt:variant>
        <vt:lpwstr>mailto:cusc.team@nationalgrid.com</vt:lpwstr>
      </vt:variant>
      <vt:variant>
        <vt:lpwstr/>
      </vt:variant>
      <vt:variant>
        <vt:i4>3604491</vt:i4>
      </vt:variant>
      <vt:variant>
        <vt:i4>0</vt:i4>
      </vt:variant>
      <vt:variant>
        <vt:i4>0</vt:i4>
      </vt:variant>
      <vt:variant>
        <vt:i4>5</vt:i4>
      </vt:variant>
      <vt:variant>
        <vt:lpwstr>http://www.nationalgrid.com/uk/Electricity/Codes/systemcode/amendments/forms_guidance/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CUSC Workgroup Consultation Response Proforma</dc:title>
  <dc:creator>Thomas.Derry</dc:creator>
  <cp:lastModifiedBy>David Spillett</cp:lastModifiedBy>
  <cp:revision>9</cp:revision>
  <cp:lastPrinted>2015-11-26T14:15:00Z</cp:lastPrinted>
  <dcterms:created xsi:type="dcterms:W3CDTF">2016-12-21T06:22:00Z</dcterms:created>
  <dcterms:modified xsi:type="dcterms:W3CDTF">2017-01-25T14:01:00Z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