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EE54D4" w:rsidRPr="00EB32BB" w14:paraId="5EEB46CC" w14:textId="77777777" w:rsidTr="00F925CF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357D6C77" w:rsidR="00EE54D4" w:rsidRPr="00EB32BB" w:rsidRDefault="00EE54D4" w:rsidP="00F925CF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8"/>
                <w:szCs w:val="28"/>
              </w:rPr>
              <w:t>CUSC Alternative Form</w:t>
            </w:r>
            <w:r w:rsidR="00175B87">
              <w:rPr>
                <w:rFonts w:cs="Arial"/>
                <w:b/>
                <w:sz w:val="28"/>
                <w:szCs w:val="28"/>
              </w:rPr>
              <w:t xml:space="preserve"> – Non Charging </w:t>
            </w:r>
          </w:p>
        </w:tc>
      </w:tr>
      <w:tr w:rsidR="005C2D1D" w:rsidRPr="00EB32BB" w14:paraId="18ACFA02" w14:textId="77777777" w:rsidTr="00F925CF">
        <w:trPr>
          <w:trHeight w:val="2438"/>
        </w:trPr>
        <w:tc>
          <w:tcPr>
            <w:tcW w:w="10070" w:type="dxa"/>
            <w:shd w:val="clear" w:color="auto" w:fill="auto"/>
          </w:tcPr>
          <w:p w14:paraId="04D2B5D0" w14:textId="7558DA5F" w:rsidR="005C2D1D" w:rsidRPr="00295110" w:rsidRDefault="005C2D1D" w:rsidP="00F925CF">
            <w:pPr>
              <w:spacing w:before="0" w:after="0"/>
              <w:rPr>
                <w:rFonts w:cs="Arial"/>
                <w:b/>
                <w:color w:val="F26522" w:themeColor="accent1"/>
                <w:sz w:val="56"/>
                <w:szCs w:val="56"/>
              </w:rPr>
            </w:pPr>
            <w:bookmarkStart w:id="0" w:name="_Hlk31877162"/>
            <w:r>
              <w:rPr>
                <w:rFonts w:cs="Arial"/>
                <w:b/>
                <w:color w:val="F26522" w:themeColor="accent1"/>
                <w:sz w:val="56"/>
                <w:szCs w:val="56"/>
              </w:rPr>
              <w:t>CMP</w:t>
            </w:r>
            <w:r w:rsidR="00EE1412">
              <w:rPr>
                <w:rFonts w:cs="Arial"/>
                <w:b/>
                <w:color w:val="F26522" w:themeColor="accent1"/>
                <w:sz w:val="56"/>
                <w:szCs w:val="56"/>
              </w:rPr>
              <w:t>43</w:t>
            </w:r>
            <w:r w:rsidR="009A54D0">
              <w:rPr>
                <w:rFonts w:cs="Arial"/>
                <w:b/>
                <w:color w:val="F26522" w:themeColor="accent1"/>
                <w:sz w:val="56"/>
                <w:szCs w:val="56"/>
              </w:rPr>
              <w:t>5</w:t>
            </w:r>
            <w:r w:rsidR="00303CCE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Alternative</w:t>
            </w:r>
            <w:r w:rsidR="00292AF3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Request</w:t>
            </w:r>
            <w:r w:rsidR="00B13FAC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</w:t>
            </w:r>
            <w:r w:rsidR="008D6058">
              <w:rPr>
                <w:rFonts w:cs="Arial"/>
                <w:b/>
                <w:color w:val="F26522" w:themeColor="accent1"/>
                <w:sz w:val="56"/>
                <w:szCs w:val="56"/>
              </w:rPr>
              <w:t>3</w:t>
            </w:r>
            <w:r w:rsidRPr="00295110">
              <w:rPr>
                <w:rFonts w:cs="Arial"/>
                <w:b/>
                <w:color w:val="F26522" w:themeColor="accent1"/>
                <w:sz w:val="56"/>
                <w:szCs w:val="56"/>
              </w:rPr>
              <w:t>:</w:t>
            </w:r>
          </w:p>
          <w:bookmarkEnd w:id="0"/>
          <w:p w14:paraId="35ABBE36" w14:textId="7283246D" w:rsidR="005C2D1D" w:rsidRPr="00A6159E" w:rsidRDefault="005C2D1D" w:rsidP="00D64A20">
            <w:pPr>
              <w:spacing w:before="0" w:after="240"/>
              <w:rPr>
                <w:rFonts w:cs="Arial"/>
                <w:b/>
                <w:color w:val="F26522" w:themeColor="accent1"/>
                <w:sz w:val="24"/>
                <w:szCs w:val="20"/>
              </w:rPr>
            </w:pPr>
          </w:p>
        </w:tc>
      </w:tr>
      <w:tr w:rsidR="00DB447A" w:rsidRPr="00EB32BB" w14:paraId="76F94904" w14:textId="77777777" w:rsidTr="00164E49">
        <w:trPr>
          <w:trHeight w:val="817"/>
        </w:trPr>
        <w:tc>
          <w:tcPr>
            <w:tcW w:w="10070" w:type="dxa"/>
            <w:shd w:val="clear" w:color="auto" w:fill="auto"/>
          </w:tcPr>
          <w:p w14:paraId="0A8B647A" w14:textId="77777777" w:rsidR="00C6416F" w:rsidRDefault="00D44E46" w:rsidP="00F925CF">
            <w:pPr>
              <w:pStyle w:val="BodyText2"/>
              <w:spacing w:before="0" w:after="0"/>
            </w:pPr>
            <w:r>
              <w:rPr>
                <w:rFonts w:cs="Arial"/>
                <w:b/>
                <w:bCs/>
                <w:sz w:val="24"/>
              </w:rPr>
              <w:t>Overview</w:t>
            </w:r>
            <w:r w:rsidR="00DB447A" w:rsidRPr="6DC9E538">
              <w:rPr>
                <w:rFonts w:cs="Arial"/>
                <w:b/>
                <w:bCs/>
                <w:sz w:val="24"/>
              </w:rPr>
              <w:t>:</w:t>
            </w:r>
            <w:r w:rsidR="00BD0AB5" w:rsidRPr="006634D7">
              <w:rPr>
                <w:rFonts w:cs="Arial"/>
                <w:sz w:val="24"/>
              </w:rPr>
              <w:t xml:space="preserve"> </w:t>
            </w:r>
            <w:r w:rsidR="00653A16">
              <w:t xml:space="preserve"> </w:t>
            </w:r>
          </w:p>
          <w:p w14:paraId="421FA8DD" w14:textId="709784D6" w:rsidR="00CE0ABE" w:rsidRDefault="00C6416F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 w:rsidRPr="00C6416F">
              <w:rPr>
                <w:sz w:val="24"/>
              </w:rPr>
              <w:t>T</w:t>
            </w:r>
            <w:r>
              <w:rPr>
                <w:sz w:val="24"/>
              </w:rPr>
              <w:t>his Alternative</w:t>
            </w:r>
            <w:r w:rsidR="008757E7">
              <w:rPr>
                <w:sz w:val="24"/>
              </w:rPr>
              <w:t xml:space="preserve"> proposal</w:t>
            </w:r>
            <w:r w:rsidR="009605C0">
              <w:rPr>
                <w:sz w:val="24"/>
              </w:rPr>
              <w:t xml:space="preserve"> is</w:t>
            </w:r>
            <w:r>
              <w:rPr>
                <w:sz w:val="24"/>
              </w:rPr>
              <w:t xml:space="preserve"> to </w:t>
            </w:r>
            <w:commentRangeStart w:id="1"/>
            <w:commentRangeStart w:id="2"/>
            <w:r>
              <w:rPr>
                <w:rFonts w:cs="Arial"/>
                <w:sz w:val="24"/>
              </w:rPr>
              <w:t>r</w:t>
            </w:r>
            <w:r w:rsidR="00653A16" w:rsidRPr="00C6416F">
              <w:rPr>
                <w:rFonts w:cs="Arial"/>
                <w:sz w:val="24"/>
              </w:rPr>
              <w:t>emove Element 14 from the proposed solution</w:t>
            </w:r>
            <w:r w:rsidR="00CC78C0">
              <w:rPr>
                <w:rFonts w:cs="Arial"/>
                <w:sz w:val="24"/>
              </w:rPr>
              <w:t xml:space="preserve"> in CMP435</w:t>
            </w:r>
            <w:commentRangeEnd w:id="1"/>
            <w:r w:rsidR="009327A5">
              <w:rPr>
                <w:rStyle w:val="CommentReference"/>
              </w:rPr>
              <w:commentReference w:id="1"/>
            </w:r>
            <w:commentRangeEnd w:id="2"/>
            <w:r w:rsidR="00950154">
              <w:rPr>
                <w:rStyle w:val="CommentReference"/>
              </w:rPr>
              <w:commentReference w:id="2"/>
            </w:r>
            <w:r w:rsidR="00653A16" w:rsidRPr="00C6416F">
              <w:rPr>
                <w:rFonts w:cs="Arial"/>
                <w:sz w:val="24"/>
              </w:rPr>
              <w:t>.</w:t>
            </w:r>
          </w:p>
          <w:p w14:paraId="19B2EEF0" w14:textId="16011217" w:rsidR="009605C0" w:rsidRDefault="00653A16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 w:rsidRPr="00C6416F">
              <w:rPr>
                <w:rFonts w:cs="Arial"/>
                <w:sz w:val="24"/>
              </w:rPr>
              <w:t xml:space="preserve"> </w:t>
            </w:r>
          </w:p>
          <w:p w14:paraId="498C2DEA" w14:textId="7028473B" w:rsidR="005F2B11" w:rsidRDefault="008757E7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Currently E</w:t>
            </w:r>
            <w:r w:rsidR="00183C9E" w:rsidRPr="00C6416F">
              <w:rPr>
                <w:rFonts w:cs="Arial"/>
                <w:sz w:val="24"/>
              </w:rPr>
              <w:t xml:space="preserve">lement 14 proposes a </w:t>
            </w:r>
            <w:r w:rsidR="009D5D8C" w:rsidRPr="00C6416F">
              <w:rPr>
                <w:rFonts w:cs="Arial"/>
                <w:sz w:val="24"/>
              </w:rPr>
              <w:t>12-month</w:t>
            </w:r>
            <w:r w:rsidR="00183C9E" w:rsidRPr="00C6416F">
              <w:rPr>
                <w:rFonts w:cs="Arial"/>
                <w:sz w:val="24"/>
              </w:rPr>
              <w:t xml:space="preserve"> period, post Gate 2 Offer, to allow wholesale project land changes</w:t>
            </w:r>
            <w:r w:rsidR="00DB02F7">
              <w:rPr>
                <w:rFonts w:cs="Arial"/>
                <w:sz w:val="24"/>
              </w:rPr>
              <w:t xml:space="preserve"> specifically</w:t>
            </w:r>
            <w:r w:rsidR="00183C9E" w:rsidRPr="00C6416F">
              <w:rPr>
                <w:rFonts w:cs="Arial"/>
                <w:sz w:val="24"/>
              </w:rPr>
              <w:t xml:space="preserve"> as a result of </w:t>
            </w:r>
            <w:r w:rsidR="00DB02F7">
              <w:rPr>
                <w:rFonts w:cs="Arial"/>
                <w:sz w:val="24"/>
              </w:rPr>
              <w:t xml:space="preserve">the </w:t>
            </w:r>
            <w:r w:rsidR="00183C9E" w:rsidRPr="00C6416F">
              <w:rPr>
                <w:rFonts w:cs="Arial"/>
                <w:sz w:val="24"/>
              </w:rPr>
              <w:t>Gate 2</w:t>
            </w:r>
            <w:r w:rsidR="00DB02F7">
              <w:rPr>
                <w:rFonts w:cs="Arial"/>
                <w:sz w:val="24"/>
              </w:rPr>
              <w:t xml:space="preserve"> Offer</w:t>
            </w:r>
            <w:r w:rsidR="00183C9E" w:rsidRPr="00C6416F">
              <w:rPr>
                <w:rFonts w:cs="Arial"/>
                <w:sz w:val="24"/>
              </w:rPr>
              <w:t xml:space="preserve">. </w:t>
            </w:r>
            <w:r w:rsidR="001045D3" w:rsidRPr="00C6416F">
              <w:rPr>
                <w:rFonts w:cs="Arial"/>
                <w:sz w:val="24"/>
              </w:rPr>
              <w:br/>
              <w:t xml:space="preserve">Element 14 risks significantly increasing speculative connection applications to ESO, further increasing the existing TEC queue problem that CMP434 looks to address. </w:t>
            </w:r>
          </w:p>
          <w:p w14:paraId="24CAE254" w14:textId="70D1C234" w:rsidR="00DB447A" w:rsidRDefault="00CE0ABE" w:rsidP="00555E7C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Additionally, </w:t>
            </w:r>
            <w:r w:rsidR="002D4EEF">
              <w:rPr>
                <w:rFonts w:cs="Arial"/>
                <w:sz w:val="24"/>
              </w:rPr>
              <w:t>Element 14</w:t>
            </w:r>
            <w:r>
              <w:rPr>
                <w:rFonts w:cs="Arial"/>
                <w:sz w:val="24"/>
              </w:rPr>
              <w:t xml:space="preserve"> </w:t>
            </w:r>
            <w:r w:rsidR="00555E7C">
              <w:rPr>
                <w:rFonts w:cs="Arial"/>
                <w:sz w:val="24"/>
              </w:rPr>
              <w:t>contradicts</w:t>
            </w:r>
            <w:r w:rsidR="002D4EEF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 xml:space="preserve">the proposals </w:t>
            </w:r>
            <w:r w:rsidR="00950154">
              <w:rPr>
                <w:rFonts w:cs="Arial"/>
                <w:sz w:val="24"/>
              </w:rPr>
              <w:t>within the original</w:t>
            </w:r>
            <w:r>
              <w:rPr>
                <w:rFonts w:cs="Arial"/>
                <w:sz w:val="24"/>
              </w:rPr>
              <w:t xml:space="preserve"> regarding the requirement for a specific LoA</w:t>
            </w:r>
            <w:r w:rsidR="00950154">
              <w:rPr>
                <w:rFonts w:cs="Arial"/>
                <w:sz w:val="24"/>
              </w:rPr>
              <w:t xml:space="preserve"> and land rights at application.</w:t>
            </w:r>
            <w:r w:rsidR="00623788">
              <w:rPr>
                <w:rFonts w:cs="Arial"/>
                <w:sz w:val="24"/>
              </w:rPr>
              <w:t xml:space="preserve">, </w:t>
            </w:r>
            <w:r w:rsidR="001045D3" w:rsidRPr="00C6416F">
              <w:rPr>
                <w:rFonts w:cs="Arial"/>
                <w:sz w:val="24"/>
              </w:rPr>
              <w:br/>
            </w:r>
            <w:r w:rsidR="00466060">
              <w:rPr>
                <w:rFonts w:cs="Arial"/>
                <w:sz w:val="24"/>
              </w:rPr>
              <w:t>This Alternative, to remove</w:t>
            </w:r>
            <w:r w:rsidR="001045D3" w:rsidRPr="00C6416F">
              <w:rPr>
                <w:rFonts w:cs="Arial"/>
                <w:sz w:val="24"/>
              </w:rPr>
              <w:t xml:space="preserve"> Element 14</w:t>
            </w:r>
            <w:r w:rsidR="00466060">
              <w:rPr>
                <w:rFonts w:cs="Arial"/>
                <w:sz w:val="24"/>
              </w:rPr>
              <w:t>,</w:t>
            </w:r>
            <w:r w:rsidR="001045D3" w:rsidRPr="00C6416F">
              <w:rPr>
                <w:rFonts w:cs="Arial"/>
                <w:sz w:val="24"/>
              </w:rPr>
              <w:t xml:space="preserve"> ensures</w:t>
            </w:r>
            <w:r w:rsidR="00706066">
              <w:rPr>
                <w:rFonts w:cs="Arial"/>
                <w:sz w:val="24"/>
              </w:rPr>
              <w:t xml:space="preserve"> </w:t>
            </w:r>
            <w:r w:rsidR="00DB02F7">
              <w:rPr>
                <w:rFonts w:cs="Arial"/>
                <w:sz w:val="24"/>
              </w:rPr>
              <w:t xml:space="preserve">Applicants focus on the </w:t>
            </w:r>
            <w:r w:rsidR="00C0535F">
              <w:rPr>
                <w:rFonts w:cs="Arial"/>
                <w:sz w:val="24"/>
              </w:rPr>
              <w:t>Project, including land required for the Project, at application stage</w:t>
            </w:r>
            <w:r w:rsidR="00CC78C0">
              <w:rPr>
                <w:rFonts w:cs="Arial"/>
                <w:sz w:val="24"/>
              </w:rPr>
              <w:t>.</w:t>
            </w:r>
            <w:r w:rsidR="00555E7C">
              <w:rPr>
                <w:rFonts w:cs="Arial"/>
                <w:sz w:val="24"/>
              </w:rPr>
              <w:t xml:space="preserve"> </w:t>
            </w:r>
            <w:r w:rsidR="00706066">
              <w:rPr>
                <w:rFonts w:cs="Arial"/>
                <w:sz w:val="24"/>
              </w:rPr>
              <w:t xml:space="preserve">This will </w:t>
            </w:r>
            <w:r w:rsidR="00555E7C">
              <w:rPr>
                <w:rFonts w:cs="Arial"/>
                <w:sz w:val="24"/>
              </w:rPr>
              <w:t xml:space="preserve">ensure </w:t>
            </w:r>
            <w:r w:rsidR="00BE4932">
              <w:rPr>
                <w:rFonts w:cs="Arial"/>
                <w:sz w:val="24"/>
              </w:rPr>
              <w:t>minimal speculative application</w:t>
            </w:r>
            <w:r w:rsidR="00E20176">
              <w:rPr>
                <w:rFonts w:cs="Arial"/>
                <w:sz w:val="24"/>
              </w:rPr>
              <w:t>.</w:t>
            </w:r>
          </w:p>
          <w:p w14:paraId="7FD947DF" w14:textId="77777777" w:rsidR="00CC78C0" w:rsidRDefault="00CC78C0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</w:p>
          <w:p w14:paraId="3EFFD0C7" w14:textId="7034DB5B" w:rsidR="00CC78C0" w:rsidRPr="00C6416F" w:rsidRDefault="00CC78C0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sz w:val="24"/>
              </w:rPr>
              <w:t xml:space="preserve">With regards to </w:t>
            </w:r>
            <w:r w:rsidR="00EF5088">
              <w:rPr>
                <w:rFonts w:cs="Arial"/>
                <w:sz w:val="24"/>
              </w:rPr>
              <w:t>CMP</w:t>
            </w:r>
            <w:r>
              <w:rPr>
                <w:rFonts w:cs="Arial"/>
                <w:sz w:val="24"/>
              </w:rPr>
              <w:t>435</w:t>
            </w:r>
            <w:r w:rsidR="00EF5088">
              <w:rPr>
                <w:rFonts w:cs="Arial"/>
                <w:sz w:val="24"/>
              </w:rPr>
              <w:t xml:space="preserve"> specifically</w:t>
            </w:r>
            <w:r>
              <w:rPr>
                <w:rFonts w:cs="Arial"/>
                <w:sz w:val="24"/>
              </w:rPr>
              <w:t xml:space="preserve"> this</w:t>
            </w:r>
            <w:r w:rsidR="00623A25">
              <w:rPr>
                <w:rFonts w:cs="Arial"/>
                <w:sz w:val="24"/>
              </w:rPr>
              <w:t xml:space="preserve"> Alternative</w:t>
            </w:r>
            <w:r>
              <w:rPr>
                <w:rFonts w:cs="Arial"/>
                <w:sz w:val="24"/>
              </w:rPr>
              <w:t xml:space="preserve"> will ensure that existing applicants are also subject to these</w:t>
            </w:r>
            <w:r w:rsidR="00397892">
              <w:rPr>
                <w:rFonts w:cs="Arial"/>
                <w:sz w:val="24"/>
              </w:rPr>
              <w:t xml:space="preserve"> requirements</w:t>
            </w:r>
            <w:r w:rsidR="00EF5088">
              <w:rPr>
                <w:rFonts w:cs="Arial"/>
                <w:sz w:val="24"/>
              </w:rPr>
              <w:t xml:space="preserve"> at Gate 2</w:t>
            </w:r>
            <w:r w:rsidR="00397892">
              <w:rPr>
                <w:rFonts w:cs="Arial"/>
                <w:sz w:val="24"/>
              </w:rPr>
              <w:t>,</w:t>
            </w:r>
            <w:r w:rsidR="00EF5088">
              <w:rPr>
                <w:rFonts w:cs="Arial"/>
                <w:sz w:val="24"/>
              </w:rPr>
              <w:t xml:space="preserve"> in line with the proposed</w:t>
            </w:r>
            <w:r w:rsidR="009D7006">
              <w:rPr>
                <w:rFonts w:cs="Arial"/>
                <w:sz w:val="24"/>
              </w:rPr>
              <w:t xml:space="preserve"> parallel</w:t>
            </w:r>
            <w:r w:rsidR="00EF5088">
              <w:rPr>
                <w:rFonts w:cs="Arial"/>
                <w:sz w:val="24"/>
              </w:rPr>
              <w:t xml:space="preserve"> Alternative for CMP434</w:t>
            </w:r>
            <w:r w:rsidR="00460DB2">
              <w:rPr>
                <w:rFonts w:cs="Arial"/>
                <w:sz w:val="24"/>
              </w:rPr>
              <w:t>,</w:t>
            </w:r>
            <w:r w:rsidR="005F2B11">
              <w:rPr>
                <w:rFonts w:cs="Arial"/>
                <w:sz w:val="24"/>
              </w:rPr>
              <w:t xml:space="preserve"> </w:t>
            </w:r>
            <w:r w:rsidR="00A4225E">
              <w:rPr>
                <w:rFonts w:cs="Arial"/>
                <w:sz w:val="24"/>
              </w:rPr>
              <w:t xml:space="preserve">and aligns with the DNO requirements for applicants to reach Gate </w:t>
            </w:r>
            <w:r w:rsidR="009323FF">
              <w:rPr>
                <w:rFonts w:cs="Arial"/>
                <w:sz w:val="24"/>
              </w:rPr>
              <w:t xml:space="preserve">2, ensuring </w:t>
            </w:r>
            <w:r w:rsidR="00F753BA">
              <w:rPr>
                <w:rFonts w:cs="Arial"/>
                <w:sz w:val="24"/>
              </w:rPr>
              <w:t>all applicants, new and existing, are, where possible, treated equally</w:t>
            </w:r>
            <w:r w:rsidR="00EF5088">
              <w:rPr>
                <w:rFonts w:cs="Arial"/>
                <w:sz w:val="24"/>
              </w:rPr>
              <w:t>.</w:t>
            </w:r>
          </w:p>
        </w:tc>
      </w:tr>
      <w:tr w:rsidR="00DF3A58" w:rsidRPr="00EB32BB" w14:paraId="44B10B38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289C849C" w14:textId="6CD5E8C3" w:rsidR="00DF3A58" w:rsidRDefault="00343B5F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Proposer</w:t>
            </w:r>
            <w:r w:rsidRPr="6DC9E538">
              <w:rPr>
                <w:rFonts w:cs="Arial"/>
                <w:b/>
                <w:bCs/>
                <w:sz w:val="24"/>
              </w:rPr>
              <w:t>:</w:t>
            </w:r>
            <w:r w:rsidRPr="006634D7">
              <w:rPr>
                <w:rFonts w:cs="Arial"/>
                <w:sz w:val="24"/>
              </w:rPr>
              <w:t xml:space="preserve"> </w:t>
            </w:r>
            <w:r w:rsidR="0010121C">
              <w:t xml:space="preserve"> </w:t>
            </w:r>
            <w:r w:rsidR="0010121C" w:rsidRPr="0010121C">
              <w:rPr>
                <w:rFonts w:cs="Arial"/>
                <w:sz w:val="24"/>
              </w:rPr>
              <w:t>Grant Rogers, Qualitas Energy</w:t>
            </w:r>
            <w:r w:rsidR="005F0850">
              <w:rPr>
                <w:rFonts w:cs="Arial"/>
                <w:sz w:val="24"/>
              </w:rPr>
              <w:t xml:space="preserve"> (</w:t>
            </w:r>
            <w:r w:rsidR="005F0850" w:rsidRPr="0010121C">
              <w:rPr>
                <w:rFonts w:cs="Arial"/>
                <w:sz w:val="24"/>
              </w:rPr>
              <w:t>Q</w:t>
            </w:r>
            <w:r w:rsidR="005F0850">
              <w:rPr>
                <w:rFonts w:cs="Arial"/>
                <w:sz w:val="24"/>
              </w:rPr>
              <w:t>-</w:t>
            </w:r>
            <w:r w:rsidR="005F0850" w:rsidRPr="0010121C">
              <w:rPr>
                <w:rFonts w:cs="Arial"/>
                <w:sz w:val="24"/>
              </w:rPr>
              <w:t>Energy</w:t>
            </w:r>
            <w:r w:rsidR="005F0850" w:rsidRPr="00EB58BC">
              <w:rPr>
                <w:rFonts w:cs="Arial"/>
                <w:sz w:val="24"/>
              </w:rPr>
              <w:t xml:space="preserve"> Sustainable Investments Ltd</w:t>
            </w:r>
            <w:r w:rsidR="005F0850">
              <w:rPr>
                <w:rFonts w:cs="Arial"/>
                <w:sz w:val="24"/>
              </w:rPr>
              <w:t>)</w:t>
            </w:r>
          </w:p>
          <w:p w14:paraId="3CAFF0AE" w14:textId="2F609E0F" w:rsidR="00E23927" w:rsidRDefault="00E23927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A471BF" w:rsidRPr="00EB32BB" w14:paraId="00618026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4591AB32" w14:textId="0C52A75F" w:rsidR="00A471BF" w:rsidRPr="00DB45A9" w:rsidRDefault="00CF3CAB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sdt>
              <w:sdtPr>
                <w:id w:val="-998704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121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55059">
              <w:t xml:space="preserve"> </w:t>
            </w:r>
            <w:r w:rsidR="00DB45A9" w:rsidRPr="00DB45A9">
              <w:rPr>
                <w:rFonts w:cs="Arial"/>
                <w:sz w:val="24"/>
              </w:rPr>
              <w:t xml:space="preserve">I/We confirm that </w:t>
            </w:r>
            <w:r w:rsidR="00B55059">
              <w:rPr>
                <w:rFonts w:cs="Arial"/>
                <w:sz w:val="24"/>
              </w:rPr>
              <w:t xml:space="preserve">this Alternative Request </w:t>
            </w:r>
            <w:r w:rsidR="006514F6">
              <w:rPr>
                <w:rFonts w:cs="Arial"/>
                <w:sz w:val="24"/>
              </w:rPr>
              <w:t xml:space="preserve">proposes to </w:t>
            </w:r>
            <w:r w:rsidR="00B3294B" w:rsidRPr="00B3294B">
              <w:rPr>
                <w:rFonts w:cs="Arial"/>
                <w:sz w:val="24"/>
              </w:rPr>
              <w:t xml:space="preserve">modify </w:t>
            </w:r>
            <w:r w:rsidR="00B3294B">
              <w:rPr>
                <w:rFonts w:cs="Arial"/>
                <w:sz w:val="24"/>
              </w:rPr>
              <w:t xml:space="preserve">the </w:t>
            </w:r>
            <w:r w:rsidR="00FF0629">
              <w:rPr>
                <w:rFonts w:cs="Arial"/>
                <w:sz w:val="24"/>
              </w:rPr>
              <w:t xml:space="preserve">non - </w:t>
            </w:r>
            <w:r w:rsidR="00DF61A9">
              <w:rPr>
                <w:rFonts w:cs="Arial"/>
                <w:sz w:val="24"/>
              </w:rPr>
              <w:t>charging section of the CUSC only</w:t>
            </w:r>
          </w:p>
        </w:tc>
      </w:tr>
      <w:tr w:rsidR="00AC298B" w:rsidRPr="00EB32BB" w14:paraId="6A8E329E" w14:textId="77777777" w:rsidTr="00AC298B">
        <w:trPr>
          <w:trHeight w:val="631"/>
        </w:trPr>
        <w:tc>
          <w:tcPr>
            <w:tcW w:w="100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45F640D" w14:textId="77777777" w:rsidR="00AC298B" w:rsidRDefault="00AC298B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</w:tbl>
    <w:p w14:paraId="7D2164F8" w14:textId="5D8E032A" w:rsidR="00250A22" w:rsidRDefault="00250A22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3" w:name="_Executive_Summary"/>
      <w:bookmarkStart w:id="4" w:name="_Workgroup_Consultation_Introduction"/>
      <w:bookmarkEnd w:id="3"/>
      <w:bookmarkEnd w:id="4"/>
    </w:p>
    <w:p w14:paraId="41279394" w14:textId="75AFC639" w:rsidR="0004551F" w:rsidRDefault="0004551F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</w:p>
    <w:p w14:paraId="0E57795D" w14:textId="77777777" w:rsidR="00DB4D96" w:rsidRDefault="00DB4D96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r>
        <w:br w:type="page"/>
      </w:r>
    </w:p>
    <w:p w14:paraId="78F02DF2" w14:textId="29A434A7" w:rsidR="00625705" w:rsidRPr="00976D98" w:rsidRDefault="00625705" w:rsidP="00976D98">
      <w:pPr>
        <w:pStyle w:val="Style3"/>
      </w:pPr>
      <w:r w:rsidRPr="00E93667">
        <w:lastRenderedPageBreak/>
        <w:t xml:space="preserve">What is the </w:t>
      </w:r>
      <w:r w:rsidR="00250A22">
        <w:t>prop</w:t>
      </w:r>
      <w:r w:rsidR="002A07AF">
        <w:t>osed alternative</w:t>
      </w:r>
      <w:r w:rsidR="00007585">
        <w:t xml:space="preserve"> </w:t>
      </w:r>
      <w:r w:rsidRPr="00E93667">
        <w:t>solution?</w:t>
      </w:r>
    </w:p>
    <w:p w14:paraId="0C2FF84A" w14:textId="04709C2A" w:rsidR="006D0FA5" w:rsidRDefault="00EF3D20" w:rsidP="000B6ADA">
      <w:pPr>
        <w:jc w:val="both"/>
        <w:rPr>
          <w:sz w:val="24"/>
        </w:rPr>
      </w:pPr>
      <w:r>
        <w:rPr>
          <w:sz w:val="24"/>
        </w:rPr>
        <w:t>The proposal is to remove</w:t>
      </w:r>
      <w:r w:rsidR="00264ED1" w:rsidRPr="00264ED1">
        <w:rPr>
          <w:sz w:val="24"/>
        </w:rPr>
        <w:t xml:space="preserve"> Element 14 from the proposal.</w:t>
      </w:r>
    </w:p>
    <w:p w14:paraId="283356DF" w14:textId="2DEEF238" w:rsidR="00511179" w:rsidRDefault="00FF48CC" w:rsidP="00FF48CC">
      <w:pPr>
        <w:jc w:val="both"/>
        <w:rPr>
          <w:sz w:val="24"/>
        </w:rPr>
      </w:pPr>
      <w:r w:rsidRPr="00FF48CC">
        <w:rPr>
          <w:sz w:val="24"/>
        </w:rPr>
        <w:t xml:space="preserve">Under Element 14 the Proposal introduces the concept of wholesale movement of the land as a result of Gate 2 Offer outcome. </w:t>
      </w:r>
      <w:r>
        <w:rPr>
          <w:sz w:val="24"/>
        </w:rPr>
        <w:t>This risks</w:t>
      </w:r>
      <w:r w:rsidRPr="00FF48CC">
        <w:rPr>
          <w:sz w:val="24"/>
        </w:rPr>
        <w:t xml:space="preserve"> fundamentally undo</w:t>
      </w:r>
      <w:r>
        <w:rPr>
          <w:sz w:val="24"/>
        </w:rPr>
        <w:t>ing</w:t>
      </w:r>
      <w:r w:rsidRPr="00FF48CC">
        <w:rPr>
          <w:sz w:val="24"/>
        </w:rPr>
        <w:t xml:space="preserve"> the work of the </w:t>
      </w:r>
      <w:r w:rsidR="009323FF">
        <w:rPr>
          <w:sz w:val="24"/>
        </w:rPr>
        <w:t>R</w:t>
      </w:r>
      <w:r w:rsidRPr="00FF48CC">
        <w:rPr>
          <w:sz w:val="24"/>
        </w:rPr>
        <w:t>eform</w:t>
      </w:r>
      <w:r w:rsidR="00B94A52">
        <w:rPr>
          <w:sz w:val="24"/>
        </w:rPr>
        <w:t xml:space="preserve">. </w:t>
      </w:r>
      <w:r w:rsidR="00002B76">
        <w:rPr>
          <w:sz w:val="24"/>
        </w:rPr>
        <w:t>Element 14 risks</w:t>
      </w:r>
      <w:r w:rsidRPr="00FF48CC">
        <w:rPr>
          <w:sz w:val="24"/>
        </w:rPr>
        <w:t xml:space="preserve"> </w:t>
      </w:r>
      <w:r w:rsidR="008F60D8" w:rsidRPr="00FF48CC">
        <w:rPr>
          <w:sz w:val="24"/>
        </w:rPr>
        <w:t>lead</w:t>
      </w:r>
      <w:r w:rsidR="008F60D8">
        <w:rPr>
          <w:sz w:val="24"/>
        </w:rPr>
        <w:t>ing</w:t>
      </w:r>
      <w:r w:rsidRPr="00FF48CC">
        <w:rPr>
          <w:sz w:val="24"/>
        </w:rPr>
        <w:t xml:space="preserve"> to high speculatio</w:t>
      </w:r>
      <w:r w:rsidR="008F60D8">
        <w:rPr>
          <w:sz w:val="24"/>
        </w:rPr>
        <w:t>n, risks further incorrectly indicating capacity as a commodity</w:t>
      </w:r>
      <w:r w:rsidR="009323FF">
        <w:rPr>
          <w:sz w:val="24"/>
        </w:rPr>
        <w:t xml:space="preserve">, </w:t>
      </w:r>
      <w:r w:rsidR="008F60D8">
        <w:rPr>
          <w:sz w:val="24"/>
        </w:rPr>
        <w:t xml:space="preserve">and </w:t>
      </w:r>
      <w:r w:rsidR="009323FF">
        <w:rPr>
          <w:sz w:val="24"/>
        </w:rPr>
        <w:t xml:space="preserve">significantly </w:t>
      </w:r>
      <w:r w:rsidR="008F60D8">
        <w:rPr>
          <w:sz w:val="24"/>
        </w:rPr>
        <w:t xml:space="preserve">risks </w:t>
      </w:r>
      <w:r w:rsidR="009323FF">
        <w:rPr>
          <w:sz w:val="24"/>
        </w:rPr>
        <w:t xml:space="preserve">reducing </w:t>
      </w:r>
      <w:r w:rsidRPr="00FF48CC">
        <w:rPr>
          <w:sz w:val="24"/>
        </w:rPr>
        <w:t xml:space="preserve">the potential positive impact intended by the Proposal. </w:t>
      </w:r>
      <w:r w:rsidR="00B94A52">
        <w:rPr>
          <w:sz w:val="24"/>
        </w:rPr>
        <w:tab/>
      </w:r>
    </w:p>
    <w:p w14:paraId="31302A9E" w14:textId="19C0B6C9" w:rsidR="008033EF" w:rsidRDefault="00805017" w:rsidP="006C5122">
      <w:pPr>
        <w:rPr>
          <w:rFonts w:cs="Arial"/>
          <w:sz w:val="24"/>
        </w:rPr>
      </w:pPr>
      <w:r>
        <w:rPr>
          <w:sz w:val="24"/>
        </w:rPr>
        <w:t xml:space="preserve">For example </w:t>
      </w:r>
      <w:r w:rsidR="00FF48CC" w:rsidRPr="00FF48CC">
        <w:rPr>
          <w:sz w:val="24"/>
        </w:rPr>
        <w:t>Element 14 contradicts the concept of adding firmer application requirements within</w:t>
      </w:r>
      <w:r w:rsidR="006C5122">
        <w:rPr>
          <w:sz w:val="24"/>
        </w:rPr>
        <w:t xml:space="preserve"> </w:t>
      </w:r>
      <w:r w:rsidR="00FF48CC" w:rsidRPr="00FF48CC">
        <w:rPr>
          <w:sz w:val="24"/>
        </w:rPr>
        <w:t>the Proposal</w:t>
      </w:r>
      <w:r w:rsidR="00CF3CAB">
        <w:rPr>
          <w:sz w:val="24"/>
        </w:rPr>
        <w:t>.</w:t>
      </w:r>
      <w:r w:rsidR="008033EF">
        <w:rPr>
          <w:sz w:val="24"/>
        </w:rPr>
        <w:t xml:space="preserve"> </w:t>
      </w:r>
      <w:commentRangeStart w:id="5"/>
      <w:commentRangeEnd w:id="5"/>
      <w:r w:rsidR="00950154">
        <w:rPr>
          <w:rStyle w:val="CommentReference"/>
        </w:rPr>
        <w:commentReference w:id="5"/>
      </w:r>
      <w:r w:rsidR="008033EF">
        <w:rPr>
          <w:rFonts w:cs="Arial"/>
          <w:sz w:val="24"/>
        </w:rPr>
        <w:br/>
        <w:t>Allowing wholesale change as a result of the outcome of the Gate 2 Offer effectively lowers the barrier to entry by</w:t>
      </w:r>
      <w:r w:rsidR="00AA089B">
        <w:rPr>
          <w:rFonts w:cs="Arial"/>
          <w:sz w:val="24"/>
        </w:rPr>
        <w:t xml:space="preserve"> indicating </w:t>
      </w:r>
      <w:r w:rsidR="00D50B6B">
        <w:rPr>
          <w:rFonts w:cs="Arial"/>
          <w:sz w:val="24"/>
        </w:rPr>
        <w:t>applicants</w:t>
      </w:r>
      <w:r w:rsidR="00AA089B">
        <w:rPr>
          <w:rFonts w:cs="Arial"/>
          <w:sz w:val="24"/>
        </w:rPr>
        <w:t xml:space="preserve"> can </w:t>
      </w:r>
      <w:r w:rsidR="008F1F71">
        <w:rPr>
          <w:rFonts w:cs="Arial"/>
          <w:sz w:val="24"/>
        </w:rPr>
        <w:t>reach Gate 2 with any</w:t>
      </w:r>
      <w:r w:rsidR="00AA089B">
        <w:rPr>
          <w:rFonts w:cs="Arial"/>
          <w:sz w:val="24"/>
        </w:rPr>
        <w:t xml:space="preserve"> LoA and look to move land as a result of Gate 2 Offer</w:t>
      </w:r>
      <w:r w:rsidR="008F1F71">
        <w:rPr>
          <w:rFonts w:cs="Arial"/>
          <w:sz w:val="24"/>
        </w:rPr>
        <w:t>.</w:t>
      </w:r>
    </w:p>
    <w:p w14:paraId="19C93022" w14:textId="77777777" w:rsidR="008F1F71" w:rsidRPr="00805017" w:rsidRDefault="008F1F71" w:rsidP="00FF48CC">
      <w:pPr>
        <w:jc w:val="both"/>
        <w:rPr>
          <w:sz w:val="24"/>
        </w:rPr>
      </w:pPr>
    </w:p>
    <w:p w14:paraId="74AF013F" w14:textId="0466C369" w:rsidR="000C46A3" w:rsidRDefault="00FF48CC" w:rsidP="00FF48CC">
      <w:pPr>
        <w:jc w:val="both"/>
        <w:rPr>
          <w:sz w:val="24"/>
        </w:rPr>
      </w:pPr>
      <w:r w:rsidRPr="00FF48CC">
        <w:rPr>
          <w:sz w:val="24"/>
        </w:rPr>
        <w:t>The Propos</w:t>
      </w:r>
      <w:r w:rsidR="00856239">
        <w:rPr>
          <w:sz w:val="24"/>
        </w:rPr>
        <w:t>ed</w:t>
      </w:r>
      <w:r w:rsidR="00D50B6B">
        <w:rPr>
          <w:sz w:val="24"/>
        </w:rPr>
        <w:t xml:space="preserve"> Alternative</w:t>
      </w:r>
      <w:r w:rsidR="00C86B13">
        <w:rPr>
          <w:sz w:val="24"/>
        </w:rPr>
        <w:t xml:space="preserve"> is</w:t>
      </w:r>
      <w:r w:rsidR="00D50B6B">
        <w:rPr>
          <w:sz w:val="24"/>
        </w:rPr>
        <w:t xml:space="preserve"> to remove Element 14</w:t>
      </w:r>
      <w:r w:rsidR="00C86B13">
        <w:rPr>
          <w:sz w:val="24"/>
        </w:rPr>
        <w:t xml:space="preserve"> and therefore align </w:t>
      </w:r>
      <w:r w:rsidR="00856239">
        <w:rPr>
          <w:sz w:val="24"/>
        </w:rPr>
        <w:t>CMP435</w:t>
      </w:r>
      <w:r w:rsidR="00C86B13">
        <w:rPr>
          <w:sz w:val="24"/>
        </w:rPr>
        <w:t xml:space="preserve"> with the original intended aims – to ensure applications </w:t>
      </w:r>
      <w:r w:rsidR="00E87817">
        <w:rPr>
          <w:sz w:val="24"/>
        </w:rPr>
        <w:t xml:space="preserve">have carried out the due diligence for their project, including the land. </w:t>
      </w:r>
      <w:r w:rsidR="00E87817">
        <w:rPr>
          <w:sz w:val="24"/>
        </w:rPr>
        <w:tab/>
      </w:r>
      <w:r w:rsidR="00E87817">
        <w:rPr>
          <w:sz w:val="24"/>
        </w:rPr>
        <w:br/>
        <w:t xml:space="preserve">This Proposed Alternative will also minimise the risk of </w:t>
      </w:r>
      <w:r w:rsidR="000C46A3">
        <w:rPr>
          <w:sz w:val="24"/>
        </w:rPr>
        <w:t>high levels of speculative applications that the inclusion of Element 14 risks.</w:t>
      </w:r>
    </w:p>
    <w:p w14:paraId="59332253" w14:textId="55A9DBB7" w:rsidR="006C51D7" w:rsidRDefault="000C46A3" w:rsidP="00FF48CC">
      <w:pPr>
        <w:jc w:val="both"/>
        <w:rPr>
          <w:sz w:val="24"/>
        </w:rPr>
      </w:pPr>
      <w:r>
        <w:rPr>
          <w:sz w:val="24"/>
        </w:rPr>
        <w:t xml:space="preserve">The benefit of this </w:t>
      </w:r>
      <w:r w:rsidR="000E07BF">
        <w:rPr>
          <w:sz w:val="24"/>
        </w:rPr>
        <w:t>Proposed</w:t>
      </w:r>
      <w:r>
        <w:rPr>
          <w:sz w:val="24"/>
        </w:rPr>
        <w:t xml:space="preserve"> </w:t>
      </w:r>
      <w:r w:rsidR="00296A5E">
        <w:rPr>
          <w:sz w:val="24"/>
        </w:rPr>
        <w:t>Alternative is it</w:t>
      </w:r>
      <w:r w:rsidR="00FF48CC" w:rsidRPr="00FF48CC">
        <w:rPr>
          <w:sz w:val="24"/>
        </w:rPr>
        <w:t xml:space="preserve"> requires </w:t>
      </w:r>
      <w:r w:rsidR="003F418D">
        <w:rPr>
          <w:sz w:val="24"/>
        </w:rPr>
        <w:t>d</w:t>
      </w:r>
      <w:r w:rsidR="00FF48CC" w:rsidRPr="00FF48CC">
        <w:rPr>
          <w:sz w:val="24"/>
        </w:rPr>
        <w:t>evelopers to carry out due diligence on land</w:t>
      </w:r>
      <w:r w:rsidR="00231C1A">
        <w:rPr>
          <w:sz w:val="24"/>
        </w:rPr>
        <w:t>,</w:t>
      </w:r>
      <w:r w:rsidR="00FF48CC" w:rsidRPr="00FF48CC">
        <w:rPr>
          <w:sz w:val="24"/>
        </w:rPr>
        <w:t xml:space="preserve"> utilised as the project land</w:t>
      </w:r>
      <w:r w:rsidR="00231C1A">
        <w:rPr>
          <w:sz w:val="24"/>
        </w:rPr>
        <w:t>,</w:t>
      </w:r>
      <w:r w:rsidR="00194253">
        <w:rPr>
          <w:sz w:val="24"/>
        </w:rPr>
        <w:t xml:space="preserve"> that is taken to Gate 2 </w:t>
      </w:r>
      <w:r w:rsidR="00FF48CC" w:rsidRPr="00FF48CC">
        <w:rPr>
          <w:sz w:val="24"/>
        </w:rPr>
        <w:t>to ensure this land is viable for a project</w:t>
      </w:r>
      <w:r w:rsidR="00493FBB">
        <w:rPr>
          <w:sz w:val="24"/>
        </w:rPr>
        <w:t>.</w:t>
      </w:r>
      <w:r w:rsidR="00493FBB">
        <w:rPr>
          <w:sz w:val="24"/>
        </w:rPr>
        <w:tab/>
      </w:r>
      <w:r w:rsidR="000E07BF">
        <w:rPr>
          <w:sz w:val="24"/>
        </w:rPr>
        <w:br/>
        <w:t>The Proposed Alternative also aligns with the concept o</w:t>
      </w:r>
      <w:r w:rsidR="00194253">
        <w:rPr>
          <w:sz w:val="24"/>
        </w:rPr>
        <w:t>f</w:t>
      </w:r>
      <w:r w:rsidR="000E07BF">
        <w:rPr>
          <w:sz w:val="24"/>
        </w:rPr>
        <w:t xml:space="preserve"> Projects and due diligence being the focus and moves away from the problematic view of capacit</w:t>
      </w:r>
      <w:r w:rsidR="00866827">
        <w:rPr>
          <w:sz w:val="24"/>
        </w:rPr>
        <w:t xml:space="preserve">y, via NESO Offer/BCA, being a commodity irrespective of a developable project. </w:t>
      </w:r>
      <w:r w:rsidR="00866827">
        <w:rPr>
          <w:sz w:val="24"/>
        </w:rPr>
        <w:tab/>
      </w:r>
      <w:r w:rsidR="00D530A2">
        <w:rPr>
          <w:sz w:val="24"/>
        </w:rPr>
        <w:br/>
      </w:r>
      <w:r w:rsidR="00F8528A">
        <w:rPr>
          <w:sz w:val="24"/>
        </w:rPr>
        <w:br/>
        <w:t xml:space="preserve">Without this </w:t>
      </w:r>
      <w:r w:rsidR="004F49DF">
        <w:rPr>
          <w:sz w:val="24"/>
        </w:rPr>
        <w:t xml:space="preserve">Proposed </w:t>
      </w:r>
      <w:r w:rsidR="00F8528A">
        <w:rPr>
          <w:sz w:val="24"/>
        </w:rPr>
        <w:t>Alternative it is likely that Element 14 will significantly risk</w:t>
      </w:r>
      <w:r w:rsidR="00FF48CC" w:rsidRPr="00FF48CC">
        <w:rPr>
          <w:sz w:val="24"/>
        </w:rPr>
        <w:t xml:space="preserve"> speculative application </w:t>
      </w:r>
      <w:r w:rsidR="00F8528A">
        <w:rPr>
          <w:sz w:val="24"/>
        </w:rPr>
        <w:t>with large numbers of applicants looking to apply</w:t>
      </w:r>
      <w:r w:rsidR="00125024">
        <w:rPr>
          <w:sz w:val="24"/>
        </w:rPr>
        <w:t xml:space="preserve"> for Gate 2</w:t>
      </w:r>
      <w:r w:rsidR="00F8528A">
        <w:rPr>
          <w:sz w:val="24"/>
        </w:rPr>
        <w:t xml:space="preserve"> </w:t>
      </w:r>
      <w:r w:rsidR="006C51D7">
        <w:rPr>
          <w:sz w:val="24"/>
        </w:rPr>
        <w:t xml:space="preserve">in order to review the Gate 2 Offer </w:t>
      </w:r>
      <w:r w:rsidR="00FF48CC" w:rsidRPr="00FF48CC">
        <w:rPr>
          <w:sz w:val="24"/>
        </w:rPr>
        <w:t>outcome</w:t>
      </w:r>
      <w:r w:rsidR="006C51D7">
        <w:rPr>
          <w:sz w:val="24"/>
        </w:rPr>
        <w:t xml:space="preserve"> instead of carrying out due diligence </w:t>
      </w:r>
      <w:r w:rsidR="00125024">
        <w:rPr>
          <w:sz w:val="24"/>
        </w:rPr>
        <w:t>on the Project and associated land being taken to Gate 2 stage</w:t>
      </w:r>
      <w:r w:rsidR="002321C1">
        <w:rPr>
          <w:sz w:val="24"/>
        </w:rPr>
        <w:t xml:space="preserve">. </w:t>
      </w:r>
    </w:p>
    <w:p w14:paraId="4198362B" w14:textId="06AA9D4C" w:rsidR="00493FBB" w:rsidRDefault="007A51C3" w:rsidP="00FF48CC">
      <w:pPr>
        <w:jc w:val="both"/>
        <w:rPr>
          <w:sz w:val="24"/>
        </w:rPr>
      </w:pPr>
      <w:r>
        <w:rPr>
          <w:sz w:val="24"/>
        </w:rPr>
        <w:t xml:space="preserve">As a result of these </w:t>
      </w:r>
      <w:r w:rsidR="002321C1">
        <w:rPr>
          <w:sz w:val="24"/>
        </w:rPr>
        <w:t>risks,</w:t>
      </w:r>
      <w:r>
        <w:rPr>
          <w:sz w:val="24"/>
        </w:rPr>
        <w:t xml:space="preserve"> </w:t>
      </w:r>
      <w:r w:rsidR="002321C1">
        <w:rPr>
          <w:sz w:val="24"/>
        </w:rPr>
        <w:t>this Alternative</w:t>
      </w:r>
      <w:r>
        <w:rPr>
          <w:sz w:val="24"/>
        </w:rPr>
        <w:t xml:space="preserve"> </w:t>
      </w:r>
      <w:r w:rsidR="002321C1">
        <w:rPr>
          <w:sz w:val="24"/>
        </w:rPr>
        <w:t>suggests</w:t>
      </w:r>
      <w:r>
        <w:rPr>
          <w:sz w:val="24"/>
        </w:rPr>
        <w:t xml:space="preserve"> to remove Element 14 f</w:t>
      </w:r>
      <w:r w:rsidR="006D1BDB">
        <w:rPr>
          <w:sz w:val="24"/>
        </w:rPr>
        <w:t>ro</w:t>
      </w:r>
      <w:r>
        <w:rPr>
          <w:sz w:val="24"/>
        </w:rPr>
        <w:t>m the proposal.</w:t>
      </w:r>
      <w:r w:rsidR="002321C1">
        <w:rPr>
          <w:sz w:val="24"/>
        </w:rPr>
        <w:t xml:space="preserve"> Doing so will increase the focus on due diligence at application stage. This Proposed Alternative has no other wider impact, and no negative impact, on CMP435 as proposed. </w:t>
      </w:r>
      <w:r w:rsidR="00D530A2">
        <w:rPr>
          <w:sz w:val="24"/>
        </w:rPr>
        <w:br/>
      </w:r>
    </w:p>
    <w:p w14:paraId="233F264D" w14:textId="5A610E67" w:rsidR="00FF48CC" w:rsidRDefault="00493FBB" w:rsidP="00FF48CC">
      <w:pPr>
        <w:jc w:val="both"/>
        <w:rPr>
          <w:sz w:val="24"/>
        </w:rPr>
      </w:pPr>
      <w:r>
        <w:rPr>
          <w:sz w:val="24"/>
        </w:rPr>
        <w:t>It should be noted this</w:t>
      </w:r>
      <w:r w:rsidR="008F7BD9">
        <w:rPr>
          <w:sz w:val="24"/>
        </w:rPr>
        <w:t xml:space="preserve"> Proposed Alternative refers to Element 14 only e.g. Post Gate 2 Offer results</w:t>
      </w:r>
      <w:r w:rsidR="007A148E">
        <w:rPr>
          <w:sz w:val="24"/>
        </w:rPr>
        <w:t xml:space="preserve"> and is not related to general RLB change requirements – there has been some confusion over this so felt it needed clarity here.</w:t>
      </w:r>
      <w:r w:rsidR="008F7BD9">
        <w:rPr>
          <w:sz w:val="24"/>
        </w:rPr>
        <w:tab/>
      </w:r>
      <w:r w:rsidR="008F7BD9">
        <w:rPr>
          <w:sz w:val="24"/>
        </w:rPr>
        <w:br/>
        <w:t>This</w:t>
      </w:r>
      <w:r>
        <w:rPr>
          <w:sz w:val="24"/>
        </w:rPr>
        <w:t xml:space="preserve"> </w:t>
      </w:r>
      <w:r w:rsidR="007A148E">
        <w:rPr>
          <w:sz w:val="24"/>
        </w:rPr>
        <w:t>Proposed Alternative is specific to Element 14 only. This d</w:t>
      </w:r>
      <w:r>
        <w:rPr>
          <w:sz w:val="24"/>
        </w:rPr>
        <w:t xml:space="preserve">iffers from </w:t>
      </w:r>
      <w:r w:rsidR="008F7BD9">
        <w:rPr>
          <w:sz w:val="24"/>
        </w:rPr>
        <w:t xml:space="preserve">proposed </w:t>
      </w:r>
      <w:r>
        <w:rPr>
          <w:sz w:val="24"/>
        </w:rPr>
        <w:t xml:space="preserve">Red Line Boundary (RLB) changes as </w:t>
      </w:r>
      <w:r w:rsidR="006D1BDB">
        <w:rPr>
          <w:sz w:val="24"/>
        </w:rPr>
        <w:t>a result</w:t>
      </w:r>
      <w:r>
        <w:rPr>
          <w:sz w:val="24"/>
        </w:rPr>
        <w:t xml:space="preserve"> of development</w:t>
      </w:r>
      <w:r w:rsidR="008F7BD9">
        <w:rPr>
          <w:sz w:val="24"/>
        </w:rPr>
        <w:t>, which</w:t>
      </w:r>
      <w:r>
        <w:rPr>
          <w:sz w:val="24"/>
        </w:rPr>
        <w:t xml:space="preserve"> should be considered separately. </w:t>
      </w:r>
      <w:r w:rsidR="008F7BD9">
        <w:rPr>
          <w:sz w:val="24"/>
        </w:rPr>
        <w:tab/>
      </w:r>
      <w:r w:rsidR="008F7BD9">
        <w:rPr>
          <w:sz w:val="24"/>
        </w:rPr>
        <w:br/>
      </w:r>
      <w:r>
        <w:rPr>
          <w:sz w:val="24"/>
        </w:rPr>
        <w:t xml:space="preserve">RLB changes as a result of </w:t>
      </w:r>
      <w:r w:rsidR="008F7BD9">
        <w:rPr>
          <w:sz w:val="24"/>
        </w:rPr>
        <w:t xml:space="preserve">ongoing </w:t>
      </w:r>
      <w:r>
        <w:rPr>
          <w:sz w:val="24"/>
        </w:rPr>
        <w:t>development as a project progresses in the planning and detail design stages is a viable requirement of development.</w:t>
      </w:r>
      <w:r w:rsidR="00852D37">
        <w:rPr>
          <w:sz w:val="24"/>
        </w:rPr>
        <w:t xml:space="preserve"> </w:t>
      </w:r>
      <w:r w:rsidR="00B12B8F">
        <w:rPr>
          <w:sz w:val="24"/>
        </w:rPr>
        <w:t>RLB changes are a separate consideration and not</w:t>
      </w:r>
      <w:r w:rsidR="00852D37">
        <w:rPr>
          <w:sz w:val="24"/>
        </w:rPr>
        <w:t xml:space="preserve"> related to Element 14</w:t>
      </w:r>
      <w:r>
        <w:rPr>
          <w:sz w:val="24"/>
        </w:rPr>
        <w:t xml:space="preserve"> </w:t>
      </w:r>
      <w:r w:rsidR="00852D37">
        <w:rPr>
          <w:sz w:val="24"/>
        </w:rPr>
        <w:t>or this Proposed Alternative.</w:t>
      </w:r>
    </w:p>
    <w:p w14:paraId="6785478B" w14:textId="77777777" w:rsidR="004930C4" w:rsidRDefault="004930C4" w:rsidP="000B6ADA">
      <w:pPr>
        <w:jc w:val="both"/>
        <w:rPr>
          <w:sz w:val="24"/>
        </w:rPr>
      </w:pPr>
    </w:p>
    <w:p w14:paraId="24E8AD05" w14:textId="43033FE2" w:rsidR="00777B44" w:rsidRPr="00313B1D" w:rsidRDefault="00777B44" w:rsidP="00E4032A">
      <w:pPr>
        <w:pStyle w:val="Style3"/>
      </w:pPr>
      <w:r w:rsidRPr="00313B1D">
        <w:lastRenderedPageBreak/>
        <w:t>What is the difference between this and the Original Proposal?</w:t>
      </w:r>
    </w:p>
    <w:p w14:paraId="21210495" w14:textId="0243C165" w:rsidR="00A86BE7" w:rsidRDefault="0025054B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  <w:r>
        <w:rPr>
          <w:rFonts w:cs="Arial"/>
          <w:sz w:val="24"/>
        </w:rPr>
        <w:t>This will differ from the original Proposal in that it will no longer allow the wholesale change of land area/land as a result of the Gate 2 Offer.</w:t>
      </w:r>
      <w:r w:rsidR="00D530A2">
        <w:rPr>
          <w:rFonts w:cs="Arial"/>
          <w:sz w:val="24"/>
        </w:rPr>
        <w:t xml:space="preserve"> </w:t>
      </w:r>
    </w:p>
    <w:p w14:paraId="2865BB3D" w14:textId="12174C6F" w:rsidR="00D530A2" w:rsidRDefault="00D530A2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  <w:r>
        <w:rPr>
          <w:rFonts w:cs="Arial"/>
          <w:sz w:val="24"/>
        </w:rPr>
        <w:t>This will ensure that speculation is limited</w:t>
      </w:r>
      <w:r w:rsidR="004D07EA">
        <w:rPr>
          <w:rFonts w:cs="Arial"/>
          <w:sz w:val="24"/>
        </w:rPr>
        <w:t xml:space="preserve"> and</w:t>
      </w:r>
      <w:r>
        <w:rPr>
          <w:rFonts w:cs="Arial"/>
          <w:sz w:val="24"/>
        </w:rPr>
        <w:t xml:space="preserve"> reduces the risk of negative impacts of a growing</w:t>
      </w:r>
      <w:r w:rsidR="001A6C3D">
        <w:rPr>
          <w:rFonts w:cs="Arial"/>
          <w:sz w:val="24"/>
        </w:rPr>
        <w:t xml:space="preserve"> TEC queue</w:t>
      </w:r>
      <w:r w:rsidR="00477BBB">
        <w:rPr>
          <w:rFonts w:cs="Arial"/>
          <w:sz w:val="24"/>
        </w:rPr>
        <w:t>.</w:t>
      </w:r>
    </w:p>
    <w:p w14:paraId="70145E01" w14:textId="77777777" w:rsidR="00B308A4" w:rsidRDefault="00B308A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56848042" w14:textId="58725C2F" w:rsidR="00B308A4" w:rsidRDefault="00D530A2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  <w:r>
        <w:rPr>
          <w:rFonts w:cs="Arial"/>
          <w:sz w:val="24"/>
        </w:rPr>
        <w:t>This</w:t>
      </w:r>
      <w:r w:rsidR="00B308A4">
        <w:rPr>
          <w:rFonts w:cs="Arial"/>
          <w:sz w:val="24"/>
        </w:rPr>
        <w:t xml:space="preserve"> change does not fundamentally </w:t>
      </w:r>
      <w:r w:rsidR="00A57E30">
        <w:rPr>
          <w:rFonts w:cs="Arial"/>
          <w:sz w:val="24"/>
        </w:rPr>
        <w:t>affect</w:t>
      </w:r>
      <w:r w:rsidR="00B308A4">
        <w:rPr>
          <w:rFonts w:cs="Arial"/>
          <w:sz w:val="24"/>
        </w:rPr>
        <w:t xml:space="preserve"> any other </w:t>
      </w:r>
      <w:r w:rsidR="007A4822">
        <w:rPr>
          <w:rFonts w:cs="Arial"/>
          <w:sz w:val="24"/>
        </w:rPr>
        <w:t>part of the proposal</w:t>
      </w:r>
      <w:r w:rsidR="00477BBB">
        <w:rPr>
          <w:rFonts w:cs="Arial"/>
          <w:sz w:val="24"/>
        </w:rPr>
        <w:t xml:space="preserve"> and has no negative effect on CMP435</w:t>
      </w:r>
      <w:r w:rsidR="007A4822">
        <w:rPr>
          <w:rFonts w:cs="Arial"/>
          <w:sz w:val="24"/>
        </w:rPr>
        <w:t xml:space="preserve">. </w:t>
      </w:r>
      <w:r w:rsidR="00477BBB">
        <w:rPr>
          <w:rFonts w:cs="Arial"/>
          <w:sz w:val="24"/>
        </w:rPr>
        <w:tab/>
      </w:r>
      <w:r w:rsidR="00477BBB">
        <w:rPr>
          <w:rFonts w:cs="Arial"/>
          <w:sz w:val="24"/>
        </w:rPr>
        <w:br/>
      </w:r>
      <w:r w:rsidR="007A4822">
        <w:rPr>
          <w:rFonts w:cs="Arial"/>
          <w:sz w:val="24"/>
        </w:rPr>
        <w:t xml:space="preserve">Element 14 can be removed without any </w:t>
      </w:r>
      <w:r w:rsidR="00DF2839">
        <w:rPr>
          <w:rFonts w:cs="Arial"/>
          <w:sz w:val="24"/>
        </w:rPr>
        <w:t>knock-on</w:t>
      </w:r>
      <w:r w:rsidR="007A4822">
        <w:rPr>
          <w:rFonts w:cs="Arial"/>
          <w:sz w:val="24"/>
        </w:rPr>
        <w:t xml:space="preserve"> effect to other Elements in the proposal or any change to the wider proposal as whole.</w:t>
      </w:r>
    </w:p>
    <w:p w14:paraId="2B5E2F5F" w14:textId="77777777" w:rsidR="006D0FA5" w:rsidRDefault="006D0FA5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219D6BD7" w14:textId="77777777" w:rsidR="004930C4" w:rsidRDefault="004930C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5560346E" w14:textId="1427AB2A" w:rsidR="002B5ADD" w:rsidRPr="006277B0" w:rsidRDefault="00625705" w:rsidP="006277B0">
      <w:pPr>
        <w:pStyle w:val="Style4"/>
        <w:rPr>
          <w:color w:val="000000"/>
          <w:sz w:val="24"/>
          <w:lang w:eastAsia="en-US"/>
        </w:rPr>
      </w:pPr>
      <w:r w:rsidRPr="00663B2B">
        <w:t xml:space="preserve">What is the impact of this </w:t>
      </w:r>
      <w:r w:rsidRPr="00976D98">
        <w:t>change</w:t>
      </w:r>
      <w:r w:rsidRPr="00663B2B">
        <w:t>?</w:t>
      </w:r>
    </w:p>
    <w:p w14:paraId="450C4054" w14:textId="082C5E77" w:rsidR="00AC159B" w:rsidRDefault="000B6ADA" w:rsidP="000B6ADA">
      <w:pPr>
        <w:pStyle w:val="ListParagraph"/>
        <w:keepLines/>
        <w:widowControl w:val="0"/>
        <w:tabs>
          <w:tab w:val="left" w:pos="1418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  <w:r>
        <w:rPr>
          <w:rFonts w:cs="Arial"/>
          <w:b/>
          <w:bCs/>
          <w:color w:val="F26522" w:themeColor="accent1"/>
          <w:kern w:val="32"/>
          <w:sz w:val="24"/>
        </w:rPr>
        <w:t xml:space="preserve"> </w:t>
      </w:r>
    </w:p>
    <w:tbl>
      <w:tblPr>
        <w:tblpPr w:leftFromText="180" w:rightFromText="180" w:vertAnchor="text" w:horzAnchor="margin" w:tblpY="49"/>
        <w:tblOverlap w:val="never"/>
        <w:tblW w:w="9209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8"/>
        <w:gridCol w:w="2971"/>
      </w:tblGrid>
      <w:tr w:rsidR="00AC159B" w:rsidRPr="00314414" w14:paraId="3B15CD65" w14:textId="77777777" w:rsidTr="002F61FB">
        <w:trPr>
          <w:trHeight w:hRule="exact" w:val="561"/>
        </w:trPr>
        <w:tc>
          <w:tcPr>
            <w:tcW w:w="9209" w:type="dxa"/>
            <w:gridSpan w:val="2"/>
            <w:shd w:val="clear" w:color="auto" w:fill="F26522" w:themeFill="accent1"/>
            <w:vAlign w:val="center"/>
          </w:tcPr>
          <w:p w14:paraId="020CAB57" w14:textId="3BE0FC6B" w:rsidR="00AC159B" w:rsidRPr="00314414" w:rsidRDefault="000B6ADA" w:rsidP="002F61FB">
            <w:pPr>
              <w:pStyle w:val="TableHeading"/>
              <w:rPr>
                <w:rFonts w:cs="Arial"/>
                <w:b/>
                <w:szCs w:val="20"/>
              </w:rPr>
            </w:pP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>Proposer’s Assessment against C</w:t>
            </w:r>
            <w:r>
              <w:rPr>
                <w:rFonts w:cs="Arial"/>
                <w:b/>
                <w:color w:val="FFFFFF" w:themeColor="background1"/>
                <w:sz w:val="24"/>
                <w:szCs w:val="20"/>
              </w:rPr>
              <w:t>USC Non-Charging</w:t>
            </w: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 Objectives  </w:t>
            </w:r>
          </w:p>
        </w:tc>
      </w:tr>
      <w:tr w:rsidR="00AC159B" w:rsidRPr="006A726B" w14:paraId="6FDF0090" w14:textId="77777777" w:rsidTr="008C5AB4">
        <w:trPr>
          <w:trHeight w:val="397"/>
        </w:trPr>
        <w:tc>
          <w:tcPr>
            <w:tcW w:w="6238" w:type="dxa"/>
          </w:tcPr>
          <w:p w14:paraId="4E757CA7" w14:textId="77777777" w:rsidR="00AC159B" w:rsidRPr="006A726B" w:rsidRDefault="00AC159B" w:rsidP="002F61FB">
            <w:pPr>
              <w:ind w:left="113" w:right="113"/>
              <w:rPr>
                <w:rFonts w:cs="Arial"/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Relevant Objective</w:t>
            </w:r>
          </w:p>
        </w:tc>
        <w:tc>
          <w:tcPr>
            <w:tcW w:w="2971" w:type="dxa"/>
          </w:tcPr>
          <w:p w14:paraId="0C3BDECC" w14:textId="77777777" w:rsidR="00AC159B" w:rsidRPr="006A726B" w:rsidRDefault="00AC159B" w:rsidP="002F61FB">
            <w:pPr>
              <w:ind w:left="113" w:right="113"/>
              <w:rPr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Identified impact</w:t>
            </w:r>
          </w:p>
        </w:tc>
      </w:tr>
      <w:tr w:rsidR="008C5AB4" w:rsidRPr="006A726B" w14:paraId="7DB47E0B" w14:textId="77777777" w:rsidTr="008C5AB4">
        <w:trPr>
          <w:trHeight w:val="397"/>
        </w:trPr>
        <w:tc>
          <w:tcPr>
            <w:tcW w:w="6238" w:type="dxa"/>
          </w:tcPr>
          <w:p w14:paraId="592586F4" w14:textId="77777777" w:rsidR="008C5AB4" w:rsidRPr="00BD5234" w:rsidRDefault="008C5AB4" w:rsidP="008C5AB4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(a)</w:t>
            </w:r>
            <w:r w:rsidRPr="00BD5234">
              <w:rPr>
                <w:rFonts w:cs="Arial"/>
                <w:color w:val="auto"/>
                <w:sz w:val="24"/>
              </w:rPr>
              <w:tab/>
              <w:t>The efficient discharge by the Licensee of the obligations imposed on it by the Act and the Transmission Licence;</w:t>
            </w:r>
          </w:p>
        </w:tc>
        <w:tc>
          <w:tcPr>
            <w:tcW w:w="2971" w:type="dxa"/>
          </w:tcPr>
          <w:p w14:paraId="0FB71530" w14:textId="36475DF4" w:rsidR="008C5AB4" w:rsidRPr="006A726B" w:rsidRDefault="008C5AB4" w:rsidP="008C5AB4">
            <w:pPr>
              <w:spacing w:before="40"/>
              <w:ind w:lef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None:</w:t>
            </w:r>
            <w:r w:rsidRPr="00ED32C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This change does not </w:t>
            </w:r>
            <w:r w:rsidR="00E167BB">
              <w:rPr>
                <w:sz w:val="24"/>
              </w:rPr>
              <w:t>affect</w:t>
            </w:r>
            <w:r>
              <w:rPr>
                <w:sz w:val="24"/>
              </w:rPr>
              <w:t xml:space="preserve"> licence obligations.</w:t>
            </w:r>
          </w:p>
        </w:tc>
      </w:tr>
      <w:tr w:rsidR="008C5AB4" w:rsidRPr="006A726B" w14:paraId="50E6A3C0" w14:textId="77777777" w:rsidTr="008C5AB4">
        <w:trPr>
          <w:trHeight w:val="397"/>
        </w:trPr>
        <w:tc>
          <w:tcPr>
            <w:tcW w:w="6238" w:type="dxa"/>
          </w:tcPr>
          <w:p w14:paraId="10546143" w14:textId="77777777" w:rsidR="008C5AB4" w:rsidRPr="00BD5234" w:rsidRDefault="008C5AB4" w:rsidP="008C5AB4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(b)</w:t>
            </w:r>
            <w:r w:rsidRPr="00BD5234">
              <w:rPr>
                <w:rFonts w:cs="Arial"/>
                <w:color w:val="auto"/>
                <w:sz w:val="24"/>
              </w:rPr>
              <w:tab/>
              <w:t>Facilitating effective competition in the generation and supply of electricity, and (so far as consistent therewith) facilitating such competition in the sale, distribution and purchase of electricity;</w:t>
            </w:r>
          </w:p>
        </w:tc>
        <w:tc>
          <w:tcPr>
            <w:tcW w:w="2971" w:type="dxa"/>
          </w:tcPr>
          <w:p w14:paraId="10240529" w14:textId="2B24341D" w:rsidR="008C5AB4" w:rsidRPr="006A726B" w:rsidRDefault="008C5AB4" w:rsidP="008C5AB4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>
              <w:rPr>
                <w:sz w:val="24"/>
              </w:rPr>
              <w:t>This change will send the correct signals to the market, facilitating effective competition of genuine projects and avoiding the promotion of extreme speculation (as seen currently).</w:t>
            </w:r>
          </w:p>
        </w:tc>
      </w:tr>
      <w:tr w:rsidR="008C5AB4" w:rsidRPr="006A726B" w14:paraId="34F24340" w14:textId="77777777" w:rsidTr="008C5AB4">
        <w:trPr>
          <w:trHeight w:val="397"/>
        </w:trPr>
        <w:tc>
          <w:tcPr>
            <w:tcW w:w="6238" w:type="dxa"/>
          </w:tcPr>
          <w:p w14:paraId="3B24DCE2" w14:textId="77777777" w:rsidR="008C5AB4" w:rsidRPr="00BD5234" w:rsidRDefault="008C5AB4" w:rsidP="008C5AB4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(c)</w:t>
            </w:r>
            <w:r w:rsidRPr="00BD5234">
              <w:rPr>
                <w:rFonts w:cs="Arial"/>
                <w:color w:val="auto"/>
                <w:sz w:val="24"/>
              </w:rPr>
              <w:tab/>
              <w:t>Compliance with the Electricity Regulation and any relevant legally binding decision of the European Commission and/or the Agency *; and</w:t>
            </w:r>
          </w:p>
        </w:tc>
        <w:tc>
          <w:tcPr>
            <w:tcW w:w="2971" w:type="dxa"/>
          </w:tcPr>
          <w:p w14:paraId="103AA5AB" w14:textId="63CDD016" w:rsidR="008C5AB4" w:rsidRPr="006A726B" w:rsidRDefault="008C5AB4" w:rsidP="008C5AB4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None:</w:t>
            </w:r>
            <w:r w:rsidRPr="00ED32C9">
              <w:rPr>
                <w:sz w:val="24"/>
              </w:rPr>
              <w:t xml:space="preserve"> </w:t>
            </w:r>
            <w:r>
              <w:rPr>
                <w:sz w:val="24"/>
              </w:rPr>
              <w:t>This change has no impact on regulatory requirements.</w:t>
            </w:r>
          </w:p>
        </w:tc>
      </w:tr>
      <w:tr w:rsidR="008C5AB4" w:rsidRPr="006A726B" w14:paraId="1F3D76F1" w14:textId="77777777" w:rsidTr="008C5AB4">
        <w:trPr>
          <w:trHeight w:val="397"/>
        </w:trPr>
        <w:tc>
          <w:tcPr>
            <w:tcW w:w="6238" w:type="dxa"/>
          </w:tcPr>
          <w:p w14:paraId="4D0AB595" w14:textId="77777777" w:rsidR="008C5AB4" w:rsidRPr="00BD5234" w:rsidRDefault="008C5AB4" w:rsidP="008C5AB4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(d) Promoting efficiency in the implementation and administration of the CUSC arrangements.</w:t>
            </w:r>
          </w:p>
        </w:tc>
        <w:tc>
          <w:tcPr>
            <w:tcW w:w="2971" w:type="dxa"/>
          </w:tcPr>
          <w:p w14:paraId="2EE4EBF9" w14:textId="5A229F54" w:rsidR="008C5AB4" w:rsidRPr="006A726B" w:rsidRDefault="008C5AB4" w:rsidP="008C5AB4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Signalling real projects and avoiding mass speculation will promote efficiencies in implantation of the CUSC by increasing visibility of future, real, projects and promoting efficient design as a result. </w:t>
            </w:r>
          </w:p>
        </w:tc>
      </w:tr>
      <w:tr w:rsidR="00AC159B" w:rsidRPr="006A726B" w14:paraId="2DD31E56" w14:textId="77777777" w:rsidTr="002F61FB">
        <w:trPr>
          <w:trHeight w:val="397"/>
        </w:trPr>
        <w:tc>
          <w:tcPr>
            <w:tcW w:w="9209" w:type="dxa"/>
            <w:gridSpan w:val="2"/>
          </w:tcPr>
          <w:p w14:paraId="1408B9F8" w14:textId="076564C6" w:rsidR="00AC159B" w:rsidRPr="006A726B" w:rsidRDefault="00AC159B" w:rsidP="002F61FB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BD5234">
              <w:rPr>
                <w:rFonts w:cs="Arial"/>
                <w:sz w:val="24"/>
              </w:rPr>
              <w:t>*</w:t>
            </w:r>
            <w:r w:rsidR="001C36EA">
              <w:rPr>
                <w:rFonts w:cs="Arial"/>
                <w:sz w:val="24"/>
              </w:rPr>
              <w:t>T</w:t>
            </w:r>
            <w:r w:rsidR="001C36EA" w:rsidRPr="001C36EA">
              <w:rPr>
                <w:rFonts w:cs="Arial"/>
                <w:sz w:val="24"/>
              </w:rPr>
              <w:t>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      </w:r>
          </w:p>
        </w:tc>
      </w:tr>
    </w:tbl>
    <w:p w14:paraId="66E9ED3E" w14:textId="77777777" w:rsidR="008006B5" w:rsidRDefault="008006B5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173F8869" w14:textId="37F25B89" w:rsidR="00BD5234" w:rsidRDefault="00BD5234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66AEB86E" w14:textId="77777777" w:rsidR="00976D98" w:rsidRDefault="00976D98" w:rsidP="003F129C">
      <w:pPr>
        <w:pStyle w:val="e"/>
      </w:pPr>
      <w:r>
        <w:t>When will this change take place?</w:t>
      </w:r>
    </w:p>
    <w:p w14:paraId="57E64F4B" w14:textId="77777777" w:rsidR="005625BF" w:rsidRDefault="005625BF" w:rsidP="00976D98">
      <w:pPr>
        <w:spacing w:before="0" w:after="160" w:line="259" w:lineRule="auto"/>
        <w:rPr>
          <w:b/>
          <w:sz w:val="24"/>
        </w:rPr>
      </w:pPr>
      <w:r w:rsidRPr="005625BF">
        <w:rPr>
          <w:b/>
          <w:sz w:val="24"/>
        </w:rPr>
        <w:t>Implementation date:</w:t>
      </w:r>
    </w:p>
    <w:p w14:paraId="198D0BD4" w14:textId="31336A8D" w:rsidR="000751A1" w:rsidRDefault="000751A1" w:rsidP="00976D98">
      <w:pPr>
        <w:spacing w:before="0" w:after="160" w:line="259" w:lineRule="auto"/>
        <w:rPr>
          <w:sz w:val="24"/>
        </w:rPr>
      </w:pPr>
      <w:r w:rsidRPr="000751A1">
        <w:rPr>
          <w:sz w:val="24"/>
        </w:rPr>
        <w:t>January 2025 or in line with implementation of CMP434 if the start date is delayed</w:t>
      </w:r>
      <w:r>
        <w:rPr>
          <w:sz w:val="24"/>
        </w:rPr>
        <w:t>.</w:t>
      </w:r>
    </w:p>
    <w:p w14:paraId="7D43E84A" w14:textId="77777777" w:rsidR="000751A1" w:rsidRDefault="000751A1" w:rsidP="00976D98">
      <w:pPr>
        <w:spacing w:before="0" w:after="160" w:line="259" w:lineRule="auto"/>
        <w:rPr>
          <w:sz w:val="24"/>
        </w:rPr>
      </w:pPr>
    </w:p>
    <w:p w14:paraId="0344C0F6" w14:textId="530B8D98" w:rsidR="005625BF" w:rsidRPr="005625BF" w:rsidRDefault="003F129C" w:rsidP="00976D98">
      <w:pPr>
        <w:spacing w:before="0" w:after="160" w:line="259" w:lineRule="auto"/>
        <w:rPr>
          <w:b/>
          <w:sz w:val="24"/>
        </w:rPr>
      </w:pPr>
      <w:r>
        <w:rPr>
          <w:b/>
          <w:sz w:val="24"/>
        </w:rPr>
        <w:t>Implementation approach:</w:t>
      </w:r>
    </w:p>
    <w:p w14:paraId="0E267E81" w14:textId="14BE36EB" w:rsidR="00E65196" w:rsidRDefault="006C4F75" w:rsidP="00E25874">
      <w:bookmarkStart w:id="6" w:name="_Workgroup_Consultation_1"/>
      <w:bookmarkEnd w:id="6"/>
      <w:r w:rsidRPr="006C4F75">
        <w:rPr>
          <w:sz w:val="24"/>
        </w:rPr>
        <w:t>Reference to Element 14 and allowance of movement of land as a result of Gate 2 Offer will need to be removed from the proposal. No/limited other work is required to implement.</w:t>
      </w:r>
    </w:p>
    <w:p w14:paraId="1D961AE1" w14:textId="62FA9D7B" w:rsidR="00D037F9" w:rsidRDefault="00D037F9" w:rsidP="00D037F9">
      <w:pPr>
        <w:rPr>
          <w:sz w:val="24"/>
        </w:rPr>
      </w:pPr>
      <w:bookmarkStart w:id="7" w:name="_How_to_respond"/>
      <w:bookmarkEnd w:id="7"/>
    </w:p>
    <w:sectPr w:rsidR="00D037F9" w:rsidSect="003B11AC">
      <w:headerReference w:type="default" r:id="rId15"/>
      <w:footerReference w:type="default" r:id="rId16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Elana Byrne" w:date="2024-08-23T12:02:00Z" w:initials="EB">
    <w:p w14:paraId="71F4CC9B" w14:textId="77777777" w:rsidR="009327A5" w:rsidRDefault="009327A5" w:rsidP="00022116">
      <w:pPr>
        <w:pStyle w:val="CommentText"/>
      </w:pPr>
      <w:r>
        <w:rPr>
          <w:rStyle w:val="CommentReference"/>
        </w:rPr>
        <w:annotationRef/>
      </w:r>
      <w:r>
        <w:t>Further to the updates in WG15 on 22 August, the Original solution proposes to descope Element 14</w:t>
      </w:r>
    </w:p>
  </w:comment>
  <w:comment w:id="2" w:author="Grant Rogers" w:date="2024-08-29T11:15:00Z" w:initials="GR">
    <w:p w14:paraId="10764A28" w14:textId="77777777" w:rsidR="00950154" w:rsidRDefault="00950154" w:rsidP="00950154">
      <w:pPr>
        <w:pStyle w:val="CommentText"/>
      </w:pPr>
      <w:r>
        <w:rPr>
          <w:rStyle w:val="CommentReference"/>
        </w:rPr>
        <w:annotationRef/>
      </w:r>
      <w:r>
        <w:t>Appreciate this however I’m mindful that an alternative has been raised to re-introduce Element 14 so would like to leave this Alt in.</w:t>
      </w:r>
    </w:p>
  </w:comment>
  <w:comment w:id="5" w:author="Grant Rogers" w:date="2024-08-29T11:17:00Z" w:initials="GR">
    <w:p w14:paraId="0C11AB4D" w14:textId="77777777" w:rsidR="00950154" w:rsidRDefault="00950154" w:rsidP="00950154">
      <w:pPr>
        <w:pStyle w:val="CommentText"/>
      </w:pPr>
      <w:r>
        <w:rPr>
          <w:rStyle w:val="CommentReference"/>
        </w:rPr>
        <w:annotationRef/>
      </w:r>
      <w:r>
        <w:t>Deleted in line with discussion and SME feedback.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1F4CC9B" w15:done="0"/>
  <w15:commentEx w15:paraId="10764A28" w15:paraIdParent="71F4CC9B" w15:done="0"/>
  <w15:commentEx w15:paraId="0C11AB4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2F8D2" w16cex:dateUtc="2024-08-23T11:02:00Z"/>
  <w16cex:commentExtensible w16cex:durableId="14D38273" w16cex:dateUtc="2024-08-29T10:15:00Z"/>
  <w16cex:commentExtensible w16cex:durableId="3FC381B7" w16cex:dateUtc="2024-08-29T10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F4CC9B" w16cid:durableId="2A72F8D2"/>
  <w16cid:commentId w16cid:paraId="10764A28" w16cid:durableId="14D38273"/>
  <w16cid:commentId w16cid:paraId="0C11AB4D" w16cid:durableId="3FC381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9AE5C" w14:textId="77777777" w:rsidR="00F87D4F" w:rsidRDefault="00F87D4F" w:rsidP="00D06DC4">
      <w:pPr>
        <w:spacing w:before="0" w:after="0" w:line="240" w:lineRule="auto"/>
      </w:pPr>
      <w:r>
        <w:separator/>
      </w:r>
    </w:p>
  </w:endnote>
  <w:endnote w:type="continuationSeparator" w:id="0">
    <w:p w14:paraId="7C41ACDF" w14:textId="77777777" w:rsidR="00F87D4F" w:rsidRDefault="00F87D4F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3BCAD879" w14:textId="77777777" w:rsidR="00F87D4F" w:rsidRDefault="00F87D4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1E49" w14:textId="66D0C1A4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2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4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615EB" w14:textId="77777777" w:rsidR="00F87D4F" w:rsidRDefault="00F87D4F" w:rsidP="00D06DC4">
      <w:pPr>
        <w:spacing w:before="0" w:after="0" w:line="240" w:lineRule="auto"/>
      </w:pPr>
      <w:r>
        <w:separator/>
      </w:r>
    </w:p>
  </w:footnote>
  <w:footnote w:type="continuationSeparator" w:id="0">
    <w:p w14:paraId="4DC4B042" w14:textId="77777777" w:rsidR="00F87D4F" w:rsidRDefault="00F87D4F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682B78F9" w14:textId="77777777" w:rsidR="00F87D4F" w:rsidRDefault="00F87D4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68F38" w14:textId="7A7B3225" w:rsidR="00AF48EB" w:rsidRDefault="00AF48EB" w:rsidP="000C711B">
    <w:pPr>
      <w:pStyle w:val="Header"/>
      <w:ind w:left="720" w:firstLine="720"/>
      <w:jc w:val="right"/>
    </w:pPr>
    <w:bookmarkStart w:id="8" w:name="_Hlk31876634"/>
    <w:bookmarkStart w:id="9" w:name="_Hlk31876635"/>
    <w:r w:rsidRPr="00AF48EB">
      <w:rPr>
        <w:noProof/>
      </w:rPr>
      <w:drawing>
        <wp:anchor distT="0" distB="0" distL="114300" distR="114300" simplePos="0" relativeHeight="251658240" behindDoc="1" locked="0" layoutInCell="1" allowOverlap="1" wp14:anchorId="27DF220B" wp14:editId="2CDE7301">
          <wp:simplePos x="0" y="0"/>
          <wp:positionH relativeFrom="page">
            <wp:posOffset>19050</wp:posOffset>
          </wp:positionH>
          <wp:positionV relativeFrom="paragraph">
            <wp:posOffset>-166370</wp:posOffset>
          </wp:positionV>
          <wp:extent cx="1162050" cy="77152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80" t="14737"/>
                  <a:stretch/>
                </pic:blipFill>
                <pic:spPr bwMode="auto">
                  <a:xfrm>
                    <a:off x="0" y="0"/>
                    <a:ext cx="116205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18547B" w14:textId="37C5A471" w:rsidR="00B8588F" w:rsidRDefault="00B8588F" w:rsidP="000C711B">
    <w:pPr>
      <w:pStyle w:val="Header"/>
      <w:ind w:left="720" w:firstLine="720"/>
      <w:jc w:val="right"/>
    </w:pPr>
    <w:r>
      <w:tab/>
    </w:r>
    <w:r w:rsidR="00D039FA">
      <w:t>CMP</w:t>
    </w:r>
    <w:r w:rsidR="00EE1412">
      <w:t>43</w:t>
    </w:r>
    <w:r w:rsidR="009A54D0">
      <w:t>5</w:t>
    </w:r>
    <w:r w:rsidR="00F15028">
      <w:t xml:space="preserve"> Alternative </w:t>
    </w:r>
    <w:bookmarkEnd w:id="8"/>
    <w:bookmarkEnd w:id="9"/>
    <w:r w:rsidR="008D605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EE7"/>
    <w:multiLevelType w:val="hybridMultilevel"/>
    <w:tmpl w:val="6130C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E1960"/>
    <w:multiLevelType w:val="hybridMultilevel"/>
    <w:tmpl w:val="4D7AA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1142D"/>
    <w:multiLevelType w:val="hybridMultilevel"/>
    <w:tmpl w:val="4BBCFC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5169"/>
    <w:multiLevelType w:val="multilevel"/>
    <w:tmpl w:val="9FD0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D54674"/>
    <w:multiLevelType w:val="hybridMultilevel"/>
    <w:tmpl w:val="25825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500C9"/>
    <w:multiLevelType w:val="hybridMultilevel"/>
    <w:tmpl w:val="B83AF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2242A"/>
    <w:multiLevelType w:val="hybridMultilevel"/>
    <w:tmpl w:val="D992534C"/>
    <w:lvl w:ilvl="0" w:tplc="08090001">
      <w:start w:val="1"/>
      <w:numFmt w:val="bullet"/>
      <w:lvlText w:val=""/>
      <w:lvlJc w:val="left"/>
      <w:pPr>
        <w:ind w:left="-130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5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</w:abstractNum>
  <w:abstractNum w:abstractNumId="7" w15:restartNumberingAfterBreak="0">
    <w:nsid w:val="19B856B2"/>
    <w:multiLevelType w:val="hybridMultilevel"/>
    <w:tmpl w:val="1A86D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B21E3"/>
    <w:multiLevelType w:val="hybridMultilevel"/>
    <w:tmpl w:val="B686DF70"/>
    <w:lvl w:ilvl="0" w:tplc="9A424D60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A3F06"/>
    <w:multiLevelType w:val="hybridMultilevel"/>
    <w:tmpl w:val="2AF0A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F2F3A"/>
    <w:multiLevelType w:val="hybridMultilevel"/>
    <w:tmpl w:val="E5964A78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B57F62"/>
    <w:multiLevelType w:val="hybridMultilevel"/>
    <w:tmpl w:val="329C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30C51"/>
    <w:multiLevelType w:val="hybridMultilevel"/>
    <w:tmpl w:val="4288D228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7276"/>
    <w:multiLevelType w:val="hybridMultilevel"/>
    <w:tmpl w:val="D0B42ED6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C3BE7"/>
    <w:multiLevelType w:val="hybridMultilevel"/>
    <w:tmpl w:val="883CE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E39C3"/>
    <w:multiLevelType w:val="hybridMultilevel"/>
    <w:tmpl w:val="5B7CF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4B5E"/>
    <w:multiLevelType w:val="hybridMultilevel"/>
    <w:tmpl w:val="3946AE40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A2733"/>
    <w:multiLevelType w:val="hybridMultilevel"/>
    <w:tmpl w:val="00844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CA"/>
    <w:multiLevelType w:val="hybridMultilevel"/>
    <w:tmpl w:val="9DF8CC5A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FA6670"/>
    <w:multiLevelType w:val="hybridMultilevel"/>
    <w:tmpl w:val="41DE3348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E392C"/>
    <w:multiLevelType w:val="hybridMultilevel"/>
    <w:tmpl w:val="BEBA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C4F2A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7C71B9"/>
    <w:multiLevelType w:val="hybridMultilevel"/>
    <w:tmpl w:val="4D960434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7442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26077"/>
    <w:multiLevelType w:val="hybridMultilevel"/>
    <w:tmpl w:val="E80E097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93D53"/>
    <w:multiLevelType w:val="hybridMultilevel"/>
    <w:tmpl w:val="A2C4E61E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F21251"/>
    <w:multiLevelType w:val="hybridMultilevel"/>
    <w:tmpl w:val="D4CAF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D678C2"/>
    <w:multiLevelType w:val="hybridMultilevel"/>
    <w:tmpl w:val="15547934"/>
    <w:lvl w:ilvl="0" w:tplc="23000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27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8A9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72C24E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3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A1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C7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22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69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89C2AA6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57307A"/>
    <w:multiLevelType w:val="hybridMultilevel"/>
    <w:tmpl w:val="EFE02B12"/>
    <w:lvl w:ilvl="0" w:tplc="08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1" w15:restartNumberingAfterBreak="0">
    <w:nsid w:val="64350D4F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C7CEE"/>
    <w:multiLevelType w:val="hybridMultilevel"/>
    <w:tmpl w:val="39ACF870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020435"/>
    <w:multiLevelType w:val="hybridMultilevel"/>
    <w:tmpl w:val="216E0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24DB8"/>
    <w:multiLevelType w:val="hybridMultilevel"/>
    <w:tmpl w:val="CC7C5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C753B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6E0C32"/>
    <w:multiLevelType w:val="hybridMultilevel"/>
    <w:tmpl w:val="3F18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F1DCD"/>
    <w:multiLevelType w:val="hybridMultilevel"/>
    <w:tmpl w:val="03089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C1F9A"/>
    <w:multiLevelType w:val="hybridMultilevel"/>
    <w:tmpl w:val="0560B41C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3613F"/>
    <w:multiLevelType w:val="hybridMultilevel"/>
    <w:tmpl w:val="2196C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D0B8E"/>
    <w:multiLevelType w:val="hybridMultilevel"/>
    <w:tmpl w:val="022E12E4"/>
    <w:lvl w:ilvl="0" w:tplc="AD7E4C78">
      <w:start w:val="1"/>
      <w:numFmt w:val="lowerRoman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EC05731"/>
    <w:multiLevelType w:val="hybridMultilevel"/>
    <w:tmpl w:val="95A0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01B0C"/>
    <w:multiLevelType w:val="hybridMultilevel"/>
    <w:tmpl w:val="594075CE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713168">
    <w:abstractNumId w:val="25"/>
  </w:num>
  <w:num w:numId="2" w16cid:durableId="834683394">
    <w:abstractNumId w:val="6"/>
  </w:num>
  <w:num w:numId="3" w16cid:durableId="139812832">
    <w:abstractNumId w:val="33"/>
  </w:num>
  <w:num w:numId="4" w16cid:durableId="1871451881">
    <w:abstractNumId w:val="17"/>
  </w:num>
  <w:num w:numId="5" w16cid:durableId="152186045">
    <w:abstractNumId w:val="9"/>
  </w:num>
  <w:num w:numId="6" w16cid:durableId="1468814304">
    <w:abstractNumId w:val="18"/>
  </w:num>
  <w:num w:numId="7" w16cid:durableId="1796295826">
    <w:abstractNumId w:val="12"/>
  </w:num>
  <w:num w:numId="8" w16cid:durableId="415637216">
    <w:abstractNumId w:val="42"/>
  </w:num>
  <w:num w:numId="9" w16cid:durableId="2003968852">
    <w:abstractNumId w:val="16"/>
  </w:num>
  <w:num w:numId="10" w16cid:durableId="1434938007">
    <w:abstractNumId w:val="5"/>
  </w:num>
  <w:num w:numId="11" w16cid:durableId="247152751">
    <w:abstractNumId w:val="10"/>
  </w:num>
  <w:num w:numId="12" w16cid:durableId="269817980">
    <w:abstractNumId w:val="38"/>
  </w:num>
  <w:num w:numId="13" w16cid:durableId="900486394">
    <w:abstractNumId w:val="24"/>
  </w:num>
  <w:num w:numId="14" w16cid:durableId="715859044">
    <w:abstractNumId w:val="20"/>
  </w:num>
  <w:num w:numId="15" w16cid:durableId="1272126062">
    <w:abstractNumId w:val="1"/>
  </w:num>
  <w:num w:numId="16" w16cid:durableId="1513912385">
    <w:abstractNumId w:val="36"/>
  </w:num>
  <w:num w:numId="17" w16cid:durableId="214659590">
    <w:abstractNumId w:val="32"/>
  </w:num>
  <w:num w:numId="18" w16cid:durableId="1781606334">
    <w:abstractNumId w:val="19"/>
  </w:num>
  <w:num w:numId="19" w16cid:durableId="1506280495">
    <w:abstractNumId w:val="13"/>
  </w:num>
  <w:num w:numId="20" w16cid:durableId="94710958">
    <w:abstractNumId w:val="8"/>
  </w:num>
  <w:num w:numId="21" w16cid:durableId="1925144489">
    <w:abstractNumId w:val="27"/>
  </w:num>
  <w:num w:numId="22" w16cid:durableId="1103845311">
    <w:abstractNumId w:val="30"/>
  </w:num>
  <w:num w:numId="23" w16cid:durableId="2043364612">
    <w:abstractNumId w:val="4"/>
  </w:num>
  <w:num w:numId="24" w16cid:durableId="665480676">
    <w:abstractNumId w:val="14"/>
  </w:num>
  <w:num w:numId="25" w16cid:durableId="1005597105">
    <w:abstractNumId w:val="41"/>
  </w:num>
  <w:num w:numId="26" w16cid:durableId="874151452">
    <w:abstractNumId w:val="11"/>
  </w:num>
  <w:num w:numId="27" w16cid:durableId="346642229">
    <w:abstractNumId w:val="26"/>
  </w:num>
  <w:num w:numId="28" w16cid:durableId="816651842">
    <w:abstractNumId w:val="7"/>
  </w:num>
  <w:num w:numId="29" w16cid:durableId="1407806038">
    <w:abstractNumId w:val="29"/>
  </w:num>
  <w:num w:numId="30" w16cid:durableId="929972398">
    <w:abstractNumId w:val="37"/>
  </w:num>
  <w:num w:numId="31" w16cid:durableId="1052509525">
    <w:abstractNumId w:val="34"/>
  </w:num>
  <w:num w:numId="32" w16cid:durableId="1815175453">
    <w:abstractNumId w:val="0"/>
  </w:num>
  <w:num w:numId="33" w16cid:durableId="107088916">
    <w:abstractNumId w:val="22"/>
  </w:num>
  <w:num w:numId="34" w16cid:durableId="1760172272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4787667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17087736">
    <w:abstractNumId w:val="28"/>
  </w:num>
  <w:num w:numId="37" w16cid:durableId="50884908">
    <w:abstractNumId w:val="21"/>
  </w:num>
  <w:num w:numId="38" w16cid:durableId="581330511">
    <w:abstractNumId w:val="34"/>
  </w:num>
  <w:num w:numId="39" w16cid:durableId="1815485920">
    <w:abstractNumId w:val="15"/>
  </w:num>
  <w:num w:numId="40" w16cid:durableId="1797525147">
    <w:abstractNumId w:val="34"/>
  </w:num>
  <w:num w:numId="41" w16cid:durableId="579943182">
    <w:abstractNumId w:val="2"/>
  </w:num>
  <w:num w:numId="42" w16cid:durableId="5465741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22387173">
    <w:abstractNumId w:val="31"/>
  </w:num>
  <w:num w:numId="44" w16cid:durableId="2035107057">
    <w:abstractNumId w:val="35"/>
  </w:num>
  <w:num w:numId="45" w16cid:durableId="1757940763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lana Byrne">
    <w15:presenceInfo w15:providerId="None" w15:userId="Elana Byrne"/>
  </w15:person>
  <w15:person w15:author="Grant Rogers">
    <w15:presenceInfo w15:providerId="AD" w15:userId="S::grant.rogers@qenergy.com::41bd4a75-ece9-4181-9701-c63c53b15f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70F"/>
    <w:rsid w:val="000008A4"/>
    <w:rsid w:val="00002B76"/>
    <w:rsid w:val="000058F6"/>
    <w:rsid w:val="00007098"/>
    <w:rsid w:val="00007585"/>
    <w:rsid w:val="00010D3D"/>
    <w:rsid w:val="000118E5"/>
    <w:rsid w:val="00014338"/>
    <w:rsid w:val="0001453C"/>
    <w:rsid w:val="00021A5C"/>
    <w:rsid w:val="000247E7"/>
    <w:rsid w:val="00025AFC"/>
    <w:rsid w:val="00027DF5"/>
    <w:rsid w:val="00027F1E"/>
    <w:rsid w:val="0003076F"/>
    <w:rsid w:val="0003112E"/>
    <w:rsid w:val="000327A9"/>
    <w:rsid w:val="00032AB3"/>
    <w:rsid w:val="00035D7B"/>
    <w:rsid w:val="00041BA7"/>
    <w:rsid w:val="00043265"/>
    <w:rsid w:val="00043CA8"/>
    <w:rsid w:val="00044C49"/>
    <w:rsid w:val="0004551F"/>
    <w:rsid w:val="00046C6B"/>
    <w:rsid w:val="00046C95"/>
    <w:rsid w:val="00046CCE"/>
    <w:rsid w:val="00046F03"/>
    <w:rsid w:val="00051A86"/>
    <w:rsid w:val="00052326"/>
    <w:rsid w:val="000544C2"/>
    <w:rsid w:val="000544FA"/>
    <w:rsid w:val="000570EE"/>
    <w:rsid w:val="00057671"/>
    <w:rsid w:val="00063EB9"/>
    <w:rsid w:val="000675C2"/>
    <w:rsid w:val="00067ACE"/>
    <w:rsid w:val="00071870"/>
    <w:rsid w:val="00073139"/>
    <w:rsid w:val="00073685"/>
    <w:rsid w:val="000740A7"/>
    <w:rsid w:val="000745B7"/>
    <w:rsid w:val="00074D0E"/>
    <w:rsid w:val="000751A1"/>
    <w:rsid w:val="00081650"/>
    <w:rsid w:val="0008165C"/>
    <w:rsid w:val="0008489B"/>
    <w:rsid w:val="000862C8"/>
    <w:rsid w:val="00086811"/>
    <w:rsid w:val="00094AC2"/>
    <w:rsid w:val="00095D82"/>
    <w:rsid w:val="0009607F"/>
    <w:rsid w:val="000A10E8"/>
    <w:rsid w:val="000A2D90"/>
    <w:rsid w:val="000A3750"/>
    <w:rsid w:val="000A6E2E"/>
    <w:rsid w:val="000B138B"/>
    <w:rsid w:val="000B1E99"/>
    <w:rsid w:val="000B1F6E"/>
    <w:rsid w:val="000B6AB0"/>
    <w:rsid w:val="000B6ADA"/>
    <w:rsid w:val="000B6FBD"/>
    <w:rsid w:val="000C0F50"/>
    <w:rsid w:val="000C1630"/>
    <w:rsid w:val="000C1A6E"/>
    <w:rsid w:val="000C1F3F"/>
    <w:rsid w:val="000C26E5"/>
    <w:rsid w:val="000C27B2"/>
    <w:rsid w:val="000C46A3"/>
    <w:rsid w:val="000C711B"/>
    <w:rsid w:val="000C780A"/>
    <w:rsid w:val="000C7F44"/>
    <w:rsid w:val="000D3105"/>
    <w:rsid w:val="000D37F9"/>
    <w:rsid w:val="000D47CE"/>
    <w:rsid w:val="000D5889"/>
    <w:rsid w:val="000D70F3"/>
    <w:rsid w:val="000E05C7"/>
    <w:rsid w:val="000E07BF"/>
    <w:rsid w:val="000E0EA1"/>
    <w:rsid w:val="000E2452"/>
    <w:rsid w:val="000E3729"/>
    <w:rsid w:val="000F0A75"/>
    <w:rsid w:val="000F1A70"/>
    <w:rsid w:val="000F28BD"/>
    <w:rsid w:val="000F2FC3"/>
    <w:rsid w:val="000F4990"/>
    <w:rsid w:val="000F7DBD"/>
    <w:rsid w:val="000F7DE1"/>
    <w:rsid w:val="001001FD"/>
    <w:rsid w:val="001010DC"/>
    <w:rsid w:val="0010121C"/>
    <w:rsid w:val="00101348"/>
    <w:rsid w:val="001018FF"/>
    <w:rsid w:val="00101B9C"/>
    <w:rsid w:val="0010339F"/>
    <w:rsid w:val="001045D3"/>
    <w:rsid w:val="00105605"/>
    <w:rsid w:val="00105DE3"/>
    <w:rsid w:val="00106A7D"/>
    <w:rsid w:val="00106E46"/>
    <w:rsid w:val="0010791D"/>
    <w:rsid w:val="00107D66"/>
    <w:rsid w:val="001118CF"/>
    <w:rsid w:val="00111CBD"/>
    <w:rsid w:val="001171E8"/>
    <w:rsid w:val="00120724"/>
    <w:rsid w:val="001236C0"/>
    <w:rsid w:val="0012453D"/>
    <w:rsid w:val="0012463C"/>
    <w:rsid w:val="00125024"/>
    <w:rsid w:val="00126C8E"/>
    <w:rsid w:val="00132609"/>
    <w:rsid w:val="001349AB"/>
    <w:rsid w:val="001349CB"/>
    <w:rsid w:val="00134F5B"/>
    <w:rsid w:val="0013683C"/>
    <w:rsid w:val="00136B3E"/>
    <w:rsid w:val="00141901"/>
    <w:rsid w:val="0014402B"/>
    <w:rsid w:val="0014530C"/>
    <w:rsid w:val="00147694"/>
    <w:rsid w:val="00150256"/>
    <w:rsid w:val="001521C5"/>
    <w:rsid w:val="00152FBB"/>
    <w:rsid w:val="00155A85"/>
    <w:rsid w:val="00157AF1"/>
    <w:rsid w:val="001605E9"/>
    <w:rsid w:val="00161C50"/>
    <w:rsid w:val="00163518"/>
    <w:rsid w:val="001644D6"/>
    <w:rsid w:val="00164976"/>
    <w:rsid w:val="00164E49"/>
    <w:rsid w:val="00167859"/>
    <w:rsid w:val="0017054E"/>
    <w:rsid w:val="0017092A"/>
    <w:rsid w:val="00171B0E"/>
    <w:rsid w:val="00173901"/>
    <w:rsid w:val="00173F0A"/>
    <w:rsid w:val="0017462F"/>
    <w:rsid w:val="00174C95"/>
    <w:rsid w:val="00175B87"/>
    <w:rsid w:val="00175C02"/>
    <w:rsid w:val="00183C9E"/>
    <w:rsid w:val="00184853"/>
    <w:rsid w:val="001853F8"/>
    <w:rsid w:val="0019086A"/>
    <w:rsid w:val="00194253"/>
    <w:rsid w:val="00194981"/>
    <w:rsid w:val="001A21EE"/>
    <w:rsid w:val="001A5284"/>
    <w:rsid w:val="001A6C3D"/>
    <w:rsid w:val="001A77D1"/>
    <w:rsid w:val="001B0673"/>
    <w:rsid w:val="001B13B5"/>
    <w:rsid w:val="001B1677"/>
    <w:rsid w:val="001B18BC"/>
    <w:rsid w:val="001B2928"/>
    <w:rsid w:val="001B7104"/>
    <w:rsid w:val="001B76B1"/>
    <w:rsid w:val="001C0212"/>
    <w:rsid w:val="001C05F7"/>
    <w:rsid w:val="001C0A4C"/>
    <w:rsid w:val="001C12B3"/>
    <w:rsid w:val="001C21BE"/>
    <w:rsid w:val="001C22BD"/>
    <w:rsid w:val="001C36EA"/>
    <w:rsid w:val="001C6B13"/>
    <w:rsid w:val="001C7125"/>
    <w:rsid w:val="001D1369"/>
    <w:rsid w:val="001D150E"/>
    <w:rsid w:val="001D1FAC"/>
    <w:rsid w:val="001D3A73"/>
    <w:rsid w:val="001D3B61"/>
    <w:rsid w:val="001D435D"/>
    <w:rsid w:val="001D435E"/>
    <w:rsid w:val="001D48A3"/>
    <w:rsid w:val="001D741E"/>
    <w:rsid w:val="001E1149"/>
    <w:rsid w:val="001E2D7E"/>
    <w:rsid w:val="001E477B"/>
    <w:rsid w:val="001E4B96"/>
    <w:rsid w:val="001E53E8"/>
    <w:rsid w:val="001E5706"/>
    <w:rsid w:val="001F10F4"/>
    <w:rsid w:val="001F33F0"/>
    <w:rsid w:val="001F51F0"/>
    <w:rsid w:val="001F62CE"/>
    <w:rsid w:val="0020148A"/>
    <w:rsid w:val="00204E96"/>
    <w:rsid w:val="00207706"/>
    <w:rsid w:val="00207CBF"/>
    <w:rsid w:val="00211E85"/>
    <w:rsid w:val="002131BA"/>
    <w:rsid w:val="00213F7A"/>
    <w:rsid w:val="00214C0B"/>
    <w:rsid w:val="002153B2"/>
    <w:rsid w:val="00217A69"/>
    <w:rsid w:val="00220684"/>
    <w:rsid w:val="00221806"/>
    <w:rsid w:val="002229C9"/>
    <w:rsid w:val="00224DC9"/>
    <w:rsid w:val="00231C1A"/>
    <w:rsid w:val="002321C1"/>
    <w:rsid w:val="00232757"/>
    <w:rsid w:val="00233594"/>
    <w:rsid w:val="002342A0"/>
    <w:rsid w:val="0023461A"/>
    <w:rsid w:val="00234937"/>
    <w:rsid w:val="0023575D"/>
    <w:rsid w:val="002362B6"/>
    <w:rsid w:val="00240571"/>
    <w:rsid w:val="00242D19"/>
    <w:rsid w:val="00244A90"/>
    <w:rsid w:val="0025054B"/>
    <w:rsid w:val="00250A22"/>
    <w:rsid w:val="00254599"/>
    <w:rsid w:val="00254CB4"/>
    <w:rsid w:val="002569A0"/>
    <w:rsid w:val="00256C1F"/>
    <w:rsid w:val="002571BD"/>
    <w:rsid w:val="0025735E"/>
    <w:rsid w:val="00262EA3"/>
    <w:rsid w:val="0026367B"/>
    <w:rsid w:val="00264D0F"/>
    <w:rsid w:val="00264ED1"/>
    <w:rsid w:val="00270A32"/>
    <w:rsid w:val="00270FBC"/>
    <w:rsid w:val="00271241"/>
    <w:rsid w:val="00275264"/>
    <w:rsid w:val="002778EB"/>
    <w:rsid w:val="00280C54"/>
    <w:rsid w:val="002814F4"/>
    <w:rsid w:val="00282BD2"/>
    <w:rsid w:val="00282BE7"/>
    <w:rsid w:val="0028684F"/>
    <w:rsid w:val="00286869"/>
    <w:rsid w:val="002905C2"/>
    <w:rsid w:val="00290D47"/>
    <w:rsid w:val="00290E73"/>
    <w:rsid w:val="002924FF"/>
    <w:rsid w:val="00292AF3"/>
    <w:rsid w:val="00293837"/>
    <w:rsid w:val="00294971"/>
    <w:rsid w:val="00295110"/>
    <w:rsid w:val="002966CC"/>
    <w:rsid w:val="00296A5E"/>
    <w:rsid w:val="002971BF"/>
    <w:rsid w:val="002A0454"/>
    <w:rsid w:val="002A07AF"/>
    <w:rsid w:val="002A1AD0"/>
    <w:rsid w:val="002A51AD"/>
    <w:rsid w:val="002B3381"/>
    <w:rsid w:val="002B4673"/>
    <w:rsid w:val="002B5ADD"/>
    <w:rsid w:val="002B6174"/>
    <w:rsid w:val="002B64CB"/>
    <w:rsid w:val="002C14D3"/>
    <w:rsid w:val="002C2626"/>
    <w:rsid w:val="002C3E49"/>
    <w:rsid w:val="002C53F4"/>
    <w:rsid w:val="002C5585"/>
    <w:rsid w:val="002D20B5"/>
    <w:rsid w:val="002D28D8"/>
    <w:rsid w:val="002D4EEF"/>
    <w:rsid w:val="002D725D"/>
    <w:rsid w:val="002E02F4"/>
    <w:rsid w:val="002E64AD"/>
    <w:rsid w:val="002E79AB"/>
    <w:rsid w:val="002E7DE1"/>
    <w:rsid w:val="002F22D0"/>
    <w:rsid w:val="002F23E3"/>
    <w:rsid w:val="002F2473"/>
    <w:rsid w:val="002F3293"/>
    <w:rsid w:val="002F3D4C"/>
    <w:rsid w:val="002F3D6A"/>
    <w:rsid w:val="002F61FB"/>
    <w:rsid w:val="003019C4"/>
    <w:rsid w:val="00303CCE"/>
    <w:rsid w:val="00303EF5"/>
    <w:rsid w:val="003055A9"/>
    <w:rsid w:val="00305EE2"/>
    <w:rsid w:val="003104C8"/>
    <w:rsid w:val="00313073"/>
    <w:rsid w:val="00313B1D"/>
    <w:rsid w:val="00314414"/>
    <w:rsid w:val="00317BE9"/>
    <w:rsid w:val="00321AC9"/>
    <w:rsid w:val="00322D36"/>
    <w:rsid w:val="00324130"/>
    <w:rsid w:val="00325CF8"/>
    <w:rsid w:val="0032765F"/>
    <w:rsid w:val="003277D1"/>
    <w:rsid w:val="00327A32"/>
    <w:rsid w:val="00331C2F"/>
    <w:rsid w:val="003335DA"/>
    <w:rsid w:val="00333A2B"/>
    <w:rsid w:val="0033533D"/>
    <w:rsid w:val="003376EF"/>
    <w:rsid w:val="003378C3"/>
    <w:rsid w:val="00340176"/>
    <w:rsid w:val="0034026E"/>
    <w:rsid w:val="00341799"/>
    <w:rsid w:val="0034296D"/>
    <w:rsid w:val="00343534"/>
    <w:rsid w:val="003435F0"/>
    <w:rsid w:val="0034387B"/>
    <w:rsid w:val="00343B5F"/>
    <w:rsid w:val="00344A95"/>
    <w:rsid w:val="003450CE"/>
    <w:rsid w:val="00347002"/>
    <w:rsid w:val="003476D6"/>
    <w:rsid w:val="00347C7C"/>
    <w:rsid w:val="003559D2"/>
    <w:rsid w:val="0035711D"/>
    <w:rsid w:val="00360977"/>
    <w:rsid w:val="003639ED"/>
    <w:rsid w:val="0036430D"/>
    <w:rsid w:val="00367F32"/>
    <w:rsid w:val="0037122B"/>
    <w:rsid w:val="00374DE0"/>
    <w:rsid w:val="00375B98"/>
    <w:rsid w:val="00376580"/>
    <w:rsid w:val="0037724E"/>
    <w:rsid w:val="00377CF0"/>
    <w:rsid w:val="0038146B"/>
    <w:rsid w:val="00386F89"/>
    <w:rsid w:val="003875B7"/>
    <w:rsid w:val="00390E5A"/>
    <w:rsid w:val="00392884"/>
    <w:rsid w:val="003944DD"/>
    <w:rsid w:val="00394B90"/>
    <w:rsid w:val="00397892"/>
    <w:rsid w:val="00397E6E"/>
    <w:rsid w:val="003A1FE6"/>
    <w:rsid w:val="003A2CAB"/>
    <w:rsid w:val="003A3B88"/>
    <w:rsid w:val="003A5AC0"/>
    <w:rsid w:val="003A64F5"/>
    <w:rsid w:val="003A6D0C"/>
    <w:rsid w:val="003B01DE"/>
    <w:rsid w:val="003B11AC"/>
    <w:rsid w:val="003B16F2"/>
    <w:rsid w:val="003B2155"/>
    <w:rsid w:val="003B269E"/>
    <w:rsid w:val="003B2F6C"/>
    <w:rsid w:val="003B51E6"/>
    <w:rsid w:val="003B641E"/>
    <w:rsid w:val="003B7F0D"/>
    <w:rsid w:val="003C2A0A"/>
    <w:rsid w:val="003C3304"/>
    <w:rsid w:val="003C5A93"/>
    <w:rsid w:val="003C64B1"/>
    <w:rsid w:val="003C6695"/>
    <w:rsid w:val="003D3722"/>
    <w:rsid w:val="003D510E"/>
    <w:rsid w:val="003D7B16"/>
    <w:rsid w:val="003E0DC9"/>
    <w:rsid w:val="003E1C63"/>
    <w:rsid w:val="003E2E08"/>
    <w:rsid w:val="003E344B"/>
    <w:rsid w:val="003E5F87"/>
    <w:rsid w:val="003E7160"/>
    <w:rsid w:val="003E7C0A"/>
    <w:rsid w:val="003F129C"/>
    <w:rsid w:val="003F2AEE"/>
    <w:rsid w:val="003F418D"/>
    <w:rsid w:val="003F6FB7"/>
    <w:rsid w:val="00400916"/>
    <w:rsid w:val="004009B8"/>
    <w:rsid w:val="00401423"/>
    <w:rsid w:val="004030F8"/>
    <w:rsid w:val="004057AA"/>
    <w:rsid w:val="00405F32"/>
    <w:rsid w:val="00405F4B"/>
    <w:rsid w:val="00411EF7"/>
    <w:rsid w:val="00412642"/>
    <w:rsid w:val="00414917"/>
    <w:rsid w:val="00416ACC"/>
    <w:rsid w:val="0042272E"/>
    <w:rsid w:val="00423F67"/>
    <w:rsid w:val="0042450B"/>
    <w:rsid w:val="00424A82"/>
    <w:rsid w:val="00424B27"/>
    <w:rsid w:val="00424E44"/>
    <w:rsid w:val="0042709F"/>
    <w:rsid w:val="004307DC"/>
    <w:rsid w:val="00431412"/>
    <w:rsid w:val="00432F11"/>
    <w:rsid w:val="004341A4"/>
    <w:rsid w:val="004343FD"/>
    <w:rsid w:val="00440402"/>
    <w:rsid w:val="00441626"/>
    <w:rsid w:val="0044253C"/>
    <w:rsid w:val="0044405D"/>
    <w:rsid w:val="00444705"/>
    <w:rsid w:val="0044518C"/>
    <w:rsid w:val="00447F67"/>
    <w:rsid w:val="00450B7C"/>
    <w:rsid w:val="00453E26"/>
    <w:rsid w:val="004544AD"/>
    <w:rsid w:val="00456405"/>
    <w:rsid w:val="00457BE7"/>
    <w:rsid w:val="00460894"/>
    <w:rsid w:val="00460DB2"/>
    <w:rsid w:val="00463AC0"/>
    <w:rsid w:val="00464D4A"/>
    <w:rsid w:val="00466060"/>
    <w:rsid w:val="00466C22"/>
    <w:rsid w:val="00466ED7"/>
    <w:rsid w:val="00466F83"/>
    <w:rsid w:val="004729F2"/>
    <w:rsid w:val="0047354A"/>
    <w:rsid w:val="00473898"/>
    <w:rsid w:val="00473DF7"/>
    <w:rsid w:val="00476CE2"/>
    <w:rsid w:val="00477368"/>
    <w:rsid w:val="00477BBB"/>
    <w:rsid w:val="00481E9F"/>
    <w:rsid w:val="00486612"/>
    <w:rsid w:val="004875AA"/>
    <w:rsid w:val="0048771C"/>
    <w:rsid w:val="004902CA"/>
    <w:rsid w:val="00490C99"/>
    <w:rsid w:val="0049139C"/>
    <w:rsid w:val="004930C4"/>
    <w:rsid w:val="00493FBB"/>
    <w:rsid w:val="004968CB"/>
    <w:rsid w:val="00496FB3"/>
    <w:rsid w:val="004972D4"/>
    <w:rsid w:val="00497D66"/>
    <w:rsid w:val="004A0A40"/>
    <w:rsid w:val="004A1267"/>
    <w:rsid w:val="004B2F60"/>
    <w:rsid w:val="004B39ED"/>
    <w:rsid w:val="004B4697"/>
    <w:rsid w:val="004B471C"/>
    <w:rsid w:val="004B6882"/>
    <w:rsid w:val="004C08EB"/>
    <w:rsid w:val="004C1CBA"/>
    <w:rsid w:val="004C24CD"/>
    <w:rsid w:val="004C3B99"/>
    <w:rsid w:val="004C445F"/>
    <w:rsid w:val="004C5B2D"/>
    <w:rsid w:val="004C6C32"/>
    <w:rsid w:val="004D07EA"/>
    <w:rsid w:val="004D1867"/>
    <w:rsid w:val="004D1EA3"/>
    <w:rsid w:val="004D3FD7"/>
    <w:rsid w:val="004D4919"/>
    <w:rsid w:val="004D4D9C"/>
    <w:rsid w:val="004E1F61"/>
    <w:rsid w:val="004E2A51"/>
    <w:rsid w:val="004E36D6"/>
    <w:rsid w:val="004E568A"/>
    <w:rsid w:val="004E6EDC"/>
    <w:rsid w:val="004F070F"/>
    <w:rsid w:val="004F0A0A"/>
    <w:rsid w:val="004F49DF"/>
    <w:rsid w:val="004F4F17"/>
    <w:rsid w:val="004F55B5"/>
    <w:rsid w:val="0050141C"/>
    <w:rsid w:val="005022D2"/>
    <w:rsid w:val="00505637"/>
    <w:rsid w:val="005072CD"/>
    <w:rsid w:val="005077FD"/>
    <w:rsid w:val="00510815"/>
    <w:rsid w:val="00511179"/>
    <w:rsid w:val="005134C4"/>
    <w:rsid w:val="0051689B"/>
    <w:rsid w:val="005174DA"/>
    <w:rsid w:val="00517846"/>
    <w:rsid w:val="00521671"/>
    <w:rsid w:val="005218A5"/>
    <w:rsid w:val="00522984"/>
    <w:rsid w:val="00522CC4"/>
    <w:rsid w:val="00524BBD"/>
    <w:rsid w:val="00526F64"/>
    <w:rsid w:val="00527F79"/>
    <w:rsid w:val="005316C2"/>
    <w:rsid w:val="0053279C"/>
    <w:rsid w:val="00532B22"/>
    <w:rsid w:val="005356A7"/>
    <w:rsid w:val="005376E1"/>
    <w:rsid w:val="00537CF1"/>
    <w:rsid w:val="00542298"/>
    <w:rsid w:val="00544703"/>
    <w:rsid w:val="005470C8"/>
    <w:rsid w:val="00550B94"/>
    <w:rsid w:val="00554445"/>
    <w:rsid w:val="00554EB1"/>
    <w:rsid w:val="00555E7C"/>
    <w:rsid w:val="005561A2"/>
    <w:rsid w:val="00556C2B"/>
    <w:rsid w:val="00560248"/>
    <w:rsid w:val="0056190C"/>
    <w:rsid w:val="005625BF"/>
    <w:rsid w:val="00562AFC"/>
    <w:rsid w:val="0056563A"/>
    <w:rsid w:val="00570354"/>
    <w:rsid w:val="005717C5"/>
    <w:rsid w:val="005722D1"/>
    <w:rsid w:val="005729D1"/>
    <w:rsid w:val="0057547B"/>
    <w:rsid w:val="0057656F"/>
    <w:rsid w:val="00577E90"/>
    <w:rsid w:val="00583762"/>
    <w:rsid w:val="00583B7A"/>
    <w:rsid w:val="005913CB"/>
    <w:rsid w:val="005947E2"/>
    <w:rsid w:val="00597266"/>
    <w:rsid w:val="005A12C5"/>
    <w:rsid w:val="005A24E4"/>
    <w:rsid w:val="005A2BDD"/>
    <w:rsid w:val="005A3938"/>
    <w:rsid w:val="005A734D"/>
    <w:rsid w:val="005B0297"/>
    <w:rsid w:val="005B5D5C"/>
    <w:rsid w:val="005C06B0"/>
    <w:rsid w:val="005C2D1D"/>
    <w:rsid w:val="005C3D47"/>
    <w:rsid w:val="005D2AEF"/>
    <w:rsid w:val="005D4382"/>
    <w:rsid w:val="005D471B"/>
    <w:rsid w:val="005D4914"/>
    <w:rsid w:val="005E039D"/>
    <w:rsid w:val="005E09BC"/>
    <w:rsid w:val="005E3C02"/>
    <w:rsid w:val="005F0850"/>
    <w:rsid w:val="005F1298"/>
    <w:rsid w:val="005F2A9F"/>
    <w:rsid w:val="005F2B11"/>
    <w:rsid w:val="005F3075"/>
    <w:rsid w:val="005F386B"/>
    <w:rsid w:val="005F5C57"/>
    <w:rsid w:val="005F5EAE"/>
    <w:rsid w:val="005F64FA"/>
    <w:rsid w:val="005F667A"/>
    <w:rsid w:val="005F78B9"/>
    <w:rsid w:val="00606E70"/>
    <w:rsid w:val="00607646"/>
    <w:rsid w:val="00611611"/>
    <w:rsid w:val="006128B2"/>
    <w:rsid w:val="006137B8"/>
    <w:rsid w:val="00614E49"/>
    <w:rsid w:val="0061516F"/>
    <w:rsid w:val="00615E98"/>
    <w:rsid w:val="00617A28"/>
    <w:rsid w:val="00617BBF"/>
    <w:rsid w:val="00622027"/>
    <w:rsid w:val="006227CA"/>
    <w:rsid w:val="00622DE5"/>
    <w:rsid w:val="00623788"/>
    <w:rsid w:val="00623A25"/>
    <w:rsid w:val="00625705"/>
    <w:rsid w:val="00626EE8"/>
    <w:rsid w:val="00627299"/>
    <w:rsid w:val="006277B0"/>
    <w:rsid w:val="00632EE1"/>
    <w:rsid w:val="006333C1"/>
    <w:rsid w:val="0063660B"/>
    <w:rsid w:val="006370B8"/>
    <w:rsid w:val="00637799"/>
    <w:rsid w:val="0064198F"/>
    <w:rsid w:val="00643587"/>
    <w:rsid w:val="006478AC"/>
    <w:rsid w:val="0065046D"/>
    <w:rsid w:val="006514F6"/>
    <w:rsid w:val="006520B6"/>
    <w:rsid w:val="00653999"/>
    <w:rsid w:val="00653A16"/>
    <w:rsid w:val="00663B2B"/>
    <w:rsid w:val="00666CD4"/>
    <w:rsid w:val="0067076D"/>
    <w:rsid w:val="00671E4D"/>
    <w:rsid w:val="00675D08"/>
    <w:rsid w:val="00677E55"/>
    <w:rsid w:val="006822C4"/>
    <w:rsid w:val="00685E30"/>
    <w:rsid w:val="00685EB8"/>
    <w:rsid w:val="0068647B"/>
    <w:rsid w:val="006905A7"/>
    <w:rsid w:val="006908DC"/>
    <w:rsid w:val="00691688"/>
    <w:rsid w:val="00695014"/>
    <w:rsid w:val="00695934"/>
    <w:rsid w:val="00696E5F"/>
    <w:rsid w:val="006A04AE"/>
    <w:rsid w:val="006A086C"/>
    <w:rsid w:val="006A726B"/>
    <w:rsid w:val="006A7F32"/>
    <w:rsid w:val="006B0BA5"/>
    <w:rsid w:val="006B6031"/>
    <w:rsid w:val="006B64DE"/>
    <w:rsid w:val="006B7455"/>
    <w:rsid w:val="006C107E"/>
    <w:rsid w:val="006C1D32"/>
    <w:rsid w:val="006C2E3A"/>
    <w:rsid w:val="006C3E98"/>
    <w:rsid w:val="006C4F75"/>
    <w:rsid w:val="006C5122"/>
    <w:rsid w:val="006C51D7"/>
    <w:rsid w:val="006C66F4"/>
    <w:rsid w:val="006C6DC5"/>
    <w:rsid w:val="006C72B8"/>
    <w:rsid w:val="006D0EBA"/>
    <w:rsid w:val="006D0FA5"/>
    <w:rsid w:val="006D1BDB"/>
    <w:rsid w:val="006D7A67"/>
    <w:rsid w:val="006E0DC0"/>
    <w:rsid w:val="006E11DD"/>
    <w:rsid w:val="006E1C12"/>
    <w:rsid w:val="006E2018"/>
    <w:rsid w:val="006E27B8"/>
    <w:rsid w:val="006E5C07"/>
    <w:rsid w:val="006E67E4"/>
    <w:rsid w:val="006F04A0"/>
    <w:rsid w:val="006F1DF3"/>
    <w:rsid w:val="006F2907"/>
    <w:rsid w:val="006F4AA5"/>
    <w:rsid w:val="00700043"/>
    <w:rsid w:val="00701EB8"/>
    <w:rsid w:val="00703DC9"/>
    <w:rsid w:val="00706066"/>
    <w:rsid w:val="00710C46"/>
    <w:rsid w:val="00712172"/>
    <w:rsid w:val="007138BA"/>
    <w:rsid w:val="00713918"/>
    <w:rsid w:val="00713B5F"/>
    <w:rsid w:val="00713F16"/>
    <w:rsid w:val="00715FEA"/>
    <w:rsid w:val="00716CAF"/>
    <w:rsid w:val="00720A4F"/>
    <w:rsid w:val="007239D2"/>
    <w:rsid w:val="0072535F"/>
    <w:rsid w:val="00726C06"/>
    <w:rsid w:val="007274D5"/>
    <w:rsid w:val="00727E02"/>
    <w:rsid w:val="007345C3"/>
    <w:rsid w:val="00736C35"/>
    <w:rsid w:val="0074203B"/>
    <w:rsid w:val="007458C6"/>
    <w:rsid w:val="007467D5"/>
    <w:rsid w:val="00750D05"/>
    <w:rsid w:val="00752CE2"/>
    <w:rsid w:val="00753B31"/>
    <w:rsid w:val="00754610"/>
    <w:rsid w:val="007556FC"/>
    <w:rsid w:val="00755708"/>
    <w:rsid w:val="00755E00"/>
    <w:rsid w:val="00757112"/>
    <w:rsid w:val="007574C1"/>
    <w:rsid w:val="00760223"/>
    <w:rsid w:val="00760F7B"/>
    <w:rsid w:val="0076220E"/>
    <w:rsid w:val="00762BAD"/>
    <w:rsid w:val="00764479"/>
    <w:rsid w:val="007645EF"/>
    <w:rsid w:val="00767F64"/>
    <w:rsid w:val="007704DE"/>
    <w:rsid w:val="00770AD1"/>
    <w:rsid w:val="0077174F"/>
    <w:rsid w:val="00772928"/>
    <w:rsid w:val="0077503C"/>
    <w:rsid w:val="007756AD"/>
    <w:rsid w:val="00775821"/>
    <w:rsid w:val="007760F3"/>
    <w:rsid w:val="007772C6"/>
    <w:rsid w:val="00777A55"/>
    <w:rsid w:val="00777B44"/>
    <w:rsid w:val="007833FE"/>
    <w:rsid w:val="00784CEF"/>
    <w:rsid w:val="00785417"/>
    <w:rsid w:val="00785606"/>
    <w:rsid w:val="00785A16"/>
    <w:rsid w:val="007879E3"/>
    <w:rsid w:val="007977E0"/>
    <w:rsid w:val="007A148E"/>
    <w:rsid w:val="007A159A"/>
    <w:rsid w:val="007A33A6"/>
    <w:rsid w:val="007A3AAD"/>
    <w:rsid w:val="007A4186"/>
    <w:rsid w:val="007A4822"/>
    <w:rsid w:val="007A5084"/>
    <w:rsid w:val="007A51C3"/>
    <w:rsid w:val="007A536A"/>
    <w:rsid w:val="007A6096"/>
    <w:rsid w:val="007A675B"/>
    <w:rsid w:val="007B5272"/>
    <w:rsid w:val="007B7ABB"/>
    <w:rsid w:val="007C125A"/>
    <w:rsid w:val="007C197D"/>
    <w:rsid w:val="007C208F"/>
    <w:rsid w:val="007C23F8"/>
    <w:rsid w:val="007C34A2"/>
    <w:rsid w:val="007C7902"/>
    <w:rsid w:val="007D241F"/>
    <w:rsid w:val="007D3779"/>
    <w:rsid w:val="007D4E1B"/>
    <w:rsid w:val="007D4EE8"/>
    <w:rsid w:val="007D5451"/>
    <w:rsid w:val="007E0122"/>
    <w:rsid w:val="007E4370"/>
    <w:rsid w:val="007E470D"/>
    <w:rsid w:val="007E6040"/>
    <w:rsid w:val="007F1F4B"/>
    <w:rsid w:val="007F7AFF"/>
    <w:rsid w:val="008006B5"/>
    <w:rsid w:val="00800BB4"/>
    <w:rsid w:val="008033EF"/>
    <w:rsid w:val="00805017"/>
    <w:rsid w:val="0080508F"/>
    <w:rsid w:val="008137F2"/>
    <w:rsid w:val="008161BE"/>
    <w:rsid w:val="00817E75"/>
    <w:rsid w:val="00823AA8"/>
    <w:rsid w:val="0082678D"/>
    <w:rsid w:val="00827EC1"/>
    <w:rsid w:val="00830744"/>
    <w:rsid w:val="008321C1"/>
    <w:rsid w:val="008348E1"/>
    <w:rsid w:val="008370AF"/>
    <w:rsid w:val="008405D1"/>
    <w:rsid w:val="0084069F"/>
    <w:rsid w:val="00841C8A"/>
    <w:rsid w:val="00842397"/>
    <w:rsid w:val="00843D6B"/>
    <w:rsid w:val="00845B7F"/>
    <w:rsid w:val="00846BCC"/>
    <w:rsid w:val="0085014A"/>
    <w:rsid w:val="00851B70"/>
    <w:rsid w:val="00852D37"/>
    <w:rsid w:val="00852E94"/>
    <w:rsid w:val="00854AF2"/>
    <w:rsid w:val="008550EB"/>
    <w:rsid w:val="00856239"/>
    <w:rsid w:val="008568D0"/>
    <w:rsid w:val="0086075C"/>
    <w:rsid w:val="00863580"/>
    <w:rsid w:val="00864C72"/>
    <w:rsid w:val="00864CCA"/>
    <w:rsid w:val="0086504D"/>
    <w:rsid w:val="0086636E"/>
    <w:rsid w:val="008666B3"/>
    <w:rsid w:val="00866827"/>
    <w:rsid w:val="0086691A"/>
    <w:rsid w:val="008701D8"/>
    <w:rsid w:val="00873137"/>
    <w:rsid w:val="00874574"/>
    <w:rsid w:val="008757E7"/>
    <w:rsid w:val="00875DF7"/>
    <w:rsid w:val="008760A2"/>
    <w:rsid w:val="00876919"/>
    <w:rsid w:val="0088079C"/>
    <w:rsid w:val="00881170"/>
    <w:rsid w:val="00885C2D"/>
    <w:rsid w:val="0088753F"/>
    <w:rsid w:val="00890E91"/>
    <w:rsid w:val="00891400"/>
    <w:rsid w:val="00893DAB"/>
    <w:rsid w:val="00893FA7"/>
    <w:rsid w:val="008943FF"/>
    <w:rsid w:val="00895A17"/>
    <w:rsid w:val="008A0F34"/>
    <w:rsid w:val="008A5463"/>
    <w:rsid w:val="008A71B5"/>
    <w:rsid w:val="008A79F3"/>
    <w:rsid w:val="008A7B92"/>
    <w:rsid w:val="008B0EEC"/>
    <w:rsid w:val="008B138C"/>
    <w:rsid w:val="008B2057"/>
    <w:rsid w:val="008B32B1"/>
    <w:rsid w:val="008B503F"/>
    <w:rsid w:val="008B6ADF"/>
    <w:rsid w:val="008C3972"/>
    <w:rsid w:val="008C54A0"/>
    <w:rsid w:val="008C5AB4"/>
    <w:rsid w:val="008C5DFD"/>
    <w:rsid w:val="008C69B9"/>
    <w:rsid w:val="008D263A"/>
    <w:rsid w:val="008D2C18"/>
    <w:rsid w:val="008D431E"/>
    <w:rsid w:val="008D43D5"/>
    <w:rsid w:val="008D5532"/>
    <w:rsid w:val="008D6058"/>
    <w:rsid w:val="008D6D24"/>
    <w:rsid w:val="008D7DCF"/>
    <w:rsid w:val="008E1D28"/>
    <w:rsid w:val="008E5550"/>
    <w:rsid w:val="008E78D3"/>
    <w:rsid w:val="008F06A6"/>
    <w:rsid w:val="008F0CAC"/>
    <w:rsid w:val="008F0CB6"/>
    <w:rsid w:val="008F1F71"/>
    <w:rsid w:val="008F3132"/>
    <w:rsid w:val="008F60D8"/>
    <w:rsid w:val="008F6964"/>
    <w:rsid w:val="008F7652"/>
    <w:rsid w:val="008F7BD9"/>
    <w:rsid w:val="0090734D"/>
    <w:rsid w:val="009077E0"/>
    <w:rsid w:val="00907C7F"/>
    <w:rsid w:val="009124AC"/>
    <w:rsid w:val="00912A60"/>
    <w:rsid w:val="0091322A"/>
    <w:rsid w:val="0091591F"/>
    <w:rsid w:val="009208CA"/>
    <w:rsid w:val="00923BDD"/>
    <w:rsid w:val="00926C17"/>
    <w:rsid w:val="00927745"/>
    <w:rsid w:val="00930E16"/>
    <w:rsid w:val="009313C8"/>
    <w:rsid w:val="009323FF"/>
    <w:rsid w:val="009327A5"/>
    <w:rsid w:val="0093552D"/>
    <w:rsid w:val="00935A79"/>
    <w:rsid w:val="00937D02"/>
    <w:rsid w:val="00941EBE"/>
    <w:rsid w:val="00943569"/>
    <w:rsid w:val="00946299"/>
    <w:rsid w:val="00950154"/>
    <w:rsid w:val="00950BAA"/>
    <w:rsid w:val="00950FC5"/>
    <w:rsid w:val="00951B5C"/>
    <w:rsid w:val="0095596B"/>
    <w:rsid w:val="009572DD"/>
    <w:rsid w:val="009605C0"/>
    <w:rsid w:val="009642D3"/>
    <w:rsid w:val="00965A79"/>
    <w:rsid w:val="00976D98"/>
    <w:rsid w:val="00977314"/>
    <w:rsid w:val="00977EC9"/>
    <w:rsid w:val="00982F2A"/>
    <w:rsid w:val="00985E5A"/>
    <w:rsid w:val="00986892"/>
    <w:rsid w:val="00990979"/>
    <w:rsid w:val="00992E72"/>
    <w:rsid w:val="0099515C"/>
    <w:rsid w:val="00995C69"/>
    <w:rsid w:val="009960C2"/>
    <w:rsid w:val="00997013"/>
    <w:rsid w:val="009A4515"/>
    <w:rsid w:val="009A54D0"/>
    <w:rsid w:val="009B0212"/>
    <w:rsid w:val="009B261D"/>
    <w:rsid w:val="009B78A3"/>
    <w:rsid w:val="009C1E77"/>
    <w:rsid w:val="009C3888"/>
    <w:rsid w:val="009D0F0F"/>
    <w:rsid w:val="009D2901"/>
    <w:rsid w:val="009D3BEA"/>
    <w:rsid w:val="009D5301"/>
    <w:rsid w:val="009D5D8C"/>
    <w:rsid w:val="009D7006"/>
    <w:rsid w:val="009D7B3A"/>
    <w:rsid w:val="009E0389"/>
    <w:rsid w:val="009E157A"/>
    <w:rsid w:val="009E2AC7"/>
    <w:rsid w:val="009E3333"/>
    <w:rsid w:val="009F01AE"/>
    <w:rsid w:val="009F1FFF"/>
    <w:rsid w:val="009F5426"/>
    <w:rsid w:val="00A00A7E"/>
    <w:rsid w:val="00A01344"/>
    <w:rsid w:val="00A02D8E"/>
    <w:rsid w:val="00A02F5B"/>
    <w:rsid w:val="00A06CF9"/>
    <w:rsid w:val="00A072E7"/>
    <w:rsid w:val="00A07EED"/>
    <w:rsid w:val="00A1036A"/>
    <w:rsid w:val="00A109F4"/>
    <w:rsid w:val="00A1183A"/>
    <w:rsid w:val="00A11D4D"/>
    <w:rsid w:val="00A122C8"/>
    <w:rsid w:val="00A136CE"/>
    <w:rsid w:val="00A142D0"/>
    <w:rsid w:val="00A15441"/>
    <w:rsid w:val="00A16B4D"/>
    <w:rsid w:val="00A2057F"/>
    <w:rsid w:val="00A26178"/>
    <w:rsid w:val="00A2633E"/>
    <w:rsid w:val="00A33AB4"/>
    <w:rsid w:val="00A3611A"/>
    <w:rsid w:val="00A412AA"/>
    <w:rsid w:val="00A4225E"/>
    <w:rsid w:val="00A423E3"/>
    <w:rsid w:val="00A46421"/>
    <w:rsid w:val="00A471BF"/>
    <w:rsid w:val="00A515F0"/>
    <w:rsid w:val="00A529B0"/>
    <w:rsid w:val="00A54D12"/>
    <w:rsid w:val="00A5670B"/>
    <w:rsid w:val="00A57E30"/>
    <w:rsid w:val="00A6159E"/>
    <w:rsid w:val="00A61985"/>
    <w:rsid w:val="00A632A3"/>
    <w:rsid w:val="00A71218"/>
    <w:rsid w:val="00A722AE"/>
    <w:rsid w:val="00A7443D"/>
    <w:rsid w:val="00A75365"/>
    <w:rsid w:val="00A77C9C"/>
    <w:rsid w:val="00A81FEC"/>
    <w:rsid w:val="00A84E71"/>
    <w:rsid w:val="00A85925"/>
    <w:rsid w:val="00A860A7"/>
    <w:rsid w:val="00A86BE7"/>
    <w:rsid w:val="00A91A8E"/>
    <w:rsid w:val="00A9296A"/>
    <w:rsid w:val="00A92D73"/>
    <w:rsid w:val="00A93530"/>
    <w:rsid w:val="00A943FF"/>
    <w:rsid w:val="00A94CE4"/>
    <w:rsid w:val="00A96D46"/>
    <w:rsid w:val="00AA0864"/>
    <w:rsid w:val="00AA089B"/>
    <w:rsid w:val="00AA372B"/>
    <w:rsid w:val="00AA37FF"/>
    <w:rsid w:val="00AA4D22"/>
    <w:rsid w:val="00AB0BE7"/>
    <w:rsid w:val="00AB2FC7"/>
    <w:rsid w:val="00AB3BA3"/>
    <w:rsid w:val="00AB3D20"/>
    <w:rsid w:val="00AB7DB8"/>
    <w:rsid w:val="00AC0146"/>
    <w:rsid w:val="00AC04D3"/>
    <w:rsid w:val="00AC09DF"/>
    <w:rsid w:val="00AC159B"/>
    <w:rsid w:val="00AC180D"/>
    <w:rsid w:val="00AC298B"/>
    <w:rsid w:val="00AC406F"/>
    <w:rsid w:val="00AC5562"/>
    <w:rsid w:val="00AD15BF"/>
    <w:rsid w:val="00AD2140"/>
    <w:rsid w:val="00AD5031"/>
    <w:rsid w:val="00AE117D"/>
    <w:rsid w:val="00AE335E"/>
    <w:rsid w:val="00AE5F98"/>
    <w:rsid w:val="00AF3DFA"/>
    <w:rsid w:val="00AF4357"/>
    <w:rsid w:val="00AF48EB"/>
    <w:rsid w:val="00AF5EE4"/>
    <w:rsid w:val="00AF62D1"/>
    <w:rsid w:val="00B00090"/>
    <w:rsid w:val="00B002F2"/>
    <w:rsid w:val="00B016B2"/>
    <w:rsid w:val="00B02BAC"/>
    <w:rsid w:val="00B04009"/>
    <w:rsid w:val="00B05C4A"/>
    <w:rsid w:val="00B06DD9"/>
    <w:rsid w:val="00B12B8F"/>
    <w:rsid w:val="00B13224"/>
    <w:rsid w:val="00B13E01"/>
    <w:rsid w:val="00B13E0C"/>
    <w:rsid w:val="00B13FAC"/>
    <w:rsid w:val="00B14437"/>
    <w:rsid w:val="00B158BE"/>
    <w:rsid w:val="00B174B8"/>
    <w:rsid w:val="00B25544"/>
    <w:rsid w:val="00B255BA"/>
    <w:rsid w:val="00B308A4"/>
    <w:rsid w:val="00B3091D"/>
    <w:rsid w:val="00B31506"/>
    <w:rsid w:val="00B3294B"/>
    <w:rsid w:val="00B340AE"/>
    <w:rsid w:val="00B37551"/>
    <w:rsid w:val="00B4029D"/>
    <w:rsid w:val="00B41AC8"/>
    <w:rsid w:val="00B41B20"/>
    <w:rsid w:val="00B43A70"/>
    <w:rsid w:val="00B43CF7"/>
    <w:rsid w:val="00B446DA"/>
    <w:rsid w:val="00B46E58"/>
    <w:rsid w:val="00B51A27"/>
    <w:rsid w:val="00B52323"/>
    <w:rsid w:val="00B52754"/>
    <w:rsid w:val="00B538AB"/>
    <w:rsid w:val="00B54392"/>
    <w:rsid w:val="00B55059"/>
    <w:rsid w:val="00B5540A"/>
    <w:rsid w:val="00B56B61"/>
    <w:rsid w:val="00B56D4E"/>
    <w:rsid w:val="00B577E3"/>
    <w:rsid w:val="00B608AE"/>
    <w:rsid w:val="00B61EB0"/>
    <w:rsid w:val="00B65B2D"/>
    <w:rsid w:val="00B70C69"/>
    <w:rsid w:val="00B713F8"/>
    <w:rsid w:val="00B72194"/>
    <w:rsid w:val="00B74654"/>
    <w:rsid w:val="00B82816"/>
    <w:rsid w:val="00B83C5B"/>
    <w:rsid w:val="00B8588F"/>
    <w:rsid w:val="00B86C58"/>
    <w:rsid w:val="00B90EF7"/>
    <w:rsid w:val="00B91C9E"/>
    <w:rsid w:val="00B934D4"/>
    <w:rsid w:val="00B94A52"/>
    <w:rsid w:val="00B95500"/>
    <w:rsid w:val="00B96805"/>
    <w:rsid w:val="00BA67DA"/>
    <w:rsid w:val="00BA7B39"/>
    <w:rsid w:val="00BB1D0F"/>
    <w:rsid w:val="00BB26BD"/>
    <w:rsid w:val="00BB2970"/>
    <w:rsid w:val="00BB33F6"/>
    <w:rsid w:val="00BB7DB1"/>
    <w:rsid w:val="00BC2E51"/>
    <w:rsid w:val="00BC42F7"/>
    <w:rsid w:val="00BC5F63"/>
    <w:rsid w:val="00BC6934"/>
    <w:rsid w:val="00BD020A"/>
    <w:rsid w:val="00BD0AB5"/>
    <w:rsid w:val="00BD10D4"/>
    <w:rsid w:val="00BD4EE4"/>
    <w:rsid w:val="00BD5234"/>
    <w:rsid w:val="00BD5E5E"/>
    <w:rsid w:val="00BE183E"/>
    <w:rsid w:val="00BE4871"/>
    <w:rsid w:val="00BE4932"/>
    <w:rsid w:val="00BE5334"/>
    <w:rsid w:val="00BF3947"/>
    <w:rsid w:val="00BF4C9B"/>
    <w:rsid w:val="00BF4F04"/>
    <w:rsid w:val="00BF5875"/>
    <w:rsid w:val="00C010B5"/>
    <w:rsid w:val="00C049E1"/>
    <w:rsid w:val="00C0535F"/>
    <w:rsid w:val="00C0755A"/>
    <w:rsid w:val="00C0785A"/>
    <w:rsid w:val="00C110EF"/>
    <w:rsid w:val="00C11231"/>
    <w:rsid w:val="00C11C43"/>
    <w:rsid w:val="00C140BA"/>
    <w:rsid w:val="00C179B0"/>
    <w:rsid w:val="00C20321"/>
    <w:rsid w:val="00C21CA3"/>
    <w:rsid w:val="00C23E99"/>
    <w:rsid w:val="00C26A3E"/>
    <w:rsid w:val="00C26C38"/>
    <w:rsid w:val="00C2733D"/>
    <w:rsid w:val="00C3242F"/>
    <w:rsid w:val="00C33B5E"/>
    <w:rsid w:val="00C34EB5"/>
    <w:rsid w:val="00C35E05"/>
    <w:rsid w:val="00C35F16"/>
    <w:rsid w:val="00C3745A"/>
    <w:rsid w:val="00C37C4F"/>
    <w:rsid w:val="00C4017B"/>
    <w:rsid w:val="00C40430"/>
    <w:rsid w:val="00C418C2"/>
    <w:rsid w:val="00C42102"/>
    <w:rsid w:val="00C445F2"/>
    <w:rsid w:val="00C45A1E"/>
    <w:rsid w:val="00C46FE6"/>
    <w:rsid w:val="00C50DFF"/>
    <w:rsid w:val="00C50F91"/>
    <w:rsid w:val="00C51F05"/>
    <w:rsid w:val="00C54FFF"/>
    <w:rsid w:val="00C55B7A"/>
    <w:rsid w:val="00C5640D"/>
    <w:rsid w:val="00C564A1"/>
    <w:rsid w:val="00C57ECA"/>
    <w:rsid w:val="00C60770"/>
    <w:rsid w:val="00C61D2F"/>
    <w:rsid w:val="00C631B8"/>
    <w:rsid w:val="00C6416F"/>
    <w:rsid w:val="00C648C0"/>
    <w:rsid w:val="00C6574D"/>
    <w:rsid w:val="00C66C68"/>
    <w:rsid w:val="00C67871"/>
    <w:rsid w:val="00C72640"/>
    <w:rsid w:val="00C736D5"/>
    <w:rsid w:val="00C73CBB"/>
    <w:rsid w:val="00C759D1"/>
    <w:rsid w:val="00C75DAF"/>
    <w:rsid w:val="00C77D3F"/>
    <w:rsid w:val="00C80567"/>
    <w:rsid w:val="00C8181A"/>
    <w:rsid w:val="00C84422"/>
    <w:rsid w:val="00C86B13"/>
    <w:rsid w:val="00C92950"/>
    <w:rsid w:val="00CA4BBD"/>
    <w:rsid w:val="00CA77DA"/>
    <w:rsid w:val="00CB321F"/>
    <w:rsid w:val="00CB355F"/>
    <w:rsid w:val="00CB35C5"/>
    <w:rsid w:val="00CB3A02"/>
    <w:rsid w:val="00CC0F1A"/>
    <w:rsid w:val="00CC177A"/>
    <w:rsid w:val="00CC1A0B"/>
    <w:rsid w:val="00CC23AB"/>
    <w:rsid w:val="00CC5737"/>
    <w:rsid w:val="00CC5BF4"/>
    <w:rsid w:val="00CC78C0"/>
    <w:rsid w:val="00CD017A"/>
    <w:rsid w:val="00CD0A90"/>
    <w:rsid w:val="00CD1204"/>
    <w:rsid w:val="00CD297F"/>
    <w:rsid w:val="00CD2D59"/>
    <w:rsid w:val="00CD39BC"/>
    <w:rsid w:val="00CD3EBE"/>
    <w:rsid w:val="00CD6A8D"/>
    <w:rsid w:val="00CD79BF"/>
    <w:rsid w:val="00CE0ABE"/>
    <w:rsid w:val="00CE4834"/>
    <w:rsid w:val="00CE58B0"/>
    <w:rsid w:val="00CE5FF5"/>
    <w:rsid w:val="00CE6F64"/>
    <w:rsid w:val="00CE7473"/>
    <w:rsid w:val="00CF049A"/>
    <w:rsid w:val="00CF249D"/>
    <w:rsid w:val="00CF3CAB"/>
    <w:rsid w:val="00CF6005"/>
    <w:rsid w:val="00D00751"/>
    <w:rsid w:val="00D00DEA"/>
    <w:rsid w:val="00D037F9"/>
    <w:rsid w:val="00D039FA"/>
    <w:rsid w:val="00D05B6A"/>
    <w:rsid w:val="00D06DC4"/>
    <w:rsid w:val="00D119F7"/>
    <w:rsid w:val="00D145EA"/>
    <w:rsid w:val="00D1500A"/>
    <w:rsid w:val="00D1564F"/>
    <w:rsid w:val="00D1571D"/>
    <w:rsid w:val="00D1747B"/>
    <w:rsid w:val="00D20123"/>
    <w:rsid w:val="00D203DF"/>
    <w:rsid w:val="00D2048D"/>
    <w:rsid w:val="00D21429"/>
    <w:rsid w:val="00D21679"/>
    <w:rsid w:val="00D22FFD"/>
    <w:rsid w:val="00D23DDE"/>
    <w:rsid w:val="00D23F23"/>
    <w:rsid w:val="00D32A56"/>
    <w:rsid w:val="00D33247"/>
    <w:rsid w:val="00D33D03"/>
    <w:rsid w:val="00D3626D"/>
    <w:rsid w:val="00D36B87"/>
    <w:rsid w:val="00D407AB"/>
    <w:rsid w:val="00D4093F"/>
    <w:rsid w:val="00D426E5"/>
    <w:rsid w:val="00D43EDE"/>
    <w:rsid w:val="00D44E46"/>
    <w:rsid w:val="00D4500C"/>
    <w:rsid w:val="00D50B6B"/>
    <w:rsid w:val="00D523ED"/>
    <w:rsid w:val="00D52E90"/>
    <w:rsid w:val="00D530A2"/>
    <w:rsid w:val="00D54525"/>
    <w:rsid w:val="00D54D51"/>
    <w:rsid w:val="00D55605"/>
    <w:rsid w:val="00D56403"/>
    <w:rsid w:val="00D6038A"/>
    <w:rsid w:val="00D60AF8"/>
    <w:rsid w:val="00D614FB"/>
    <w:rsid w:val="00D616A2"/>
    <w:rsid w:val="00D63B94"/>
    <w:rsid w:val="00D64A20"/>
    <w:rsid w:val="00D65377"/>
    <w:rsid w:val="00D66F94"/>
    <w:rsid w:val="00D706F5"/>
    <w:rsid w:val="00D76089"/>
    <w:rsid w:val="00D76E0D"/>
    <w:rsid w:val="00D7794C"/>
    <w:rsid w:val="00D8190E"/>
    <w:rsid w:val="00D83AEE"/>
    <w:rsid w:val="00D853A4"/>
    <w:rsid w:val="00D91573"/>
    <w:rsid w:val="00D923AA"/>
    <w:rsid w:val="00D92A45"/>
    <w:rsid w:val="00D92D3F"/>
    <w:rsid w:val="00D93B1C"/>
    <w:rsid w:val="00D93DB5"/>
    <w:rsid w:val="00D94E8D"/>
    <w:rsid w:val="00D95250"/>
    <w:rsid w:val="00DA0400"/>
    <w:rsid w:val="00DA07BA"/>
    <w:rsid w:val="00DA3894"/>
    <w:rsid w:val="00DA3D41"/>
    <w:rsid w:val="00DA4558"/>
    <w:rsid w:val="00DA6F8F"/>
    <w:rsid w:val="00DA7A32"/>
    <w:rsid w:val="00DB02F7"/>
    <w:rsid w:val="00DB21A5"/>
    <w:rsid w:val="00DB447A"/>
    <w:rsid w:val="00DB45A9"/>
    <w:rsid w:val="00DB4D96"/>
    <w:rsid w:val="00DB7EF2"/>
    <w:rsid w:val="00DC15DF"/>
    <w:rsid w:val="00DC20D5"/>
    <w:rsid w:val="00DC2BBD"/>
    <w:rsid w:val="00DC6638"/>
    <w:rsid w:val="00DD1C0B"/>
    <w:rsid w:val="00DD6295"/>
    <w:rsid w:val="00DE0E8D"/>
    <w:rsid w:val="00DE4B0B"/>
    <w:rsid w:val="00DE5BA7"/>
    <w:rsid w:val="00DE6532"/>
    <w:rsid w:val="00DF1250"/>
    <w:rsid w:val="00DF2839"/>
    <w:rsid w:val="00DF2887"/>
    <w:rsid w:val="00DF2F42"/>
    <w:rsid w:val="00DF3A58"/>
    <w:rsid w:val="00DF414A"/>
    <w:rsid w:val="00DF61A9"/>
    <w:rsid w:val="00E02E80"/>
    <w:rsid w:val="00E03496"/>
    <w:rsid w:val="00E04473"/>
    <w:rsid w:val="00E04A73"/>
    <w:rsid w:val="00E0553F"/>
    <w:rsid w:val="00E11A30"/>
    <w:rsid w:val="00E13C37"/>
    <w:rsid w:val="00E144E0"/>
    <w:rsid w:val="00E16138"/>
    <w:rsid w:val="00E16797"/>
    <w:rsid w:val="00E167BB"/>
    <w:rsid w:val="00E16D72"/>
    <w:rsid w:val="00E20176"/>
    <w:rsid w:val="00E20F8D"/>
    <w:rsid w:val="00E23223"/>
    <w:rsid w:val="00E23927"/>
    <w:rsid w:val="00E25874"/>
    <w:rsid w:val="00E2799A"/>
    <w:rsid w:val="00E3000F"/>
    <w:rsid w:val="00E31A50"/>
    <w:rsid w:val="00E3329D"/>
    <w:rsid w:val="00E364C6"/>
    <w:rsid w:val="00E4032A"/>
    <w:rsid w:val="00E41CB2"/>
    <w:rsid w:val="00E431A1"/>
    <w:rsid w:val="00E434B4"/>
    <w:rsid w:val="00E4750A"/>
    <w:rsid w:val="00E47862"/>
    <w:rsid w:val="00E521D4"/>
    <w:rsid w:val="00E53781"/>
    <w:rsid w:val="00E5421D"/>
    <w:rsid w:val="00E57180"/>
    <w:rsid w:val="00E623F7"/>
    <w:rsid w:val="00E626B9"/>
    <w:rsid w:val="00E64901"/>
    <w:rsid w:val="00E65195"/>
    <w:rsid w:val="00E65196"/>
    <w:rsid w:val="00E65367"/>
    <w:rsid w:val="00E6555D"/>
    <w:rsid w:val="00E65863"/>
    <w:rsid w:val="00E660F9"/>
    <w:rsid w:val="00E67535"/>
    <w:rsid w:val="00E719BC"/>
    <w:rsid w:val="00E71A8B"/>
    <w:rsid w:val="00E724E1"/>
    <w:rsid w:val="00E72AD1"/>
    <w:rsid w:val="00E72D99"/>
    <w:rsid w:val="00E739C0"/>
    <w:rsid w:val="00E76C00"/>
    <w:rsid w:val="00E815A6"/>
    <w:rsid w:val="00E825A1"/>
    <w:rsid w:val="00E83167"/>
    <w:rsid w:val="00E84B9A"/>
    <w:rsid w:val="00E857BB"/>
    <w:rsid w:val="00E868CA"/>
    <w:rsid w:val="00E87817"/>
    <w:rsid w:val="00E9206B"/>
    <w:rsid w:val="00E93667"/>
    <w:rsid w:val="00E944B2"/>
    <w:rsid w:val="00E96804"/>
    <w:rsid w:val="00EA18D1"/>
    <w:rsid w:val="00EA29A0"/>
    <w:rsid w:val="00EA2C87"/>
    <w:rsid w:val="00EA364B"/>
    <w:rsid w:val="00EA6DEA"/>
    <w:rsid w:val="00EA7D5B"/>
    <w:rsid w:val="00EB6131"/>
    <w:rsid w:val="00EC1553"/>
    <w:rsid w:val="00EC6465"/>
    <w:rsid w:val="00EC6DD1"/>
    <w:rsid w:val="00ED0188"/>
    <w:rsid w:val="00ED0395"/>
    <w:rsid w:val="00ED1C9E"/>
    <w:rsid w:val="00ED625D"/>
    <w:rsid w:val="00EE0F70"/>
    <w:rsid w:val="00EE1412"/>
    <w:rsid w:val="00EE145D"/>
    <w:rsid w:val="00EE1826"/>
    <w:rsid w:val="00EE1A32"/>
    <w:rsid w:val="00EE1FB6"/>
    <w:rsid w:val="00EE2409"/>
    <w:rsid w:val="00EE3E2C"/>
    <w:rsid w:val="00EE54D4"/>
    <w:rsid w:val="00EE7321"/>
    <w:rsid w:val="00EE74ED"/>
    <w:rsid w:val="00EE782B"/>
    <w:rsid w:val="00EE7D60"/>
    <w:rsid w:val="00EE7E76"/>
    <w:rsid w:val="00EE7EF4"/>
    <w:rsid w:val="00EF3CEC"/>
    <w:rsid w:val="00EF3D20"/>
    <w:rsid w:val="00EF5088"/>
    <w:rsid w:val="00EF5AB4"/>
    <w:rsid w:val="00EF5D4D"/>
    <w:rsid w:val="00EF6EE2"/>
    <w:rsid w:val="00F05939"/>
    <w:rsid w:val="00F075F6"/>
    <w:rsid w:val="00F1169B"/>
    <w:rsid w:val="00F13218"/>
    <w:rsid w:val="00F15028"/>
    <w:rsid w:val="00F17B86"/>
    <w:rsid w:val="00F20B1F"/>
    <w:rsid w:val="00F21FCF"/>
    <w:rsid w:val="00F27A74"/>
    <w:rsid w:val="00F3139A"/>
    <w:rsid w:val="00F32DCD"/>
    <w:rsid w:val="00F32FEB"/>
    <w:rsid w:val="00F343C7"/>
    <w:rsid w:val="00F351C5"/>
    <w:rsid w:val="00F35E8F"/>
    <w:rsid w:val="00F36EBC"/>
    <w:rsid w:val="00F371D0"/>
    <w:rsid w:val="00F375DB"/>
    <w:rsid w:val="00F3767D"/>
    <w:rsid w:val="00F37A2D"/>
    <w:rsid w:val="00F40FCD"/>
    <w:rsid w:val="00F410E7"/>
    <w:rsid w:val="00F41C41"/>
    <w:rsid w:val="00F41F8F"/>
    <w:rsid w:val="00F43C5E"/>
    <w:rsid w:val="00F444BD"/>
    <w:rsid w:val="00F44CA7"/>
    <w:rsid w:val="00F460A5"/>
    <w:rsid w:val="00F473B1"/>
    <w:rsid w:val="00F479B0"/>
    <w:rsid w:val="00F47BC3"/>
    <w:rsid w:val="00F52EF7"/>
    <w:rsid w:val="00F53061"/>
    <w:rsid w:val="00F60A51"/>
    <w:rsid w:val="00F66F52"/>
    <w:rsid w:val="00F67DEA"/>
    <w:rsid w:val="00F72BBD"/>
    <w:rsid w:val="00F74493"/>
    <w:rsid w:val="00F74E34"/>
    <w:rsid w:val="00F753BA"/>
    <w:rsid w:val="00F75BD1"/>
    <w:rsid w:val="00F76CA9"/>
    <w:rsid w:val="00F77DBA"/>
    <w:rsid w:val="00F81A70"/>
    <w:rsid w:val="00F81EB1"/>
    <w:rsid w:val="00F82254"/>
    <w:rsid w:val="00F84197"/>
    <w:rsid w:val="00F84524"/>
    <w:rsid w:val="00F8528A"/>
    <w:rsid w:val="00F864C7"/>
    <w:rsid w:val="00F87B64"/>
    <w:rsid w:val="00F87D4F"/>
    <w:rsid w:val="00F905F8"/>
    <w:rsid w:val="00F925CF"/>
    <w:rsid w:val="00F92DA9"/>
    <w:rsid w:val="00F93C54"/>
    <w:rsid w:val="00F951A0"/>
    <w:rsid w:val="00FB0E51"/>
    <w:rsid w:val="00FB22E3"/>
    <w:rsid w:val="00FB2E05"/>
    <w:rsid w:val="00FB2FB5"/>
    <w:rsid w:val="00FB6F98"/>
    <w:rsid w:val="00FC0ADE"/>
    <w:rsid w:val="00FC56D3"/>
    <w:rsid w:val="00FD0516"/>
    <w:rsid w:val="00FD1271"/>
    <w:rsid w:val="00FD238D"/>
    <w:rsid w:val="00FD4641"/>
    <w:rsid w:val="00FD606B"/>
    <w:rsid w:val="00FD7C3C"/>
    <w:rsid w:val="00FE4E78"/>
    <w:rsid w:val="00FE66BC"/>
    <w:rsid w:val="00FF0629"/>
    <w:rsid w:val="00FF28E9"/>
    <w:rsid w:val="00FF2CD4"/>
    <w:rsid w:val="00FF36FB"/>
    <w:rsid w:val="00FF48CC"/>
    <w:rsid w:val="00FF5797"/>
    <w:rsid w:val="00FF65B1"/>
    <w:rsid w:val="00FF6A09"/>
    <w:rsid w:val="00FF6B8F"/>
    <w:rsid w:val="00FF7434"/>
    <w:rsid w:val="0E60787B"/>
    <w:rsid w:val="13934949"/>
    <w:rsid w:val="14C8B368"/>
    <w:rsid w:val="1640979D"/>
    <w:rsid w:val="23845545"/>
    <w:rsid w:val="24F1D1F6"/>
    <w:rsid w:val="36FB0BE8"/>
    <w:rsid w:val="3EB478DB"/>
    <w:rsid w:val="40E82369"/>
    <w:rsid w:val="41176CBD"/>
    <w:rsid w:val="4820553E"/>
    <w:rsid w:val="4B16B229"/>
    <w:rsid w:val="4BF0C104"/>
    <w:rsid w:val="4CB601AF"/>
    <w:rsid w:val="539C00B1"/>
    <w:rsid w:val="57A5673D"/>
    <w:rsid w:val="5B7B2041"/>
    <w:rsid w:val="5BB53481"/>
    <w:rsid w:val="6A85E0EE"/>
    <w:rsid w:val="6DC9E538"/>
    <w:rsid w:val="6DCF3398"/>
    <w:rsid w:val="6FD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BB03F"/>
  <w15:docId w15:val="{0804724E-0F53-444E-A219-B02C500E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3F129C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3F129C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FBD51F-AD77-4338-9FBF-3C6F5DA14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56D85B-5292-4A73-B3AC-733E4B1FF33F}">
  <ds:schemaRefs>
    <ds:schemaRef ds:uri="http://schemas.microsoft.com/office/2006/metadata/properties"/>
    <ds:schemaRef ds:uri="http://purl.org/dc/terms/"/>
    <ds:schemaRef ds:uri="cadce026-d35b-4a62-a2ee-1436bb44fb55"/>
    <ds:schemaRef ds:uri="http://schemas.microsoft.com/office/2006/documentManagement/types"/>
    <ds:schemaRef ds:uri="f71abe4e-f5ff-49cd-8eff-5f4949acc51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7b6fe81-1556-4112-94ca-31043ca39b7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B974838-EFFA-4A44-AD42-E632F3A87F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2ffcb90-540a-470b-ae22-1b17f04b2ca0}" enabled="0" method="" siteId="{52ffcb90-540a-470b-ae22-1b17f04b2ca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</Template>
  <TotalTime>7</TotalTime>
  <Pages>4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</vt:lpstr>
    </vt:vector>
  </TitlesOfParts>
  <Company>CE Electric UK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subject/>
  <dc:creator>Guidance</dc:creator>
  <cp:keywords/>
  <cp:lastModifiedBy>Elana Byrne</cp:lastModifiedBy>
  <cp:revision>6</cp:revision>
  <cp:lastPrinted>2020-02-06T21:28:00Z</cp:lastPrinted>
  <dcterms:created xsi:type="dcterms:W3CDTF">2024-08-29T10:21:00Z</dcterms:created>
  <dcterms:modified xsi:type="dcterms:W3CDTF">2024-08-29T11:24:00Z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_NewReviewCycle">
    <vt:lpwstr/>
  </property>
  <property fmtid="{D5CDD505-2E9C-101B-9397-08002B2CF9AE}" pid="4" name="MediaServiceImageTags">
    <vt:lpwstr/>
  </property>
</Properties>
</file>