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r>
      <w:r w:rsidRPr="00AB1151">
        <w:rPr>
          <w:rFonts w:ascii="Arial" w:hAnsi="Arial" w:cs="Arial"/>
          <w:bCs/>
          <w:highlight w:val="yellow"/>
          <w:rPrChange w:id="0" w:author="Author" w:date="2024-07-03T16:02:00Z">
            <w:rPr>
              <w:rFonts w:ascii="Arial" w:hAnsi="Arial" w:cs="Arial"/>
              <w:bCs/>
            </w:rPr>
          </w:rPrChange>
        </w:rPr>
        <w:t xml:space="preserve">Demand </w:t>
      </w:r>
      <w:commentRangeStart w:id="1"/>
      <w:r w:rsidRPr="00AB1151">
        <w:rPr>
          <w:rFonts w:ascii="Arial" w:hAnsi="Arial" w:cs="Arial"/>
          <w:bCs/>
          <w:highlight w:val="yellow"/>
          <w:rPrChange w:id="2" w:author="Author" w:date="2024-07-03T16:02:00Z">
            <w:rPr>
              <w:rFonts w:ascii="Arial" w:hAnsi="Arial" w:cs="Arial"/>
              <w:bCs/>
            </w:rPr>
          </w:rPrChange>
        </w:rPr>
        <w:t>Charges</w:t>
      </w:r>
      <w:commentRangeEnd w:id="1"/>
      <w:r w:rsidR="006807B6">
        <w:rPr>
          <w:rStyle w:val="CommentReference"/>
          <w:rFonts w:ascii="Arial" w:hAnsi="Arial"/>
          <w:lang w:eastAsia="en-US"/>
        </w:rPr>
        <w:commentReference w:id="1"/>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 xml:space="preserve">Illustrative Calculation of Boundary Sharing Factors (BSFs) and Shared / Not-Shared incremental </w:t>
      </w:r>
      <w:proofErr w:type="gramStart"/>
      <w:r w:rsidRPr="00A51DF5">
        <w:rPr>
          <w:rFonts w:ascii="Arial" w:hAnsi="Arial" w:cs="Arial"/>
          <w:lang w:eastAsia="en-US"/>
        </w:rPr>
        <w:t>km</w:t>
      </w:r>
      <w:proofErr w:type="gramEnd"/>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3" w:name="_DV_M10"/>
      <w:bookmarkStart w:id="4" w:name="_DV_M11"/>
      <w:bookmarkEnd w:id="3"/>
      <w:bookmarkEnd w:id="4"/>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5"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6" w:name="_Toc32208919"/>
      <w:bookmarkStart w:id="7" w:name="_Toc44315380"/>
      <w:bookmarkEnd w:id="5"/>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8" w:name="_Toc220918005"/>
      <w:bookmarkEnd w:id="6"/>
      <w:bookmarkEnd w:id="7"/>
      <w:r w:rsidRPr="00922CDA">
        <w:t>Costs and their Allocation</w:t>
      </w:r>
      <w:bookmarkEnd w:id="8"/>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9" w:name="_Toc32208920"/>
      <w:bookmarkStart w:id="10" w:name="_Toc44315381"/>
      <w:bookmarkStart w:id="11" w:name="_Toc220918006"/>
      <w:r w:rsidRPr="00922CDA">
        <w:t>Connection/Use of System Boundary</w:t>
      </w:r>
      <w:bookmarkEnd w:id="9"/>
      <w:bookmarkEnd w:id="10"/>
      <w:bookmarkEnd w:id="11"/>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w:t>
      </w:r>
      <w:proofErr w:type="gramStart"/>
      <w:r w:rsidRPr="00922CDA">
        <w:t>i.e.</w:t>
      </w:r>
      <w:proofErr w:type="gramEnd"/>
      <w:r w:rsidRPr="00922CDA">
        <w:t xml:space="preserv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12" w:name="_Ref469392153"/>
      <w:r>
        <w:t xml:space="preserve"> </w:t>
      </w:r>
      <w:r w:rsidRPr="00922CDA">
        <w:t>Connection assets are defined as all those single user assets which:</w:t>
      </w:r>
      <w:bookmarkEnd w:id="12"/>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3" w:name="_Hlt531685514"/>
      <w:bookmarkStart w:id="14" w:name="_Hlt531683258"/>
      <w:bookmarkStart w:id="15" w:name="_Toc44315383"/>
      <w:bookmarkEnd w:id="13"/>
      <w:bookmarkEnd w:id="14"/>
      <w:r w:rsidRPr="00922CDA">
        <w:br w:type="page"/>
      </w:r>
      <w:bookmarkStart w:id="16" w:name="_Toc220918007"/>
      <w:r w:rsidRPr="00415339">
        <w:rPr>
          <w:color w:val="auto"/>
          <w:sz w:val="28"/>
          <w:szCs w:val="28"/>
        </w:rPr>
        <w:lastRenderedPageBreak/>
        <w:t>14.3 The Calculation of the Basic Annual Connection Charge for an Asset</w:t>
      </w:r>
      <w:bookmarkEnd w:id="15"/>
      <w:bookmarkEnd w:id="16"/>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7" w:name="_Toc220918008"/>
      <w:r>
        <w:t>Pre and Post Vesting Connections</w:t>
      </w:r>
      <w:bookmarkEnd w:id="17"/>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8" w:name="_Toc32208924"/>
      <w:bookmarkStart w:id="19" w:name="_Toc44315385"/>
      <w:bookmarkStart w:id="20" w:name="_Toc220918009"/>
      <w:r>
        <w:t>Calculation of the Gross Asset Value</w:t>
      </w:r>
      <w:bookmarkEnd w:id="18"/>
      <w:bookmarkEnd w:id="19"/>
      <w:r>
        <w:t xml:space="preserve"> (GAV)</w:t>
      </w:r>
      <w:bookmarkEnd w:id="20"/>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21" w:name="_Ref492175443"/>
      <w:r>
        <w:t xml:space="preserve">  The </w:t>
      </w:r>
      <w:bookmarkStart w:id="22" w:name="Para_2_2"/>
      <w:bookmarkEnd w:id="22"/>
      <w:r>
        <w:t>GAV represents the initial total cost of an asset to the transmission licensee.  For a new asset it will be the costs incurred by the transmission licensee in the provision of that asset.  Typically, the GAV is made up of the following components:</w:t>
      </w:r>
      <w:bookmarkEnd w:id="21"/>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 xml:space="preserve">s - Costs of bought in </w:t>
      </w:r>
      <w:proofErr w:type="gramStart"/>
      <w:r w:rsidRPr="000D2008">
        <w:rPr>
          <w:rFonts w:ascii="Arial" w:hAnsi="Arial" w:cs="Arial"/>
          <w:sz w:val="22"/>
          <w:szCs w:val="22"/>
        </w:rPr>
        <w:t>services</w:t>
      </w:r>
      <w:proofErr w:type="gramEnd"/>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3" w:name="_Ref469457101"/>
      <w:r>
        <w:t xml:space="preserve">The </w:t>
      </w:r>
      <w:bookmarkStart w:id="24" w:name="Para_2_5"/>
      <w:bookmarkEnd w:id="24"/>
      <w:r w:rsidR="00061D6F">
        <w:t>TOPI</w:t>
      </w:r>
      <w:r>
        <w:t xml:space="preserve"> revaluation method is as follows:</w:t>
      </w:r>
      <w:bookmarkEnd w:id="23"/>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proofErr w:type="gramStart"/>
      <w:r>
        <w:t>i.e.</w:t>
      </w:r>
      <w:proofErr w:type="gramEnd"/>
      <w:r>
        <w:t xml:space="preserve"> </w:t>
      </w:r>
      <w:proofErr w:type="spellStart"/>
      <w:r>
        <w:t>GAV</w:t>
      </w:r>
      <w:r>
        <w:rPr>
          <w:vertAlign w:val="subscript"/>
        </w:rPr>
        <w:t>n</w:t>
      </w:r>
      <w:proofErr w:type="spellEnd"/>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5" w:name="_Toc220918010"/>
      <w:r>
        <w:t>Calculation of Net Asset Value</w:t>
      </w:r>
      <w:bookmarkEnd w:id="25"/>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6" w:name="_Hlt492200960"/>
      <w:bookmarkStart w:id="27" w:name="_Ref492200889"/>
      <w:bookmarkEnd w:id="26"/>
      <w:r>
        <w:t xml:space="preserve">  The </w:t>
      </w:r>
      <w:bookmarkStart w:id="28" w:name="Para_2_6"/>
      <w:bookmarkEnd w:id="28"/>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7"/>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9" w:name="_Hlt492200957"/>
      <w:bookmarkStart w:id="30" w:name="_Ref469457714"/>
      <w:bookmarkEnd w:id="29"/>
      <w:r>
        <w:t xml:space="preserve">   In </w:t>
      </w:r>
      <w:bookmarkStart w:id="31" w:name="Para_2_7"/>
      <w:bookmarkEnd w:id="31"/>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32" w:name="_Toc32208926"/>
      <w:bookmarkStart w:id="33" w:name="_Toc44315387"/>
      <w:bookmarkEnd w:id="30"/>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4" w:name="_Toc220918011"/>
      <w:bookmarkEnd w:id="32"/>
      <w:bookmarkEnd w:id="33"/>
      <w:r>
        <w:t>Capital Components of the Connection charge for Post Vesting Connection Assets</w:t>
      </w:r>
      <w:bookmarkEnd w:id="34"/>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5" w:name="_Ref480172085"/>
      <w:r>
        <w:t>The standard terms for a connection offer will be</w:t>
      </w:r>
      <w:bookmarkEnd w:id="35"/>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6" w:name="_Ref469456967"/>
      <w:r>
        <w:t xml:space="preserve">In </w:t>
      </w:r>
      <w:bookmarkStart w:id="37" w:name="Para_2_9"/>
      <w:bookmarkEnd w:id="37"/>
      <w:proofErr w:type="gramStart"/>
      <w:r>
        <w:t>addition</w:t>
      </w:r>
      <w:proofErr w:type="gramEnd"/>
      <w:r>
        <w:t xml:space="preserve"> a number of options exist:</w:t>
      </w:r>
      <w:bookmarkEnd w:id="36"/>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8" w:name="_Toc32208927"/>
      <w:bookmarkStart w:id="39"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40" w:name="_Toc220918012"/>
      <w:r>
        <w:t xml:space="preserve">Capital Components of the Connection charge for </w:t>
      </w:r>
      <w:proofErr w:type="gramStart"/>
      <w:r>
        <w:t>Pre Vesting</w:t>
      </w:r>
      <w:proofErr w:type="gramEnd"/>
      <w:r>
        <w:t xml:space="preserve"> Connection Assets</w:t>
      </w:r>
      <w:bookmarkEnd w:id="38"/>
      <w:bookmarkEnd w:id="39"/>
      <w:bookmarkEnd w:id="40"/>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41" w:name="_Toc32208928"/>
      <w:bookmarkStart w:id="42" w:name="_Toc44315389"/>
      <w:bookmarkStart w:id="43" w:name="_Toc220918013"/>
      <w:r>
        <w:t>Non-Capital Components - Charging for Maintenance</w:t>
      </w:r>
      <w:r>
        <w:fldChar w:fldCharType="begin"/>
      </w:r>
      <w:r>
        <w:instrText xml:space="preserve"> XE "Maintenance" </w:instrText>
      </w:r>
      <w:r>
        <w:fldChar w:fldCharType="end"/>
      </w:r>
      <w:r>
        <w:t xml:space="preserve"> and Transmission Running Costs</w:t>
      </w:r>
      <w:bookmarkEnd w:id="41"/>
      <w:bookmarkEnd w:id="42"/>
      <w:bookmarkEnd w:id="43"/>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4" w:name="_Toc220918014"/>
      <w:r>
        <w:t>Part A: Site Specific Maintenance Charges</w:t>
      </w:r>
      <w:bookmarkEnd w:id="44"/>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5" w:name="_Toc220918015"/>
      <w:r>
        <w:t>Part B: Transmission Running Costs</w:t>
      </w:r>
      <w:bookmarkEnd w:id="45"/>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6" w:name="_Toc220918016"/>
      <w:r w:rsidRPr="00094C68">
        <w:rPr>
          <w:rFonts w:ascii="Arial" w:hAnsi="Arial" w:cs="Arial"/>
          <w:szCs w:val="22"/>
        </w:rPr>
        <w:t>The Basic Annual Connection Charge Formula</w:t>
      </w:r>
      <w:bookmarkEnd w:id="46"/>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7" w:name="_Hlt32209703"/>
      <w:bookmarkStart w:id="48" w:name="_Ref500843438"/>
      <w:bookmarkEnd w:id="47"/>
      <w:r w:rsidRPr="00094C68">
        <w:rPr>
          <w:rFonts w:ascii="Arial" w:hAnsi="Arial" w:cs="Arial"/>
          <w:szCs w:val="22"/>
        </w:rPr>
        <w:t xml:space="preserve">The </w:t>
      </w:r>
      <w:bookmarkStart w:id="49" w:name="Para_2_22"/>
      <w:bookmarkEnd w:id="49"/>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8"/>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 xml:space="preserve">NAV for year n based on re-valued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w:t>
      </w:r>
      <w:proofErr w:type="gramStart"/>
      <w:r w:rsidR="00E7116D" w:rsidRPr="00CD5631">
        <w:rPr>
          <w:rFonts w:ascii="Arial" w:hAnsi="Arial" w:cs="Arial"/>
          <w:sz w:val="22"/>
          <w:szCs w:val="22"/>
        </w:rPr>
        <w:t xml:space="preserve">n, </w:t>
      </w:r>
      <w:r w:rsidR="00E7116D" w:rsidRPr="00CD5631">
        <w:rPr>
          <w:rFonts w:ascii="Arial" w:hAnsi="Arial" w:cs="Arial"/>
          <w:sz w:val="22"/>
          <w:szCs w:val="22"/>
        </w:rPr>
        <w:lastRenderedPageBreak/>
        <w:t>or</w:t>
      </w:r>
      <w:proofErr w:type="gramEnd"/>
      <w:r w:rsidR="00E7116D" w:rsidRPr="00CD5631">
        <w:rPr>
          <w:rFonts w:ascii="Arial" w:hAnsi="Arial" w:cs="Arial"/>
          <w:sz w:val="22"/>
          <w:szCs w:val="22"/>
        </w:rPr>
        <w:t xml:space="preserve">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50" w:name="_Toc32208932"/>
      <w:bookmarkStart w:id="51" w:name="_Toc44315393"/>
    </w:p>
    <w:p w14:paraId="35B32AB3" w14:textId="77777777" w:rsidR="00225419" w:rsidRDefault="00225419">
      <w:pPr>
        <w:pStyle w:val="Heading2"/>
      </w:pPr>
    </w:p>
    <w:p w14:paraId="3579E9C6" w14:textId="77777777" w:rsidR="00225419" w:rsidRDefault="00225419">
      <w:pPr>
        <w:pStyle w:val="Heading2"/>
      </w:pPr>
      <w:bookmarkStart w:id="52" w:name="_Toc220918017"/>
      <w:r>
        <w:t>Adjustment for Capital Contributions</w:t>
      </w:r>
      <w:bookmarkEnd w:id="50"/>
      <w:bookmarkEnd w:id="51"/>
      <w:bookmarkEnd w:id="52"/>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3" w:name="_Ref501761199"/>
      <w:r>
        <w:t xml:space="preserve">If a </w:t>
      </w:r>
      <w:bookmarkStart w:id="54" w:name="Para_2_25"/>
      <w:bookmarkEnd w:id="54"/>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3"/>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w:t>
      </w:r>
      <w:proofErr w:type="spellStart"/>
      <w:r>
        <w:t>GAV</w:t>
      </w:r>
      <w:r>
        <w:rPr>
          <w:vertAlign w:val="subscript"/>
        </w:rPr>
        <w:t>n</w:t>
      </w:r>
      <w:proofErr w:type="spellEnd"/>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5"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6" w:name="_Hlt499019949"/>
      <w:bookmarkStart w:id="57" w:name="_Hlt499019955"/>
      <w:bookmarkEnd w:id="55"/>
      <w:bookmarkEnd w:id="56"/>
      <w:bookmarkEnd w:id="57"/>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8"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9" w:name="_Toc220918018"/>
      <w:r w:rsidRPr="00415339">
        <w:rPr>
          <w:color w:val="auto"/>
          <w:sz w:val="28"/>
          <w:szCs w:val="28"/>
        </w:rPr>
        <w:lastRenderedPageBreak/>
        <w:t>14.4 Other Charges</w:t>
      </w:r>
      <w:bookmarkEnd w:id="58"/>
      <w:bookmarkEnd w:id="59"/>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60" w:name="_Hlt490987527"/>
      <w:bookmarkStart w:id="61" w:name="_Ref477681385"/>
      <w:bookmarkEnd w:id="60"/>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61"/>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62" w:name="_Toc32208936"/>
      <w:bookmarkStart w:id="63" w:name="_Toc44315397"/>
      <w:bookmarkStart w:id="64" w:name="_Toc220918019"/>
      <w:r>
        <w:t>One</w:t>
      </w:r>
      <w:r>
        <w:noBreakHyphen/>
        <w:t>off Works</w:t>
      </w:r>
      <w:bookmarkEnd w:id="62"/>
      <w:bookmarkEnd w:id="63"/>
      <w:bookmarkEnd w:id="64"/>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cost cannot be capitalised into either a connection or infrastructure asset, typically a revenue </w:t>
      </w:r>
      <w:proofErr w:type="gramStart"/>
      <w:r w:rsidRPr="000D2008">
        <w:rPr>
          <w:rFonts w:ascii="Arial" w:hAnsi="Arial" w:cs="Arial"/>
          <w:sz w:val="22"/>
          <w:szCs w:val="22"/>
        </w:rPr>
        <w:t>cost</w:t>
      </w:r>
      <w:proofErr w:type="gramEnd"/>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5" w:name="_Ref2138694"/>
      <w:r>
        <w:t>For information, the general formula for the calculation of the one-off charge for works is outlined below</w:t>
      </w:r>
      <w:bookmarkEnd w:id="65"/>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6"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6"/>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7" w:name="_Toc220918020"/>
      <w:r>
        <w:t>Miscellaneous Charges</w:t>
      </w:r>
      <w:bookmarkEnd w:id="67"/>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8" w:name="_Hlt1554299"/>
      <w:bookmarkStart w:id="69" w:name="_Ref1554289"/>
      <w:bookmarkEnd w:id="68"/>
      <w:r>
        <w:t xml:space="preserve">  Other contract specific charges may be payable by the User, these will be set out in the Bilateral and Construction Agreements where appropriate.</w:t>
      </w:r>
      <w:bookmarkEnd w:id="69"/>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70" w:name="_Toc32208939"/>
      <w:bookmarkStart w:id="71" w:name="_Toc44315400"/>
      <w:bookmarkStart w:id="72" w:name="_Toc220918021"/>
      <w:r>
        <w:t>Rental sites</w:t>
      </w:r>
      <w:bookmarkEnd w:id="70"/>
      <w:bookmarkEnd w:id="71"/>
      <w:bookmarkEnd w:id="72"/>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3" w:name="_Toc220918022"/>
      <w:r>
        <w:t>Final Metering Scheme (FMS)/Energy Metering Systems</w:t>
      </w:r>
      <w:bookmarkEnd w:id="73"/>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4" w:name="_Toc44315402"/>
      <w:bookmarkStart w:id="75" w:name="_Toc220918023"/>
      <w:r>
        <w:rPr>
          <w:sz w:val="28"/>
          <w:szCs w:val="28"/>
        </w:rPr>
        <w:lastRenderedPageBreak/>
        <w:t>14.5</w:t>
      </w:r>
      <w:r w:rsidRPr="00395682">
        <w:rPr>
          <w:sz w:val="28"/>
          <w:szCs w:val="28"/>
        </w:rPr>
        <w:t xml:space="preserve"> Connection Agreements</w:t>
      </w:r>
      <w:bookmarkEnd w:id="74"/>
      <w:bookmarkEnd w:id="75"/>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6" w:name="_Toc220918024"/>
      <w:r>
        <w:t>Indicative Agreement</w:t>
      </w:r>
      <w:bookmarkEnd w:id="76"/>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7" w:name="_Toc493589034"/>
      <w:bookmarkStart w:id="78" w:name="_Toc32208943"/>
      <w:bookmarkStart w:id="79"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80" w:name="_Toc220918025"/>
      <w:proofErr w:type="spellStart"/>
      <w:r>
        <w:t>Outturning</w:t>
      </w:r>
      <w:proofErr w:type="spellEnd"/>
      <w:r>
        <w:t xml:space="preserve"> the Indicative Agreement</w:t>
      </w:r>
      <w:bookmarkEnd w:id="77"/>
      <w:bookmarkEnd w:id="78"/>
      <w:bookmarkEnd w:id="79"/>
      <w:bookmarkEnd w:id="80"/>
    </w:p>
    <w:p w14:paraId="295282BC" w14:textId="77777777" w:rsidR="00225419" w:rsidRDefault="00225419">
      <w:pPr>
        <w:pStyle w:val="1"/>
        <w:keepNext/>
        <w:jc w:val="both"/>
      </w:pPr>
    </w:p>
    <w:p w14:paraId="5D6E2E9A" w14:textId="05D4085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648E3">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81" w:name="_Toc32208944"/>
      <w:bookmarkStart w:id="82" w:name="_Toc44315405"/>
      <w:bookmarkStart w:id="83" w:name="_Toc220918026"/>
      <w:r>
        <w:t>Firm Price Agreement</w:t>
      </w:r>
      <w:bookmarkEnd w:id="81"/>
      <w:bookmarkEnd w:id="82"/>
      <w:bookmarkEnd w:id="83"/>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BAA0B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648E3">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4" w:name="_Toc220918027"/>
      <w:r>
        <w:lastRenderedPageBreak/>
        <w:t>Monthly Connection Charges</w:t>
      </w:r>
      <w:bookmarkEnd w:id="84"/>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106D047"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648E3">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7648E3">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5" w:name="_Toc44315407"/>
      <w:bookmarkStart w:id="86"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5"/>
      <w:bookmarkEnd w:id="86"/>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7" w:name="_Toc220918029"/>
      <w:r>
        <w:t>Charges Liable</w:t>
      </w:r>
      <w:bookmarkEnd w:id="87"/>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 xml:space="preserve">The reasonable costs of removing such assets.  These costs being inclusive of the costs of making good the condition of the connection </w:t>
      </w:r>
      <w:proofErr w:type="gramStart"/>
      <w:r>
        <w:t>site</w:t>
      </w:r>
      <w:proofErr w:type="gramEnd"/>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xml:space="preserve">, the connection charge for the full year remains payable. Any remaining Use of System Charges (TNUoS and </w:t>
      </w:r>
      <w:proofErr w:type="spellStart"/>
      <w:r>
        <w:t>BSUoS</w:t>
      </w:r>
      <w:proofErr w:type="spellEnd"/>
      <w:r>
        <w:t xml:space="preserve">) also remain </w:t>
      </w:r>
      <w:proofErr w:type="gramStart"/>
      <w:r>
        <w:t>payable</w:t>
      </w:r>
      <w:proofErr w:type="gramEnd"/>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w:t>
      </w:r>
      <w:proofErr w:type="gramStart"/>
      <w:r>
        <w:t>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8" w:name="_Toc220918030"/>
      <w:r>
        <w:lastRenderedPageBreak/>
        <w:t>Repayment on Re-Use of Assets</w:t>
      </w:r>
      <w:bookmarkEnd w:id="88"/>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9" w:name="_Toc220918031"/>
      <w:r>
        <w:t xml:space="preserve">Valuation of Assets that are re-used as connection assets or existing infrastructure assets re-allocated to </w:t>
      </w:r>
      <w:proofErr w:type="gramStart"/>
      <w:r>
        <w:t>connection</w:t>
      </w:r>
      <w:bookmarkEnd w:id="89"/>
      <w:proofErr w:type="gramEnd"/>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90" w:name="_Toc44315413"/>
      <w:bookmarkStart w:id="91" w:name="_Toc220918032"/>
      <w:r w:rsidRPr="007F69E9">
        <w:rPr>
          <w:color w:val="auto"/>
          <w:sz w:val="28"/>
          <w:szCs w:val="28"/>
        </w:rPr>
        <w:lastRenderedPageBreak/>
        <w:t>14.7 Contestability</w:t>
      </w:r>
      <w:bookmarkEnd w:id="90"/>
      <w:bookmarkEnd w:id="91"/>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 xml:space="preserve">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w:t>
      </w:r>
      <w:proofErr w:type="gramStart"/>
      <w:r>
        <w:t>security</w:t>
      </w:r>
      <w:proofErr w:type="gramEnd"/>
      <w:r>
        <w:t xml:space="preserve"> and safety.  These concerns have shaped the terms that are offered for contestability in construction and maintenance.</w:t>
      </w:r>
    </w:p>
    <w:p w14:paraId="752BEBBB" w14:textId="77777777" w:rsidR="00225419" w:rsidRDefault="00225419">
      <w:pPr>
        <w:pStyle w:val="Heading2"/>
      </w:pPr>
      <w:bookmarkStart w:id="92" w:name="_Toc32208953"/>
      <w:bookmarkStart w:id="93" w:name="_Toc44315414"/>
    </w:p>
    <w:p w14:paraId="30FF6B22" w14:textId="77777777" w:rsidR="00225419" w:rsidRDefault="00225419"/>
    <w:p w14:paraId="51BDC2A7" w14:textId="77777777" w:rsidR="00225419" w:rsidRDefault="00225419">
      <w:pPr>
        <w:pStyle w:val="Heading2"/>
      </w:pPr>
      <w:bookmarkStart w:id="94" w:name="_Toc220918033"/>
      <w:bookmarkEnd w:id="92"/>
      <w:bookmarkEnd w:id="93"/>
      <w:r>
        <w:t>Contestability in Construction</w:t>
      </w:r>
      <w:bookmarkEnd w:id="94"/>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5" w:name="_Toc44315417"/>
      <w:bookmarkStart w:id="96" w:name="_Toc220918035"/>
      <w:r w:rsidRPr="00415339">
        <w:rPr>
          <w:color w:val="auto"/>
          <w:sz w:val="28"/>
          <w:szCs w:val="28"/>
        </w:rPr>
        <w:lastRenderedPageBreak/>
        <w:t>14.8 Asset Replacement</w:t>
      </w:r>
      <w:bookmarkEnd w:id="95"/>
      <w:bookmarkEnd w:id="96"/>
    </w:p>
    <w:p w14:paraId="14DD157F" w14:textId="77777777" w:rsidR="00225419" w:rsidRDefault="00225419">
      <w:pPr>
        <w:pStyle w:val="1"/>
        <w:tabs>
          <w:tab w:val="left" w:pos="-1440"/>
          <w:tab w:val="num" w:pos="709"/>
        </w:tabs>
        <w:ind w:left="709" w:hanging="709"/>
        <w:jc w:val="both"/>
      </w:pPr>
      <w:bookmarkStart w:id="97" w:name="_Hlt492191662"/>
      <w:bookmarkStart w:id="98" w:name="_Ref491666437"/>
      <w:bookmarkStart w:id="99" w:name="_Ref501761566"/>
      <w:bookmarkEnd w:id="97"/>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8"/>
    <w:bookmarkEnd w:id="99"/>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100" w:name="_Toc220918036"/>
      <w:r>
        <w:t>Asset Replacement that includes a change of Voltage</w:t>
      </w:r>
      <w:bookmarkEnd w:id="100"/>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101" w:name="_Toc44315419"/>
      <w:bookmarkStart w:id="102" w:name="_Toc220918037"/>
      <w:r w:rsidRPr="00415339">
        <w:rPr>
          <w:color w:val="auto"/>
          <w:sz w:val="28"/>
          <w:szCs w:val="28"/>
        </w:rPr>
        <w:lastRenderedPageBreak/>
        <w:t>14.9 Data Requirements</w:t>
      </w:r>
      <w:bookmarkEnd w:id="101"/>
      <w:bookmarkEnd w:id="102"/>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 xml:space="preserve">Under the connection charging </w:t>
      </w:r>
      <w:proofErr w:type="gramStart"/>
      <w:r w:rsidRPr="00225419">
        <w:rPr>
          <w:rFonts w:ascii="Arial" w:hAnsi="Arial" w:cs="Arial"/>
          <w:bCs/>
          <w:sz w:val="22"/>
          <w:szCs w:val="22"/>
        </w:rPr>
        <w:t>methodology</w:t>
      </w:r>
      <w:proofErr w:type="gramEnd"/>
      <w:r w:rsidRPr="00225419">
        <w:rPr>
          <w:rFonts w:ascii="Arial" w:hAnsi="Arial" w:cs="Arial"/>
          <w:bCs/>
          <w:sz w:val="22"/>
          <w:szCs w:val="22"/>
        </w:rPr>
        <w:t xml:space="preserve"> no data is required from Users in order to calculate the connection charges payable by the User.</w:t>
      </w:r>
      <w:bookmarkStart w:id="103" w:name="_Ref531686418"/>
      <w:bookmarkStart w:id="104"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5" w:name="_Toc220918038"/>
      <w:bookmarkStart w:id="106" w:name="_Toc44315421"/>
      <w:r w:rsidRPr="00415339">
        <w:rPr>
          <w:color w:val="auto"/>
          <w:sz w:val="28"/>
          <w:szCs w:val="28"/>
        </w:rPr>
        <w:lastRenderedPageBreak/>
        <w:t>14.10 Applications</w:t>
      </w:r>
      <w:bookmarkEnd w:id="105"/>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7" w:name="_Toc220918039"/>
      <w:r w:rsidRPr="00415339">
        <w:rPr>
          <w:color w:val="auto"/>
          <w:sz w:val="28"/>
          <w:szCs w:val="28"/>
        </w:rPr>
        <w:lastRenderedPageBreak/>
        <w:t>14.11 Illustrative Connection Charges</w:t>
      </w:r>
      <w:bookmarkEnd w:id="103"/>
      <w:bookmarkEnd w:id="104"/>
      <w:bookmarkEnd w:id="106"/>
      <w:bookmarkEnd w:id="107"/>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8" w:name="_Toc32208961"/>
      <w:bookmarkStart w:id="109" w:name="_Toc44315422"/>
      <w:bookmarkStart w:id="110"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8"/>
      <w:bookmarkEnd w:id="109"/>
      <w:bookmarkEnd w:id="110"/>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Each asset is </w:t>
      </w:r>
      <w:proofErr w:type="gramStart"/>
      <w:r w:rsidRPr="00225419">
        <w:rPr>
          <w:rFonts w:ascii="Arial" w:hAnsi="Arial" w:cs="Arial"/>
          <w:sz w:val="22"/>
          <w:szCs w:val="22"/>
        </w:rPr>
        <w:t>new</w:t>
      </w:r>
      <w:proofErr w:type="gramEnd"/>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The GAV includes estimated costs of construction, engineering, Interest During Construction and Liquidated Damages </w:t>
      </w:r>
      <w:proofErr w:type="gramStart"/>
      <w:r w:rsidRPr="00225419">
        <w:rPr>
          <w:rFonts w:ascii="Arial" w:hAnsi="Arial" w:cs="Arial"/>
          <w:sz w:val="22"/>
          <w:szCs w:val="22"/>
        </w:rPr>
        <w:t>premiums</w:t>
      </w:r>
      <w:proofErr w:type="gramEnd"/>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w:t>
      </w:r>
      <w:proofErr w:type="gramStart"/>
      <w:r w:rsidRPr="00225419">
        <w:rPr>
          <w:rFonts w:ascii="Arial" w:hAnsi="Arial" w:cs="Arial"/>
          <w:sz w:val="22"/>
          <w:szCs w:val="22"/>
        </w:rPr>
        <w:t>new</w:t>
      </w:r>
      <w:proofErr w:type="gramEnd"/>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depreciated over 40 </w:t>
      </w:r>
      <w:proofErr w:type="gramStart"/>
      <w:r w:rsidRPr="00225419">
        <w:rPr>
          <w:rFonts w:ascii="Arial" w:hAnsi="Arial" w:cs="Arial"/>
          <w:sz w:val="22"/>
          <w:szCs w:val="22"/>
        </w:rPr>
        <w:t>years</w:t>
      </w:r>
      <w:proofErr w:type="gramEnd"/>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proofErr w:type="gramStart"/>
      <w:r w:rsidRPr="00225419">
        <w:rPr>
          <w:rFonts w:ascii="Arial" w:hAnsi="Arial" w:cs="Arial"/>
          <w:sz w:val="22"/>
          <w:szCs w:val="22"/>
        </w:rPr>
        <w:t>indexation</w:t>
      </w:r>
      <w:proofErr w:type="gramEnd"/>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maintenance costs at a rate of 0.52% of the </w:t>
      </w:r>
      <w:proofErr w:type="gramStart"/>
      <w:r w:rsidRPr="00225419">
        <w:rPr>
          <w:rFonts w:ascii="Arial" w:hAnsi="Arial" w:cs="Arial"/>
          <w:sz w:val="22"/>
          <w:szCs w:val="22"/>
        </w:rPr>
        <w:t>GAV</w:t>
      </w:r>
      <w:proofErr w:type="gramEnd"/>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Transmission Running Costs at a rate of 1.45% of the </w:t>
      </w:r>
      <w:proofErr w:type="gramStart"/>
      <w:r w:rsidRPr="00225419">
        <w:rPr>
          <w:rFonts w:ascii="Arial" w:hAnsi="Arial" w:cs="Arial"/>
          <w:sz w:val="22"/>
          <w:szCs w:val="22"/>
        </w:rPr>
        <w:t>GAV</w:t>
      </w:r>
      <w:proofErr w:type="gramEnd"/>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11" w:name="_Toc220918041"/>
      <w:bookmarkStart w:id="112" w:name="_Toc44315423"/>
      <w:r w:rsidRPr="002F776A">
        <w:lastRenderedPageBreak/>
        <w:t>Connection Examples</w:t>
      </w:r>
      <w:bookmarkEnd w:id="111"/>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12"/>
    </w:p>
    <w:p w14:paraId="25208F68" w14:textId="77777777" w:rsidR="00225419" w:rsidRPr="00415339" w:rsidRDefault="00225419">
      <w:pPr>
        <w:pStyle w:val="Heading1"/>
        <w:rPr>
          <w:color w:val="auto"/>
          <w:sz w:val="28"/>
          <w:szCs w:val="28"/>
        </w:rPr>
      </w:pPr>
      <w:bookmarkStart w:id="113" w:name="_Toc220918042"/>
      <w:r w:rsidRPr="00415339">
        <w:rPr>
          <w:color w:val="auto"/>
          <w:sz w:val="28"/>
          <w:szCs w:val="28"/>
        </w:rPr>
        <w:lastRenderedPageBreak/>
        <w:t>14.12 Examples of Connection Charge Calculations</w:t>
      </w:r>
      <w:bookmarkEnd w:id="113"/>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4" w:name="_Toc32208970"/>
      <w:bookmarkStart w:id="115" w:name="_Toc44315431"/>
      <w:bookmarkStart w:id="116" w:name="_Toc220918043"/>
      <w:r w:rsidRPr="00225419">
        <w:rPr>
          <w:rFonts w:ascii="Arial" w:hAnsi="Arial" w:cs="Arial"/>
          <w:szCs w:val="22"/>
        </w:rPr>
        <w:t>Example 1</w:t>
      </w:r>
      <w:bookmarkEnd w:id="114"/>
      <w:bookmarkEnd w:id="115"/>
      <w:bookmarkEnd w:id="116"/>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 xml:space="preserve">there is no inflation from year to year </w:t>
      </w:r>
      <w:proofErr w:type="gramStart"/>
      <w:r w:rsidRPr="00225419">
        <w:rPr>
          <w:rFonts w:ascii="Arial" w:hAnsi="Arial" w:cs="Arial"/>
          <w:sz w:val="22"/>
          <w:szCs w:val="22"/>
        </w:rPr>
        <w:t>i.e.</w:t>
      </w:r>
      <w:proofErr w:type="gramEnd"/>
      <w:r w:rsidRPr="00225419">
        <w:rPr>
          <w:rFonts w:ascii="Arial" w:hAnsi="Arial" w:cs="Arial"/>
          <w:sz w:val="22"/>
          <w:szCs w:val="22"/>
        </w:rPr>
        <w:t xml:space="preserv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7"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Capital </w:t>
            </w:r>
            <w:proofErr w:type="gramStart"/>
            <w:r w:rsidRPr="00225419">
              <w:rPr>
                <w:rFonts w:ascii="Arial" w:hAnsi="Arial" w:cs="Arial"/>
                <w:sz w:val="22"/>
                <w:szCs w:val="22"/>
              </w:rPr>
              <w:t>charge</w:t>
            </w:r>
            <w:proofErr w:type="gramEnd"/>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Return on mid-year </w:t>
            </w:r>
            <w:proofErr w:type="gramStart"/>
            <w:r w:rsidRPr="00225419">
              <w:rPr>
                <w:rFonts w:ascii="Arial" w:hAnsi="Arial" w:cs="Arial"/>
                <w:sz w:val="22"/>
                <w:szCs w:val="22"/>
              </w:rPr>
              <w:t>NAV</w:t>
            </w:r>
            <w:proofErr w:type="gramEnd"/>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7"/>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8" w:name="_Toc44315432"/>
      <w:bookmarkStart w:id="119" w:name="_Toc220918044"/>
    </w:p>
    <w:p w14:paraId="1F4808FD" w14:textId="77777777" w:rsidR="00225419" w:rsidRDefault="00225419">
      <w:pPr>
        <w:pStyle w:val="Heading2"/>
      </w:pPr>
      <w:r>
        <w:t>Example 2</w:t>
      </w:r>
      <w:bookmarkEnd w:id="118"/>
      <w:bookmarkEnd w:id="119"/>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20" w:name="_Toc32208972"/>
      <w:bookmarkStart w:id="121" w:name="_Toc44315433"/>
      <w:bookmarkStart w:id="122" w:name="_Toc220918045"/>
      <w:r>
        <w:t>Example 3</w:t>
      </w:r>
      <w:bookmarkEnd w:id="120"/>
      <w:bookmarkEnd w:id="121"/>
      <w:bookmarkEnd w:id="122"/>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w:t>
      </w:r>
      <w:proofErr w:type="gramStart"/>
      <w:r w:rsidRPr="00225419">
        <w:rPr>
          <w:rFonts w:ascii="Arial" w:hAnsi="Arial" w:cs="Arial"/>
          <w:sz w:val="22"/>
          <w:szCs w:val="22"/>
        </w:rPr>
        <w:t>component</w:t>
      </w:r>
      <w:proofErr w:type="gramEnd"/>
      <w:r w:rsidRPr="00225419">
        <w:rPr>
          <w:rFonts w:ascii="Arial" w:hAnsi="Arial" w:cs="Arial"/>
          <w:sz w:val="22"/>
          <w:szCs w:val="22"/>
        </w:rPr>
        <w:t xml:space="preserve">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3" w:name="_Toc32208973"/>
      <w:bookmarkStart w:id="124" w:name="_Toc44315434"/>
      <w:bookmarkStart w:id="125" w:name="_Toc220918046"/>
      <w:r>
        <w:t>Example 4</w:t>
      </w:r>
      <w:bookmarkEnd w:id="123"/>
      <w:bookmarkEnd w:id="124"/>
      <w:bookmarkEnd w:id="125"/>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GAV</w:t>
      </w:r>
      <w:r w:rsidRPr="00D2324F">
        <w:rPr>
          <w:rFonts w:ascii="Arial" w:hAnsi="Arial" w:cs="Arial"/>
          <w:sz w:val="22"/>
          <w:szCs w:val="22"/>
          <w:vertAlign w:val="subscript"/>
        </w:rPr>
        <w:t>n</w:t>
      </w:r>
      <w:proofErr w:type="spellEnd"/>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6" w:name="_Toc48626029"/>
      <w:bookmarkStart w:id="127" w:name="_Toc220918047"/>
      <w:r w:rsidRPr="00415339">
        <w:rPr>
          <w:color w:val="auto"/>
          <w:sz w:val="28"/>
          <w:szCs w:val="28"/>
        </w:rPr>
        <w:t xml:space="preserve">14.13 </w:t>
      </w:r>
      <w:bookmarkEnd w:id="126"/>
      <w:r w:rsidRPr="00415339">
        <w:rPr>
          <w:color w:val="auto"/>
          <w:sz w:val="28"/>
          <w:szCs w:val="28"/>
        </w:rPr>
        <w:t>Nominally Over Equipped Connection Sites</w:t>
      </w:r>
      <w:bookmarkEnd w:id="127"/>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8" w:name="_Toc44315467"/>
      <w:bookmarkStart w:id="129" w:name="_Toc220918048"/>
      <w:r>
        <w:t>Historical</w:t>
      </w:r>
      <w:bookmarkEnd w:id="128"/>
      <w:bookmarkEnd w:id="129"/>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30" w:name="_Toc44315469"/>
      <w:bookmarkStart w:id="131" w:name="_Toc220918049"/>
      <w:r>
        <w:t>Early Construction</w:t>
      </w:r>
      <w:bookmarkEnd w:id="130"/>
      <w:bookmarkEnd w:id="131"/>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32" w:name="_Toc44315470"/>
    </w:p>
    <w:p w14:paraId="6F7A293D" w14:textId="77777777" w:rsidR="00225419" w:rsidRDefault="00225419"/>
    <w:p w14:paraId="3C8CFF19" w14:textId="77777777" w:rsidR="00225419" w:rsidRDefault="00225419">
      <w:pPr>
        <w:pStyle w:val="Heading2"/>
        <w:jc w:val="both"/>
      </w:pPr>
      <w:bookmarkStart w:id="133" w:name="_Toc220918050"/>
      <w:r>
        <w:t>Connection site Specific Technical or Economic Conditions</w:t>
      </w:r>
      <w:bookmarkEnd w:id="132"/>
      <w:bookmarkEnd w:id="133"/>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4" w:name="_Toc32201074"/>
      <w:bookmarkStart w:id="135" w:name="_Toc49661105"/>
      <w:bookmarkStart w:id="136"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4"/>
      <w:bookmarkEnd w:id="135"/>
      <w:bookmarkEnd w:id="136"/>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w:t>
      </w:r>
      <w:proofErr w:type="gramStart"/>
      <w:r>
        <w:t>operating</w:t>
      </w:r>
      <w:proofErr w:type="gramEnd"/>
      <w:r>
        <w:t xml:space="preserve">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w:t>
      </w:r>
      <w:proofErr w:type="gramStart"/>
      <w:r>
        <w:t>set</w:t>
      </w:r>
      <w:proofErr w:type="gramEnd"/>
      <w:r>
        <w:t xml:space="preserve">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w:t>
      </w:r>
      <w:proofErr w:type="gramStart"/>
      <w:r>
        <w:t>MWh</w:t>
      </w:r>
      <w:proofErr w:type="gramEnd"/>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w:t>
      </w:r>
      <w:proofErr w:type="spellStart"/>
      <w:r>
        <w:t>TWh</w:t>
      </w:r>
      <w:proofErr w:type="spellEnd"/>
      <w:r>
        <w:t xml:space="preserve">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w:t>
      </w:r>
      <w:proofErr w:type="gramStart"/>
      <w:r>
        <w:t>i.e.</w:t>
      </w:r>
      <w:proofErr w:type="gramEnd"/>
      <w:r>
        <w:t xml:space="preserv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w:t>
      </w:r>
      <w:proofErr w:type="gramStart"/>
      <w:r w:rsidRPr="002338F3">
        <w:rPr>
          <w:rFonts w:ascii="Arial" w:hAnsi="Arial" w:cs="Arial"/>
          <w:sz w:val="22"/>
          <w:szCs w:val="22"/>
        </w:rPr>
        <w:t>addition</w:t>
      </w:r>
      <w:proofErr w:type="gramEnd"/>
      <w:r w:rsidRPr="002338F3">
        <w:rPr>
          <w:rFonts w:ascii="Arial" w:hAnsi="Arial" w:cs="Arial"/>
          <w:sz w:val="22"/>
          <w:szCs w:val="22"/>
        </w:rPr>
        <w:t xml:space="preserve">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w:t>
      </w:r>
      <w:proofErr w:type="gramStart"/>
      <w:r w:rsidRPr="002338F3">
        <w:rPr>
          <w:rFonts w:ascii="Arial" w:hAnsi="Arial" w:cs="Arial"/>
          <w:sz w:val="22"/>
          <w:szCs w:val="22"/>
        </w:rPr>
        <w:t>i.e.</w:t>
      </w:r>
      <w:proofErr w:type="gramEnd"/>
      <w:r w:rsidRPr="002338F3">
        <w:rPr>
          <w:rFonts w:ascii="Arial" w:hAnsi="Arial" w:cs="Arial"/>
          <w:sz w:val="22"/>
          <w:szCs w:val="22"/>
        </w:rPr>
        <w:t xml:space="preserv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For the Year Round background the diversity of the plant mix (</w:t>
      </w:r>
      <w:proofErr w:type="spellStart"/>
      <w:r w:rsidRPr="000B6C0D">
        <w:t>i.e</w:t>
      </w:r>
      <w:proofErr w:type="spellEnd"/>
      <w:r w:rsidRPr="000B6C0D">
        <w:t xml:space="preserve"> the proportion of low carbon and carbon generation) in each charging zone is also </w:t>
      </w:r>
      <w:proofErr w:type="gramStart"/>
      <w:r w:rsidRPr="000B6C0D">
        <w:t>taken into account</w:t>
      </w:r>
      <w:proofErr w:type="gramEnd"/>
      <w:r w:rsidRPr="000B6C0D">
        <w: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7" w:name="_Hlt501800266"/>
      <w:bookmarkStart w:id="138" w:name="_Hlt506958549"/>
      <w:bookmarkStart w:id="139" w:name="_Hlt531602422"/>
      <w:bookmarkStart w:id="140" w:name="_Ref492170858"/>
      <w:bookmarkStart w:id="141" w:name="_Ref501800370"/>
      <w:bookmarkStart w:id="142" w:name="_Ref506633072"/>
      <w:bookmarkStart w:id="143" w:name="_Ref531602385"/>
      <w:bookmarkStart w:id="144" w:name="_Toc32201075"/>
      <w:bookmarkStart w:id="145" w:name="_Toc49661106"/>
      <w:bookmarkEnd w:id="137"/>
      <w:bookmarkEnd w:id="138"/>
      <w:bookmarkEnd w:id="139"/>
      <w:r>
        <w:br w:type="page"/>
      </w:r>
      <w:bookmarkStart w:id="146"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40"/>
      <w:bookmarkEnd w:id="141"/>
      <w:bookmarkEnd w:id="142"/>
      <w:bookmarkEnd w:id="143"/>
      <w:bookmarkEnd w:id="144"/>
      <w:bookmarkEnd w:id="145"/>
      <w:bookmarkEnd w:id="146"/>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7" w:name="_Hlt501802899"/>
      <w:bookmarkEnd w:id="147"/>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8" w:name="OLE_LINK10"/>
      <w:bookmarkStart w:id="149" w:name="OLE_LINK11"/>
      <w:r>
        <w:t xml:space="preserve">represents the combined effect of the </w:t>
      </w:r>
      <w:r w:rsidR="0084619F">
        <w:t xml:space="preserve">three </w:t>
      </w:r>
      <w:r>
        <w:t>wider locational tariff component</w:t>
      </w:r>
      <w:r w:rsidR="0048210A">
        <w:t>s</w:t>
      </w:r>
      <w:bookmarkEnd w:id="148"/>
      <w:bookmarkEnd w:id="149"/>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50" w:name="_Toc32201076"/>
      <w:bookmarkStart w:id="151" w:name="_Toc49661107"/>
      <w:bookmarkStart w:id="152" w:name="_Toc274049678"/>
      <w:r>
        <w:t>The Transport Model</w:t>
      </w:r>
      <w:bookmarkEnd w:id="150"/>
      <w:bookmarkEnd w:id="151"/>
      <w:bookmarkEnd w:id="152"/>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3" w:name="_Toc49661108"/>
      <w:bookmarkStart w:id="154" w:name="_Toc274049679"/>
      <w:r w:rsidRPr="006661FE">
        <w:rPr>
          <w:rFonts w:ascii="Arial" w:hAnsi="Arial" w:cs="Arial"/>
          <w:b/>
        </w:rPr>
        <w:t>Model Inputs</w:t>
      </w:r>
      <w:bookmarkEnd w:id="153"/>
      <w:bookmarkEnd w:id="154"/>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 xml:space="preserve">The associated lengths of these routes, the proportion of which is overhead line or cable and the respective voltage </w:t>
      </w:r>
      <w:proofErr w:type="gramStart"/>
      <w:r>
        <w:t>level</w:t>
      </w:r>
      <w:proofErr w:type="gramEnd"/>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 xml:space="preserve">cable to 400kV overhead line to give circuit expansion </w:t>
      </w:r>
      <w:proofErr w:type="gramStart"/>
      <w:r>
        <w:t>factors</w:t>
      </w:r>
      <w:proofErr w:type="gramEnd"/>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w:t>
      </w:r>
      <w:proofErr w:type="gramStart"/>
      <w:r>
        <w:t>factors</w:t>
      </w:r>
      <w:proofErr w:type="gramEnd"/>
      <w:r>
        <w:t xml:space="preserve">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5"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5"/>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proofErr w:type="gramStart"/>
            <w:r w:rsidRPr="00874A70">
              <w:rPr>
                <w:szCs w:val="22"/>
              </w:rPr>
              <w:t>Fixed  (</w:t>
            </w:r>
            <w:proofErr w:type="gramEnd"/>
            <w:r w:rsidRPr="00874A70">
              <w:rPr>
                <w:szCs w:val="22"/>
              </w:rPr>
              <w:t>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lastRenderedPageBreak/>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w:t>
            </w:r>
            <w:proofErr w:type="gramStart"/>
            <w:r w:rsidRPr="00677208">
              <w:rPr>
                <w:rFonts w:ascii="Arial" w:hAnsi="Arial" w:cs="Arial"/>
                <w:iCs/>
                <w:sz w:val="22"/>
                <w:szCs w:val="22"/>
              </w:rPr>
              <w:t>e.g.</w:t>
            </w:r>
            <w:proofErr w:type="gramEnd"/>
            <w:r w:rsidRPr="00677208">
              <w:rPr>
                <w:rFonts w:ascii="Arial" w:hAnsi="Arial" w:cs="Arial"/>
                <w:iCs/>
                <w:sz w:val="22"/>
                <w:szCs w:val="22"/>
              </w:rPr>
              <w:t xml:space="preserve">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6" w:name="_Toc49661109"/>
      <w:bookmarkStart w:id="157" w:name="_Toc274049680"/>
      <w:r w:rsidRPr="006661FE">
        <w:rPr>
          <w:rFonts w:ascii="Arial" w:hAnsi="Arial" w:cs="Arial"/>
          <w:b/>
        </w:rPr>
        <w:t>Model Outputs</w:t>
      </w:r>
      <w:bookmarkEnd w:id="156"/>
      <w:bookmarkEnd w:id="157"/>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w:t>
      </w:r>
      <w:r w:rsidR="006661FE">
        <w:lastRenderedPageBreak/>
        <w:t xml:space="preserve">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 xml:space="preserve">demand of 600MW would contain 1% of the offtake </w:t>
      </w:r>
      <w:proofErr w:type="gramStart"/>
      <w:r w:rsidR="00251585">
        <w:t>i.e.</w:t>
      </w:r>
      <w:proofErr w:type="gramEnd"/>
      <w:r w:rsidR="00251585">
        <w:t xml:space="preserv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8" w:name="_Toc32201077"/>
    </w:p>
    <w:p w14:paraId="10911A77" w14:textId="77777777" w:rsidR="006661FE" w:rsidRPr="009470D8" w:rsidRDefault="006661FE" w:rsidP="006661FE">
      <w:pPr>
        <w:pStyle w:val="Heading2"/>
      </w:pPr>
      <w:bookmarkStart w:id="159" w:name="_Toc274049681"/>
      <w:bookmarkStart w:id="160" w:name="_Toc49661110"/>
      <w:r w:rsidRPr="009470D8">
        <w:t>Calculation of local nodal marginal km</w:t>
      </w:r>
      <w:bookmarkEnd w:id="159"/>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61" w:name="_Toc274049682"/>
      <w:r>
        <w:t>Calculation of zonal marginal km</w:t>
      </w:r>
      <w:bookmarkEnd w:id="158"/>
      <w:bookmarkEnd w:id="160"/>
      <w:bookmarkEnd w:id="161"/>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62"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62"/>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lastRenderedPageBreak/>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3" w:name="_Toc32201078"/>
      <w:bookmarkStart w:id="164" w:name="_Toc49661111"/>
      <w:bookmarkStart w:id="165" w:name="_Toc274049683"/>
      <w:r>
        <w:t>Deriving the Final</w:t>
      </w:r>
      <w:r w:rsidRPr="00E75EE9">
        <w:rPr>
          <w:color w:val="auto"/>
        </w:rPr>
        <w:t xml:space="preserve"> </w:t>
      </w:r>
      <w:r w:rsidRPr="00E75EE9">
        <w:t>Local £/kW Tariff and the Wider</w:t>
      </w:r>
      <w:r>
        <w:t xml:space="preserve"> £/kW Tariff</w:t>
      </w:r>
      <w:bookmarkEnd w:id="163"/>
      <w:bookmarkEnd w:id="164"/>
      <w:bookmarkEnd w:id="165"/>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6" w:name="_Toc49661112"/>
    </w:p>
    <w:p w14:paraId="00EBE464" w14:textId="77777777" w:rsidR="006661FE" w:rsidRPr="00543982" w:rsidRDefault="006661FE" w:rsidP="006661FE">
      <w:pPr>
        <w:pStyle w:val="Heading3"/>
        <w:ind w:firstLine="709"/>
        <w:jc w:val="both"/>
        <w:rPr>
          <w:rFonts w:ascii="Arial (W1)" w:hAnsi="Arial (W1)"/>
        </w:rPr>
      </w:pPr>
      <w:bookmarkStart w:id="167" w:name="_Toc274049684"/>
      <w:r w:rsidRPr="00543982">
        <w:rPr>
          <w:rFonts w:ascii="Arial" w:hAnsi="Arial" w:cs="Arial"/>
          <w:b/>
        </w:rPr>
        <w:t>The Expansion Constant</w:t>
      </w:r>
      <w:bookmarkEnd w:id="166"/>
      <w:bookmarkEnd w:id="167"/>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They are based on historic costs and tender valuations adjusted by a number of indices (</w:t>
      </w:r>
      <w:proofErr w:type="gramStart"/>
      <w:r w:rsidRPr="0099632B">
        <w:rPr>
          <w:rFonts w:cs="Arial"/>
          <w:szCs w:val="22"/>
        </w:rPr>
        <w:t>e.g.</w:t>
      </w:r>
      <w:proofErr w:type="gramEnd"/>
      <w:r w:rsidRPr="0099632B">
        <w:rPr>
          <w:rFonts w:cs="Arial"/>
          <w:szCs w:val="22"/>
        </w:rPr>
        <w:t xml:space="preserve">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w:t>
      </w:r>
      <w:proofErr w:type="gramStart"/>
      <w:r w:rsidRPr="0099632B">
        <w:rPr>
          <w:rFonts w:cs="Arial"/>
          <w:szCs w:val="22"/>
        </w:rPr>
        <w:t>however</w:t>
      </w:r>
      <w:proofErr w:type="gramEnd"/>
      <w:r w:rsidRPr="0099632B">
        <w:rPr>
          <w:rFonts w:cs="Arial"/>
          <w:szCs w:val="22"/>
        </w:rPr>
        <w:t xml:space="preserve"> it is considered as commercially sensitive and is therefore treated </w:t>
      </w:r>
      <w:r w:rsidRPr="0099632B">
        <w:rPr>
          <w:rFonts w:cs="Arial"/>
          <w:szCs w:val="22"/>
        </w:rPr>
        <w:lastRenderedPageBreak/>
        <w:t>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w:t>
      </w:r>
      <w:r w:rsidRPr="0099632B">
        <w:rPr>
          <w:rFonts w:cs="Arial"/>
          <w:szCs w:val="22"/>
        </w:rPr>
        <w:lastRenderedPageBreak/>
        <w:t xml:space="preserve">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w:t>
      </w:r>
      <w:proofErr w:type="gramStart"/>
      <w:r w:rsidR="006810D2" w:rsidRPr="006810D2">
        <w:rPr>
          <w:rFonts w:cs="Arial"/>
          <w:szCs w:val="22"/>
        </w:rPr>
        <w:t>plus</w:t>
      </w:r>
      <w:proofErr w:type="gramEnd"/>
      <w:r w:rsidR="006810D2" w:rsidRPr="006810D2">
        <w:rPr>
          <w:rFonts w:cs="Arial"/>
          <w:szCs w:val="22"/>
        </w:rPr>
        <w:t xml:space="preserve">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w:t>
      </w:r>
      <w:r>
        <w:lastRenderedPageBreak/>
        <w:t>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8" w:name="_Toc274049685"/>
      <w:bookmarkStart w:id="169"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8"/>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w:t>
      </w:r>
      <w:proofErr w:type="gramStart"/>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proofErr w:type="gram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70" w:name="_Toc274049686"/>
      <w:r w:rsidRPr="00543982">
        <w:rPr>
          <w:rFonts w:ascii="Arial" w:hAnsi="Arial" w:cs="Arial"/>
          <w:b/>
        </w:rPr>
        <w:t>The Locational Onshore Security Factor</w:t>
      </w:r>
      <w:bookmarkEnd w:id="169"/>
      <w:bookmarkEnd w:id="170"/>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71" w:name="_Hlt506963614"/>
      <w:bookmarkEnd w:id="171"/>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72"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72"/>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3" w:name="_Toc49661114"/>
      <w:bookmarkStart w:id="174" w:name="_Toc274049687"/>
      <w:r w:rsidRPr="00887323">
        <w:rPr>
          <w:rFonts w:ascii="Arial" w:hAnsi="Arial" w:cs="Arial"/>
          <w:b/>
        </w:rPr>
        <w:t>Initial Transport Tariff</w:t>
      </w:r>
      <w:bookmarkEnd w:id="173"/>
      <w:bookmarkEnd w:id="174"/>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w:t>
      </w:r>
      <w:proofErr w:type="gramStart"/>
      <w:r w:rsidRPr="00891501">
        <w:t>e.g.</w:t>
      </w:r>
      <w:proofErr w:type="gramEnd"/>
      <w:r w:rsidRPr="00891501">
        <w:t xml:space="preserve">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w:t>
      </w:r>
      <w:proofErr w:type="gramStart"/>
      <w:r>
        <w:rPr>
          <w:rFonts w:ascii="Arial" w:hAnsi="Arial" w:cs="Arial"/>
          <w:szCs w:val="22"/>
        </w:rPr>
        <w:t>e.g.</w:t>
      </w:r>
      <w:proofErr w:type="gramEnd"/>
      <w:r>
        <w:rPr>
          <w:rFonts w:ascii="Arial" w:hAnsi="Arial" w:cs="Arial"/>
          <w:szCs w:val="22"/>
        </w:rPr>
        <w:t xml:space="preserve">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lastRenderedPageBreak/>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w:t>
      </w:r>
      <w:proofErr w:type="gramStart"/>
      <w:r w:rsidR="004D3E10" w:rsidRPr="004D3E10">
        <w:rPr>
          <w:rFonts w:ascii="Arial" w:hAnsi="Arial" w:cs="Arial"/>
        </w:rPr>
        <w:t>capacity</w:t>
      </w:r>
      <w:proofErr w:type="gramEnd"/>
      <w:r w:rsidR="004D3E10" w:rsidRPr="004D3E10">
        <w:rPr>
          <w:rFonts w:ascii="Arial" w:hAnsi="Arial" w:cs="Arial"/>
        </w:rPr>
        <w:t xml:space="preserve">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w:t>
      </w:r>
      <w:proofErr w:type="gramStart"/>
      <w:r>
        <w:rPr>
          <w:rFonts w:ascii="Arial" w:hAnsi="Arial" w:cs="Arial"/>
        </w:rPr>
        <w:t>capacity</w:t>
      </w:r>
      <w:proofErr w:type="gramEnd"/>
      <w:r>
        <w:rPr>
          <w:rFonts w:ascii="Arial" w:hAnsi="Arial" w:cs="Arial"/>
        </w:rPr>
        <w:t xml:space="preserve">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5"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6" w:name="_Toc208554779"/>
      <w:bookmarkStart w:id="177" w:name="_Toc208745842"/>
      <w:bookmarkStart w:id="178" w:name="_Toc274049688"/>
      <w:r w:rsidRPr="00D76842">
        <w:rPr>
          <w:color w:val="auto"/>
        </w:rPr>
        <w:t>Deriving the Final Local Tariff</w:t>
      </w:r>
      <w:bookmarkEnd w:id="176"/>
      <w:bookmarkEnd w:id="177"/>
      <w:r>
        <w:rPr>
          <w:color w:val="auto"/>
        </w:rPr>
        <w:t xml:space="preserve"> (</w:t>
      </w:r>
      <w:r w:rsidRPr="00D76842">
        <w:rPr>
          <w:color w:val="auto"/>
        </w:rPr>
        <w:t>£/kW</w:t>
      </w:r>
      <w:r>
        <w:rPr>
          <w:color w:val="auto"/>
        </w:rPr>
        <w:t>)</w:t>
      </w:r>
      <w:bookmarkEnd w:id="178"/>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9" w:name="_Toc208554780"/>
      <w:bookmarkStart w:id="180" w:name="_Toc208745843"/>
      <w:bookmarkStart w:id="181" w:name="_Toc274049689"/>
      <w:r w:rsidRPr="009F4FB0">
        <w:rPr>
          <w:i/>
          <w:color w:val="auto"/>
        </w:rPr>
        <w:t>Local Circuit Tariff</w:t>
      </w:r>
      <w:bookmarkEnd w:id="179"/>
      <w:bookmarkEnd w:id="180"/>
      <w:bookmarkEnd w:id="181"/>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lastRenderedPageBreak/>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82" w:name="_Toc208554781"/>
      <w:bookmarkStart w:id="183" w:name="_Toc208745844"/>
    </w:p>
    <w:p w14:paraId="7839E442" w14:textId="77777777" w:rsidR="006661FE" w:rsidRPr="00543982" w:rsidRDefault="006661FE" w:rsidP="006661FE">
      <w:pPr>
        <w:pStyle w:val="Heading3"/>
        <w:ind w:left="709"/>
        <w:rPr>
          <w:rFonts w:ascii="Arial" w:hAnsi="Arial" w:cs="Arial"/>
          <w:b/>
        </w:rPr>
      </w:pPr>
      <w:bookmarkStart w:id="184" w:name="_Toc274049690"/>
      <w:r w:rsidRPr="00543982">
        <w:rPr>
          <w:rFonts w:ascii="Arial" w:hAnsi="Arial" w:cs="Arial"/>
          <w:b/>
        </w:rPr>
        <w:t>Onshore Local Substation Tariff</w:t>
      </w:r>
      <w:bookmarkEnd w:id="182"/>
      <w:bookmarkEnd w:id="183"/>
      <w:bookmarkEnd w:id="184"/>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5"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5"/>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6" w:name="_Toc274049691"/>
      <w:r w:rsidRPr="00543982">
        <w:rPr>
          <w:rFonts w:ascii="Arial" w:hAnsi="Arial" w:cs="Arial"/>
          <w:b/>
        </w:rPr>
        <w:t>Offshore substation local tariff</w:t>
      </w:r>
      <w:bookmarkEnd w:id="186"/>
    </w:p>
    <w:p w14:paraId="44A0C8BF" w14:textId="77777777" w:rsidR="006661FE" w:rsidRDefault="006661FE" w:rsidP="007D27B2">
      <w:pPr>
        <w:pStyle w:val="1"/>
        <w:numPr>
          <w:ilvl w:val="0"/>
          <w:numId w:val="90"/>
        </w:numPr>
        <w:jc w:val="both"/>
      </w:pPr>
      <w:r>
        <w:t xml:space="preserve">All offshore chargeable generation is subject to an offshore substation tariff.  The offshore substation tariff shall be the sum of transformer, </w:t>
      </w:r>
      <w:proofErr w:type="gramStart"/>
      <w:r>
        <w:t>switchgear</w:t>
      </w:r>
      <w:proofErr w:type="gramEnd"/>
      <w:r>
        <w:t xml:space="preserve">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 xml:space="preserve">Each tariff component, expressed in £/kW, shall be the ratio of the Offshore Transmission Owner revenue (£) and rating associated with the transformers, </w:t>
      </w:r>
      <w:proofErr w:type="gramStart"/>
      <w:r>
        <w:t>switchgear</w:t>
      </w:r>
      <w:proofErr w:type="gramEnd"/>
      <w:r>
        <w:t xml:space="preserve">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7" w:name="_Toc49661115"/>
      <w:bookmarkStart w:id="188" w:name="_Toc274049692"/>
      <w:bookmarkEnd w:id="175"/>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w:t>
      </w:r>
      <w:proofErr w:type="spellStart"/>
      <w:r w:rsidRPr="0003584B">
        <w:rPr>
          <w:rFonts w:ascii="Arial (W1)" w:hAnsi="Arial (W1)"/>
        </w:rPr>
        <w:t>TRRt</w:t>
      </w:r>
      <w:proofErr w:type="spellEnd"/>
      <w:r w:rsidRPr="0003584B">
        <w:rPr>
          <w:rFonts w:ascii="Arial (W1)" w:hAnsi="Arial (W1)"/>
        </w:rPr>
        <w: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proofErr w:type="gramStart"/>
      <w:r>
        <w:t>Where</w:t>
      </w:r>
      <w:proofErr w:type="gramEnd"/>
    </w:p>
    <w:p w14:paraId="362C6FFD" w14:textId="77777777"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lastRenderedPageBreak/>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lastRenderedPageBreak/>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7"/>
    <w:bookmarkEnd w:id="188"/>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89" w:name="_Toc32201079"/>
      <w:bookmarkStart w:id="190" w:name="_Toc49661116"/>
      <w:bookmarkStart w:id="191" w:name="_Toc274049693"/>
      <w:r>
        <w:t>Final £/kW Tariff</w:t>
      </w:r>
      <w:bookmarkEnd w:id="189"/>
      <w:bookmarkEnd w:id="190"/>
      <w:bookmarkEnd w:id="191"/>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w:t>
      </w:r>
      <w:r w:rsidR="00B56030">
        <w:rPr>
          <w:rFonts w:ascii="Arial" w:hAnsi="Arial"/>
          <w:sz w:val="22"/>
        </w:rPr>
        <w:lastRenderedPageBreak/>
        <w:t xml:space="preserve">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 xml:space="preserve">Final </w:t>
      </w:r>
      <w:r w:rsidR="00010EB2" w:rsidRPr="00CD5631">
        <w:rPr>
          <w:b/>
        </w:rPr>
        <w:lastRenderedPageBreak/>
        <w:t>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w:t>
      </w:r>
      <w:r w:rsidR="006661FE">
        <w:lastRenderedPageBreak/>
        <w:t xml:space="preserve">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 xml:space="preserve">the PS </w:t>
      </w:r>
      <w:proofErr w:type="gramStart"/>
      <w:r>
        <w:t>flag</w:t>
      </w:r>
      <w:proofErr w:type="gramEnd"/>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192" w:name="_Toc274049694"/>
      <w:r w:rsidRPr="007B2988">
        <w:t>Stability &amp; Predictability of TNUoS tariffs</w:t>
      </w:r>
      <w:bookmarkEnd w:id="192"/>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193" w:name="_Toc32201081"/>
      <w:bookmarkStart w:id="194"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lastRenderedPageBreak/>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lastRenderedPageBreak/>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w:t>
      </w:r>
      <w:proofErr w:type="gramStart"/>
      <w:r>
        <w:rPr>
          <w:rFonts w:ascii="Arial" w:hAnsi="Arial" w:cs="Arial"/>
          <w:lang w:val="en-US"/>
        </w:rPr>
        <w:t>network</w:t>
      </w:r>
      <w:proofErr w:type="gramEnd"/>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 xml:space="preserve">For the purposes of 14.15.148.2 a material </w:t>
      </w:r>
      <w:proofErr w:type="gramStart"/>
      <w:r>
        <w:rPr>
          <w:rFonts w:ascii="Arial" w:hAnsi="Arial" w:cs="Arial"/>
          <w:lang w:val="en-US"/>
        </w:rPr>
        <w:t>change</w:t>
      </w:r>
      <w:proofErr w:type="gramEnd"/>
      <w:r>
        <w:rPr>
          <w:rFonts w:ascii="Arial" w:hAnsi="Arial" w:cs="Arial"/>
          <w:lang w:val="en-US"/>
        </w:rPr>
        <w:t xml:space="preserv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195"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195"/>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lastRenderedPageBreak/>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196"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196"/>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w:t>
      </w:r>
      <w:proofErr w:type="gramStart"/>
      <w:r w:rsidRPr="00E2715B">
        <w:rPr>
          <w:rFonts w:ascii="Arial" w:hAnsi="Arial" w:cs="Arial"/>
          <w:sz w:val="22"/>
          <w:szCs w:val="22"/>
        </w:rPr>
        <w:t>invalid</w:t>
      </w:r>
      <w:proofErr w:type="gramEnd"/>
      <w:r w:rsidRPr="00E2715B">
        <w:rPr>
          <w:rFonts w:ascii="Arial" w:hAnsi="Arial" w:cs="Arial"/>
          <w:sz w:val="22"/>
          <w:szCs w:val="22"/>
        </w:rPr>
        <w:t xml:space="preserve">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7" w:name="_Toc32201082"/>
      <w:bookmarkStart w:id="198" w:name="_Toc49661119"/>
      <w:bookmarkEnd w:id="193"/>
      <w:bookmarkEnd w:id="194"/>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9" w:name="_Ref506957800"/>
      <w:bookmarkStart w:id="200" w:name="_Toc32201083"/>
      <w:bookmarkStart w:id="201" w:name="_Toc49661120"/>
      <w:bookmarkStart w:id="202" w:name="_Toc98821478"/>
      <w:bookmarkStart w:id="203" w:name="_Toc111259845"/>
      <w:bookmarkStart w:id="204" w:name="_Toc111262532"/>
      <w:bookmarkStart w:id="205" w:name="_Toc274049695"/>
      <w:bookmarkEnd w:id="197"/>
      <w:bookmarkEnd w:id="198"/>
      <w:r w:rsidRPr="00D54761">
        <w:rPr>
          <w:bCs/>
          <w:color w:val="auto"/>
          <w:sz w:val="28"/>
          <w:szCs w:val="28"/>
        </w:rPr>
        <w:t>14.16 Derivation of the Transmission Network Use of System Energy Consumption Tariff</w:t>
      </w:r>
      <w:bookmarkEnd w:id="199"/>
      <w:bookmarkEnd w:id="200"/>
      <w:bookmarkEnd w:id="201"/>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202"/>
      <w:bookmarkEnd w:id="203"/>
      <w:bookmarkEnd w:id="204"/>
      <w:r w:rsidRPr="00D54761">
        <w:rPr>
          <w:bCs/>
          <w:color w:val="auto"/>
          <w:sz w:val="28"/>
          <w:szCs w:val="28"/>
        </w:rPr>
        <w:t>s</w:t>
      </w:r>
      <w:bookmarkEnd w:id="205"/>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06" w:name="_Toc274049696"/>
      <w:r>
        <w:t>Short Term Transmission Entry Capacity (STTEC) Tariff</w:t>
      </w:r>
      <w:bookmarkEnd w:id="206"/>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gramStart"/>
      <w:r>
        <w:rPr>
          <w:rFonts w:cs="Arial"/>
          <w:szCs w:val="22"/>
        </w:rPr>
        <w:t>i.e.</w:t>
      </w:r>
      <w:proofErr w:type="gramEnd"/>
      <w:r>
        <w:rPr>
          <w:rFonts w:cs="Arial"/>
          <w:szCs w:val="22"/>
        </w:rPr>
        <w:t xml:space="preserv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07" w:name="_Toc274049697"/>
      <w:r w:rsidRPr="00DC7159">
        <w:t>Limited Duration Transmission Entry Capacity (LDTEC) Tariffs</w:t>
      </w:r>
      <w:bookmarkEnd w:id="207"/>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proofErr w:type="gramStart"/>
      <w:r>
        <w:rPr>
          <w:rFonts w:cs="Arial"/>
          <w:szCs w:val="22"/>
        </w:rPr>
        <w:t>ie</w:t>
      </w:r>
      <w:proofErr w:type="spellEnd"/>
      <w:proofErr w:type="gram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08"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09" w:name="_Toc32201085"/>
      <w:bookmarkStart w:id="210" w:name="_Toc49661123"/>
      <w:bookmarkStart w:id="211" w:name="_Toc274049698"/>
      <w:bookmarkEnd w:id="208"/>
      <w:r w:rsidRPr="00D54761">
        <w:rPr>
          <w:color w:val="auto"/>
          <w:sz w:val="28"/>
          <w:szCs w:val="28"/>
        </w:rPr>
        <w:lastRenderedPageBreak/>
        <w:t>14.17 Demand Charges</w:t>
      </w:r>
      <w:bookmarkEnd w:id="209"/>
      <w:bookmarkEnd w:id="210"/>
      <w:bookmarkEnd w:id="211"/>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12" w:name="_Toc32201086"/>
      <w:bookmarkStart w:id="213" w:name="_Toc49661124"/>
      <w:bookmarkStart w:id="214" w:name="_Toc274049699"/>
      <w:r>
        <w:t>Parties Liable for Demand Charges</w:t>
      </w:r>
      <w:bookmarkEnd w:id="212"/>
      <w:bookmarkEnd w:id="213"/>
      <w:bookmarkEnd w:id="214"/>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15" w:name="_Toc32201087"/>
      <w:bookmarkStart w:id="216" w:name="_Toc49661125"/>
      <w:bookmarkStart w:id="217" w:name="_Toc274049700"/>
      <w:r>
        <w:t xml:space="preserve">Basis of </w:t>
      </w:r>
      <w:r w:rsidR="00010EB2">
        <w:t>Demand Locational</w:t>
      </w:r>
      <w:r>
        <w:t xml:space="preserve"> Charges</w:t>
      </w:r>
      <w:bookmarkEnd w:id="215"/>
      <w:bookmarkEnd w:id="216"/>
      <w:bookmarkEnd w:id="217"/>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MWt+UT3AQAA0g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JUrvlP4AQAA0g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18" w:name="_Toc49661126"/>
      <w:bookmarkStart w:id="219"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18"/>
      <w:bookmarkEnd w:id="219"/>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20" w:name="_Toc49661127"/>
      <w:bookmarkStart w:id="221" w:name="_Toc274049702"/>
      <w:r w:rsidRPr="004248A1">
        <w:rPr>
          <w:rFonts w:ascii="Arial" w:hAnsi="Arial" w:cs="Arial"/>
          <w:b/>
        </w:rPr>
        <w:t>Power Stations with a Bilateral Connection Agreement</w:t>
      </w:r>
      <w:bookmarkEnd w:id="220"/>
      <w:r w:rsidRPr="004248A1">
        <w:rPr>
          <w:rFonts w:ascii="Arial" w:hAnsi="Arial" w:cs="Arial"/>
          <w:b/>
        </w:rPr>
        <w:t xml:space="preserve"> and Licensable Generation with a Bilateral Embedded Generation Agreement</w:t>
      </w:r>
      <w:bookmarkEnd w:id="221"/>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22" w:name="_Toc49661128"/>
      <w:bookmarkStart w:id="223" w:name="_Toc274049703"/>
      <w:r w:rsidRPr="004248A1">
        <w:rPr>
          <w:rFonts w:ascii="Arial" w:hAnsi="Arial" w:cs="Arial"/>
          <w:b/>
        </w:rPr>
        <w:lastRenderedPageBreak/>
        <w:t>Exemptible Generation and Derogated Distribution Interconnectors with a Bilateral Embedded Generation Agreement</w:t>
      </w:r>
      <w:bookmarkEnd w:id="222"/>
      <w:bookmarkEnd w:id="223"/>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24" w:name="_Toc32201088"/>
      <w:bookmarkStart w:id="225" w:name="_Toc49661130"/>
    </w:p>
    <w:p w14:paraId="2145EB86" w14:textId="77777777" w:rsidR="006661FE" w:rsidRDefault="006661FE" w:rsidP="006661FE">
      <w:pPr>
        <w:pStyle w:val="Heading2"/>
      </w:pPr>
      <w:bookmarkStart w:id="226" w:name="_Toc274049704"/>
      <w:r>
        <w:t>Small Generators Tariffs</w:t>
      </w:r>
      <w:bookmarkEnd w:id="226"/>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27" w:name="_Toc274049705"/>
      <w:r>
        <w:t>The Triad</w:t>
      </w:r>
      <w:bookmarkEnd w:id="224"/>
      <w:bookmarkEnd w:id="225"/>
      <w:bookmarkEnd w:id="227"/>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28"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28"/>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14:sizeRelH relativeFrom="page">
              <wp14:pctWidth>0</wp14:pctWidth>
            </wp14:sizeRelH>
            <wp14:sizeRelV relativeFrom="page">
              <wp14:pctHeight>0</wp14:pctHeight>
            </wp14:sizeRelV>
          </wp:anchor>
        </w:drawing>
      </w:r>
      <w:bookmarkStart w:id="229" w:name="_Toc497131269"/>
      <w:r w:rsidR="006661FE">
        <w:fldChar w:fldCharType="begin"/>
      </w:r>
      <w:r w:rsidR="006661FE">
        <w:instrText xml:space="preserve"> XE "Triad" </w:instrText>
      </w:r>
      <w:r w:rsidR="006661FE">
        <w:fldChar w:fldCharType="end"/>
      </w:r>
      <w:bookmarkEnd w:id="229"/>
      <w:r w:rsidR="006661FE">
        <w:fldChar w:fldCharType="begin"/>
      </w:r>
      <w:r w:rsidR="006661FE">
        <w:instrText xml:space="preserve"> XE "Trading Unit" </w:instrText>
      </w:r>
      <w:r w:rsidR="006661FE">
        <w:fldChar w:fldCharType="end"/>
      </w:r>
    </w:p>
    <w:bookmarkStart w:id="230"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30"/>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31" w:name="_Hlt497734631"/>
      <w:bookmarkEnd w:id="231"/>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 xml:space="preserve">User’s Demand </w:t>
      </w:r>
      <w:proofErr w:type="gramStart"/>
      <w:r>
        <w:rPr>
          <w:b/>
          <w:bCs/>
        </w:rPr>
        <w:t>Forecast</w:t>
      </w:r>
      <w:r w:rsidR="006D5F93">
        <w:rPr>
          <w:b/>
          <w:bCs/>
        </w:rPr>
        <w:t xml:space="preserve">  </w:t>
      </w:r>
      <w:r>
        <w:t>half</w:t>
      </w:r>
      <w:proofErr w:type="gramEnd"/>
      <w:r>
        <w:t xml:space="preserve">-hourly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w:t>
      </w:r>
      <w:proofErr w:type="gramStart"/>
      <w:r>
        <w:t>i.e.</w:t>
      </w:r>
      <w:proofErr w:type="gramEnd"/>
      <w:r>
        <w:t xml:space="preserv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w:t>
      </w:r>
      <w:proofErr w:type="gramStart"/>
      <w:r>
        <w:rPr>
          <w:rFonts w:ascii="Arial" w:hAnsi="Arial" w:cs="Arial"/>
        </w:rPr>
        <w:t>export</w:t>
      </w:r>
      <w:proofErr w:type="gramEnd"/>
      <w:r>
        <w:rPr>
          <w:rFonts w:ascii="Arial" w:hAnsi="Arial" w:cs="Arial"/>
        </w:rPr>
        <w:t xml:space="preserve">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w:t>
      </w:r>
      <w:r>
        <w:rPr>
          <w:rFonts w:ascii="Arial" w:hAnsi="Arial" w:cs="Arial"/>
        </w:rPr>
        <w:lastRenderedPageBreak/>
        <w:t xml:space="preserve">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32" w:name="_Hlk35263653"/>
      <w:bookmarkStart w:id="233" w:name="_Hlk35263622"/>
      <w:r w:rsidRPr="00010EB2">
        <w:rPr>
          <w:rFonts w:ascii="Arial" w:hAnsi="Arial" w:cs="Arial"/>
          <w:b/>
        </w:rPr>
        <w:t>Initial Reconciliation Part 2 – Non-half-hourly metered demand</w:t>
      </w:r>
    </w:p>
    <w:bookmarkEnd w:id="232"/>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lastRenderedPageBreak/>
        <w:t xml:space="preserve">Actual payments for </w:t>
      </w:r>
      <w:bookmarkStart w:id="234" w:name="_Hlk35263694"/>
      <w:r w:rsidRPr="00010EB2">
        <w:rPr>
          <w:rFonts w:ascii="Arial" w:hAnsi="Arial" w:cs="Arial"/>
        </w:rPr>
        <w:t xml:space="preserve">non-half-hourly metered demand will be </w:t>
      </w:r>
      <w:bookmarkEnd w:id="234"/>
      <w:r w:rsidRPr="00010EB2">
        <w:rPr>
          <w:rFonts w:ascii="Arial" w:hAnsi="Arial" w:cs="Arial"/>
        </w:rPr>
        <w:t>determined using the latest available actual energy consumption data (kWh) for the period 16:00 hrs to 19:00 hrs inclusive (</w:t>
      </w:r>
      <w:proofErr w:type="gramStart"/>
      <w:r w:rsidRPr="00010EB2">
        <w:rPr>
          <w:rFonts w:ascii="Arial" w:hAnsi="Arial" w:cs="Arial"/>
        </w:rPr>
        <w:t>i.e.</w:t>
      </w:r>
      <w:proofErr w:type="gramEnd"/>
      <w:r w:rsidRPr="00010EB2">
        <w:rPr>
          <w:rFonts w:ascii="Arial" w:hAnsi="Arial" w:cs="Arial"/>
        </w:rPr>
        <w:t xml:space="preserv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33"/>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w:t>
      </w:r>
      <w:proofErr w:type="gramStart"/>
      <w:r w:rsidRPr="00010EB2">
        <w:rPr>
          <w:rFonts w:ascii="Arial" w:hAnsi="Arial" w:cs="Arial"/>
        </w:rPr>
        <w:t>exports</w:t>
      </w:r>
      <w:proofErr w:type="gramEnd"/>
      <w:r w:rsidRPr="00010EB2">
        <w:rPr>
          <w:rFonts w:ascii="Arial" w:hAnsi="Arial" w:cs="Arial"/>
        </w:rPr>
        <w:t xml:space="preserve">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5BB2387A"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w:t>
      </w:r>
      <w:proofErr w:type="spellStart"/>
      <w:r w:rsidRPr="00010EB2">
        <w:rPr>
          <w:rFonts w:ascii="Arial" w:hAnsi="Arial" w:cs="Arial"/>
        </w:rPr>
        <w:t>a Users</w:t>
      </w:r>
      <w:proofErr w:type="spellEnd"/>
      <w:r w:rsidRPr="00010EB2">
        <w:rPr>
          <w:rFonts w:ascii="Arial" w:hAnsi="Arial" w:cs="Arial"/>
        </w:rPr>
        <w:t xml:space="preserve">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TNUoS tariff which results in an error in the annual TNUoS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lastRenderedPageBreak/>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 xml:space="preserve">The Ex-post Reconciliation amount for Demand Users will be calculated </w:t>
      </w:r>
      <w:proofErr w:type="gramStart"/>
      <w:r w:rsidRPr="00CD5631">
        <w:rPr>
          <w:rFonts w:ascii="Arial" w:hAnsi="Arial" w:cs="Arial"/>
          <w:u w:val="single"/>
        </w:rPr>
        <w:t>as :</w:t>
      </w:r>
      <w:proofErr w:type="gramEnd"/>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w:t>
      </w:r>
      <w:proofErr w:type="gramStart"/>
      <w:r w:rsidRPr="00CD5631">
        <w:rPr>
          <w:rFonts w:ascii="Arial" w:hAnsi="Arial" w:cs="Arial"/>
          <w:szCs w:val="22"/>
        </w:rPr>
        <w:t>=  The</w:t>
      </w:r>
      <w:proofErr w:type="gramEnd"/>
      <w:r w:rsidRPr="00CD5631">
        <w:rPr>
          <w:rFonts w:ascii="Arial" w:hAnsi="Arial" w:cs="Arial"/>
          <w:szCs w:val="22"/>
        </w:rPr>
        <w:t xml:space="preserv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 xml:space="preserve">Financial </w:t>
      </w:r>
      <w:proofErr w:type="gramStart"/>
      <w:r w:rsidR="007D57C6" w:rsidRPr="00CD5631">
        <w:rPr>
          <w:rFonts w:ascii="Arial" w:hAnsi="Arial" w:cs="Arial"/>
          <w:b/>
        </w:rPr>
        <w:t>Year</w:t>
      </w:r>
      <w:r w:rsidRPr="00CD5631">
        <w:rPr>
          <w:rFonts w:ascii="Arial" w:hAnsi="Arial" w:cs="Arial"/>
          <w:b/>
        </w:rPr>
        <w:t xml:space="preserve"> </w:t>
      </w:r>
      <w:r w:rsidRPr="00CD5631">
        <w:rPr>
          <w:rFonts w:ascii="Arial" w:hAnsi="Arial" w:cs="Arial"/>
        </w:rPr>
        <w:t>,</w:t>
      </w:r>
      <w:proofErr w:type="gramEnd"/>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proofErr w:type="spellStart"/>
      <w:r w:rsidRPr="00CD5631">
        <w:rPr>
          <w:rFonts w:ascii="Arial" w:hAnsi="Arial" w:cs="Arial"/>
        </w:rPr>
        <w:t>Gadj</w:t>
      </w:r>
      <w:proofErr w:type="spellEnd"/>
      <w:r w:rsidRPr="00CD5631">
        <w:rPr>
          <w:rFonts w:ascii="Arial" w:hAnsi="Arial" w:cs="Arial"/>
        </w:rPr>
        <w:t xml:space="preserve">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Gadj</w:t>
      </w:r>
      <w:proofErr w:type="spellEnd"/>
      <w:r w:rsidRPr="00CD5631">
        <w:rPr>
          <w:rFonts w:ascii="Arial" w:hAnsi="Arial" w:cs="Arial"/>
          <w:szCs w:val="22"/>
        </w:rPr>
        <w:t xml:space="preserve">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proofErr w:type="gramStart"/>
      <w:r w:rsidR="007D57C6">
        <w:rPr>
          <w:rFonts w:ascii="Arial" w:hAnsi="Arial" w:cs="Arial"/>
          <w:b/>
          <w:szCs w:val="22"/>
        </w:rPr>
        <w:t>Financial  Year</w:t>
      </w:r>
      <w:proofErr w:type="gramEnd"/>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ANHHC = Total actual annual non-half-hourly metered energy consumption (kWh) for the period 16:00 hrs to 19:00 hrs inclusive (</w:t>
      </w:r>
      <w:proofErr w:type="gramStart"/>
      <w:r w:rsidRPr="00CD5631">
        <w:rPr>
          <w:rFonts w:ascii="Arial" w:hAnsi="Arial" w:cs="Arial"/>
        </w:rPr>
        <w:t>i.e.</w:t>
      </w:r>
      <w:proofErr w:type="gramEnd"/>
      <w:r w:rsidRPr="00CD5631">
        <w:rPr>
          <w:rFonts w:ascii="Arial" w:hAnsi="Arial" w:cs="Arial"/>
        </w:rPr>
        <w:t xml:space="preserv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 xml:space="preserve">The recovery from Generator Users will </w:t>
      </w:r>
      <w:proofErr w:type="gramStart"/>
      <w:r w:rsidRPr="00CD5631">
        <w:rPr>
          <w:rFonts w:ascii="Arial" w:hAnsi="Arial" w:cs="Arial"/>
        </w:rPr>
        <w:t>be</w:t>
      </w:r>
      <w:proofErr w:type="gramEnd"/>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proofErr w:type="spellStart"/>
      <w:r w:rsidRPr="00CD5631">
        <w:rPr>
          <w:rFonts w:ascii="Arial" w:hAnsi="Arial" w:cs="Arial"/>
        </w:rPr>
        <w:t>Gadj</w:t>
      </w:r>
      <w:proofErr w:type="spellEnd"/>
      <w:r w:rsidRPr="00CD5631">
        <w:rPr>
          <w:rFonts w:ascii="Arial" w:hAnsi="Arial" w:cs="Arial"/>
        </w:rPr>
        <w:t xml:space="preserve">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w:t>
      </w:r>
      <w:proofErr w:type="gramStart"/>
      <w:r w:rsidRPr="00CD5631">
        <w:rPr>
          <w:rFonts w:ascii="Arial" w:hAnsi="Arial" w:cs="Arial"/>
          <w:szCs w:val="22"/>
        </w:rPr>
        <w:t>=  Revenue</w:t>
      </w:r>
      <w:proofErr w:type="gramEnd"/>
      <w:r w:rsidRPr="00CD5631">
        <w:rPr>
          <w:rFonts w:ascii="Arial" w:hAnsi="Arial" w:cs="Arial"/>
          <w:szCs w:val="22"/>
        </w:rPr>
        <w:t xml:space="preserve"> to be dispersed to Demand</w:t>
      </w:r>
    </w:p>
    <w:p w14:paraId="282B4CF6"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Gadj</w:t>
      </w:r>
      <w:proofErr w:type="spellEnd"/>
      <w:r w:rsidRPr="00CD5631">
        <w:rPr>
          <w:rFonts w:ascii="Arial" w:hAnsi="Arial" w:cs="Arial"/>
          <w:szCs w:val="22"/>
        </w:rPr>
        <w:t xml:space="preserve">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35"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requires Suppliers to move Profile Classes 5-8 to Measurement Class E - G (</w:t>
      </w:r>
      <w:proofErr w:type="gramStart"/>
      <w:r w:rsidRPr="007E2F78">
        <w:t>i.e.</w:t>
      </w:r>
      <w:proofErr w:type="gramEnd"/>
      <w:r w:rsidRPr="007E2F78">
        <w:t xml:space="preserv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w:t>
      </w:r>
      <w:proofErr w:type="gramStart"/>
      <w:r w:rsidR="00556B6D" w:rsidRPr="007E2F78">
        <w:t>i.e.</w:t>
      </w:r>
      <w:proofErr w:type="gramEnd"/>
      <w:r w:rsidR="00556B6D" w:rsidRPr="007E2F78">
        <w:t xml:space="preserv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w:t>
      </w:r>
      <w:r w:rsidRPr="007E2F78">
        <w:lastRenderedPageBreak/>
        <w:t xml:space="preserve">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w:t>
      </w:r>
      <w:proofErr w:type="gramStart"/>
      <w:r w:rsidRPr="007E2F78">
        <w:t>e.g.</w:t>
      </w:r>
      <w:proofErr w:type="gramEnd"/>
      <w:r w:rsidRPr="007E2F78">
        <w:t xml:space="preserve">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1408DD8"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ins w:id="236" w:author="Author" w:date="2024-07-03T16:04:00Z">
        <w:r w:rsidR="00A67428">
          <w:rPr>
            <w:rFonts w:cs="Arial (W1)"/>
          </w:rPr>
          <w:t>.</w:t>
        </w:r>
      </w:ins>
      <w:r w:rsidR="00A56602">
        <w:rPr>
          <w:rFonts w:cs="Arial (W1)"/>
        </w:rPr>
        <w:t xml:space="preserve"> </w:t>
      </w:r>
      <w:del w:id="237" w:author="Author" w:date="2024-07-03T16:04:00Z">
        <w:r w:rsidR="00A56602" w:rsidDel="00A67428">
          <w:rPr>
            <w:rFonts w:cs="Arial (W1)"/>
          </w:rPr>
          <w:delText>for the full </w:delText>
        </w:r>
        <w:r w:rsidR="00A56602" w:rsidDel="00A67428">
          <w:rPr>
            <w:rFonts w:cs="Arial (W1)"/>
            <w:b/>
            <w:bCs/>
          </w:rPr>
          <w:delText>Financial Year</w:delText>
        </w:r>
        <w:r w:rsidR="00A56602" w:rsidDel="00A67428">
          <w:rPr>
            <w:rFonts w:cs="Arial (W1)"/>
          </w:rPr>
          <w:delText>. This will be up until the end of the </w:delText>
        </w:r>
        <w:r w:rsidR="00A56602" w:rsidDel="00A67428">
          <w:rPr>
            <w:rFonts w:cs="Arial (W1)"/>
            <w:b/>
            <w:bCs/>
          </w:rPr>
          <w:delText>Financial Year</w:delText>
        </w:r>
        <w:r w:rsidR="00A56602" w:rsidDel="00A67428">
          <w:rPr>
            <w:rFonts w:cs="Arial (W1)"/>
          </w:rPr>
          <w:delText> (31</w:delText>
        </w:r>
        <w:r w:rsidR="00A56602" w:rsidDel="00A67428">
          <w:rPr>
            <w:rFonts w:cs="Arial (W1)"/>
            <w:vertAlign w:val="superscript"/>
          </w:rPr>
          <w:delText>st</w:delText>
        </w:r>
        <w:r w:rsidR="00A56602" w:rsidDel="00A67428">
          <w:rPr>
            <w:rFonts w:cs="Arial (W1)"/>
          </w:rPr>
          <w:delText> March) following delivery of M15 of the Transition Timeline as outlined in the </w:delText>
        </w:r>
        <w:r w:rsidR="00A56602" w:rsidDel="00A67428">
          <w:rPr>
            <w:rFonts w:cs="Arial (W1)"/>
            <w:b/>
            <w:bCs/>
          </w:rPr>
          <w:delText>Authority’s</w:delText>
        </w:r>
        <w:r w:rsidR="00A56602" w:rsidDel="00A67428">
          <w:rPr>
            <w:rFonts w:cs="Arial (W1)"/>
          </w:rPr>
          <w:delText> decision dated 20</w:delText>
        </w:r>
        <w:r w:rsidR="00A56602" w:rsidDel="00A67428">
          <w:rPr>
            <w:rFonts w:cs="Arial (W1)"/>
            <w:vertAlign w:val="superscript"/>
          </w:rPr>
          <w:delText>th</w:delText>
        </w:r>
        <w:r w:rsidR="00A56602" w:rsidDel="00A67428">
          <w:rPr>
            <w:rFonts w:cs="Arial (W1)"/>
          </w:rPr>
          <w:delText xml:space="preserve"> April 2021 on the introduction of half-hourly settlement on a market-wide basis (MHHS). </w:delText>
        </w:r>
      </w:del>
      <w:r w:rsidR="00A56602">
        <w:rPr>
          <w:rFonts w:cs="Arial (W1)"/>
        </w:rPr>
        <w:t>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w:t>
      </w:r>
      <w:proofErr w:type="gramStart"/>
      <w:r w:rsidR="00800968" w:rsidRPr="00800968">
        <w:t>i.e.</w:t>
      </w:r>
      <w:proofErr w:type="gramEnd"/>
      <w:r w:rsidR="00800968" w:rsidRPr="00800968">
        <w:t xml:space="preserve"> Suppliers need not Supply any additional information.</w:t>
      </w:r>
    </w:p>
    <w:p w14:paraId="5C78F3E1" w14:textId="77777777" w:rsidR="00800968" w:rsidRPr="00800968" w:rsidRDefault="00800968" w:rsidP="00800968">
      <w:pPr>
        <w:pStyle w:val="ListParagraph"/>
      </w:pPr>
    </w:p>
    <w:p w14:paraId="2730E83D" w14:textId="7A2582EA" w:rsidR="00800968" w:rsidRDefault="00800968" w:rsidP="007D27B2">
      <w:pPr>
        <w:pStyle w:val="1"/>
        <w:numPr>
          <w:ilvl w:val="0"/>
          <w:numId w:val="118"/>
        </w:numPr>
        <w:ind w:left="2127" w:hanging="1407"/>
        <w:jc w:val="both"/>
        <w:rPr>
          <w:ins w:id="238" w:author="Author" w:date="2024-07-03T16:12:00Z"/>
        </w:rPr>
      </w:pPr>
      <w:r w:rsidRPr="00800968">
        <w:t xml:space="preserve">The forecasts that Suppliers submit to </w:t>
      </w:r>
      <w:r w:rsidR="00E71EB2" w:rsidRPr="00E71EB2">
        <w:rPr>
          <w:b/>
        </w:rPr>
        <w:t>The Company</w:t>
      </w:r>
      <w:r w:rsidRPr="00800968">
        <w:t xml:space="preserve"> under CUSC 3.10, 3.11</w:t>
      </w:r>
      <w:ins w:id="239" w:author="Author" w:date="2024-07-03T16:05:00Z">
        <w:r w:rsidR="007619CE">
          <w:t>,</w:t>
        </w:r>
      </w:ins>
      <w:r w:rsidRPr="00800968">
        <w:t xml:space="preserve"> </w:t>
      </w:r>
      <w:del w:id="240" w:author="Author" w:date="2024-07-03T16:05:00Z">
        <w:r w:rsidRPr="00800968" w:rsidDel="007619CE">
          <w:delText xml:space="preserve">and </w:delText>
        </w:r>
      </w:del>
      <w:r w:rsidRPr="00800968">
        <w:t xml:space="preserve">3.12 </w:t>
      </w:r>
      <w:ins w:id="241" w:author="Author" w:date="2024-07-03T16:05:00Z">
        <w:r w:rsidR="007619CE">
          <w:t xml:space="preserve">and 14.17.19 </w:t>
        </w:r>
      </w:ins>
      <w:r w:rsidRPr="00800968">
        <w:t>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w:t>
      </w:r>
      <w:del w:id="242" w:author="Author" w:date="2024-07-03T16:05:00Z">
        <w:r w:rsidRPr="00800968" w:rsidDel="007619CE">
          <w:delText>i.e. volumes associated with those Metering Systems that have transferred to Measurement Class F &amp; G in the BSC (NHH to HH settlement) but are to be treated as NHH for the purposes of TNUoS charging should be included in the forecast of Chargeable Energy</w:delText>
        </w:r>
        <w:r w:rsidRPr="001319DB" w:rsidDel="007619CE">
          <w:delText xml:space="preserve"> Capacity and not Chargeable Demand Capacity.</w:delText>
        </w:r>
      </w:del>
    </w:p>
    <w:p w14:paraId="5EC3E6B3" w14:textId="77777777" w:rsidR="00537BA3" w:rsidRDefault="00537BA3" w:rsidP="00537BA3">
      <w:pPr>
        <w:pStyle w:val="ListParagraph"/>
        <w:rPr>
          <w:ins w:id="243" w:author="Author" w:date="2024-07-03T16:12:00Z"/>
        </w:rPr>
        <w:pPrChange w:id="244" w:author="Author" w:date="2024-07-03T16:12:00Z">
          <w:pPr>
            <w:pStyle w:val="1"/>
            <w:numPr>
              <w:numId w:val="118"/>
            </w:numPr>
            <w:tabs>
              <w:tab w:val="num" w:pos="720"/>
            </w:tabs>
            <w:ind w:left="2127" w:hanging="1407"/>
            <w:jc w:val="both"/>
          </w:pPr>
        </w:pPrChange>
      </w:pPr>
    </w:p>
    <w:p w14:paraId="2F67A5F4" w14:textId="77777777" w:rsidR="007F33CF" w:rsidRPr="00853D78" w:rsidRDefault="007F33CF" w:rsidP="007F33CF">
      <w:pPr>
        <w:pStyle w:val="1"/>
        <w:ind w:left="720"/>
        <w:jc w:val="both"/>
        <w:rPr>
          <w:ins w:id="245" w:author="Author" w:date="2024-07-03T16:12:00Z"/>
          <w:b/>
        </w:rPr>
        <w:pPrChange w:id="246" w:author="Author" w:date="2024-07-03T16:12:00Z">
          <w:pPr>
            <w:pStyle w:val="1"/>
            <w:jc w:val="both"/>
          </w:pPr>
        </w:pPrChange>
      </w:pPr>
      <w:ins w:id="247" w:author="Author" w:date="2024-07-03T16:12:00Z">
        <w:r w:rsidRPr="00853D78">
          <w:rPr>
            <w:rStyle w:val="ui-provider"/>
            <w:b/>
          </w:rPr>
          <w:t>The following section describes the arrangements that will apply in relation to introduction of half-hourly settlement on a market-wide basis</w:t>
        </w:r>
        <w:r>
          <w:rPr>
            <w:rStyle w:val="ui-provider"/>
            <w:b/>
          </w:rPr>
          <w:t>.</w:t>
        </w:r>
      </w:ins>
    </w:p>
    <w:p w14:paraId="365643BA" w14:textId="77777777" w:rsidR="007F33CF" w:rsidRPr="00853D78" w:rsidRDefault="007F33CF" w:rsidP="007F33CF">
      <w:pPr>
        <w:pStyle w:val="1"/>
        <w:jc w:val="both"/>
        <w:rPr>
          <w:ins w:id="248" w:author="Author" w:date="2024-07-03T16:12:00Z"/>
        </w:rPr>
      </w:pPr>
    </w:p>
    <w:p w14:paraId="2671185B" w14:textId="77777777" w:rsidR="007F33CF" w:rsidRPr="00853D78" w:rsidRDefault="007F33CF" w:rsidP="007F33CF">
      <w:pPr>
        <w:pStyle w:val="1"/>
        <w:ind w:left="2160" w:hanging="1440"/>
        <w:jc w:val="both"/>
        <w:rPr>
          <w:ins w:id="249" w:author="Author" w:date="2024-07-03T16:12:00Z"/>
        </w:rPr>
      </w:pPr>
    </w:p>
    <w:p w14:paraId="5BC0101B" w14:textId="77777777" w:rsidR="007F33CF" w:rsidRPr="00853D78" w:rsidRDefault="007F33CF" w:rsidP="007F33CF">
      <w:pPr>
        <w:pStyle w:val="1"/>
        <w:ind w:left="2160" w:hanging="1440"/>
        <w:jc w:val="both"/>
        <w:rPr>
          <w:ins w:id="250" w:author="Author" w:date="2024-07-03T16:12:00Z"/>
        </w:rPr>
      </w:pPr>
      <w:ins w:id="251" w:author="Author" w:date="2024-07-03T16:12:00Z">
        <w:r w:rsidRPr="00853D78">
          <w:t>14.17.41.1</w:t>
        </w:r>
        <w:r w:rsidRPr="00853D78">
          <w:tab/>
          <w:t xml:space="preserve">Subject to 14.17.40.2, when an MPAN is settled under the MHHS Target Operating Model (as defined in Section C12 </w:t>
        </w:r>
        <w:r w:rsidRPr="00853D78">
          <w:rPr>
            <w:b/>
            <w:bCs/>
          </w:rPr>
          <w:t xml:space="preserve">of the Balancing and </w:t>
        </w:r>
        <w:r w:rsidRPr="00853D78">
          <w:rPr>
            <w:b/>
            <w:bCs/>
          </w:rPr>
          <w:lastRenderedPageBreak/>
          <w:t>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ins>
    </w:p>
    <w:p w14:paraId="7236CCB9" w14:textId="77777777" w:rsidR="007F33CF" w:rsidRPr="00853D78" w:rsidRDefault="007F33CF" w:rsidP="007F33CF">
      <w:pPr>
        <w:pStyle w:val="1"/>
        <w:ind w:left="2160" w:hanging="1440"/>
        <w:jc w:val="both"/>
        <w:rPr>
          <w:ins w:id="252" w:author="Author" w:date="2024-07-03T16:12:00Z"/>
        </w:rPr>
      </w:pPr>
    </w:p>
    <w:p w14:paraId="3B58CB25" w14:textId="77777777" w:rsidR="007F33CF" w:rsidRPr="00853D78" w:rsidRDefault="007F33CF" w:rsidP="007F33CF">
      <w:pPr>
        <w:pStyle w:val="1"/>
        <w:ind w:left="2160" w:hanging="1440"/>
        <w:jc w:val="both"/>
        <w:rPr>
          <w:ins w:id="253" w:author="Author" w:date="2024-07-03T16:12:00Z"/>
        </w:rPr>
      </w:pPr>
    </w:p>
    <w:p w14:paraId="587620AF" w14:textId="77777777" w:rsidR="007F33CF" w:rsidRPr="00853D78" w:rsidRDefault="007F33CF" w:rsidP="007F33CF">
      <w:pPr>
        <w:pStyle w:val="1"/>
        <w:numPr>
          <w:ilvl w:val="5"/>
          <w:numId w:val="104"/>
        </w:numPr>
        <w:jc w:val="both"/>
        <w:rPr>
          <w:ins w:id="254" w:author="Author" w:date="2024-07-03T16:12:00Z"/>
        </w:rPr>
      </w:pPr>
      <w:ins w:id="255" w:author="Author" w:date="2024-07-03T16:12:00Z">
        <w:r w:rsidRPr="00853D78">
          <w:t xml:space="preserve">When an MPAN with a </w:t>
        </w:r>
        <w:proofErr w:type="spellStart"/>
        <w:r w:rsidRPr="00853D78">
          <w:t>non half-</w:t>
        </w:r>
        <w:proofErr w:type="spellEnd"/>
        <w:r w:rsidRPr="00853D78">
          <w:t xml:space="preserve">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ins>
    </w:p>
    <w:p w14:paraId="46D0B609" w14:textId="77777777" w:rsidR="007F33CF" w:rsidRPr="00853D78" w:rsidRDefault="007F33CF" w:rsidP="007F33CF">
      <w:pPr>
        <w:pStyle w:val="1"/>
        <w:ind w:left="2160"/>
        <w:jc w:val="both"/>
        <w:rPr>
          <w:ins w:id="256" w:author="Author" w:date="2024-07-03T16:12:00Z"/>
        </w:rPr>
      </w:pPr>
    </w:p>
    <w:p w14:paraId="4FE456A7" w14:textId="77777777" w:rsidR="007F33CF" w:rsidRPr="00853D78" w:rsidRDefault="007F33CF" w:rsidP="007F33CF">
      <w:pPr>
        <w:pStyle w:val="1"/>
        <w:numPr>
          <w:ilvl w:val="5"/>
          <w:numId w:val="104"/>
        </w:numPr>
        <w:jc w:val="both"/>
        <w:rPr>
          <w:ins w:id="257" w:author="Author" w:date="2024-07-03T16:12:00Z"/>
        </w:rPr>
      </w:pPr>
      <w:ins w:id="258" w:author="Author" w:date="2024-07-03T16:12:00Z">
        <w:r w:rsidRPr="00853D78">
          <w:t xml:space="preserve">When an MPAN with a </w:t>
        </w:r>
        <w:proofErr w:type="spellStart"/>
        <w:proofErr w:type="gramStart"/>
        <w:r w:rsidRPr="00853D78">
          <w:t>non half-</w:t>
        </w:r>
        <w:proofErr w:type="spellEnd"/>
        <w:proofErr w:type="gramEnd"/>
        <w:r w:rsidRPr="00853D78">
          <w:t xml:space="preserve">hourly </w:t>
        </w:r>
        <w:r w:rsidRPr="00853D78">
          <w:rPr>
            <w:b/>
            <w:bCs/>
          </w:rPr>
          <w:t>Metering System</w:t>
        </w:r>
        <w:r w:rsidRPr="00853D78">
          <w:t xml:space="preserve"> transitions to a half-hourly </w:t>
        </w:r>
        <w:r w:rsidRPr="00853D78">
          <w:rPr>
            <w:b/>
            <w:bCs/>
          </w:rPr>
          <w:t>Metering System</w:t>
        </w:r>
        <w:r w:rsidRPr="00853D78">
          <w:t xml:space="preserve"> with whole current metering at Non- Domestic Premises and is reported as such from BSCCo to </w:t>
        </w:r>
        <w:r w:rsidRPr="00853D78">
          <w:rPr>
            <w:b/>
            <w:bCs/>
          </w:rPr>
          <w:t>The Company</w:t>
        </w:r>
        <w:r w:rsidRPr="00853D78">
          <w:t xml:space="preserve">, its associated </w:t>
        </w:r>
        <w:r w:rsidRPr="00853D78">
          <w:rPr>
            <w:b/>
            <w:bCs/>
          </w:rPr>
          <w:t>BM Uni</w:t>
        </w:r>
        <w:r w:rsidRPr="00853D78">
          <w:t xml:space="preserve">t energy consumption will be treated as Chargeable Energy Capacity. </w:t>
        </w:r>
      </w:ins>
    </w:p>
    <w:p w14:paraId="05DD2747" w14:textId="77777777" w:rsidR="007F33CF" w:rsidRPr="00853D78" w:rsidRDefault="007F33CF" w:rsidP="007F33CF">
      <w:pPr>
        <w:pStyle w:val="1"/>
        <w:ind w:left="2160"/>
        <w:jc w:val="both"/>
        <w:rPr>
          <w:ins w:id="259" w:author="Author" w:date="2024-07-03T16:12:00Z"/>
        </w:rPr>
      </w:pPr>
    </w:p>
    <w:p w14:paraId="103883C5" w14:textId="77777777" w:rsidR="007F33CF" w:rsidRPr="00853D78" w:rsidRDefault="007F33CF" w:rsidP="007F33CF">
      <w:pPr>
        <w:pStyle w:val="1"/>
        <w:numPr>
          <w:ilvl w:val="5"/>
          <w:numId w:val="104"/>
        </w:numPr>
        <w:jc w:val="both"/>
        <w:rPr>
          <w:ins w:id="260" w:author="Author" w:date="2024-07-03T16:12:00Z"/>
        </w:rPr>
      </w:pPr>
      <w:ins w:id="261" w:author="Author" w:date="2024-07-03T16:12:00Z">
        <w:r w:rsidRPr="00853D78">
          <w:t>When an MPAN</w:t>
        </w:r>
        <w:r>
          <w:t xml:space="preserve"> </w:t>
        </w:r>
        <w:r w:rsidRPr="00853D78">
          <w:t xml:space="preserve">transitions to a half-hourly </w:t>
        </w:r>
        <w:r w:rsidRPr="00853D78">
          <w:rPr>
            <w:b/>
            <w:bCs/>
          </w:rPr>
          <w:t xml:space="preserve">Metering System </w:t>
        </w:r>
        <w:r w:rsidRPr="00853D78">
          <w:t>at Domestic Premises (as defined in a</w:t>
        </w:r>
        <w:r w:rsidRPr="00853D78">
          <w:rPr>
            <w:b/>
            <w:bCs/>
          </w:rPr>
          <w:t xml:space="preserve"> Supply Licence</w:t>
        </w:r>
        <w:r w:rsidRPr="00853D78">
          <w:t>)</w:t>
        </w:r>
        <w:r w:rsidRPr="00853D78">
          <w:rPr>
            <w:b/>
            <w:bCs/>
          </w:rPr>
          <w:t xml:space="preserve"> </w:t>
        </w:r>
        <w:r w:rsidRPr="00853D78">
          <w:t>and is reported as such from BSCCo</w:t>
        </w:r>
        <w:r w:rsidRPr="00853D78">
          <w:rPr>
            <w:b/>
            <w:bCs/>
          </w:rPr>
          <w:t xml:space="preserve"> </w:t>
        </w:r>
        <w:r w:rsidRPr="00853D78">
          <w:t xml:space="preserve">to </w:t>
        </w:r>
        <w:r w:rsidRPr="00853D78">
          <w:rPr>
            <w:b/>
            <w:bCs/>
          </w:rPr>
          <w:t>The Company</w:t>
        </w:r>
        <w:r w:rsidRPr="00853D78">
          <w:t xml:space="preserve">, its associated </w:t>
        </w:r>
        <w:r w:rsidRPr="00853D78">
          <w:rPr>
            <w:b/>
            <w:bCs/>
          </w:rPr>
          <w:t xml:space="preserve">BM Unit </w:t>
        </w:r>
        <w:r w:rsidRPr="00853D78">
          <w:t>energy consumption will be treated as Chargeable Energy Capacity</w:t>
        </w:r>
      </w:ins>
    </w:p>
    <w:p w14:paraId="3DA7011F" w14:textId="77777777" w:rsidR="007F33CF" w:rsidRPr="001319DB" w:rsidRDefault="007F33CF" w:rsidP="00537BA3">
      <w:pPr>
        <w:pStyle w:val="1"/>
        <w:jc w:val="both"/>
        <w:pPrChange w:id="262" w:author="Author" w:date="2024-07-03T16:12:00Z">
          <w:pPr>
            <w:pStyle w:val="1"/>
            <w:numPr>
              <w:numId w:val="118"/>
            </w:numPr>
            <w:tabs>
              <w:tab w:val="num" w:pos="720"/>
            </w:tabs>
            <w:ind w:left="2127" w:hanging="1407"/>
            <w:jc w:val="both"/>
          </w:pPr>
        </w:pPrChange>
      </w:pP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63" w:name="_Toc274049713"/>
      <w:r>
        <w:t>Further Information</w:t>
      </w:r>
      <w:bookmarkEnd w:id="263"/>
    </w:p>
    <w:p w14:paraId="6C287FA5" w14:textId="77777777" w:rsidR="006661FE" w:rsidDel="00A949C8" w:rsidRDefault="006661FE" w:rsidP="006661FE">
      <w:pPr>
        <w:rPr>
          <w:del w:id="264" w:author="Author" w:date="2024-07-03T16:16:00Z"/>
        </w:rPr>
      </w:pPr>
    </w:p>
    <w:p w14:paraId="68B5C577" w14:textId="69B57CED" w:rsidR="0022187C" w:rsidRDefault="003C512B" w:rsidP="00A949C8">
      <w:pPr>
        <w:pStyle w:val="1"/>
        <w:jc w:val="both"/>
        <w:rPr>
          <w:rFonts w:ascii="Arial" w:hAnsi="Arial" w:cs="Arial"/>
        </w:rPr>
        <w:pPrChange w:id="265" w:author="Author" w:date="2024-07-03T16:16:00Z">
          <w:pPr>
            <w:pStyle w:val="1"/>
            <w:numPr>
              <w:numId w:val="119"/>
            </w:numPr>
            <w:tabs>
              <w:tab w:val="num" w:pos="1844"/>
            </w:tabs>
            <w:ind w:left="2751" w:hanging="907"/>
            <w:jc w:val="both"/>
          </w:pPr>
        </w:pPrChange>
      </w:pPr>
      <w:ins w:id="266" w:author="Author" w:date="2024-07-03T16:13:00Z">
        <w:r>
          <w:rPr>
            <w:rFonts w:ascii="Arial" w:hAnsi="Arial" w:cs="Arial"/>
          </w:rPr>
          <w:t>1</w:t>
        </w:r>
      </w:ins>
      <w:ins w:id="267" w:author="Author" w:date="2024-07-03T16:14:00Z">
        <w:r>
          <w:rPr>
            <w:rFonts w:ascii="Arial" w:hAnsi="Arial" w:cs="Arial"/>
          </w:rPr>
          <w:t>4.17.42</w:t>
        </w:r>
        <w:r>
          <w:rPr>
            <w:rFonts w:ascii="Arial" w:hAnsi="Arial" w:cs="Arial"/>
          </w:rPr>
          <w:tab/>
        </w:r>
      </w:ins>
      <w:r w:rsidR="0022187C">
        <w:rPr>
          <w:rFonts w:ascii="Arial" w:hAnsi="Arial" w:cs="Arial"/>
        </w:rPr>
        <w:t>14</w:t>
      </w:r>
      <w:r w:rsidR="0022187C">
        <w:rPr>
          <w:rFonts w:ascii="Arial" w:hAnsi="Arial" w:cs="Arial"/>
          <w:b/>
        </w:rPr>
        <w:t>.</w:t>
      </w:r>
      <w:r w:rsidR="0022187C">
        <w:rPr>
          <w:rFonts w:ascii="Arial" w:hAnsi="Arial" w:cs="Arial"/>
        </w:rPr>
        <w:t>25 Reconciliation of Demand Related Transmission Network Use of System Charges</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w:t>
      </w:r>
      <w:proofErr w:type="gramStart"/>
      <w:r w:rsidR="0022187C">
        <w:rPr>
          <w:rFonts w:ascii="Arial" w:hAnsi="Arial" w:cs="Arial"/>
        </w:rPr>
        <w:t>export</w:t>
      </w:r>
      <w:proofErr w:type="gramEnd"/>
      <w:r w:rsidR="0022187C">
        <w:rPr>
          <w:rFonts w:ascii="Arial" w:hAnsi="Arial" w:cs="Arial"/>
        </w:rPr>
        <w:t xml:space="preserve"> and non-half-hourly metered demand respectively. </w:t>
      </w:r>
    </w:p>
    <w:p w14:paraId="20654F0F" w14:textId="77777777" w:rsidR="0022187C" w:rsidRDefault="0022187C" w:rsidP="0022187C">
      <w:pPr>
        <w:pStyle w:val="1"/>
        <w:jc w:val="both"/>
        <w:rPr>
          <w:rFonts w:ascii="Arial" w:hAnsi="Arial" w:cs="Arial"/>
        </w:rPr>
      </w:pPr>
    </w:p>
    <w:p w14:paraId="6996AA58" w14:textId="43E437C7" w:rsidR="00010EB2" w:rsidRPr="00CD5631" w:rsidRDefault="003C512B" w:rsidP="00A949C8">
      <w:pPr>
        <w:pStyle w:val="1"/>
        <w:jc w:val="both"/>
        <w:rPr>
          <w:rFonts w:ascii="Arial" w:hAnsi="Arial" w:cs="Arial"/>
        </w:rPr>
        <w:pPrChange w:id="268" w:author="Author" w:date="2024-07-03T16:16:00Z">
          <w:pPr>
            <w:pStyle w:val="1"/>
            <w:numPr>
              <w:numId w:val="119"/>
            </w:numPr>
            <w:tabs>
              <w:tab w:val="num" w:pos="1844"/>
            </w:tabs>
            <w:ind w:left="2751" w:hanging="907"/>
            <w:jc w:val="both"/>
          </w:pPr>
        </w:pPrChange>
      </w:pPr>
      <w:ins w:id="269" w:author="Author" w:date="2024-07-03T16:14:00Z">
        <w:r w:rsidRPr="003C512B">
          <w:rPr>
            <w:rFonts w:ascii="Arial" w:hAnsi="Arial" w:cs="Arial"/>
            <w:bCs/>
            <w:rPrChange w:id="270" w:author="Author" w:date="2024-07-03T16:14:00Z">
              <w:rPr>
                <w:rFonts w:ascii="Arial" w:hAnsi="Arial" w:cs="Arial"/>
                <w:b/>
              </w:rPr>
            </w:rPrChange>
          </w:rPr>
          <w:t>14.17.43</w:t>
        </w:r>
      </w:ins>
      <w:r w:rsidR="0022187C"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 xml:space="preserve">Transmission Demand Residual </w:t>
      </w:r>
      <w:proofErr w:type="gramStart"/>
      <w:r w:rsidR="00010EB2">
        <w:rPr>
          <w:b/>
          <w:bCs/>
        </w:rPr>
        <w:t>tariffs</w:t>
      </w:r>
      <w:r w:rsidR="00010EB2">
        <w:t xml:space="preserve">  for</w:t>
      </w:r>
      <w:proofErr w:type="gramEnd"/>
      <w:r w:rsidR="00010EB2">
        <w:t xml:space="preserve">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43C9364E" w:rsidR="0022187C" w:rsidRDefault="003C512B" w:rsidP="003C512B">
      <w:pPr>
        <w:pStyle w:val="1"/>
        <w:jc w:val="both"/>
        <w:rPr>
          <w:rFonts w:ascii="Arial" w:hAnsi="Arial" w:cs="Arial"/>
        </w:rPr>
        <w:pPrChange w:id="271" w:author="Author" w:date="2024-07-03T16:15:00Z">
          <w:pPr>
            <w:pStyle w:val="1"/>
            <w:numPr>
              <w:numId w:val="119"/>
            </w:numPr>
            <w:tabs>
              <w:tab w:val="num" w:pos="1844"/>
            </w:tabs>
            <w:ind w:left="2751" w:hanging="907"/>
            <w:jc w:val="both"/>
          </w:pPr>
        </w:pPrChange>
      </w:pPr>
      <w:ins w:id="272" w:author="Author" w:date="2024-07-03T16:14:00Z">
        <w:r>
          <w:rPr>
            <w:rFonts w:ascii="Arial" w:hAnsi="Arial" w:cs="Arial"/>
          </w:rPr>
          <w:t>14.17.44</w:t>
        </w:r>
      </w:ins>
      <w:r w:rsidR="0022187C">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73" w:name="_Toc32201092"/>
      <w:bookmarkStart w:id="274" w:name="_Toc49661139"/>
      <w:bookmarkStart w:id="275" w:name="_Toc274049714"/>
      <w:bookmarkEnd w:id="235"/>
      <w:r w:rsidRPr="00FE40FB">
        <w:rPr>
          <w:color w:val="auto"/>
          <w:sz w:val="28"/>
          <w:szCs w:val="28"/>
        </w:rPr>
        <w:lastRenderedPageBreak/>
        <w:t>14.18 Generation charges</w:t>
      </w:r>
      <w:bookmarkEnd w:id="273"/>
      <w:bookmarkEnd w:id="274"/>
      <w:bookmarkEnd w:id="275"/>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76" w:name="_Toc32201093"/>
      <w:bookmarkStart w:id="277" w:name="_Toc49661140"/>
      <w:bookmarkStart w:id="278" w:name="_Toc274049715"/>
      <w:r>
        <w:t>Parties Liable for Generation Charges</w:t>
      </w:r>
      <w:bookmarkEnd w:id="276"/>
      <w:bookmarkEnd w:id="277"/>
      <w:bookmarkEnd w:id="278"/>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79" w:name="_Toc274049716"/>
      <w:bookmarkStart w:id="280" w:name="_Toc32201094"/>
      <w:bookmarkStart w:id="281" w:name="_Toc49661141"/>
      <w:r>
        <w:t>Structure of Generation Charges</w:t>
      </w:r>
      <w:bookmarkEnd w:id="279"/>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000000">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000000">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000000">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w:t>
      </w:r>
      <w:proofErr w:type="gramStart"/>
      <w:r w:rsidRPr="000B6C0D">
        <w:t>Tariff  =</w:t>
      </w:r>
      <w:proofErr w:type="gramEnd"/>
      <w:r w:rsidRPr="000B6C0D">
        <w:t xml:space="preserve"> Wider Year Round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82" w:name="_Toc274049717"/>
      <w:r>
        <w:t>Basis of Wider Generation Charges</w:t>
      </w:r>
      <w:bookmarkEnd w:id="280"/>
      <w:bookmarkEnd w:id="281"/>
      <w:bookmarkEnd w:id="282"/>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83" w:name="_Toc274049718"/>
      <w:r w:rsidRPr="00887323">
        <w:rPr>
          <w:rFonts w:ascii="Arial" w:hAnsi="Arial" w:cs="Arial"/>
          <w:b/>
        </w:rPr>
        <w:t>Generation with positive wider tariffs</w:t>
      </w:r>
      <w:bookmarkEnd w:id="283"/>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STTEC).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84" w:name="_Ref272935596"/>
      <w:r>
        <w:t>The short-term chargeable capacity for Power Stations situated with positive generation tariffs is any approved STTEC or LDTEC applicable to that Power Station during a valid STTEC Period or LDTEC Period, as appropriate.</w:t>
      </w:r>
      <w:bookmarkEnd w:id="284"/>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87" w:name="_Toc49661143"/>
      <w:bookmarkStart w:id="288" w:name="_Toc274049719"/>
      <w:r w:rsidRPr="004248A1">
        <w:rPr>
          <w:rFonts w:ascii="Arial" w:hAnsi="Arial" w:cs="Arial"/>
          <w:b/>
        </w:rPr>
        <w:t xml:space="preserve">Generation with negative wider </w:t>
      </w:r>
      <w:bookmarkEnd w:id="287"/>
      <w:r w:rsidRPr="004248A1">
        <w:rPr>
          <w:rFonts w:ascii="Arial" w:hAnsi="Arial" w:cs="Arial"/>
          <w:b/>
        </w:rPr>
        <w:t>tariffs</w:t>
      </w:r>
      <w:bookmarkEnd w:id="288"/>
    </w:p>
    <w:p w14:paraId="5B84D42C" w14:textId="77777777" w:rsidR="006661FE" w:rsidRDefault="006661FE" w:rsidP="007D27B2">
      <w:pPr>
        <w:pStyle w:val="1"/>
        <w:numPr>
          <w:ilvl w:val="0"/>
          <w:numId w:val="73"/>
        </w:numPr>
        <w:jc w:val="both"/>
      </w:pPr>
      <w:bookmarkStart w:id="289"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w:t>
      </w:r>
      <w:proofErr w:type="gramStart"/>
      <w:r>
        <w:t>i.e.</w:t>
      </w:r>
      <w:proofErr w:type="gramEnd"/>
      <w:r>
        <w:t xml:space="preserv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90"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90"/>
    </w:p>
    <w:bookmarkEnd w:id="289"/>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91" w:name="_Toc274049720"/>
      <w:r>
        <w:t>Basis of Local Generation Charges</w:t>
      </w:r>
      <w:bookmarkEnd w:id="291"/>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92" w:name="_Toc497131273"/>
      <w:bookmarkStart w:id="293" w:name="_Toc32201095"/>
      <w:bookmarkStart w:id="294" w:name="_Toc49661145"/>
      <w:bookmarkStart w:id="295" w:name="_Toc274049722"/>
      <w:bookmarkStart w:id="296" w:name="_Hlt497625183"/>
      <w:r>
        <w:t>Monthly Charges</w:t>
      </w:r>
      <w:bookmarkEnd w:id="292"/>
      <w:bookmarkEnd w:id="293"/>
      <w:bookmarkEnd w:id="294"/>
      <w:bookmarkEnd w:id="295"/>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97" w:name="_Hlt532284319"/>
      <w:bookmarkStart w:id="298" w:name="_Ref272933161"/>
      <w:bookmarkEnd w:id="297"/>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98"/>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99" w:name="_Toc274049723"/>
      <w:r>
        <w:t>Ad hoc Charges</w:t>
      </w:r>
      <w:bookmarkEnd w:id="299"/>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5"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 xml:space="preserve">17 weeks at the 100MW </w:t>
            </w:r>
            <w:proofErr w:type="gramStart"/>
            <w:r w:rsidRPr="002A1B08">
              <w:rPr>
                <w:rFonts w:ascii="Arial" w:hAnsi="Arial" w:cs="Arial"/>
                <w:sz w:val="22"/>
                <w:szCs w:val="22"/>
              </w:rPr>
              <w:t>increment</w:t>
            </w:r>
            <w:proofErr w:type="gramEnd"/>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 xml:space="preserve">19 weeks at the 100MW </w:t>
            </w:r>
            <w:proofErr w:type="gramStart"/>
            <w:r w:rsidRPr="002A1B08">
              <w:rPr>
                <w:rFonts w:ascii="Arial" w:hAnsi="Arial" w:cs="Arial"/>
                <w:sz w:val="22"/>
                <w:szCs w:val="22"/>
              </w:rPr>
              <w:t>increment</w:t>
            </w:r>
            <w:proofErr w:type="gramEnd"/>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00" w:name="_Toc274049724"/>
      <w:r w:rsidRPr="00FE2E3E">
        <w:t>Embedded Transmission Use of System Charges “</w:t>
      </w:r>
      <w:proofErr w:type="spellStart"/>
      <w:r w:rsidRPr="00FE2E3E">
        <w:t>ETUoS</w:t>
      </w:r>
      <w:proofErr w:type="spellEnd"/>
      <w:r w:rsidRPr="00FE2E3E">
        <w:t>”</w:t>
      </w:r>
      <w:bookmarkEnd w:id="300"/>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01"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301"/>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302" w:name="_Hlk155617635"/>
      <w:r w:rsidR="00CC06E2" w:rsidRPr="00CD5631">
        <w:rPr>
          <w:u w:val="single"/>
          <w:vertAlign w:val="subscript"/>
        </w:rPr>
        <w:t>DNO</w:t>
      </w:r>
      <w:bookmarkEnd w:id="302"/>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03" w:name="_Toc32201096"/>
      <w:bookmarkStart w:id="304" w:name="_Toc49661146"/>
      <w:bookmarkStart w:id="305" w:name="_Toc274049725"/>
      <w:r>
        <w:t>Reconciliation of Generation Charges</w:t>
      </w:r>
      <w:bookmarkEnd w:id="303"/>
      <w:bookmarkEnd w:id="304"/>
      <w:bookmarkEnd w:id="305"/>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477A40F"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648E3">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06" w:name="_Toc32201097"/>
      <w:bookmarkStart w:id="307" w:name="_Toc49661147"/>
      <w:bookmarkStart w:id="308" w:name="_Toc274049726"/>
      <w:bookmarkEnd w:id="296"/>
      <w:r>
        <w:t>Further Information</w:t>
      </w:r>
      <w:bookmarkEnd w:id="306"/>
      <w:bookmarkEnd w:id="307"/>
      <w:bookmarkEnd w:id="308"/>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09" w:name="_Toc32201098"/>
      <w:r>
        <w:br w:type="page"/>
      </w:r>
      <w:bookmarkStart w:id="310" w:name="_Toc49661148"/>
      <w:bookmarkStart w:id="311" w:name="_Toc274049727"/>
      <w:r w:rsidRPr="00FE40FB">
        <w:rPr>
          <w:color w:val="auto"/>
          <w:sz w:val="28"/>
          <w:szCs w:val="28"/>
        </w:rPr>
        <w:lastRenderedPageBreak/>
        <w:t>14.19 Data Requirements</w:t>
      </w:r>
      <w:bookmarkEnd w:id="309"/>
      <w:bookmarkEnd w:id="310"/>
      <w:bookmarkEnd w:id="311"/>
    </w:p>
    <w:p w14:paraId="1B1F56AD" w14:textId="77777777" w:rsidR="006661FE" w:rsidRDefault="006661FE" w:rsidP="006661FE">
      <w:pPr>
        <w:pStyle w:val="Heading2"/>
      </w:pPr>
    </w:p>
    <w:p w14:paraId="1C4CFCE6" w14:textId="77777777" w:rsidR="006661FE" w:rsidRDefault="006661FE" w:rsidP="006661FE">
      <w:pPr>
        <w:pStyle w:val="Heading2"/>
      </w:pPr>
      <w:bookmarkStart w:id="312" w:name="_Toc32201099"/>
      <w:bookmarkStart w:id="313" w:name="_Toc49661149"/>
      <w:bookmarkStart w:id="314" w:name="_Toc274049728"/>
      <w:r>
        <w:t>Data Required for Charge Setting</w:t>
      </w:r>
      <w:bookmarkEnd w:id="312"/>
      <w:bookmarkEnd w:id="313"/>
      <w:bookmarkEnd w:id="314"/>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Users who are owners or operators of a User System (</w:t>
      </w:r>
      <w:proofErr w:type="gramStart"/>
      <w:r>
        <w:t>e.g.</w:t>
      </w:r>
      <w:proofErr w:type="gramEnd"/>
      <w:r>
        <w:t xml:space="preserve">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15" w:name="_Toc32201100"/>
      <w:bookmarkStart w:id="316" w:name="_Toc49661150"/>
      <w:bookmarkStart w:id="317" w:name="_Toc274049729"/>
      <w:r>
        <w:t>Data Required for Calculating Users’ Charges</w:t>
      </w:r>
      <w:bookmarkEnd w:id="315"/>
      <w:bookmarkEnd w:id="316"/>
      <w:bookmarkEnd w:id="317"/>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18" w:name="_Toc32201101"/>
      <w:r>
        <w:br w:type="page"/>
      </w:r>
      <w:bookmarkStart w:id="319" w:name="_Toc49661151"/>
      <w:bookmarkStart w:id="320" w:name="_Toc274049730"/>
      <w:r w:rsidRPr="00FE40FB">
        <w:rPr>
          <w:color w:val="auto"/>
          <w:sz w:val="28"/>
          <w:szCs w:val="28"/>
        </w:rPr>
        <w:lastRenderedPageBreak/>
        <w:t>14.20 Applications</w:t>
      </w:r>
      <w:bookmarkEnd w:id="318"/>
      <w:bookmarkEnd w:id="319"/>
      <w:bookmarkEnd w:id="320"/>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21" w:name="_Ref531603538"/>
      <w:bookmarkStart w:id="322" w:name="_Toc32201102"/>
      <w:r>
        <w:br w:type="page"/>
      </w:r>
      <w:bookmarkStart w:id="323" w:name="_Toc49661152"/>
      <w:bookmarkStart w:id="324" w:name="_Toc274049731"/>
      <w:bookmarkEnd w:id="321"/>
      <w:bookmarkEnd w:id="322"/>
      <w:r w:rsidRPr="00FE40FB">
        <w:rPr>
          <w:color w:val="auto"/>
        </w:rPr>
        <w:lastRenderedPageBreak/>
        <w:t xml:space="preserve">14.21 </w:t>
      </w:r>
      <w:r w:rsidRPr="00FE40FB">
        <w:rPr>
          <w:color w:val="auto"/>
          <w:sz w:val="28"/>
          <w:szCs w:val="28"/>
        </w:rPr>
        <w:t>Transport Model Example</w:t>
      </w:r>
      <w:bookmarkEnd w:id="323"/>
      <w:bookmarkEnd w:id="324"/>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6" o:title=""/>
            <w10:wrap type="topAndBottom"/>
          </v:shape>
          <o:OLEObject Type="Embed" ProgID="Visio.Drawing.5" ShapeID="_x0000_s2055" DrawAspect="Content" ObjectID="_1781528840" r:id="rId87"/>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C8622"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4BBA99"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BFACA9"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 xml:space="preserve">Denotes </w:t>
      </w:r>
      <w:proofErr w:type="gramStart"/>
      <w:r w:rsidR="006661FE" w:rsidRPr="00887323">
        <w:rPr>
          <w:rFonts w:ascii="Arial" w:hAnsi="Arial" w:cs="Arial"/>
          <w:sz w:val="22"/>
        </w:rPr>
        <w:t>cable</w:t>
      </w:r>
      <w:proofErr w:type="gramEnd"/>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w:t>
      </w:r>
      <w:proofErr w:type="gramStart"/>
      <w:r>
        <w:rPr>
          <w:rFonts w:ascii="Arial" w:hAnsi="Arial" w:cs="Arial"/>
          <w:sz w:val="22"/>
        </w:rPr>
        <w:t xml:space="preserve">Round </w:t>
      </w:r>
      <w:r w:rsidR="006661FE" w:rsidRPr="004248A1">
        <w:rPr>
          <w:rFonts w:ascii="Arial" w:hAnsi="Arial" w:cs="Arial"/>
          <w:sz w:val="22"/>
        </w:rPr>
        <w:t xml:space="preserve"> generation</w:t>
      </w:r>
      <w:proofErr w:type="gramEnd"/>
      <w:r w:rsidR="006661FE" w:rsidRPr="004248A1">
        <w:rPr>
          <w:rFonts w:ascii="Arial" w:hAnsi="Arial" w:cs="Arial"/>
          <w:sz w:val="22"/>
        </w:rPr>
        <w:t xml:space="preserve">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00BE1EF5" w:rsidRPr="00BE1EF5">
        <w:rPr>
          <w:rFonts w:ascii="Arial" w:hAnsi="Arial" w:cs="Arial"/>
        </w:rPr>
        <w:t xml:space="preserve"> </w:t>
      </w:r>
      <w:r w:rsidR="00BE1EF5">
        <w:rPr>
          <w:rFonts w:ascii="Arial" w:hAnsi="Arial" w:cs="Arial"/>
          <w:sz w:val="22"/>
        </w:rPr>
        <w:t>,</w:t>
      </w:r>
      <w:proofErr w:type="gramEnd"/>
      <w:r w:rsidR="00BE1EF5">
        <w:rPr>
          <w:rFonts w:ascii="Arial" w:hAnsi="Arial" w:cs="Arial"/>
          <w:sz w:val="22"/>
        </w:rPr>
        <w:t xml:space="preserve">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8" o:title=""/>
            <w10:wrap type="topAndBottom"/>
          </v:shape>
          <o:OLEObject Type="Embed" ProgID="Visio.Drawing.5" ShapeID="_x0000_s2056" DrawAspect="Content" ObjectID="_1781528841" r:id="rId89"/>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90" o:title=""/>
            <w10:wrap type="topAndBottom"/>
          </v:shape>
          <o:OLEObject Type="Embed" ProgID="Visio.Drawing.6" ShapeID="_x0000_s2433" DrawAspect="Content" ObjectID="_1781528842" r:id="rId91"/>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92" o:title=""/>
            <w10:wrap type="topAndBottom"/>
          </v:shape>
          <o:OLEObject Type="Embed" ProgID="Visio.Drawing.6" ShapeID="_x0000_s2435" DrawAspect="Content" ObjectID="_1781528843" r:id="rId93"/>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4" o:title=""/>
            <w10:wrap type="topAndBottom"/>
          </v:shape>
          <o:OLEObject Type="Embed" ProgID="Visio.Drawing.6" ShapeID="_x0000_s2436" DrawAspect="Content" ObjectID="_1781528844" r:id="rId95"/>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xml:space="preserve">= </w:t>
      </w:r>
      <w:r w:rsidR="002412ED">
        <w:rPr>
          <w:rFonts w:ascii="Arial" w:hAnsi="Arial"/>
          <w:sz w:val="22"/>
        </w:rPr>
        <w:t xml:space="preserve"> 262</w:t>
      </w:r>
      <w:proofErr w:type="gramEnd"/>
      <w:r w:rsidR="002412ED">
        <w:rPr>
          <w:rFonts w:ascii="Arial" w:hAnsi="Arial"/>
          <w:sz w:val="22"/>
        </w:rPr>
        <w:t>.5MW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6" o:title=""/>
            <w10:wrap type="topAndBottom"/>
          </v:shape>
          <o:OLEObject Type="Embed" ProgID="Visio.Drawing.6" ShapeID="_x0000_s2437" DrawAspect="Content" ObjectID="_1781528845" r:id="rId97"/>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proofErr w:type="gramStart"/>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w:t>
      </w:r>
      <w:proofErr w:type="gramEnd"/>
      <w:r>
        <w:rPr>
          <w:rFonts w:ascii="Arial" w:hAnsi="Arial"/>
          <w:sz w:val="22"/>
        </w:rPr>
        <w:t>)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w:t>
      </w:r>
      <w:proofErr w:type="gramStart"/>
      <w:r>
        <w:rPr>
          <w:rFonts w:ascii="Arial" w:hAnsi="Arial"/>
          <w:sz w:val="22"/>
        </w:rPr>
        <w:t>base</w:t>
      </w:r>
      <w:proofErr w:type="gramEnd"/>
      <w:r>
        <w:rPr>
          <w:rFonts w:ascii="Arial" w:hAnsi="Arial"/>
          <w:sz w:val="22"/>
        </w:rPr>
        <w:t xml:space="preserv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w:t>
      </w:r>
      <w:proofErr w:type="gramStart"/>
      <w:r>
        <w:rPr>
          <w:rFonts w:ascii="Arial" w:hAnsi="Arial" w:cs="Arial"/>
          <w:i w:val="0"/>
        </w:rPr>
        <w:t>10  =</w:t>
      </w:r>
      <w:proofErr w:type="gramEnd"/>
      <w:r>
        <w:rPr>
          <w:rFonts w:ascii="Arial" w:hAnsi="Arial" w:cs="Arial"/>
          <w:i w:val="0"/>
        </w:rPr>
        <w:t xml:space="preserve">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w:t>
      </w:r>
      <w:proofErr w:type="gramStart"/>
      <w:r>
        <w:rPr>
          <w:rFonts w:ascii="Arial" w:hAnsi="Arial" w:cs="Arial"/>
          <w:i w:val="0"/>
        </w:rPr>
        <w:t>base</w:t>
      </w:r>
      <w:proofErr w:type="gramEnd"/>
      <w:r>
        <w:rPr>
          <w:rFonts w:ascii="Arial" w:hAnsi="Arial" w:cs="Arial"/>
          <w:i w:val="0"/>
        </w:rPr>
        <w:t xml:space="preserv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xml:space="preserve">.  The </w:t>
      </w:r>
      <w:proofErr w:type="gramStart"/>
      <w:r w:rsidRPr="00E010AE">
        <w:rPr>
          <w:rFonts w:ascii="Arial" w:hAnsi="Arial" w:cs="Arial"/>
          <w:i w:val="0"/>
        </w:rPr>
        <w:t>difference  from</w:t>
      </w:r>
      <w:proofErr w:type="gramEnd"/>
      <w:r w:rsidRPr="00E010AE">
        <w:rPr>
          <w:rFonts w:ascii="Arial" w:hAnsi="Arial" w:cs="Arial"/>
          <w:i w:val="0"/>
        </w:rPr>
        <w:t xml:space="preserve">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DE8E65"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67BCAC5C"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25" w:name="_Toc32201103"/>
      <w:r>
        <w:br w:type="page"/>
      </w:r>
      <w:bookmarkStart w:id="326" w:name="_Toc49661153"/>
      <w:bookmarkStart w:id="327" w:name="_Toc274049732"/>
      <w:r w:rsidR="00CD2194" w:rsidRPr="00C5521A">
        <w:rPr>
          <w:color w:val="auto"/>
        </w:rPr>
        <w:lastRenderedPageBreak/>
        <w:t xml:space="preserve">14.22 Illustrative Calculation of Boundary Sharing Factors (BSFs) and Shared / Not-Shared incremental </w:t>
      </w:r>
      <w:proofErr w:type="gramStart"/>
      <w:r w:rsidR="00CD2194" w:rsidRPr="00C5521A">
        <w:rPr>
          <w:color w:val="auto"/>
        </w:rPr>
        <w:t>km</w:t>
      </w:r>
      <w:proofErr w:type="gramEnd"/>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 For Boundary AB (where 50MW of the generation is Low Carbon (LC) and 0MW of the generation is Carbon (C) and Year Round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325"/>
      <w:bookmarkEnd w:id="326"/>
      <w:bookmarkEnd w:id="327"/>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9A2C6"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r3E68MwCAADY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328" w:name="_Toc32201104"/>
      <w:bookmarkStart w:id="329" w:name="_Toc49661154"/>
      <w:bookmarkStart w:id="330"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328"/>
      <w:bookmarkEnd w:id="329"/>
      <w:bookmarkEnd w:id="330"/>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 xml:space="preserve">in this </w:t>
      </w:r>
      <w:proofErr w:type="gramStart"/>
      <w:r w:rsidR="0070624C">
        <w:rPr>
          <w:rFonts w:ascii="Arial" w:hAnsi="Arial"/>
          <w:sz w:val="22"/>
        </w:rPr>
        <w:t>example</w:t>
      </w:r>
      <w:proofErr w:type="gramEnd"/>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 xml:space="preserve">calculate the demand weighted nodal shadow </w:t>
      </w:r>
      <w:proofErr w:type="gramStart"/>
      <w:r>
        <w:rPr>
          <w:rFonts w:ascii="Arial" w:hAnsi="Arial"/>
          <w:sz w:val="22"/>
        </w:rPr>
        <w:t>costs</w:t>
      </w:r>
      <w:proofErr w:type="gramEnd"/>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Year Round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331" w:name="_Ref491664379"/>
      <w:bookmarkStart w:id="332" w:name="_Toc32201105"/>
      <w:r w:rsidRPr="004248A1">
        <w:rPr>
          <w:rFonts w:ascii="Arial" w:hAnsi="Arial" w:cs="Arial"/>
          <w:sz w:val="22"/>
          <w:szCs w:val="22"/>
        </w:rPr>
        <w:br w:type="page"/>
      </w:r>
      <w:bookmarkStart w:id="333" w:name="_Toc49661155"/>
      <w:bookmarkStart w:id="334"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331"/>
      <w:bookmarkEnd w:id="332"/>
      <w:bookmarkEnd w:id="333"/>
      <w:bookmarkEnd w:id="334"/>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335" w:name="_Hlt479666837"/>
      <w:bookmarkStart w:id="336" w:name="_Hlt506623598"/>
      <w:bookmarkEnd w:id="335"/>
      <w:bookmarkEnd w:id="336"/>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37" w:name="_Toc946728"/>
    </w:p>
    <w:p w14:paraId="2D914181" w14:textId="77777777" w:rsidR="006661FE" w:rsidRPr="004248A1" w:rsidRDefault="006661FE" w:rsidP="006661FE">
      <w:pPr>
        <w:pStyle w:val="Heading2"/>
        <w:rPr>
          <w:rFonts w:ascii="Arial" w:hAnsi="Arial" w:cs="Arial"/>
        </w:rPr>
      </w:pPr>
      <w:bookmarkStart w:id="338" w:name="_Toc32201106"/>
      <w:bookmarkStart w:id="339" w:name="_Toc49661156"/>
      <w:bookmarkStart w:id="340" w:name="_Toc274049735"/>
      <w:r w:rsidRPr="004248A1">
        <w:rPr>
          <w:rFonts w:ascii="Arial" w:hAnsi="Arial" w:cs="Arial"/>
        </w:rPr>
        <w:t>Monthly Charges</w:t>
      </w:r>
      <w:bookmarkEnd w:id="337"/>
      <w:bookmarkEnd w:id="338"/>
      <w:bookmarkEnd w:id="339"/>
      <w:bookmarkEnd w:id="340"/>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proofErr w:type="gramStart"/>
            <w:r>
              <w:rPr>
                <w:rFonts w:ascii="Arial" w:hAnsi="Arial"/>
                <w:sz w:val="22"/>
              </w:rPr>
              <w:t>NHHC</w:t>
            </w:r>
            <w:r>
              <w:rPr>
                <w:rFonts w:ascii="Arial" w:hAnsi="Arial"/>
                <w:sz w:val="22"/>
                <w:vertAlign w:val="subscript"/>
              </w:rPr>
              <w:t>F</w:t>
            </w:r>
            <w:r>
              <w:rPr>
                <w:rFonts w:ascii="Arial" w:hAnsi="Arial"/>
                <w:sz w:val="22"/>
              </w:rPr>
              <w:t>(</w:t>
            </w:r>
            <w:proofErr w:type="gramEnd"/>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w:t>
      </w:r>
      <w:proofErr w:type="gramStart"/>
      <w:r w:rsidRPr="004248A1">
        <w:rPr>
          <w:rFonts w:ascii="Arial" w:hAnsi="Arial" w:cs="Arial"/>
          <w:sz w:val="22"/>
        </w:rPr>
        <w:t>right hand</w:t>
      </w:r>
      <w:proofErr w:type="gramEnd"/>
      <w:r w:rsidRPr="004248A1">
        <w:rPr>
          <w:rFonts w:ascii="Arial" w:hAnsi="Arial" w:cs="Arial"/>
          <w:sz w:val="22"/>
        </w:rPr>
        <w:t xml:space="preserve">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341" w:name="_Toc946729"/>
      <w:bookmarkStart w:id="342" w:name="_Toc32201107"/>
      <w:bookmarkStart w:id="343" w:name="_Toc49661157"/>
      <w:bookmarkStart w:id="344" w:name="_Toc274049736"/>
      <w:r>
        <w:t>Initial Reconciliation (Part 1</w:t>
      </w:r>
      <w:r w:rsidR="003A0CB9">
        <w:t>a</w:t>
      </w:r>
      <w:r>
        <w:t>)</w:t>
      </w:r>
      <w:bookmarkEnd w:id="341"/>
      <w:bookmarkEnd w:id="342"/>
      <w:bookmarkEnd w:id="343"/>
      <w:bookmarkEnd w:id="344"/>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345" w:name="_Toc946730"/>
      <w:bookmarkStart w:id="346" w:name="_Toc32201108"/>
      <w:bookmarkStart w:id="347" w:name="_Toc49661158"/>
      <w:bookmarkStart w:id="348" w:name="_Toc274049737"/>
      <w:r w:rsidRPr="008E4447">
        <w:rPr>
          <w:rFonts w:ascii="Arial" w:hAnsi="Arial" w:cs="Arial"/>
          <w:szCs w:val="22"/>
        </w:rPr>
        <w:t>Initial Reconciliation (Part 2)</w:t>
      </w:r>
      <w:bookmarkEnd w:id="345"/>
      <w:bookmarkEnd w:id="346"/>
      <w:bookmarkEnd w:id="347"/>
      <w:bookmarkEnd w:id="348"/>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000000" w:rsidP="00FD5479">
      <w:pPr>
        <w:pStyle w:val="Header"/>
        <w:tabs>
          <w:tab w:val="left" w:pos="2835"/>
        </w:tabs>
        <w:ind w:left="3402" w:hanging="3402"/>
        <w:jc w:val="center"/>
        <w:rPr>
          <w:rFonts w:ascii="Arial" w:hAnsi="Arial" w:cs="Arial"/>
          <w:b/>
          <w:szCs w:val="22"/>
        </w:rPr>
      </w:pPr>
      <w:hyperlink r:id="rId108" w:anchor="Initial!J104" w:history="1">
        <w:r w:rsidR="00FD5479">
          <w:rPr>
            <w:rStyle w:val="Hyperlink"/>
            <w:sz w:val="20"/>
          </w:rPr>
          <w:t xml:space="preserve">worked example 4.xls - </w:t>
        </w:r>
        <w:proofErr w:type="gramStart"/>
        <w:r w:rsidR="00FD5479">
          <w:rPr>
            <w:rStyle w:val="Hyperlink"/>
            <w:sz w:val="20"/>
          </w:rPr>
          <w:t>Initial!J</w:t>
        </w:r>
        <w:proofErr w:type="gramEnd"/>
        <w:r w:rsidR="00FD5479">
          <w:rPr>
            <w:rStyle w:val="Hyperlink"/>
            <w:sz w:val="20"/>
          </w:rPr>
          <w:t>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349" w:name="_Toc946732"/>
      <w:bookmarkStart w:id="350" w:name="_Toc32201109"/>
      <w:bookmarkStart w:id="351"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w:t>
      </w:r>
      <w:proofErr w:type="gramStart"/>
      <w:r w:rsidR="0022187C">
        <w:rPr>
          <w:rFonts w:ascii="Arial" w:hAnsi="Arial" w:cs="Arial"/>
        </w:rPr>
        <w:t>follows;</w:t>
      </w:r>
      <w:proofErr w:type="gramEnd"/>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 xml:space="preserve">Transmission Demand Residual charges will be the sum of the charges for each Charging Band, </w:t>
      </w:r>
      <w:proofErr w:type="gramStart"/>
      <w:r>
        <w:rPr>
          <w:rFonts w:ascii="Arial" w:hAnsi="Arial" w:cs="Arial"/>
          <w:bCs/>
        </w:rPr>
        <w:t>therefore;</w:t>
      </w:r>
      <w:proofErr w:type="gramEnd"/>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349"/>
    <w:bookmarkEnd w:id="350"/>
    <w:bookmarkEnd w:id="351"/>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52" w:name="_Ref531684937"/>
      <w:bookmarkStart w:id="353" w:name="_Toc32201110"/>
      <w:r w:rsidRPr="008E4447">
        <w:rPr>
          <w:rFonts w:ascii="Arial" w:hAnsi="Arial" w:cs="Arial"/>
          <w:sz w:val="22"/>
          <w:szCs w:val="22"/>
        </w:rPr>
        <w:br w:type="page"/>
      </w:r>
      <w:bookmarkStart w:id="354" w:name="_Toc274049739"/>
      <w:bookmarkStart w:id="355"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54"/>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b6jGQ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CtX2Ks+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FD5D3A"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OEYzX4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51855"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oiz9g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8SB9c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zxXjw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y/q9A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AYI2I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5Tb9A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4359A0"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6qsHMx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rl8t8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VPvFw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dDnyWkL1QMwijM6lSaOgBfzLWU+uLbj/cxCoODNfLKmTyCSbp81ieTUnYvEyU15m&#10;hJUEVfDA2RjuwjgaB4e6aeml0Q8WbkjRWie2n6s61U/OTCKcpiha/3KfTj3P+vYR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iRU+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UBf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8nmeNWCdWBpEU4GpYeGC1awF+c9WTWgvufW4GKM/PJ0ngWo8kkujsFSVrO8DpTXmeE&#10;lQRV8MDZcbkOxxexdaiblm4aJTksPNBIa53UfmV14k+GTEM4PZ7o+Os4Vb0+8dVv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Va1AX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sjt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ebwceS2heiBmEUbn0qRR0AL+5awn1xbc/zkIVJyZL5bUSWSSzdNmsbyaE7F4mSkv&#10;M8JKgip44GwMd2EcjYND3bT00ugHCzekaK0T289VneonZyYRTlMUrX+5T6eeZ337C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SQrI7R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56" w:name="_Hlt501343668"/>
      <w:bookmarkStart w:id="357" w:name="_Hlt488742812"/>
      <w:bookmarkStart w:id="358" w:name="_Toc32201111"/>
      <w:bookmarkStart w:id="359" w:name="_Toc49661161"/>
      <w:bookmarkStart w:id="360" w:name="_Toc274049740"/>
      <w:bookmarkEnd w:id="352"/>
      <w:bookmarkEnd w:id="353"/>
      <w:bookmarkEnd w:id="355"/>
      <w:bookmarkEnd w:id="356"/>
      <w:bookmarkEnd w:id="357"/>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58"/>
      <w:bookmarkEnd w:id="359"/>
      <w:bookmarkEnd w:id="360"/>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61" w:name="_Toc32201112"/>
      <w:bookmarkStart w:id="362" w:name="_Toc49661162"/>
      <w:bookmarkStart w:id="363" w:name="_Toc274049741"/>
      <w:r>
        <w:t>Demand Charges</w:t>
      </w:r>
      <w:bookmarkEnd w:id="361"/>
      <w:bookmarkEnd w:id="362"/>
      <w:bookmarkEnd w:id="363"/>
    </w:p>
    <w:p w14:paraId="6FFEEB6C" w14:textId="77777777" w:rsidR="00E010AE" w:rsidRDefault="00000000" w:rsidP="006661FE">
      <w:pPr>
        <w:pStyle w:val="1"/>
        <w:jc w:val="both"/>
      </w:pPr>
      <w:bookmarkStart w:id="364" w:name="_Toc32201113"/>
      <w:bookmarkStart w:id="365" w:name="_Toc49661163"/>
      <w:r>
        <w:rPr>
          <w:noProof/>
          <w:sz w:val="20"/>
        </w:rPr>
        <w:object w:dxaOrig="1440" w:dyaOrig="1440" w14:anchorId="095B0C15">
          <v:shape id="_x0000_s2083" type="#_x0000_t75" style="position:absolute;left:0;text-align:left;margin-left:-18pt;margin-top:17.7pt;width:570.95pt;height:585pt;z-index:251658266">
            <v:imagedata r:id="rId109" o:title=""/>
            <w10:wrap type="topAndBottom"/>
          </v:shape>
          <o:OLEObject Type="Embed" ProgID="Visio.Drawing.6" ShapeID="_x0000_s2083" DrawAspect="Content" ObjectID="_1781528846" r:id="rId110"/>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66" w:name="OLE_LINK9"/>
      <w:bookmarkStart w:id="367" w:name="OLE_LINK12"/>
      <w:bookmarkEnd w:id="364"/>
      <w:bookmarkEnd w:id="365"/>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66"/>
      <w:bookmarkEnd w:id="367"/>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68"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68"/>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69"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69"/>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70"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370"/>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71"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71"/>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72" w:name="_Toc70749747"/>
      <w:bookmarkStart w:id="373"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372"/>
      <w:bookmarkEnd w:id="373"/>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74"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374"/>
    </w:p>
    <w:p w14:paraId="70CE6CDB" w14:textId="77777777" w:rsidR="006661FE" w:rsidRDefault="006661FE">
      <w:pPr>
        <w:pStyle w:val="1"/>
        <w:jc w:val="both"/>
      </w:pPr>
    </w:p>
    <w:p w14:paraId="3A32FE67" w14:textId="77777777" w:rsidR="006661FE" w:rsidRPr="007B2988" w:rsidRDefault="006661FE" w:rsidP="006661FE">
      <w:pPr>
        <w:pStyle w:val="Heading2"/>
      </w:pPr>
      <w:bookmarkStart w:id="375" w:name="_Toc274049748"/>
      <w:r w:rsidRPr="007B2988">
        <w:t>Stability of tariffs</w:t>
      </w:r>
      <w:bookmarkEnd w:id="375"/>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w:t>
      </w:r>
      <w:proofErr w:type="gramStart"/>
      <w:r w:rsidRPr="007B2988">
        <w:rPr>
          <w:rFonts w:ascii="Arial" w:hAnsi="Arial" w:cs="Arial"/>
          <w:sz w:val="22"/>
          <w:szCs w:val="22"/>
        </w:rPr>
        <w:t>period</w:t>
      </w:r>
      <w:proofErr w:type="gramEnd"/>
      <w:r w:rsidRPr="007B2988">
        <w:rPr>
          <w:rFonts w:ascii="Arial" w:hAnsi="Arial" w:cs="Arial"/>
          <w:sz w:val="22"/>
          <w:szCs w:val="22"/>
        </w:rPr>
        <w:t xml:space="preserve">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w:t>
      </w:r>
      <w:proofErr w:type="gramStart"/>
      <w:r>
        <w:rPr>
          <w:rFonts w:ascii="Arial" w:hAnsi="Arial" w:cs="Arial"/>
          <w:sz w:val="22"/>
          <w:szCs w:val="22"/>
        </w:rPr>
        <w:t>period</w:t>
      </w:r>
      <w:proofErr w:type="gramEnd"/>
    </w:p>
    <w:p w14:paraId="14B0FFD1" w14:textId="77777777" w:rsidR="006661FE" w:rsidRPr="007B2988" w:rsidRDefault="006661FE" w:rsidP="006661FE">
      <w:pPr>
        <w:pStyle w:val="Heading2"/>
      </w:pPr>
      <w:bookmarkStart w:id="376" w:name="_Toc274049749"/>
      <w:r w:rsidRPr="007B2988">
        <w:t>Predictability of tariffs</w:t>
      </w:r>
      <w:bookmarkEnd w:id="376"/>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w:t>
      </w:r>
      <w:proofErr w:type="gramStart"/>
      <w:r w:rsidR="006661FE" w:rsidRPr="007B2988">
        <w:rPr>
          <w:rFonts w:ascii="Arial" w:hAnsi="Arial" w:cs="Arial"/>
          <w:sz w:val="22"/>
          <w:szCs w:val="22"/>
        </w:rPr>
        <w:t>take into account</w:t>
      </w:r>
      <w:proofErr w:type="gramEnd"/>
      <w:r w:rsidR="006661FE" w:rsidRPr="007B2988">
        <w:rPr>
          <w:rFonts w:ascii="Arial" w:hAnsi="Arial" w:cs="Arial"/>
          <w:sz w:val="22"/>
          <w:szCs w:val="22"/>
        </w:rPr>
        <w:t xml:space="preserve">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w:t>
      </w:r>
      <w:proofErr w:type="gramStart"/>
      <w:r w:rsidR="006661FE" w:rsidRPr="007B2988">
        <w:rPr>
          <w:rFonts w:ascii="Arial" w:hAnsi="Arial" w:cs="Arial"/>
          <w:sz w:val="22"/>
          <w:szCs w:val="22"/>
        </w:rPr>
        <w:t>a number of</w:t>
      </w:r>
      <w:proofErr w:type="gramEnd"/>
      <w:r w:rsidR="006661FE" w:rsidRPr="007B2988">
        <w:rPr>
          <w:rFonts w:ascii="Arial" w:hAnsi="Arial" w:cs="Arial"/>
          <w:sz w:val="22"/>
          <w:szCs w:val="22"/>
        </w:rPr>
        <w:t xml:space="preserve">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w:t>
      </w:r>
      <w:proofErr w:type="spellStart"/>
      <w:r w:rsidR="006661FE" w:rsidRPr="007B2988">
        <w:rPr>
          <w:rFonts w:ascii="Arial" w:hAnsi="Arial" w:cs="Arial"/>
          <w:sz w:val="22"/>
          <w:szCs w:val="22"/>
        </w:rPr>
        <w:t>days notice</w:t>
      </w:r>
      <w:proofErr w:type="spellEnd"/>
      <w:r w:rsidR="006661FE" w:rsidRPr="007B2988">
        <w:rPr>
          <w:rFonts w:ascii="Arial" w:hAnsi="Arial" w:cs="Arial"/>
          <w:sz w:val="22"/>
          <w:szCs w:val="22"/>
        </w:rPr>
        <w:t xml:space="preserv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w:t>
      </w:r>
      <w:proofErr w:type="gramStart"/>
      <w:r w:rsidR="006661FE" w:rsidRPr="007B2988">
        <w:rPr>
          <w:rFonts w:ascii="Arial" w:hAnsi="Arial" w:cs="Arial"/>
          <w:sz w:val="22"/>
          <w:szCs w:val="22"/>
        </w:rPr>
        <w:t xml:space="preserve">an additional </w:t>
      </w:r>
      <w:proofErr w:type="spellStart"/>
      <w:r w:rsidR="006661FE" w:rsidRPr="007B2988">
        <w:rPr>
          <w:rFonts w:ascii="Arial" w:hAnsi="Arial" w:cs="Arial"/>
          <w:sz w:val="22"/>
          <w:szCs w:val="22"/>
        </w:rPr>
        <w:t>months</w:t>
      </w:r>
      <w:proofErr w:type="gramEnd"/>
      <w:r w:rsidR="006661FE" w:rsidRPr="007B2988">
        <w:rPr>
          <w:rFonts w:ascii="Arial" w:hAnsi="Arial" w:cs="Arial"/>
          <w:sz w:val="22"/>
          <w:szCs w:val="22"/>
        </w:rPr>
        <w:t xml:space="preserve"> notice</w:t>
      </w:r>
      <w:proofErr w:type="spellEnd"/>
      <w:r w:rsidR="006661FE" w:rsidRPr="007B298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w:t>
      </w:r>
      <w:proofErr w:type="gramStart"/>
      <w:r w:rsidRPr="007B2988">
        <w:rPr>
          <w:rFonts w:ascii="Arial" w:hAnsi="Arial" w:cs="Arial"/>
          <w:sz w:val="22"/>
          <w:szCs w:val="22"/>
        </w:rPr>
        <w:t>are able to</w:t>
      </w:r>
      <w:proofErr w:type="gramEnd"/>
      <w:r w:rsidRPr="007B298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as a result of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w:t>
      </w:r>
      <w:proofErr w:type="gramStart"/>
      <w:r w:rsidRPr="007B2988">
        <w:rPr>
          <w:rFonts w:ascii="Arial" w:hAnsi="Arial" w:cs="Arial"/>
          <w:sz w:val="22"/>
          <w:szCs w:val="22"/>
        </w:rPr>
        <w:t>to  allow</w:t>
      </w:r>
      <w:proofErr w:type="gramEnd"/>
      <w:r w:rsidRPr="007B2988">
        <w:rPr>
          <w:rFonts w:ascii="Arial" w:hAnsi="Arial" w:cs="Arial"/>
          <w:sz w:val="22"/>
          <w:szCs w:val="22"/>
        </w:rPr>
        <w:t xml:space="preserve">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377" w:name="_Toc3598575"/>
      <w:bookmarkStart w:id="378" w:name="_Toc35675434"/>
      <w:bookmarkStart w:id="379"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77"/>
    <w:bookmarkEnd w:id="378"/>
    <w:bookmarkEnd w:id="379"/>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80" w:name="_Hlt474031874"/>
      <w:bookmarkEnd w:id="380"/>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w:t>
      </w:r>
      <w:proofErr w:type="spellStart"/>
      <w:r>
        <w:t>BSUoS</w:t>
      </w:r>
      <w:proofErr w:type="spellEnd"/>
      <w:r>
        <w:t xml:space="preserve">) </w:t>
      </w:r>
      <w:r w:rsidR="00305F7A">
        <w:t>C</w:t>
      </w:r>
      <w:r>
        <w:t xml:space="preserve">harges.  This statement explains the methodology used </w:t>
      </w:r>
      <w:proofErr w:type="gramStart"/>
      <w:r>
        <w:t>in order to</w:t>
      </w:r>
      <w:proofErr w:type="gramEnd"/>
      <w:r>
        <w:t xml:space="preserve"> calculate the </w:t>
      </w:r>
      <w:proofErr w:type="spellStart"/>
      <w:r>
        <w:t>BSUoS</w:t>
      </w:r>
      <w:proofErr w:type="spellEnd"/>
      <w:r>
        <w:t xml:space="preserve">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w:t>
      </w:r>
      <w:proofErr w:type="spellStart"/>
      <w:r w:rsidR="00750515" w:rsidRPr="00FE60D3">
        <w:t>BSUoS</w:t>
      </w:r>
      <w:proofErr w:type="spellEnd"/>
      <w:r w:rsidR="00750515" w:rsidRPr="00FE60D3">
        <w:t xml:space="preserve">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proofErr w:type="spellStart"/>
      <w:r>
        <w:t>BSUoS</w:t>
      </w:r>
      <w:proofErr w:type="spellEnd"/>
      <w:r>
        <w:t xml:space="preserve"> Charges are calculated on a fixed price basis as described in Section 14.30.</w:t>
      </w:r>
    </w:p>
    <w:p w14:paraId="034D771E" w14:textId="77777777" w:rsidR="00750515" w:rsidRDefault="00750515" w:rsidP="00750515">
      <w:pPr>
        <w:pStyle w:val="1"/>
        <w:jc w:val="both"/>
      </w:pPr>
      <w:bookmarkStart w:id="381"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w:t>
      </w:r>
      <w:proofErr w:type="gramStart"/>
      <w:r w:rsidRPr="00FE60D3">
        <w:rPr>
          <w:rFonts w:ascii="Arial" w:hAnsi="Arial"/>
          <w:sz w:val="22"/>
        </w:rPr>
        <w:t>schemes</w:t>
      </w:r>
      <w:proofErr w:type="gramEnd"/>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381"/>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will be the same for all Settlement Days within the same Fixed Price Period, unless a revised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000000"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proofErr w:type="spellStart"/>
      <w:r>
        <w:t>fBSUoSEXT</w:t>
      </w:r>
      <w:r w:rsidRPr="0085208F">
        <w:rPr>
          <w:vertAlign w:val="subscript"/>
        </w:rPr>
        <w:t>t</w:t>
      </w:r>
      <w:proofErr w:type="spellEnd"/>
      <w:r w:rsidRPr="009F1C91">
        <w:t xml:space="preserve"> </w:t>
      </w:r>
      <w:r>
        <w:t xml:space="preserve">= forecast External </w:t>
      </w:r>
      <w:proofErr w:type="spellStart"/>
      <w:r>
        <w:t>BSUoS</w:t>
      </w:r>
      <w:proofErr w:type="spellEnd"/>
      <w:r>
        <w:t xml:space="preserve"> Costs. The terms which make up External </w:t>
      </w:r>
      <w:proofErr w:type="spellStart"/>
      <w:r>
        <w:t>BSUoS</w:t>
      </w:r>
      <w:proofErr w:type="spellEnd"/>
      <w:r>
        <w:t xml:space="preserve">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proofErr w:type="spellStart"/>
      <w:r w:rsidRPr="009F1C91">
        <w:rPr>
          <w:rFonts w:ascii="Arial (W1)" w:hAnsi="Arial (W1)"/>
          <w:sz w:val="22"/>
          <w:lang w:eastAsia="en-US"/>
        </w:rPr>
        <w:t>fBSUoSINT</w:t>
      </w:r>
      <w:r w:rsidRPr="0085208F">
        <w:rPr>
          <w:rFonts w:ascii="Arial (W1)" w:hAnsi="Arial (W1)"/>
          <w:sz w:val="22"/>
          <w:vertAlign w:val="subscript"/>
          <w:lang w:eastAsia="en-US"/>
        </w:rPr>
        <w:t>t</w:t>
      </w:r>
      <w:proofErr w:type="spellEnd"/>
      <w:r w:rsidRPr="0085208F">
        <w:rPr>
          <w:rFonts w:ascii="Arial (W1)" w:hAnsi="Arial (W1)"/>
          <w:sz w:val="22"/>
          <w:vertAlign w:val="subscript"/>
          <w:lang w:eastAsia="en-US"/>
        </w:rPr>
        <w:t xml:space="preserve"> </w:t>
      </w:r>
      <w:r w:rsidRPr="009F1C91">
        <w:rPr>
          <w:rFonts w:ascii="Arial (W1)" w:hAnsi="Arial (W1)"/>
          <w:sz w:val="22"/>
          <w:lang w:eastAsia="en-US"/>
        </w:rPr>
        <w:t xml:space="preserve">= forecast Internal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amount included to account for over or under recovery, described in Paragraph 14.30.4, is calculated by subtracting the forecast revenue collected via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allocated to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in Fixed Price Periods prior to Fixed Price Period t, from the latest forecast of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as calculated by applying the latest values to the formula in Paragraph 14.30.4, for those same Fixed Price Periods prior to Fixed Price Period t. This is inclusive of any revenue collected from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process described in Paragraph 14.30.5 does not apply to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nine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 xml:space="preserve">graph 14.30.8 does not apply for the first Fixed Price Period, where a notice period of at least six months will be given for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Supplier BM Units and Exempt Export BM Units, prefixed by </w:t>
      </w:r>
      <w:proofErr w:type="spellStart"/>
      <w:r w:rsidRPr="00D66F37">
        <w:rPr>
          <w:rFonts w:ascii="Arial (W1)" w:hAnsi="Arial (W1)"/>
          <w:sz w:val="22"/>
          <w:lang w:eastAsia="en-US"/>
        </w:rPr>
        <w:t>i</w:t>
      </w:r>
      <w:proofErr w:type="spellEnd"/>
      <w:r w:rsidRPr="00D66F37">
        <w:rPr>
          <w:rFonts w:ascii="Arial (W1)" w:hAnsi="Arial (W1)"/>
          <w:sz w:val="22"/>
          <w:lang w:eastAsia="en-US"/>
        </w:rPr>
        <w:t xml:space="preserve">,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Pr>
          <w:rFonts w:ascii="Arial (W1)" w:hAnsi="Arial (W1)"/>
          <w:sz w:val="22"/>
          <w:lang w:eastAsia="en-US"/>
        </w:rPr>
        <w:t>i</w:t>
      </w:r>
      <w:proofErr w:type="spellEnd"/>
      <w:r>
        <w:rPr>
          <w:rFonts w:ascii="Arial (W1)" w:hAnsi="Arial (W1)"/>
          <w:sz w:val="22"/>
          <w:lang w:eastAsia="en-US"/>
        </w:rPr>
        <w:t>,</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FixedBSUoSP</w:t>
      </w:r>
      <w:r w:rsidRPr="00972D70">
        <w:rPr>
          <w:rFonts w:ascii="Arial (W1)" w:hAnsi="Arial (W1)"/>
          <w:sz w:val="22"/>
          <w:vertAlign w:val="subscript"/>
          <w:lang w:eastAsia="en-US"/>
        </w:rPr>
        <w:t>d</w:t>
      </w:r>
      <w:proofErr w:type="spellEnd"/>
      <w:r w:rsidRPr="00972D70">
        <w:rPr>
          <w:rFonts w:ascii="Arial (W1)" w:hAnsi="Arial (W1)"/>
          <w:sz w:val="22"/>
          <w:vertAlign w:val="subscript"/>
          <w:lang w:eastAsia="en-US"/>
        </w:rPr>
        <w:t xml:space="preserve"> </w:t>
      </w:r>
      <w:r w:rsidRPr="00786BBB">
        <w:rPr>
          <w:rFonts w:ascii="Arial (W1)" w:hAnsi="Arial (W1)"/>
          <w:sz w:val="22"/>
          <w:lang w:eastAsia="en-US"/>
        </w:rPr>
        <w:t xml:space="preserve">= the Fixed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proofErr w:type="spellEnd"/>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 xml:space="preserve">Transmission Connected BM Units, prefixed by m,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000000"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BSUoSTOTmd</w:t>
      </w:r>
      <w:proofErr w:type="spellEnd"/>
      <w:r w:rsidRPr="00D66F37">
        <w:rPr>
          <w:rFonts w:ascii="Arial (W1)" w:hAnsi="Arial (W1)"/>
          <w:sz w:val="22"/>
          <w:lang w:eastAsia="en-US"/>
        </w:rPr>
        <w:t xml:space="preserve"> = the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FixedBSUoSPd</w:t>
      </w:r>
      <w:proofErr w:type="spellEnd"/>
      <w:r w:rsidRPr="00D66F37">
        <w:rPr>
          <w:rFonts w:ascii="Arial (W1)" w:hAnsi="Arial (W1)"/>
          <w:sz w:val="22"/>
          <w:lang w:eastAsia="en-US"/>
        </w:rPr>
        <w:t xml:space="preserve"> =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TQMmj</w:t>
      </w:r>
      <w:proofErr w:type="spellEnd"/>
      <w:r w:rsidRPr="00D66F37">
        <w:rPr>
          <w:rFonts w:ascii="Arial (W1)" w:hAnsi="Arial (W1)"/>
          <w:sz w:val="22"/>
          <w:lang w:eastAsia="en-US"/>
        </w:rPr>
        <w:t xml:space="preserve">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a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000000"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BSUoSTOT</w:t>
      </w:r>
      <w:r w:rsidRPr="0085208F">
        <w:rPr>
          <w:rFonts w:ascii="Arial (W1)" w:hAnsi="Arial (W1)"/>
          <w:sz w:val="22"/>
          <w:vertAlign w:val="subscript"/>
          <w:lang w:eastAsia="en-US"/>
        </w:rPr>
        <w:t>cd</w:t>
      </w:r>
      <w:proofErr w:type="spellEnd"/>
      <w:r>
        <w:rPr>
          <w:rFonts w:ascii="Arial (W1)" w:hAnsi="Arial (W1)"/>
          <w:sz w:val="22"/>
          <w:vertAlign w:val="subscript"/>
          <w:lang w:eastAsia="en-US"/>
        </w:rPr>
        <w:t xml:space="preserve"> </w:t>
      </w:r>
      <w:r>
        <w:rPr>
          <w:rFonts w:ascii="Arial (W1)" w:hAnsi="Arial (W1)"/>
          <w:sz w:val="22"/>
          <w:lang w:eastAsia="en-US"/>
        </w:rPr>
        <w:t xml:space="preserve">= the Total </w:t>
      </w:r>
      <w:proofErr w:type="spellStart"/>
      <w:r>
        <w:rPr>
          <w:rFonts w:ascii="Arial (W1)" w:hAnsi="Arial (W1)"/>
          <w:sz w:val="22"/>
          <w:lang w:eastAsia="en-US"/>
        </w:rPr>
        <w:t>BSUoS</w:t>
      </w:r>
      <w:proofErr w:type="spellEnd"/>
      <w:r>
        <w:rPr>
          <w:rFonts w:ascii="Arial (W1)" w:hAnsi="Arial (W1)"/>
          <w:sz w:val="22"/>
          <w:lang w:eastAsia="en-US"/>
        </w:rPr>
        <w:t xml:space="preserve"> Charges for a </w:t>
      </w:r>
      <w:proofErr w:type="spellStart"/>
      <w:r>
        <w:rPr>
          <w:rFonts w:ascii="Arial (W1)" w:hAnsi="Arial (W1)"/>
          <w:sz w:val="22"/>
          <w:lang w:eastAsia="en-US"/>
        </w:rPr>
        <w:t>BSUoS</w:t>
      </w:r>
      <w:proofErr w:type="spellEnd"/>
      <w:r>
        <w:rPr>
          <w:rFonts w:ascii="Arial (W1)" w:hAnsi="Arial (W1)"/>
          <w:sz w:val="22"/>
          <w:lang w:eastAsia="en-US"/>
        </w:rPr>
        <w:t xml:space="preserve">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proofErr w:type="spellStart"/>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proofErr w:type="spellEnd"/>
      <w:r w:rsidRPr="00D6554D">
        <w:rPr>
          <w:rFonts w:ascii="Arial (W1)" w:hAnsi="Arial (W1)"/>
          <w:sz w:val="22"/>
          <w:lang w:eastAsia="en-US"/>
        </w:rPr>
        <w:t xml:space="preserve"> = the Total </w:t>
      </w:r>
      <w:proofErr w:type="spellStart"/>
      <w:r w:rsidRPr="00D6554D">
        <w:rPr>
          <w:rFonts w:ascii="Arial (W1)" w:hAnsi="Arial (W1)"/>
          <w:sz w:val="22"/>
          <w:lang w:eastAsia="en-US"/>
        </w:rPr>
        <w:t>BSUoS</w:t>
      </w:r>
      <w:proofErr w:type="spellEnd"/>
      <w:r w:rsidRPr="00D6554D">
        <w:rPr>
          <w:rFonts w:ascii="Arial (W1)" w:hAnsi="Arial (W1)"/>
          <w:sz w:val="22"/>
          <w:lang w:eastAsia="en-US"/>
        </w:rPr>
        <w:t xml:space="preserve">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 xml:space="preserve">Definition of the </w:t>
      </w:r>
      <w:proofErr w:type="spellStart"/>
      <w:r w:rsidRPr="0085208F">
        <w:rPr>
          <w:rFonts w:ascii="Arial Bold" w:hAnsi="Arial Bold"/>
          <w:b/>
          <w:color w:val="008080"/>
        </w:rPr>
        <w:t>BSUoS</w:t>
      </w:r>
      <w:proofErr w:type="spellEnd"/>
      <w:r w:rsidRPr="0085208F">
        <w:rPr>
          <w:rFonts w:ascii="Arial Bold" w:hAnsi="Arial Bold"/>
          <w:b/>
          <w:color w:val="008080"/>
        </w:rPr>
        <w:t xml:space="preserve">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proofErr w:type="spellStart"/>
      <w:r>
        <w:rPr>
          <w:rFonts w:ascii="Arial (W1)" w:hAnsi="Arial (W1)"/>
          <w:sz w:val="22"/>
          <w:lang w:eastAsia="en-US"/>
        </w:rPr>
        <w:t>X</w:t>
      </w:r>
      <w:r w:rsidRPr="00CD6306">
        <w:rPr>
          <w:rFonts w:ascii="Arial (W1)" w:hAnsi="Arial (W1)"/>
          <w:sz w:val="22"/>
          <w:lang w:eastAsia="en-US"/>
        </w:rPr>
        <w:t>BSUoS</w:t>
      </w:r>
      <w:proofErr w:type="spellEnd"/>
      <w:r w:rsidRPr="00CD6306">
        <w:rPr>
          <w:rFonts w:ascii="Arial (W1)" w:hAnsi="Arial (W1)"/>
          <w:sz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 xml:space="preserve">Issuing a revised Fixed </w:t>
      </w:r>
      <w:proofErr w:type="spellStart"/>
      <w:r w:rsidRPr="0085208F">
        <w:rPr>
          <w:rFonts w:ascii="Arial Bold" w:hAnsi="Arial Bold"/>
          <w:b/>
          <w:color w:val="008080"/>
        </w:rPr>
        <w:t>BSUoS</w:t>
      </w:r>
      <w:proofErr w:type="spellEnd"/>
      <w:r w:rsidRPr="0085208F">
        <w:rPr>
          <w:rFonts w:ascii="Arial Bold" w:hAnsi="Arial Bold"/>
          <w:b/>
          <w:color w:val="008080"/>
        </w:rPr>
        <w:t xml:space="preserve">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If before or during a Fixed Price Period, The Company forecasts that it will neither recover sufficient funds through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nor will it hold sufficient funds in the Industry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Fund and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to meet balancing costs during that Fixed Price Period, The Company has the right to set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then The Company will use reasonable endeavours to consult on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prior to its application. The Company will provide a minimum notice of five Business Days before the commencement of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described in Paragraph 14.30.18, is determined by the following formula:</w:t>
      </w:r>
    </w:p>
    <w:p w14:paraId="0E2E7DFB" w14:textId="1E89BF52"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82"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82"/>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FixedBSUoSPrev</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 xml:space="preserve">evised Fixed </w:t>
      </w:r>
      <w:proofErr w:type="spellStart"/>
      <w:r w:rsidRPr="00866282">
        <w:rPr>
          <w:rFonts w:ascii="Arial (W1)" w:hAnsi="Arial (W1)"/>
          <w:sz w:val="22"/>
          <w:lang w:eastAsia="en-US"/>
        </w:rPr>
        <w:t>BSUoS</w:t>
      </w:r>
      <w:proofErr w:type="spellEnd"/>
      <w:r w:rsidRPr="00866282">
        <w:rPr>
          <w:rFonts w:ascii="Arial (W1)" w:hAnsi="Arial (W1)"/>
          <w:sz w:val="22"/>
          <w:lang w:eastAsia="en-US"/>
        </w:rPr>
        <w:t xml:space="preserve">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fBSUoSTOT</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proofErr w:type="spellStart"/>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fSGQM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 xml:space="preserve">to Paragraph 14.30.20,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only covers costs for the remainder of the fixed Price Period.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would be built back up in subsequent Fixed Price Periods, via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 xml:space="preserve">Total </w:t>
      </w:r>
      <w:proofErr w:type="spellStart"/>
      <w:r>
        <w:t>BSUoS</w:t>
      </w:r>
      <w:proofErr w:type="spellEnd"/>
      <w:r>
        <w:t xml:space="preserve"> Costs (Internal + External) for each Settlement Day (</w:t>
      </w:r>
      <w:proofErr w:type="spellStart"/>
      <w:r>
        <w:t>BSUoSTOT</w:t>
      </w:r>
      <w:r>
        <w:rPr>
          <w:vertAlign w:val="subscript"/>
        </w:rPr>
        <w:t>d</w:t>
      </w:r>
      <w:proofErr w:type="spellEnd"/>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 xml:space="preserve">Total </w:t>
      </w:r>
      <w:proofErr w:type="spellStart"/>
      <w:r w:rsidRPr="006461DD">
        <w:t>BSUoS</w:t>
      </w:r>
      <w:proofErr w:type="spellEnd"/>
      <w:r w:rsidRPr="006461DD">
        <w:t xml:space="preserve"> costs for each Settlement Day (</w:t>
      </w:r>
      <w:proofErr w:type="spellStart"/>
      <w:r w:rsidRPr="006461DD">
        <w:t>BSUoSTOTd</w:t>
      </w:r>
      <w:proofErr w:type="spellEnd"/>
      <w:r w:rsidRPr="006461DD">
        <w:t xml:space="preserve">) are calculated by summing the External </w:t>
      </w:r>
      <w:proofErr w:type="spellStart"/>
      <w:r w:rsidRPr="006461DD">
        <w:t>BSUoS</w:t>
      </w:r>
      <w:proofErr w:type="spellEnd"/>
      <w:r w:rsidRPr="006461DD">
        <w:t xml:space="preserve"> Costs (</w:t>
      </w:r>
      <w:proofErr w:type="spellStart"/>
      <w:r w:rsidRPr="006461DD">
        <w:t>BSUoSEXTd</w:t>
      </w:r>
      <w:proofErr w:type="spellEnd"/>
      <w:r w:rsidRPr="006461DD">
        <w:t xml:space="preserve">) and Internal </w:t>
      </w:r>
      <w:proofErr w:type="spellStart"/>
      <w:r w:rsidRPr="006461DD">
        <w:t>BSUoS</w:t>
      </w:r>
      <w:proofErr w:type="spellEnd"/>
      <w:r w:rsidRPr="006461DD">
        <w:t xml:space="preserve"> Costs (</w:t>
      </w:r>
      <w:proofErr w:type="spellStart"/>
      <w:r w:rsidRPr="006461DD">
        <w:t>BSUoSINTd</w:t>
      </w:r>
      <w:proofErr w:type="spellEnd"/>
      <w:r w:rsidRPr="006461DD">
        <w:t>)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 xml:space="preserve">External </w:t>
      </w:r>
      <w:proofErr w:type="spellStart"/>
      <w:r>
        <w:t>BSUoS</w:t>
      </w:r>
      <w:proofErr w:type="spellEnd"/>
      <w:r>
        <w:t xml:space="preserve"> Costs for each Settlement Day (</w:t>
      </w:r>
      <w:proofErr w:type="spellStart"/>
      <w:r>
        <w:t>BSUoSEXT</w:t>
      </w:r>
      <w:r>
        <w:rPr>
          <w:vertAlign w:val="subscript"/>
        </w:rPr>
        <w:t>jd</w:t>
      </w:r>
      <w:proofErr w:type="spellEnd"/>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 xml:space="preserve">The External </w:t>
      </w:r>
      <w:proofErr w:type="spellStart"/>
      <w:r>
        <w:t>BSUoS</w:t>
      </w:r>
      <w:proofErr w:type="spellEnd"/>
      <w:r>
        <w:t xml:space="preserve"> Costs for each Settlement Day (</w:t>
      </w:r>
      <w:proofErr w:type="spellStart"/>
      <w:r>
        <w:t>BSUoSEXT</w:t>
      </w:r>
      <w:r>
        <w:rPr>
          <w:vertAlign w:val="subscript"/>
        </w:rPr>
        <w:t>jd</w:t>
      </w:r>
      <w:proofErr w:type="spellEnd"/>
      <w:r>
        <w:t>) are calculated by adding up each Settlement Period System Operator BM Cash Flow (</w:t>
      </w:r>
      <w:proofErr w:type="spellStart"/>
      <w:r>
        <w:t>CSOBM</w:t>
      </w:r>
      <w:r>
        <w:rPr>
          <w:vertAlign w:val="subscript"/>
        </w:rPr>
        <w:t>j</w:t>
      </w:r>
      <w:proofErr w:type="spellEnd"/>
      <w:r>
        <w:t>) and Balancing Service Variable Contract Cost (</w:t>
      </w:r>
      <w:proofErr w:type="spellStart"/>
      <w:r>
        <w:t>BSCCV</w:t>
      </w:r>
      <w:r>
        <w:rPr>
          <w:vertAlign w:val="subscript"/>
        </w:rPr>
        <w:t>jd</w:t>
      </w:r>
      <w:proofErr w:type="spellEnd"/>
      <w:r>
        <w:t xml:space="preserve">), </w:t>
      </w:r>
      <w:proofErr w:type="spellStart"/>
      <w:r w:rsidRPr="006F2B80">
        <w:t>BSUoSCOVID</w:t>
      </w:r>
      <w:r w:rsidRPr="0085208F">
        <w:rPr>
          <w:vertAlign w:val="subscript"/>
          <w:lang w:val="en-US"/>
        </w:rPr>
        <w:t>jd</w:t>
      </w:r>
      <w:proofErr w:type="spellEnd"/>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proofErr w:type="spellStart"/>
      <w:proofErr w:type="gramStart"/>
      <w:r>
        <w:t>BSUoS</w:t>
      </w:r>
      <w:r w:rsidR="00082F88">
        <w:t>EXT</w:t>
      </w:r>
      <w:r w:rsidR="00082F88" w:rsidRPr="00082F88">
        <w:rPr>
          <w:vertAlign w:val="subscript"/>
        </w:rPr>
        <w:t>d</w:t>
      </w:r>
      <w:proofErr w:type="spellEnd"/>
      <w:r w:rsidR="00082F88">
        <w:rPr>
          <w:vertAlign w:val="subscript"/>
        </w:rPr>
        <w:t xml:space="preserve">  </w:t>
      </w:r>
      <w:r w:rsidR="00082F88">
        <w:t>=</w:t>
      </w:r>
      <w:proofErr w:type="gramEnd"/>
      <w:r w:rsidR="00584CA2">
        <w:t xml:space="preserve"> </w:t>
      </w:r>
      <w:r w:rsidR="00080873" w:rsidRPr="00034153">
        <w:rPr>
          <w:rFonts w:ascii="Arial" w:hAnsi="Arial" w:cs="Arial"/>
          <w:sz w:val="46"/>
          <w:szCs w:val="46"/>
        </w:rPr>
        <w:t>∑</w:t>
      </w:r>
      <w:proofErr w:type="spellStart"/>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proofErr w:type="spellEnd"/>
      <w:r w:rsidR="00584370">
        <w:t xml:space="preserve"> (</w:t>
      </w:r>
      <w:proofErr w:type="spellStart"/>
      <w:r w:rsidR="00584370">
        <w:t>C</w:t>
      </w:r>
      <w:r w:rsidR="00F71176">
        <w:t>S</w:t>
      </w:r>
      <w:r w:rsidR="00584370">
        <w:t>OBM</w:t>
      </w:r>
      <w:r w:rsidR="00584370" w:rsidRPr="00034153">
        <w:rPr>
          <w:vertAlign w:val="subscript"/>
        </w:rPr>
        <w:t>jd</w:t>
      </w:r>
      <w:proofErr w:type="spellEnd"/>
      <w:r w:rsidR="00584370">
        <w:t xml:space="preserve"> + </w:t>
      </w:r>
      <w:proofErr w:type="spellStart"/>
      <w:r w:rsidR="00584370">
        <w:t>BSCCV</w:t>
      </w:r>
      <w:r w:rsidR="00584370" w:rsidRPr="00034153">
        <w:rPr>
          <w:vertAlign w:val="subscript"/>
        </w:rPr>
        <w:t>jd</w:t>
      </w:r>
      <w:proofErr w:type="spellEnd"/>
      <w:r w:rsidR="00584370">
        <w:t>) + [</w:t>
      </w:r>
      <w:proofErr w:type="spellStart"/>
      <w:r w:rsidR="00584370">
        <w:t>BSCCA</w:t>
      </w:r>
      <w:r w:rsidR="00584370" w:rsidRPr="00034153">
        <w:rPr>
          <w:vertAlign w:val="subscript"/>
        </w:rPr>
        <w:t>d</w:t>
      </w:r>
      <w:proofErr w:type="spellEnd"/>
      <w:r w:rsidR="00584370">
        <w:t xml:space="preserve"> + </w:t>
      </w:r>
      <w:proofErr w:type="spellStart"/>
      <w:r w:rsidR="00584370">
        <w:t>TotAd</w:t>
      </w:r>
      <w:r w:rsidR="004300B2">
        <w:t>j</w:t>
      </w:r>
      <w:r w:rsidR="00584370" w:rsidRPr="00034153">
        <w:rPr>
          <w:vertAlign w:val="subscript"/>
        </w:rPr>
        <w:t>jd</w:t>
      </w:r>
      <w:proofErr w:type="spellEnd"/>
      <w:r w:rsidR="00584370">
        <w:t xml:space="preserve"> – </w:t>
      </w:r>
      <w:proofErr w:type="spellStart"/>
      <w:r w:rsidR="00584370">
        <w:t>O</w:t>
      </w:r>
      <w:r w:rsidR="00034153">
        <w:t>M</w:t>
      </w:r>
      <w:r w:rsidR="00584370" w:rsidRPr="00034153">
        <w:rPr>
          <w:vertAlign w:val="subscript"/>
        </w:rPr>
        <w:t>d</w:t>
      </w:r>
      <w:proofErr w:type="spellEnd"/>
      <w:r w:rsidR="00584370">
        <w:t xml:space="preserve"> + </w:t>
      </w:r>
      <w:proofErr w:type="spellStart"/>
      <w:r w:rsidR="0073672A">
        <w:t>SRC</w:t>
      </w:r>
      <w:r w:rsidR="00584370" w:rsidRPr="00034153">
        <w:rPr>
          <w:vertAlign w:val="subscript"/>
        </w:rPr>
        <w:t>d</w:t>
      </w:r>
      <w:proofErr w:type="spellEnd"/>
      <w:r w:rsidR="00FF6F52">
        <w:t xml:space="preserve"> + </w:t>
      </w:r>
      <w:proofErr w:type="spellStart"/>
      <w:r w:rsidR="00FF6F52">
        <w:t>SOTOC</w:t>
      </w:r>
      <w:r w:rsidR="00FF6F52" w:rsidRPr="00034153">
        <w:rPr>
          <w:vertAlign w:val="subscript"/>
        </w:rPr>
        <w:t>d</w:t>
      </w:r>
      <w:proofErr w:type="spellEnd"/>
      <w:r w:rsidR="00FF6F52">
        <w:t xml:space="preserve">  + </w:t>
      </w:r>
      <w:proofErr w:type="spellStart"/>
      <w:r w:rsidR="00FF6F52">
        <w:t>LOCTRU</w:t>
      </w:r>
      <w:r w:rsidR="00FF6F52" w:rsidRPr="00034153">
        <w:rPr>
          <w:vertAlign w:val="subscript"/>
        </w:rPr>
        <w:t>d</w:t>
      </w:r>
      <w:proofErr w:type="spellEnd"/>
      <w:r w:rsidR="00FF6F52">
        <w:t xml:space="preserve"> + </w:t>
      </w:r>
      <w:proofErr w:type="spellStart"/>
      <w:r w:rsidR="00FF6F52">
        <w:t>BSUoSCOVID</w:t>
      </w:r>
      <w:r w:rsidR="00FF6F52" w:rsidRPr="006A5CC8">
        <w:rPr>
          <w:vertAlign w:val="subscript"/>
        </w:rPr>
        <w:t>d</w:t>
      </w:r>
      <w:proofErr w:type="spellEnd"/>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 xml:space="preserve">Where </w:t>
      </w:r>
      <w:proofErr w:type="spellStart"/>
      <w:r w:rsidRPr="0085208F">
        <w:t>BSUoSCOVID</w:t>
      </w:r>
      <w:r w:rsidRPr="0085208F">
        <w:rPr>
          <w:vertAlign w:val="subscript"/>
        </w:rPr>
        <w:t>jd</w:t>
      </w:r>
      <w:proofErr w:type="spellEnd"/>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proofErr w:type="spellStart"/>
      <w:proofErr w:type="gramStart"/>
      <w:r>
        <w:t>BSUoSEXT</w:t>
      </w:r>
      <w:r w:rsidR="00953DAE"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w:t>
      </w:r>
      <w:proofErr w:type="spellStart"/>
      <w:r w:rsidR="00C161D6">
        <w:t>BSUoSCOVID</w:t>
      </w:r>
      <w:r w:rsidR="00C161D6" w:rsidRPr="00C161D6">
        <w:rPr>
          <w:vertAlign w:val="subscript"/>
        </w:rPr>
        <w:t>j</w:t>
      </w:r>
      <w:r w:rsidR="00C161D6" w:rsidRPr="006A5CC8">
        <w:rPr>
          <w:vertAlign w:val="subscript"/>
        </w:rPr>
        <w:t>d</w:t>
      </w:r>
      <w:proofErr w:type="spellEnd"/>
      <w:r w:rsidR="004300B2">
        <w:rPr>
          <w:vertAlign w:val="subscript"/>
        </w:rPr>
        <w:t xml:space="preserve"> </w:t>
      </w:r>
      <w:r w:rsidR="004300B2">
        <w:t xml:space="preserve">+ </w:t>
      </w:r>
      <w:r>
        <w:t>[</w:t>
      </w:r>
      <w:r w:rsidR="004300B2">
        <w:t xml:space="preserve"> (</w:t>
      </w:r>
      <w:proofErr w:type="spellStart"/>
      <w:r>
        <w:t>BSCCA</w:t>
      </w:r>
      <w:r w:rsidRPr="00034153">
        <w:rPr>
          <w:vertAlign w:val="subscript"/>
        </w:rPr>
        <w:t>d</w:t>
      </w:r>
      <w:proofErr w:type="spellEnd"/>
      <w:r>
        <w:t xml:space="preserve"> + </w:t>
      </w:r>
      <w:proofErr w:type="spellStart"/>
      <w:r>
        <w:t>TotAd</w:t>
      </w:r>
      <w:r w:rsidR="004300B2">
        <w:t>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D5A63">
        <w:t>) * (</w:t>
      </w:r>
      <w:proofErr w:type="spellStart"/>
      <w:r w:rsidR="00BD5A63">
        <w:t>TQM</w:t>
      </w:r>
      <w:r w:rsidR="00BD5A63" w:rsidRPr="00434CF7">
        <w:rPr>
          <w:vertAlign w:val="subscript"/>
        </w:rPr>
        <w:t>ijd</w:t>
      </w:r>
      <w:proofErr w:type="spellEnd"/>
      <w:r w:rsidR="00BD5A63">
        <w:t xml:space="preserve"> + </w:t>
      </w:r>
      <w:proofErr w:type="spellStart"/>
      <w:r w:rsidR="00BD5A63">
        <w:t>SGQM</w:t>
      </w:r>
      <w:r w:rsidR="00BD5A63" w:rsidRPr="00434CF7">
        <w:rPr>
          <w:vertAlign w:val="subscript"/>
        </w:rPr>
        <w:t>ijd</w:t>
      </w:r>
      <w:proofErr w:type="spellEnd"/>
      <w:r w:rsidR="00BD5A63">
        <w:t>)</w:t>
      </w:r>
      <w:r w:rsidR="007359BF">
        <w:t xml:space="preserve"> </w:t>
      </w:r>
      <w:r w:rsidR="00BD5A63">
        <w:t>/</w:t>
      </w:r>
      <w:r w:rsidR="007359BF">
        <w:t xml:space="preserve"> </w:t>
      </w:r>
      <w:r w:rsidR="007359BF" w:rsidRPr="00034153">
        <w:rPr>
          <w:rFonts w:ascii="Arial" w:hAnsi="Arial" w:cs="Arial"/>
          <w:sz w:val="46"/>
          <w:szCs w:val="46"/>
        </w:rPr>
        <w:t>∑</w:t>
      </w:r>
      <w:proofErr w:type="spellStart"/>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proofErr w:type="spellEnd"/>
      <w:r w:rsidR="007359BF">
        <w:rPr>
          <w:sz w:val="26"/>
          <w:szCs w:val="26"/>
          <w:vertAlign w:val="subscript"/>
        </w:rPr>
        <w:t xml:space="preserve"> </w:t>
      </w:r>
      <w:r w:rsidR="00434CF7">
        <w:t>(</w:t>
      </w:r>
      <w:proofErr w:type="spellStart"/>
      <w:r w:rsidR="00434CF7">
        <w:t>T</w:t>
      </w:r>
      <w:r w:rsidR="007359BF">
        <w:t>QM</w:t>
      </w:r>
      <w:r w:rsidR="00434CF7" w:rsidRPr="00434CF7">
        <w:rPr>
          <w:vertAlign w:val="subscript"/>
        </w:rPr>
        <w:t>ij</w:t>
      </w:r>
      <w:proofErr w:type="spellEnd"/>
      <w:r w:rsidR="00434CF7">
        <w:t xml:space="preserve"> + </w:t>
      </w:r>
      <w:proofErr w:type="spellStart"/>
      <w:r w:rsidR="00434CF7">
        <w:t>SGM</w:t>
      </w:r>
      <w:r w:rsidR="00434CF7" w:rsidRPr="00434CF7">
        <w:rPr>
          <w:vertAlign w:val="subscript"/>
        </w:rPr>
        <w:t>ij</w:t>
      </w:r>
      <w:proofErr w:type="spellEnd"/>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w:t>
      </w:r>
      <w:proofErr w:type="spellStart"/>
      <w:r w:rsidRPr="00217867">
        <w:t>IncPayExtd</w:t>
      </w:r>
      <w:proofErr w:type="spellEnd"/>
      <w:r w:rsidRPr="00217867">
        <w:t>)</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 xml:space="preserve">Internal </w:t>
      </w:r>
      <w:proofErr w:type="spellStart"/>
      <w:r>
        <w:t>BSUoS</w:t>
      </w:r>
      <w:proofErr w:type="spellEnd"/>
      <w:r>
        <w:t xml:space="preserve"> Charges for each Settlement Period (</w:t>
      </w:r>
      <w:proofErr w:type="spellStart"/>
      <w:r>
        <w:t>BSUoSINT</w:t>
      </w:r>
      <w:r>
        <w:rPr>
          <w:vertAlign w:val="subscript"/>
        </w:rPr>
        <w:t>jd</w:t>
      </w:r>
      <w:proofErr w:type="spellEnd"/>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 xml:space="preserve">The Internal </w:t>
      </w:r>
      <w:proofErr w:type="spellStart"/>
      <w:r>
        <w:t>BSUoS</w:t>
      </w:r>
      <w:proofErr w:type="spellEnd"/>
      <w:r>
        <w:t xml:space="preserve"> Costs (</w:t>
      </w:r>
      <w:proofErr w:type="spellStart"/>
      <w:r>
        <w:t>BSUoSINT</w:t>
      </w:r>
      <w:r>
        <w:rPr>
          <w:vertAlign w:val="subscript"/>
        </w:rPr>
        <w:t>jd</w:t>
      </w:r>
      <w:proofErr w:type="spellEnd"/>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000000"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w:t>
      </w:r>
      <w:proofErr w:type="spellStart"/>
      <w:r w:rsidRPr="00DD7DC6">
        <w:t>BSUoS</w:t>
      </w:r>
      <w:proofErr w:type="spellEnd"/>
      <w:r w:rsidRPr="00DD7DC6">
        <w:t xml:space="preserve"> methodology</w:t>
      </w:r>
      <w:r>
        <w:t xml:space="preserve"> in this Section 2</w:t>
      </w:r>
      <w:r w:rsidRPr="00DD7DC6">
        <w:t xml:space="preserve"> to support those Users identified in 14.29.4. This will consist of deferring </w:t>
      </w:r>
      <w:r>
        <w:t xml:space="preserve">the </w:t>
      </w:r>
      <w:proofErr w:type="spellStart"/>
      <w:r w:rsidRPr="00DD7DC6">
        <w:t>BSUoS</w:t>
      </w:r>
      <w:proofErr w:type="spellEnd"/>
      <w:r w:rsidRPr="00DD7DC6">
        <w:t xml:space="preserve">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 xml:space="preserve">Covid Costs shall be calculated </w:t>
      </w:r>
      <w:proofErr w:type="gramStart"/>
      <w:r>
        <w:t>as;</w:t>
      </w:r>
      <w:proofErr w:type="gramEnd"/>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COVIDCAPTOT</w:t>
      </w:r>
      <w:r w:rsidRPr="00D0386B">
        <w:rPr>
          <w:vertAlign w:val="subscript"/>
        </w:rPr>
        <w:t>j</w:t>
      </w:r>
      <w:proofErr w:type="spellEnd"/>
      <w:r>
        <w:t xml:space="preserve">, then </w:t>
      </w:r>
      <w:proofErr w:type="spellStart"/>
      <w:r w:rsidRPr="008F046F">
        <w:t>BSUoSCOVID</w:t>
      </w:r>
      <w:r w:rsidRPr="00D0386B">
        <w:rPr>
          <w:vertAlign w:val="subscript"/>
        </w:rPr>
        <w:t>j</w:t>
      </w:r>
      <w:proofErr w:type="spellEnd"/>
      <w:r>
        <w:t xml:space="preserve"> = £0</w:t>
      </w:r>
    </w:p>
    <w:p w14:paraId="0612C297"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COVIDCAPTOT</w:t>
      </w:r>
      <w:r w:rsidRPr="00D0386B">
        <w:rPr>
          <w:vertAlign w:val="subscript"/>
        </w:rPr>
        <w:t>j</w:t>
      </w:r>
      <w:proofErr w:type="spellEnd"/>
      <w:r>
        <w:t xml:space="preserve">, then </w:t>
      </w:r>
      <w:proofErr w:type="spellStart"/>
      <w:r w:rsidRPr="008F046F">
        <w:t>BSUoSCOVID</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COVIDCAPTOT</w:t>
      </w:r>
      <w:r w:rsidRPr="00D0386B">
        <w:rPr>
          <w:vertAlign w:val="subscript"/>
        </w:rPr>
        <w:t>j</w:t>
      </w:r>
      <w:proofErr w:type="spellEnd"/>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proofErr w:type="gramStart"/>
      <w:r>
        <w:t>Where;</w:t>
      </w:r>
      <w:proofErr w:type="gramEnd"/>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w:t>
      </w:r>
      <w:proofErr w:type="spellStart"/>
      <w:r>
        <w:t>COVIDCAPTOT</w:t>
      </w:r>
      <w:r w:rsidRPr="00F56A6A">
        <w:rPr>
          <w:vertAlign w:val="subscript"/>
        </w:rPr>
        <w:t>j</w:t>
      </w:r>
      <w:proofErr w:type="spellEnd"/>
      <w:r>
        <w:t xml:space="preserve"> is calculated </w:t>
      </w:r>
      <w:proofErr w:type="gramStart"/>
      <w:r>
        <w:t>as;</w:t>
      </w:r>
      <w:proofErr w:type="gramEnd"/>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w:t>
      </w:r>
      <w:proofErr w:type="spellStart"/>
      <w:r>
        <w:t>COVIDCAPTOT</w:t>
      </w:r>
      <w:r w:rsidRPr="00F56A6A">
        <w:rPr>
          <w:vertAlign w:val="subscript"/>
        </w:rPr>
        <w:t>j</w:t>
      </w:r>
      <w:proofErr w:type="spellEnd"/>
      <w:r>
        <w:t xml:space="preserve"> is calculated </w:t>
      </w:r>
      <w:proofErr w:type="gramStart"/>
      <w:r>
        <w:t>as;</w:t>
      </w:r>
      <w:proofErr w:type="gramEnd"/>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 xml:space="preserve">The </w:t>
      </w:r>
      <w:proofErr w:type="gramStart"/>
      <w:r>
        <w:t>25th</w:t>
      </w:r>
      <w:proofErr w:type="gramEnd"/>
      <w:r>
        <w:t xml:space="preserve">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w:t>
      </w:r>
      <w:proofErr w:type="spellStart"/>
      <w:r>
        <w:t>BSUoSCOVID</w:t>
      </w:r>
      <w:r w:rsidRPr="009A6831">
        <w:rPr>
          <w:vertAlign w:val="subscript"/>
        </w:rPr>
        <w:t>jd</w:t>
      </w:r>
      <w:proofErr w:type="spellEnd"/>
      <w:r>
        <w:t xml:space="preserve">) for Settlement Period j in </w:t>
      </w:r>
      <w:r w:rsidRPr="009A6831">
        <w:rPr>
          <w:rFonts w:ascii="Arial" w:hAnsi="Arial" w:cs="Arial"/>
          <w:szCs w:val="22"/>
        </w:rPr>
        <w:t xml:space="preserve">Settlement Day d are removed as </w:t>
      </w:r>
      <w:proofErr w:type="gramStart"/>
      <w:r w:rsidRPr="009A6831">
        <w:rPr>
          <w:rFonts w:ascii="Arial" w:hAnsi="Arial" w:cs="Arial"/>
          <w:szCs w:val="22"/>
        </w:rPr>
        <w:t>follows;</w:t>
      </w:r>
      <w:proofErr w:type="gramEnd"/>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proofErr w:type="spellStart"/>
      <w:r>
        <w:rPr>
          <w:rFonts w:ascii="Arial" w:hAnsi="Arial" w:cs="Arial"/>
          <w:szCs w:val="22"/>
        </w:rPr>
        <w:t>BSUoSCOVID</w:t>
      </w:r>
      <w:r w:rsidRPr="000F0135">
        <w:rPr>
          <w:rFonts w:ascii="Arial" w:hAnsi="Arial" w:cs="Arial"/>
          <w:szCs w:val="22"/>
          <w:vertAlign w:val="subscript"/>
        </w:rPr>
        <w:t>jd</w:t>
      </w:r>
      <w:proofErr w:type="spellEnd"/>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w:t>
      </w:r>
      <w:proofErr w:type="spellStart"/>
      <w:r w:rsidRPr="006B5382">
        <w:rPr>
          <w:rFonts w:ascii="Arial" w:hAnsi="Arial" w:cs="Arial"/>
          <w:szCs w:val="22"/>
        </w:rPr>
        <w:t>BSUoSCOVID</w:t>
      </w:r>
      <w:r w:rsidRPr="006B5382">
        <w:rPr>
          <w:rFonts w:ascii="Arial" w:hAnsi="Arial" w:cs="Arial"/>
          <w:szCs w:val="22"/>
          <w:vertAlign w:val="subscript"/>
        </w:rPr>
        <w:t>jd</w:t>
      </w:r>
      <w:proofErr w:type="spellEnd"/>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xml:space="preserve">, exercising its reasonable judgement, has reason to believe that the cumulative total for </w:t>
      </w:r>
      <w:proofErr w:type="spellStart"/>
      <w:r w:rsidRPr="006B5382">
        <w:t>BSUoSCOVID</w:t>
      </w:r>
      <w:r w:rsidRPr="006B5382">
        <w:rPr>
          <w:vertAlign w:val="subscript"/>
        </w:rPr>
        <w:t>jd</w:t>
      </w:r>
      <w:proofErr w:type="spellEnd"/>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 xml:space="preserve">Business </w:t>
      </w:r>
      <w:proofErr w:type="spellStart"/>
      <w:r w:rsidRPr="0085208F">
        <w:rPr>
          <w:b/>
          <w:bCs/>
        </w:rPr>
        <w:t>Days</w:t>
      </w:r>
      <w:r w:rsidRPr="006B5382">
        <w:t xml:space="preserve"> notice</w:t>
      </w:r>
      <w:proofErr w:type="spellEnd"/>
      <w:r w:rsidRPr="006B5382">
        <w:t xml:space="preserv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w:t>
      </w:r>
      <w:proofErr w:type="spellStart"/>
      <w:r w:rsidRPr="006B5382">
        <w:t>BSUoSCOVID</w:t>
      </w:r>
      <w:r w:rsidRPr="006B5382">
        <w:rPr>
          <w:vertAlign w:val="subscript"/>
        </w:rPr>
        <w:t>jd</w:t>
      </w:r>
      <w:proofErr w:type="spellEnd"/>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w:t>
      </w:r>
      <w:proofErr w:type="gramStart"/>
      <w:r w:rsidRPr="00530334">
        <w:rPr>
          <w:rFonts w:ascii="Arial (W1)" w:hAnsi="Arial (W1)"/>
          <w:sz w:val="22"/>
          <w:lang w:eastAsia="en-US"/>
        </w:rPr>
        <w:t>of  external</w:t>
      </w:r>
      <w:proofErr w:type="gramEnd"/>
      <w:r w:rsidRPr="00530334">
        <w:rPr>
          <w:rFonts w:ascii="Arial (W1)" w:hAnsi="Arial (W1)"/>
          <w:sz w:val="22"/>
          <w:lang w:eastAsia="en-US"/>
        </w:rPr>
        <w:t xml:space="preserve">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 xml:space="preserve">.10 shall be updated between 1st October 2021 and 31st March 2022 so that the 2020/21 Under Recovered Costs (BSUoSUR20d) for Settlement Day d are added as </w:t>
      </w:r>
      <w:proofErr w:type="gramStart"/>
      <w:r w:rsidRPr="00530334">
        <w:rPr>
          <w:rFonts w:ascii="Arial (W1)" w:hAnsi="Arial (W1)"/>
          <w:sz w:val="22"/>
          <w:lang w:eastAsia="en-US"/>
        </w:rPr>
        <w:t>follows;</w:t>
      </w:r>
      <w:proofErr w:type="gramEnd"/>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proofErr w:type="spellStart"/>
      <w:proofErr w:type="gramStart"/>
      <w:r>
        <w:t>BSUoSEXT</w:t>
      </w:r>
      <w:r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91556">
        <w:rPr>
          <w:vertAlign w:val="subscript"/>
        </w:rPr>
        <w:t xml:space="preserve"> </w:t>
      </w:r>
      <w:r w:rsidR="00B91556">
        <w:t>+</w:t>
      </w:r>
      <w:r w:rsidR="00B91556" w:rsidRPr="00B91556">
        <w:t xml:space="preserve"> </w:t>
      </w:r>
      <w:proofErr w:type="spellStart"/>
      <w:r w:rsidR="00B91556">
        <w:t>BSUoSCOVID</w:t>
      </w:r>
      <w:r w:rsidR="00B91556" w:rsidRPr="006A5CC8">
        <w:rPr>
          <w:vertAlign w:val="subscript"/>
        </w:rPr>
        <w:t>d</w:t>
      </w:r>
      <w:proofErr w:type="spellEnd"/>
      <w:r w:rsidR="00B91556">
        <w:t xml:space="preserve"> + BSUoSSUR20</w:t>
      </w:r>
      <w:r w:rsidR="00B91556" w:rsidRPr="006A5CC8">
        <w:rPr>
          <w:vertAlign w:val="subscript"/>
        </w:rPr>
        <w:t>d</w:t>
      </w:r>
      <w:r w:rsidR="00E405EB">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methodology in this Section 2 to support those Users identified in 14.</w:t>
      </w:r>
      <w:r>
        <w:rPr>
          <w:rFonts w:ascii="Arial (W1)" w:hAnsi="Arial (W1)"/>
          <w:sz w:val="22"/>
          <w:lang w:eastAsia="en-US"/>
        </w:rPr>
        <w:t>30</w:t>
      </w:r>
      <w:r w:rsidRPr="005578DE">
        <w:rPr>
          <w:rFonts w:ascii="Arial (W1)" w:hAnsi="Arial (W1)"/>
          <w:sz w:val="22"/>
          <w:lang w:eastAsia="en-US"/>
        </w:rPr>
        <w:t xml:space="preserve">.4. This will consist of deferring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w:t>
      </w:r>
      <w:proofErr w:type="spellStart"/>
      <w:r w:rsidRPr="002C166E">
        <w:t>BSUoSEXC</w:t>
      </w:r>
      <w:r w:rsidRPr="00967770">
        <w:rPr>
          <w:vertAlign w:val="subscript"/>
        </w:rPr>
        <w:t>j</w:t>
      </w:r>
      <w:proofErr w:type="spellEnd"/>
      <w:r w:rsidRPr="002C166E">
        <w:t xml:space="preserve">) </w:t>
      </w:r>
      <w:r>
        <w:t xml:space="preserve">shall be calculated </w:t>
      </w:r>
      <w:proofErr w:type="gramStart"/>
      <w:r>
        <w:t>as;</w:t>
      </w:r>
      <w:proofErr w:type="gramEnd"/>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EXCCAPTOT</w:t>
      </w:r>
      <w:r w:rsidRPr="00D0386B">
        <w:rPr>
          <w:vertAlign w:val="subscript"/>
        </w:rPr>
        <w:t>j</w:t>
      </w:r>
      <w:proofErr w:type="spellEnd"/>
      <w:r>
        <w:t xml:space="preserve">, then </w:t>
      </w:r>
      <w:proofErr w:type="spellStart"/>
      <w:r w:rsidRPr="008F046F">
        <w:t>BSUoS</w:t>
      </w:r>
      <w:r>
        <w:t>EXC</w:t>
      </w:r>
      <w:r w:rsidRPr="00D0386B">
        <w:rPr>
          <w:vertAlign w:val="subscript"/>
        </w:rPr>
        <w:t>j</w:t>
      </w:r>
      <w:proofErr w:type="spellEnd"/>
      <w:r>
        <w:t xml:space="preserve"> = £0</w:t>
      </w:r>
    </w:p>
    <w:p w14:paraId="15F4CF70"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EXCCAPTOT</w:t>
      </w:r>
      <w:r w:rsidRPr="00D0386B">
        <w:rPr>
          <w:vertAlign w:val="subscript"/>
        </w:rPr>
        <w:t>j</w:t>
      </w:r>
      <w:proofErr w:type="spellEnd"/>
      <w:r>
        <w:t xml:space="preserve">, then </w:t>
      </w:r>
      <w:proofErr w:type="spellStart"/>
      <w:r w:rsidRPr="008F046F">
        <w:t>BSUoS</w:t>
      </w:r>
      <w:r>
        <w:t>EXC</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EXCCAPTOT</w:t>
      </w:r>
      <w:r w:rsidRPr="00D0386B">
        <w:rPr>
          <w:vertAlign w:val="subscript"/>
        </w:rPr>
        <w:t>j</w:t>
      </w:r>
      <w:proofErr w:type="spellEnd"/>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w:t>
      </w:r>
      <w:proofErr w:type="spellStart"/>
      <w:r w:rsidRPr="00BF49FC">
        <w:t>EXCCAPTOT</w:t>
      </w:r>
      <w:r w:rsidRPr="00F02C37">
        <w:rPr>
          <w:vertAlign w:val="subscript"/>
        </w:rPr>
        <w:t>j</w:t>
      </w:r>
      <w:proofErr w:type="spellEnd"/>
      <w:r w:rsidRPr="00F02C37">
        <w:t xml:space="preserve"> is calculated as </w:t>
      </w:r>
      <w:proofErr w:type="gramStart"/>
      <w:r w:rsidRPr="00F02C37">
        <w:t>follows;</w:t>
      </w:r>
      <w:proofErr w:type="gramEnd"/>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w:t>
      </w:r>
      <w:proofErr w:type="spellStart"/>
      <w:r>
        <w:t>BSUoSEXC</w:t>
      </w:r>
      <w:r w:rsidRPr="58E0835F">
        <w:rPr>
          <w:vertAlign w:val="subscript"/>
        </w:rPr>
        <w:t>jd</w:t>
      </w:r>
      <w:proofErr w:type="spellEnd"/>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w:t>
      </w:r>
      <w:proofErr w:type="gramStart"/>
      <w:r w:rsidRPr="58E0835F">
        <w:rPr>
          <w:rFonts w:ascii="Arial" w:hAnsi="Arial" w:cs="Arial"/>
        </w:rPr>
        <w:t>follows;</w:t>
      </w:r>
      <w:proofErr w:type="gramEnd"/>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r>
      <w:proofErr w:type="spellStart"/>
      <w:r>
        <w:rPr>
          <w:rFonts w:ascii="Arial" w:hAnsi="Arial" w:cs="Arial"/>
          <w:sz w:val="22"/>
          <w:szCs w:val="22"/>
        </w:rPr>
        <w:t>BSUoSTOT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BSUoSEXT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BSUoSINT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BSUoSCOVID</w:t>
      </w:r>
      <w:r w:rsidRPr="009A6831">
        <w:rPr>
          <w:rFonts w:ascii="Arial" w:hAnsi="Arial" w:cs="Arial"/>
          <w:sz w:val="22"/>
          <w:szCs w:val="22"/>
          <w:vertAlign w:val="subscript"/>
        </w:rPr>
        <w:t>jd</w:t>
      </w:r>
      <w:proofErr w:type="spellEnd"/>
      <w:r>
        <w:rPr>
          <w:rFonts w:ascii="Arial" w:hAnsi="Arial" w:cs="Arial"/>
          <w:sz w:val="22"/>
          <w:szCs w:val="22"/>
          <w:vertAlign w:val="subscript"/>
        </w:rPr>
        <w:t xml:space="preserve"> </w:t>
      </w:r>
      <w:r>
        <w:rPr>
          <w:rFonts w:ascii="Arial" w:hAnsi="Arial" w:cs="Arial"/>
          <w:sz w:val="22"/>
          <w:szCs w:val="22"/>
        </w:rPr>
        <w:t xml:space="preserve">- </w:t>
      </w:r>
      <w:proofErr w:type="spellStart"/>
      <w:r>
        <w:rPr>
          <w:rFonts w:ascii="Arial" w:hAnsi="Arial" w:cs="Arial"/>
          <w:sz w:val="22"/>
          <w:szCs w:val="22"/>
        </w:rPr>
        <w:t>BSUoSEXC</w:t>
      </w:r>
      <w:r w:rsidRPr="009A6831">
        <w:rPr>
          <w:rFonts w:ascii="Arial" w:hAnsi="Arial" w:cs="Arial"/>
          <w:sz w:val="22"/>
          <w:szCs w:val="22"/>
          <w:vertAlign w:val="subscript"/>
        </w:rPr>
        <w:t>jd</w:t>
      </w:r>
      <w:proofErr w:type="spellEnd"/>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w:t>
      </w:r>
      <w:proofErr w:type="spellStart"/>
      <w:r w:rsidRPr="00036063">
        <w:rPr>
          <w:rFonts w:ascii="Arial" w:hAnsi="Arial" w:cs="Arial"/>
        </w:rPr>
        <w:t>BSUoSEXC</w:t>
      </w:r>
      <w:r w:rsidRPr="00036063">
        <w:rPr>
          <w:rFonts w:ascii="Arial" w:hAnsi="Arial" w:cs="Arial"/>
          <w:vertAlign w:val="subscript"/>
        </w:rPr>
        <w:t>d</w:t>
      </w:r>
      <w:proofErr w:type="spellEnd"/>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w:t>
      </w:r>
      <w:proofErr w:type="gramStart"/>
      <w:r w:rsidRPr="00036063">
        <w:rPr>
          <w:rFonts w:ascii="Arial" w:hAnsi="Arial" w:cs="Arial"/>
          <w:szCs w:val="22"/>
        </w:rPr>
        <w:t>follows;</w:t>
      </w:r>
      <w:proofErr w:type="gramEnd"/>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proofErr w:type="spellStart"/>
      <w:proofErr w:type="gramStart"/>
      <w:r>
        <w:t>BSUoSEXT</w:t>
      </w:r>
      <w:r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E12D83">
        <w:t xml:space="preserve"> + </w:t>
      </w:r>
      <w:proofErr w:type="spellStart"/>
      <w:r w:rsidR="00E12D83">
        <w:t>BSUoSEXC</w:t>
      </w:r>
      <w:r w:rsidR="00E12D83" w:rsidRPr="00082F88">
        <w:rPr>
          <w:vertAlign w:val="subscript"/>
        </w:rPr>
        <w:t>d</w:t>
      </w:r>
      <w:proofErr w:type="spellEnd"/>
      <w:r w:rsidR="00E12D83">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proofErr w:type="gramStart"/>
      <w:r>
        <w:t>Where</w:t>
      </w:r>
      <w:proofErr w:type="gramEnd"/>
      <w:r>
        <w:t xml:space="preserv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proofErr w:type="spellStart"/>
      <w:r w:rsidRPr="00C82D21">
        <w:t>BSUoSEXC</w:t>
      </w:r>
      <w:r w:rsidRPr="00C82D21">
        <w:rPr>
          <w:vertAlign w:val="subscript"/>
        </w:rPr>
        <w:t>d</w:t>
      </w:r>
      <w:proofErr w:type="spellEnd"/>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w:t>
      </w:r>
      <w:proofErr w:type="spellStart"/>
      <w:r w:rsidRPr="005578DE">
        <w:rPr>
          <w:rFonts w:ascii="Arial (W1)" w:hAnsi="Arial (W1)"/>
          <w:sz w:val="22"/>
          <w:lang w:eastAsia="en-US"/>
        </w:rPr>
        <w:t>BSUoSEXCjd</w:t>
      </w:r>
      <w:proofErr w:type="spellEnd"/>
      <w:r w:rsidRPr="005578DE">
        <w:rPr>
          <w:rFonts w:ascii="Arial (W1)" w:hAnsi="Arial (W1)"/>
          <w:sz w:val="22"/>
          <w:lang w:eastAsia="en-US"/>
        </w:rPr>
        <w:t xml:space="preserve">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 xml:space="preserve">Settlement Day, Settlement </w:t>
      </w:r>
      <w:proofErr w:type="gramStart"/>
      <w:r w:rsidRPr="005578DE">
        <w:rPr>
          <w:b/>
          <w:bCs/>
        </w:rPr>
        <w:t>Period</w:t>
      </w:r>
      <w:proofErr w:type="gramEnd"/>
      <w:r>
        <w:t xml:space="preserve"> and value of </w:t>
      </w:r>
      <w:proofErr w:type="spellStart"/>
      <w:r>
        <w:t>BSUoSEXC</w:t>
      </w:r>
      <w:r w:rsidRPr="005578DE">
        <w:rPr>
          <w:vertAlign w:val="subscript"/>
        </w:rPr>
        <w:t>d</w:t>
      </w:r>
      <w:proofErr w:type="spellEnd"/>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 xml:space="preserve">Further </w:t>
      </w:r>
      <w:proofErr w:type="spellStart"/>
      <w:r w:rsidRPr="7F6CC2C4">
        <w:rPr>
          <w:b/>
          <w:bCs/>
          <w:color w:val="008080"/>
        </w:rPr>
        <w:t>BSUoS</w:t>
      </w:r>
      <w:proofErr w:type="spellEnd"/>
      <w:r w:rsidRPr="7F6CC2C4">
        <w:rPr>
          <w:b/>
          <w:bCs/>
          <w:color w:val="008080"/>
        </w:rPr>
        <w:t xml:space="preserve">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methodology in this Section 2 to support CUSC Parties acting as Generators and Suppliers, This will consist of deferring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w:t>
      </w:r>
      <w:proofErr w:type="spellStart"/>
      <w:r w:rsidRPr="0085208F">
        <w:rPr>
          <w:rFonts w:ascii="Arial" w:hAnsi="Arial" w:cs="Arial"/>
          <w:sz w:val="22"/>
          <w:szCs w:val="22"/>
        </w:rPr>
        <w:t>BSUoSFXC</w:t>
      </w:r>
      <w:r w:rsidRPr="0085208F">
        <w:rPr>
          <w:rFonts w:ascii="Arial" w:hAnsi="Arial" w:cs="Arial"/>
          <w:sz w:val="22"/>
          <w:szCs w:val="22"/>
          <w:vertAlign w:val="subscript"/>
        </w:rPr>
        <w:t>j</w:t>
      </w:r>
      <w:proofErr w:type="spellEnd"/>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&lt;=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£0 </w:t>
      </w:r>
      <w:r w:rsidRPr="00914DCA">
        <w:rPr>
          <w:rFonts w:ascii="Arial" w:hAnsi="Arial" w:cs="Arial"/>
          <w:sz w:val="22"/>
          <w:szCs w:val="22"/>
        </w:rPr>
        <w:br/>
        <w:t xml:space="preserve">Or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&gt;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proofErr w:type="spellStart"/>
      <w:r>
        <w:rPr>
          <w:rFonts w:ascii="Arial" w:hAnsi="Arial" w:cs="Arial"/>
          <w:sz w:val="22"/>
          <w:szCs w:val="22"/>
        </w:rPr>
        <w:t>F</w:t>
      </w:r>
      <w:r w:rsidRPr="00914DCA">
        <w:rPr>
          <w:rFonts w:ascii="Arial" w:hAnsi="Arial" w:cs="Arial"/>
          <w:sz w:val="22"/>
          <w:szCs w:val="22"/>
        </w:rPr>
        <w:t>XCCAPTOTj</w:t>
      </w:r>
      <w:proofErr w:type="spellEnd"/>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w:t>
      </w:r>
      <w:proofErr w:type="spellStart"/>
      <w:r>
        <w:rPr>
          <w:rFonts w:ascii="Arial" w:hAnsi="Arial" w:cs="Arial"/>
          <w:sz w:val="22"/>
          <w:szCs w:val="22"/>
        </w:rPr>
        <w:t>SGQM</w:t>
      </w:r>
      <w:r w:rsidRPr="00AC7BD0">
        <w:rPr>
          <w:rFonts w:ascii="Arial" w:hAnsi="Arial" w:cs="Arial"/>
          <w:sz w:val="22"/>
          <w:szCs w:val="22"/>
          <w:vertAlign w:val="subscript"/>
        </w:rPr>
        <w:t>j</w:t>
      </w:r>
      <w:proofErr w:type="spellEnd"/>
      <w:r>
        <w:rPr>
          <w:rFonts w:ascii="Arial" w:hAnsi="Arial" w:cs="Arial"/>
          <w:sz w:val="22"/>
          <w:szCs w:val="22"/>
        </w:rPr>
        <w:t xml:space="preserve"> + </w:t>
      </w:r>
      <w:proofErr w:type="spellStart"/>
      <w:r>
        <w:rPr>
          <w:rFonts w:ascii="Arial" w:hAnsi="Arial" w:cs="Arial"/>
          <w:sz w:val="22"/>
          <w:szCs w:val="22"/>
        </w:rPr>
        <w:t>TQM</w:t>
      </w:r>
      <w:r w:rsidRPr="00AC7BD0">
        <w:rPr>
          <w:rFonts w:ascii="Arial" w:hAnsi="Arial" w:cs="Arial"/>
          <w:sz w:val="22"/>
          <w:szCs w:val="22"/>
          <w:vertAlign w:val="subscript"/>
        </w:rPr>
        <w:t>j</w:t>
      </w:r>
      <w:proofErr w:type="spellEnd"/>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w:t>
      </w:r>
      <w:proofErr w:type="spellStart"/>
      <w:r>
        <w:t>BSUoSFXCjd</w:t>
      </w:r>
      <w:proofErr w:type="spellEnd"/>
      <w:r>
        <w:t xml:space="preserve">)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proofErr w:type="spellStart"/>
      <w:r>
        <w:t>BSUoSTOTjd</w:t>
      </w:r>
      <w:proofErr w:type="spellEnd"/>
      <w:r>
        <w:t xml:space="preserve"> = </w:t>
      </w:r>
      <w:proofErr w:type="spellStart"/>
      <w:r>
        <w:t>BSUoSEXTjd</w:t>
      </w:r>
      <w:proofErr w:type="spellEnd"/>
      <w:r>
        <w:t xml:space="preserve"> + </w:t>
      </w:r>
      <w:proofErr w:type="spellStart"/>
      <w:r>
        <w:t>BSUoSINTjd</w:t>
      </w:r>
      <w:proofErr w:type="spellEnd"/>
      <w:r>
        <w:t xml:space="preserve"> - </w:t>
      </w:r>
      <w:proofErr w:type="spellStart"/>
      <w:r>
        <w:t>BSUoSFXCjd</w:t>
      </w:r>
      <w:proofErr w:type="spellEnd"/>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 xml:space="preserve">The necessary licence changes coming into effect to implement recovery of the Further </w:t>
      </w:r>
      <w:proofErr w:type="gramStart"/>
      <w:r>
        <w:t>Costs;</w:t>
      </w:r>
      <w:proofErr w:type="gramEnd"/>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.10 shall be updated so that Further Costs (</w:t>
      </w:r>
      <w:proofErr w:type="spellStart"/>
      <w:r w:rsidRPr="00544C61">
        <w:t>BSUoSFXCd</w:t>
      </w:r>
      <w:proofErr w:type="spellEnd"/>
      <w:r w:rsidRPr="00544C61">
        <w:t xml:space="preserve">)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proofErr w:type="spellStart"/>
      <w:proofErr w:type="gramStart"/>
      <w:r>
        <w:t>BSUoSEXT</w:t>
      </w:r>
      <w:r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t xml:space="preserve"> </w:t>
      </w:r>
      <w:r w:rsidR="00D476DC">
        <w:t xml:space="preserve"> </w:t>
      </w:r>
      <w:r>
        <w:t>+</w:t>
      </w:r>
      <w:r w:rsidR="00D476DC">
        <w:t xml:space="preserve">  </w:t>
      </w:r>
      <w:r w:rsidR="00A65E8F">
        <w:t xml:space="preserve">(D% * </w:t>
      </w:r>
      <w:proofErr w:type="spellStart"/>
      <w:r>
        <w:t>BSUoS</w:t>
      </w:r>
      <w:r w:rsidR="00A65E8F">
        <w:t>F</w:t>
      </w:r>
      <w:r>
        <w:t>XC</w:t>
      </w:r>
      <w:r w:rsidRPr="00082F88">
        <w:rPr>
          <w:vertAlign w:val="subscript"/>
        </w:rPr>
        <w:t>d</w:t>
      </w:r>
      <w:proofErr w:type="spellEnd"/>
      <w:r w:rsidR="00D476DC">
        <w:t xml:space="preserve"> / SRD)</w:t>
      </w:r>
      <w:r>
        <w:t xml:space="preserve"> *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proofErr w:type="gramStart"/>
      <w:r>
        <w:t>Where</w:t>
      </w:r>
      <w:proofErr w:type="gramEnd"/>
      <w:r>
        <w:t xml:space="preserv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proofErr w:type="spellStart"/>
      <w:r>
        <w:t>BSUoSFXCd</w:t>
      </w:r>
      <w:proofErr w:type="spellEnd"/>
      <w:r>
        <w:t xml:space="preserve">, is the cumulative total deferred value of the Further Costs Support Scheme, including any administrative or financing cost borne by </w:t>
      </w:r>
      <w:r w:rsidRPr="0085208F">
        <w:rPr>
          <w:b/>
          <w:bCs/>
        </w:rPr>
        <w:t>The Company</w:t>
      </w:r>
      <w:r>
        <w:t xml:space="preserve">, as agreed by the </w:t>
      </w:r>
      <w:proofErr w:type="gramStart"/>
      <w:r w:rsidRPr="0085208F">
        <w:rPr>
          <w:b/>
          <w:bCs/>
        </w:rPr>
        <w:t>Authority</w:t>
      </w:r>
      <w:proofErr w:type="gramEnd"/>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w:t>
      </w:r>
      <w:proofErr w:type="gramStart"/>
      <w:r>
        <w:t>generation</w:t>
      </w:r>
      <w:proofErr w:type="gramEnd"/>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w:t>
      </w:r>
      <w:proofErr w:type="gramStart"/>
      <w:r w:rsidRPr="0085208F">
        <w:rPr>
          <w:rFonts w:ascii="Arial (W1)" w:hAnsi="Arial (W1)"/>
          <w:sz w:val="22"/>
          <w:lang w:eastAsia="en-US"/>
        </w:rPr>
        <w:t>recovered  from</w:t>
      </w:r>
      <w:proofErr w:type="gramEnd"/>
      <w:r w:rsidRPr="0085208F">
        <w:rPr>
          <w:rFonts w:ascii="Arial (W1)" w:hAnsi="Arial (W1)"/>
          <w:sz w:val="22"/>
          <w:lang w:eastAsia="en-US"/>
        </w:rPr>
        <w:t xml:space="preserve">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 xml:space="preserve">Further </w:t>
      </w:r>
      <w:proofErr w:type="gramStart"/>
      <w:r>
        <w:rPr>
          <w:rFonts w:ascii="Arial" w:hAnsi="Arial" w:cs="Arial"/>
          <w:sz w:val="22"/>
          <w:szCs w:val="22"/>
        </w:rPr>
        <w:t>Cost</w:t>
      </w:r>
      <w:r w:rsidRPr="00914DCA">
        <w:rPr>
          <w:rFonts w:ascii="Arial" w:hAnsi="Arial" w:cs="Arial"/>
          <w:sz w:val="22"/>
          <w:szCs w:val="22"/>
        </w:rPr>
        <w:t>s</w:t>
      </w:r>
      <w:r>
        <w:rPr>
          <w:rFonts w:ascii="Arial" w:hAnsi="Arial" w:cs="Arial"/>
          <w:sz w:val="22"/>
          <w:szCs w:val="22"/>
        </w:rPr>
        <w:t>;</w:t>
      </w:r>
      <w:proofErr w:type="gramEnd"/>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000000"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w:t>
      </w:r>
      <w:proofErr w:type="spellStart"/>
      <w:proofErr w:type="gramStart"/>
      <w:r w:rsidRPr="006F2B80">
        <w:rPr>
          <w:rFonts w:ascii="Arial" w:hAnsi="Arial" w:cs="Arial"/>
          <w:sz w:val="22"/>
          <w:szCs w:val="22"/>
        </w:rPr>
        <w:t>BSUoSFXCd</w:t>
      </w:r>
      <w:proofErr w:type="spellEnd"/>
      <w:proofErr w:type="gramEnd"/>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w:t>
      </w:r>
      <w:proofErr w:type="spellStart"/>
      <w:r>
        <w:t>BSUoS</w:t>
      </w:r>
      <w:proofErr w:type="spellEnd"/>
      <w:r>
        <w:t xml:space="preserve">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 xml:space="preserve">Pursuant to Paragraph 14.30.5, any revenue collected or paid out by The Company as part of Final Reconciliation (RF) </w:t>
      </w:r>
      <w:proofErr w:type="spellStart"/>
      <w:r w:rsidRPr="00E305A0">
        <w:rPr>
          <w:rFonts w:ascii="Arial" w:hAnsi="Arial"/>
          <w:sz w:val="22"/>
        </w:rPr>
        <w:t>BSUoS</w:t>
      </w:r>
      <w:proofErr w:type="spellEnd"/>
      <w:r w:rsidRPr="00E305A0">
        <w:rPr>
          <w:rFonts w:ascii="Arial" w:hAnsi="Arial"/>
          <w:sz w:val="22"/>
        </w:rPr>
        <w:t xml:space="preserve">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proofErr w:type="spellStart"/>
      <w:r>
        <w:t>BSUoS</w:t>
      </w:r>
      <w:proofErr w:type="spellEnd"/>
      <w:r>
        <w:t xml:space="preserve"> Charges are made </w:t>
      </w:r>
      <w:proofErr w:type="gramStart"/>
      <w:r>
        <w:t>on a daily basis</w:t>
      </w:r>
      <w:proofErr w:type="gramEnd"/>
      <w:r>
        <w:t xml:space="preserve">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4pt;height:21.55pt" o:ole="">
                  <v:imagedata r:id="rId113" o:title=""/>
                </v:shape>
                <o:OLEObject Type="Embed" ProgID="Equation.3" ShapeID="_x0000_i1032" DrawAspect="Content" ObjectID="_1781528837" r:id="rId114"/>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75pt;height:21.55pt" o:ole="">
                  <v:imagedata r:id="rId115" o:title=""/>
                </v:shape>
                <o:OLEObject Type="Embed" ProgID="Equation.3" ShapeID="_x0000_i1033" DrawAspect="Content" ObjectID="_1781528838" r:id="rId116"/>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7pt;height:21.55pt" o:ole="">
                  <v:imagedata r:id="rId117" o:title=""/>
                </v:shape>
                <o:OLEObject Type="Embed" ProgID="Equation.3" ShapeID="_x0000_i1034" DrawAspect="Content" ObjectID="_1781528839" r:id="rId118"/>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383" w:name="BSUoSend"/>
      <w:bookmarkEnd w:id="383"/>
    </w:p>
    <w:sectPr w:rsidR="006A4386" w:rsidRPr="00FC681D" w:rsidSect="00B311F1">
      <w:headerReference w:type="even" r:id="rId119"/>
      <w:headerReference w:type="default" r:id="rId120"/>
      <w:footerReference w:type="even" r:id="rId121"/>
      <w:footerReference w:type="default" r:id="rId122"/>
      <w:headerReference w:type="first" r:id="rId123"/>
      <w:footnotePr>
        <w:numRestart w:val="eachPage"/>
      </w:footnotePr>
      <w:pgSz w:w="11906" w:h="16838" w:code="9"/>
      <w:pgMar w:top="1140" w:right="1140" w:bottom="1140" w:left="1412"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date="2024-07-03T16:02:00Z" w:initials="A">
    <w:p w14:paraId="76F8E76E" w14:textId="77777777" w:rsidR="006807B6" w:rsidRDefault="006807B6" w:rsidP="0078190E">
      <w:pPr>
        <w:pStyle w:val="CommentText"/>
      </w:pPr>
      <w:r>
        <w:rPr>
          <w:rStyle w:val="CommentReference"/>
        </w:rPr>
        <w:annotationRef/>
      </w:r>
      <w:r>
        <w:t>ESO- Changes Made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F8E7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FF49F" w16cex:dateUtc="2024-07-03T15: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F8E76E" w16cid:durableId="2A2FF49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FE984" w14:textId="77777777" w:rsidR="00EB66B9" w:rsidRDefault="00EB66B9" w:rsidP="001046D7">
      <w:pPr>
        <w:pStyle w:val="LogoCaption"/>
      </w:pPr>
      <w:r>
        <w:separator/>
      </w:r>
    </w:p>
  </w:endnote>
  <w:endnote w:type="continuationSeparator" w:id="0">
    <w:p w14:paraId="2C519171" w14:textId="77777777" w:rsidR="00EB66B9" w:rsidRDefault="00EB66B9" w:rsidP="001046D7">
      <w:pPr>
        <w:pStyle w:val="LogoCaption"/>
      </w:pPr>
      <w:r>
        <w:continuationSeparator/>
      </w:r>
    </w:p>
  </w:endnote>
  <w:endnote w:type="continuationNotice" w:id="1">
    <w:p w14:paraId="115019F4" w14:textId="77777777" w:rsidR="00EB66B9" w:rsidRDefault="00EB66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76017733" w:rsidR="00CD5631" w:rsidRDefault="00CD5631">
    <w:pPr>
      <w:pStyle w:val="Footer"/>
    </w:pPr>
    <w:r>
      <w:fldChar w:fldCharType="begin"/>
    </w:r>
    <w:r>
      <w:instrText xml:space="preserve"> DOCPROPERTY "DocID" \* MERGEFORMAT </w:instrText>
    </w:r>
    <w:r>
      <w:fldChar w:fldCharType="separate"/>
    </w:r>
    <w:r w:rsidR="007648E3">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388BBE35"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B461C7">
      <w:rPr>
        <w:rFonts w:ascii="Arial" w:hAnsi="Arial" w:cs="Arial"/>
        <w:sz w:val="18"/>
        <w:szCs w:val="18"/>
      </w:rPr>
      <w:t>c</w:t>
    </w:r>
    <w:r>
      <w:rPr>
        <w:rFonts w:ascii="Arial" w:hAnsi="Arial" w:cs="Arial"/>
        <w:sz w:val="18"/>
        <w:szCs w:val="18"/>
      </w:rPr>
      <w:t xml:space="preserve"> – </w:t>
    </w:r>
    <w:r w:rsidR="00404699">
      <w:rPr>
        <w:rFonts w:ascii="Arial" w:hAnsi="Arial" w:cs="Arial"/>
        <w:sz w:val="18"/>
        <w:szCs w:val="18"/>
      </w:rPr>
      <w:t>0</w:t>
    </w:r>
    <w:r w:rsidR="003C1BDF">
      <w:rPr>
        <w:rFonts w:ascii="Arial" w:hAnsi="Arial" w:cs="Arial"/>
        <w:sz w:val="18"/>
        <w:szCs w:val="18"/>
      </w:rPr>
      <w:t>6</w:t>
    </w:r>
    <w:r w:rsidR="00404699">
      <w:rPr>
        <w:rFonts w:ascii="Arial" w:hAnsi="Arial" w:cs="Arial"/>
        <w:sz w:val="18"/>
        <w:szCs w:val="18"/>
      </w:rPr>
      <w:t xml:space="preserve"> </w:t>
    </w:r>
    <w:r w:rsidR="003C1BDF">
      <w:rPr>
        <w:rFonts w:ascii="Arial" w:hAnsi="Arial" w:cs="Arial"/>
        <w:sz w:val="18"/>
        <w:szCs w:val="18"/>
      </w:rPr>
      <w:t>June</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82463" w14:textId="77777777" w:rsidR="00EB66B9" w:rsidRDefault="00EB66B9" w:rsidP="001046D7">
      <w:pPr>
        <w:pStyle w:val="LogoCaption"/>
      </w:pPr>
      <w:r>
        <w:separator/>
      </w:r>
    </w:p>
  </w:footnote>
  <w:footnote w:type="continuationSeparator" w:id="0">
    <w:p w14:paraId="6CA61BA0" w14:textId="77777777" w:rsidR="00EB66B9" w:rsidRDefault="00EB66B9" w:rsidP="001046D7">
      <w:pPr>
        <w:pStyle w:val="LogoCaption"/>
      </w:pPr>
      <w:r>
        <w:continuationSeparator/>
      </w:r>
    </w:p>
  </w:footnote>
  <w:footnote w:type="continuationNotice" w:id="1">
    <w:p w14:paraId="05DC9CDC" w14:textId="77777777" w:rsidR="00EB66B9" w:rsidRDefault="00EB66B9"/>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85" w:name="OLE_LINK4"/>
      <w:bookmarkStart w:id="286" w:name="OLE_LINK5"/>
      <w:r w:rsidRPr="00222B22">
        <w:rPr>
          <w:rFonts w:cs="Arial"/>
          <w:sz w:val="18"/>
          <w:szCs w:val="18"/>
        </w:rPr>
        <w:t xml:space="preserve">LDTEC Indicative Block Offer </w:t>
      </w:r>
      <w:bookmarkEnd w:id="285"/>
      <w:bookmarkEnd w:id="286"/>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84"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85" w:name="bmkLogoCaptionEven" w:colFirst="0" w:colLast="0"/>
          <w:bookmarkEnd w:id="384"/>
        </w:p>
      </w:tc>
    </w:tr>
    <w:bookmarkEnd w:id="385"/>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0A235825"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3C1BDF">
      <w:rPr>
        <w:rFonts w:ascii="Arial" w:hAnsi="Arial" w:cs="Arial"/>
        <w:sz w:val="18"/>
        <w:szCs w:val="18"/>
      </w:rPr>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86"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87" w:name="bmkLogoCaption" w:colFirst="0" w:colLast="0"/>
          <w:bookmarkEnd w:id="386"/>
        </w:p>
      </w:tc>
    </w:tr>
    <w:bookmarkEnd w:id="387"/>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1844"/>
        </w:tabs>
        <w:ind w:left="2751" w:hanging="907"/>
      </w:pPr>
      <w:rPr>
        <w:rFonts w:ascii="Arial" w:hAnsi="Arial" w:cs="Times New Roman" w:hint="default"/>
        <w:b w:val="0"/>
        <w:i w:val="0"/>
        <w:sz w:val="22"/>
      </w:rPr>
    </w:lvl>
    <w:lvl w:ilvl="1" w:tplc="08090019" w:tentative="1">
      <w:start w:val="1"/>
      <w:numFmt w:val="lowerLetter"/>
      <w:lvlText w:val="%2."/>
      <w:lvlJc w:val="left"/>
      <w:pPr>
        <w:ind w:left="2564" w:hanging="360"/>
      </w:pPr>
    </w:lvl>
    <w:lvl w:ilvl="2" w:tplc="0809001B" w:tentative="1">
      <w:start w:val="1"/>
      <w:numFmt w:val="lowerRoman"/>
      <w:lvlText w:val="%3."/>
      <w:lvlJc w:val="right"/>
      <w:pPr>
        <w:ind w:left="3284" w:hanging="180"/>
      </w:pPr>
    </w:lvl>
    <w:lvl w:ilvl="3" w:tplc="0809000F" w:tentative="1">
      <w:start w:val="1"/>
      <w:numFmt w:val="decimal"/>
      <w:lvlText w:val="%4."/>
      <w:lvlJc w:val="left"/>
      <w:pPr>
        <w:ind w:left="4004" w:hanging="360"/>
      </w:pPr>
    </w:lvl>
    <w:lvl w:ilvl="4" w:tplc="08090019" w:tentative="1">
      <w:start w:val="1"/>
      <w:numFmt w:val="lowerLetter"/>
      <w:lvlText w:val="%5."/>
      <w:lvlJc w:val="left"/>
      <w:pPr>
        <w:ind w:left="4724" w:hanging="360"/>
      </w:pPr>
    </w:lvl>
    <w:lvl w:ilvl="5" w:tplc="0809001B" w:tentative="1">
      <w:start w:val="1"/>
      <w:numFmt w:val="lowerRoman"/>
      <w:lvlText w:val="%6."/>
      <w:lvlJc w:val="right"/>
      <w:pPr>
        <w:ind w:left="5444" w:hanging="180"/>
      </w:pPr>
    </w:lvl>
    <w:lvl w:ilvl="6" w:tplc="0809000F" w:tentative="1">
      <w:start w:val="1"/>
      <w:numFmt w:val="decimal"/>
      <w:lvlText w:val="%7."/>
      <w:lvlJc w:val="left"/>
      <w:pPr>
        <w:ind w:left="6164" w:hanging="360"/>
      </w:pPr>
    </w:lvl>
    <w:lvl w:ilvl="7" w:tplc="08090019" w:tentative="1">
      <w:start w:val="1"/>
      <w:numFmt w:val="lowerLetter"/>
      <w:lvlText w:val="%8."/>
      <w:lvlJc w:val="left"/>
      <w:pPr>
        <w:ind w:left="6884" w:hanging="360"/>
      </w:pPr>
    </w:lvl>
    <w:lvl w:ilvl="8" w:tplc="0809001B" w:tentative="1">
      <w:start w:val="1"/>
      <w:numFmt w:val="lowerRoman"/>
      <w:lvlText w:val="%9."/>
      <w:lvlJc w:val="right"/>
      <w:pPr>
        <w:ind w:left="7604"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2B"/>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666"/>
    <w:rsid w:val="00471C3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37BA3"/>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7B6"/>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9CE"/>
    <w:rsid w:val="00761DDD"/>
    <w:rsid w:val="007629DF"/>
    <w:rsid w:val="007633D6"/>
    <w:rsid w:val="007648E3"/>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1926"/>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33CF"/>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6D20"/>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67428"/>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49C8"/>
    <w:rsid w:val="00A96066"/>
    <w:rsid w:val="00AA0AF9"/>
    <w:rsid w:val="00AA2461"/>
    <w:rsid w:val="00AA3850"/>
    <w:rsid w:val="00AA3BD8"/>
    <w:rsid w:val="00AA4AF1"/>
    <w:rsid w:val="00AA4E13"/>
    <w:rsid w:val="00AA57B0"/>
    <w:rsid w:val="00AA65A8"/>
    <w:rsid w:val="00AA6623"/>
    <w:rsid w:val="00AB080A"/>
    <w:rsid w:val="00AB1151"/>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61C7"/>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66B9"/>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B1D"/>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 w:val="215D4A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image" Target="media/image90.wmf"/><Relationship Id="rId21" Type="http://schemas.openxmlformats.org/officeDocument/2006/relationships/image" Target="media/image5.emf"/><Relationship Id="rId42" Type="http://schemas.openxmlformats.org/officeDocument/2006/relationships/image" Target="media/image26.wmf"/><Relationship Id="rId47" Type="http://schemas.openxmlformats.org/officeDocument/2006/relationships/image" Target="media/image31.wmf"/><Relationship Id="rId63" Type="http://schemas.openxmlformats.org/officeDocument/2006/relationships/image" Target="media/image47.wmf"/><Relationship Id="rId68" Type="http://schemas.openxmlformats.org/officeDocument/2006/relationships/image" Target="media/image52.wmf"/><Relationship Id="rId84" Type="http://schemas.openxmlformats.org/officeDocument/2006/relationships/image" Target="media/image67.wmf"/><Relationship Id="rId89" Type="http://schemas.openxmlformats.org/officeDocument/2006/relationships/oleObject" Target="embeddings/oleObject2.bin"/><Relationship Id="rId112" Type="http://schemas.openxmlformats.org/officeDocument/2006/relationships/image" Target="media/image87.wmf"/><Relationship Id="rId16" Type="http://schemas.microsoft.com/office/2018/08/relationships/commentsExtensible" Target="commentsExtensible.xml"/><Relationship Id="rId107" Type="http://schemas.openxmlformats.org/officeDocument/2006/relationships/image" Target="media/image84.wmf"/><Relationship Id="rId11" Type="http://schemas.openxmlformats.org/officeDocument/2006/relationships/footnotes" Target="footnotes.xml"/><Relationship Id="rId32" Type="http://schemas.openxmlformats.org/officeDocument/2006/relationships/image" Target="media/image16.png"/><Relationship Id="rId37" Type="http://schemas.openxmlformats.org/officeDocument/2006/relationships/image" Target="media/image21.wmf"/><Relationship Id="rId53" Type="http://schemas.openxmlformats.org/officeDocument/2006/relationships/image" Target="media/image37.wmf"/><Relationship Id="rId58" Type="http://schemas.openxmlformats.org/officeDocument/2006/relationships/image" Target="media/image42.wmf"/><Relationship Id="rId74" Type="http://schemas.openxmlformats.org/officeDocument/2006/relationships/image" Target="media/image58.wmf"/><Relationship Id="rId79" Type="http://schemas.openxmlformats.org/officeDocument/2006/relationships/image" Target="media/image63.png"/><Relationship Id="rId102" Type="http://schemas.openxmlformats.org/officeDocument/2006/relationships/image" Target="media/image79.wmf"/><Relationship Id="rId123" Type="http://schemas.openxmlformats.org/officeDocument/2006/relationships/header" Target="header3.xml"/><Relationship Id="rId5" Type="http://schemas.openxmlformats.org/officeDocument/2006/relationships/customXml" Target="../customXml/item5.xml"/><Relationship Id="rId61" Type="http://schemas.openxmlformats.org/officeDocument/2006/relationships/image" Target="media/image45.wmf"/><Relationship Id="rId82" Type="http://schemas.openxmlformats.org/officeDocument/2006/relationships/image" Target="media/image65.wmf"/><Relationship Id="rId90" Type="http://schemas.openxmlformats.org/officeDocument/2006/relationships/image" Target="media/image71.wmf"/><Relationship Id="rId95" Type="http://schemas.openxmlformats.org/officeDocument/2006/relationships/oleObject" Target="embeddings/oleObject5.bin"/><Relationship Id="rId19" Type="http://schemas.openxmlformats.org/officeDocument/2006/relationships/image" Target="media/image3.emf"/><Relationship Id="rId14" Type="http://schemas.microsoft.com/office/2011/relationships/commentsExtended" Target="commentsExtended.xml"/><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43" Type="http://schemas.openxmlformats.org/officeDocument/2006/relationships/image" Target="media/image27.wmf"/><Relationship Id="rId48" Type="http://schemas.openxmlformats.org/officeDocument/2006/relationships/image" Target="media/image32.wmf"/><Relationship Id="rId56" Type="http://schemas.openxmlformats.org/officeDocument/2006/relationships/image" Target="media/image40.wmf"/><Relationship Id="rId64" Type="http://schemas.openxmlformats.org/officeDocument/2006/relationships/image" Target="media/image48.wmf"/><Relationship Id="rId69" Type="http://schemas.openxmlformats.org/officeDocument/2006/relationships/image" Target="media/image53.wmf"/><Relationship Id="rId77" Type="http://schemas.openxmlformats.org/officeDocument/2006/relationships/image" Target="media/image61.png"/><Relationship Id="rId100" Type="http://schemas.openxmlformats.org/officeDocument/2006/relationships/image" Target="media/image77.png"/><Relationship Id="rId105" Type="http://schemas.openxmlformats.org/officeDocument/2006/relationships/image" Target="media/image82.wmf"/><Relationship Id="rId113" Type="http://schemas.openxmlformats.org/officeDocument/2006/relationships/image" Target="media/image88.wmf"/><Relationship Id="rId118" Type="http://schemas.openxmlformats.org/officeDocument/2006/relationships/oleObject" Target="embeddings/oleObject10.bin"/><Relationship Id="rId8" Type="http://schemas.openxmlformats.org/officeDocument/2006/relationships/styles" Target="styles.xml"/><Relationship Id="rId51" Type="http://schemas.openxmlformats.org/officeDocument/2006/relationships/image" Target="media/image35.wmf"/><Relationship Id="rId72" Type="http://schemas.openxmlformats.org/officeDocument/2006/relationships/image" Target="media/image56.wmf"/><Relationship Id="rId80" Type="http://schemas.openxmlformats.org/officeDocument/2006/relationships/chart" Target="charts/chart1.xml"/><Relationship Id="rId85" Type="http://schemas.openxmlformats.org/officeDocument/2006/relationships/image" Target="media/image68.wmf"/><Relationship Id="rId93" Type="http://schemas.openxmlformats.org/officeDocument/2006/relationships/oleObject" Target="embeddings/oleObject4.bin"/><Relationship Id="rId98" Type="http://schemas.openxmlformats.org/officeDocument/2006/relationships/image" Target="media/image75.png"/><Relationship Id="rId12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1.png"/><Relationship Id="rId25" Type="http://schemas.openxmlformats.org/officeDocument/2006/relationships/image" Target="media/image9.wmf"/><Relationship Id="rId33" Type="http://schemas.openxmlformats.org/officeDocument/2006/relationships/image" Target="media/image17.png"/><Relationship Id="rId38" Type="http://schemas.openxmlformats.org/officeDocument/2006/relationships/image" Target="media/image22.wmf"/><Relationship Id="rId46" Type="http://schemas.openxmlformats.org/officeDocument/2006/relationships/image" Target="media/image30.wmf"/><Relationship Id="rId59" Type="http://schemas.openxmlformats.org/officeDocument/2006/relationships/image" Target="media/image43.wmf"/><Relationship Id="rId67" Type="http://schemas.openxmlformats.org/officeDocument/2006/relationships/image" Target="media/image51.wmf"/><Relationship Id="rId103" Type="http://schemas.openxmlformats.org/officeDocument/2006/relationships/image" Target="media/image80.wmf"/><Relationship Id="rId108"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16" Type="http://schemas.openxmlformats.org/officeDocument/2006/relationships/oleObject" Target="embeddings/oleObject9.bin"/><Relationship Id="rId124" Type="http://schemas.openxmlformats.org/officeDocument/2006/relationships/fontTable" Target="fontTable.xml"/><Relationship Id="rId20" Type="http://schemas.openxmlformats.org/officeDocument/2006/relationships/image" Target="media/image4.emf"/><Relationship Id="rId41" Type="http://schemas.openxmlformats.org/officeDocument/2006/relationships/image" Target="media/image25.wmf"/><Relationship Id="rId54" Type="http://schemas.openxmlformats.org/officeDocument/2006/relationships/image" Target="media/image38.wmf"/><Relationship Id="rId62" Type="http://schemas.openxmlformats.org/officeDocument/2006/relationships/image" Target="media/image46.wmf"/><Relationship Id="rId70" Type="http://schemas.openxmlformats.org/officeDocument/2006/relationships/image" Target="media/image54.wmf"/><Relationship Id="rId75" Type="http://schemas.openxmlformats.org/officeDocument/2006/relationships/image" Target="media/image59.wmf"/><Relationship Id="rId83" Type="http://schemas.openxmlformats.org/officeDocument/2006/relationships/image" Target="media/image66.png"/><Relationship Id="rId88" Type="http://schemas.openxmlformats.org/officeDocument/2006/relationships/image" Target="media/image70.wmf"/><Relationship Id="rId91" Type="http://schemas.openxmlformats.org/officeDocument/2006/relationships/oleObject" Target="embeddings/oleObject3.bin"/><Relationship Id="rId96" Type="http://schemas.openxmlformats.org/officeDocument/2006/relationships/image" Target="media/image74.wmf"/><Relationship Id="rId111" Type="http://schemas.openxmlformats.org/officeDocument/2006/relationships/image" Target="media/image86.png"/><Relationship Id="rId1" Type="http://schemas.openxmlformats.org/officeDocument/2006/relationships/customXml" Target="../customXml/item1.xml"/><Relationship Id="rId6" Type="http://schemas.openxmlformats.org/officeDocument/2006/relationships/customXml" Target="../customXml/item6.xml"/><Relationship Id="rId15" Type="http://schemas.microsoft.com/office/2016/09/relationships/commentsIds" Target="commentsIds.xml"/><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image" Target="media/image20.wmf"/><Relationship Id="rId49" Type="http://schemas.openxmlformats.org/officeDocument/2006/relationships/image" Target="media/image33.wmf"/><Relationship Id="rId57" Type="http://schemas.openxmlformats.org/officeDocument/2006/relationships/image" Target="media/image41.wmf"/><Relationship Id="rId106" Type="http://schemas.openxmlformats.org/officeDocument/2006/relationships/image" Target="media/image83.wmf"/><Relationship Id="rId114" Type="http://schemas.openxmlformats.org/officeDocument/2006/relationships/oleObject" Target="embeddings/oleObject8.bin"/><Relationship Id="rId119" Type="http://schemas.openxmlformats.org/officeDocument/2006/relationships/header" Target="header1.xml"/><Relationship Id="rId10" Type="http://schemas.openxmlformats.org/officeDocument/2006/relationships/webSettings" Target="webSettings.xml"/><Relationship Id="rId31" Type="http://schemas.openxmlformats.org/officeDocument/2006/relationships/image" Target="media/image15.png"/><Relationship Id="rId44" Type="http://schemas.openxmlformats.org/officeDocument/2006/relationships/image" Target="media/image28.wmf"/><Relationship Id="rId52" Type="http://schemas.openxmlformats.org/officeDocument/2006/relationships/image" Target="media/image36.wmf"/><Relationship Id="rId60" Type="http://schemas.openxmlformats.org/officeDocument/2006/relationships/image" Target="media/image44.wmf"/><Relationship Id="rId65" Type="http://schemas.openxmlformats.org/officeDocument/2006/relationships/image" Target="media/image49.wmf"/><Relationship Id="rId73" Type="http://schemas.openxmlformats.org/officeDocument/2006/relationships/image" Target="media/image57.wmf"/><Relationship Id="rId78" Type="http://schemas.openxmlformats.org/officeDocument/2006/relationships/image" Target="media/image62.wmf"/><Relationship Id="rId81" Type="http://schemas.openxmlformats.org/officeDocument/2006/relationships/image" Target="media/image64.wmf"/><Relationship Id="rId86" Type="http://schemas.openxmlformats.org/officeDocument/2006/relationships/image" Target="media/image69.wmf"/><Relationship Id="rId94" Type="http://schemas.openxmlformats.org/officeDocument/2006/relationships/image" Target="media/image73.wmf"/><Relationship Id="rId99" Type="http://schemas.openxmlformats.org/officeDocument/2006/relationships/image" Target="media/image76.png"/><Relationship Id="rId101" Type="http://schemas.openxmlformats.org/officeDocument/2006/relationships/image" Target="media/image78.wmf"/><Relationship Id="rId12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image" Target="media/image2.wmf"/><Relationship Id="rId39" Type="http://schemas.openxmlformats.org/officeDocument/2006/relationships/image" Target="media/image23.wmf"/><Relationship Id="rId109" Type="http://schemas.openxmlformats.org/officeDocument/2006/relationships/image" Target="media/image85.wmf"/><Relationship Id="rId34" Type="http://schemas.openxmlformats.org/officeDocument/2006/relationships/image" Target="media/image18.png"/><Relationship Id="rId50" Type="http://schemas.openxmlformats.org/officeDocument/2006/relationships/image" Target="media/image34.wmf"/><Relationship Id="rId55" Type="http://schemas.openxmlformats.org/officeDocument/2006/relationships/image" Target="media/image39.wmf"/><Relationship Id="rId76" Type="http://schemas.openxmlformats.org/officeDocument/2006/relationships/image" Target="media/image60.wmf"/><Relationship Id="rId97" Type="http://schemas.openxmlformats.org/officeDocument/2006/relationships/oleObject" Target="embeddings/oleObject6.bin"/><Relationship Id="rId104" Type="http://schemas.openxmlformats.org/officeDocument/2006/relationships/image" Target="media/image81.wmf"/><Relationship Id="rId120" Type="http://schemas.openxmlformats.org/officeDocument/2006/relationships/header" Target="header2.xml"/><Relationship Id="rId125" Type="http://schemas.openxmlformats.org/officeDocument/2006/relationships/theme" Target="theme/theme1.xml"/><Relationship Id="rId7" Type="http://schemas.openxmlformats.org/officeDocument/2006/relationships/numbering" Target="numbering.xml"/><Relationship Id="rId71" Type="http://schemas.openxmlformats.org/officeDocument/2006/relationships/image" Target="media/image55.wmf"/><Relationship Id="rId92" Type="http://schemas.openxmlformats.org/officeDocument/2006/relationships/image" Target="media/image72.wmf"/><Relationship Id="rId2" Type="http://schemas.openxmlformats.org/officeDocument/2006/relationships/customXml" Target="../customXml/item2.xml"/><Relationship Id="rId29" Type="http://schemas.openxmlformats.org/officeDocument/2006/relationships/image" Target="media/image13.wmf"/><Relationship Id="rId24" Type="http://schemas.openxmlformats.org/officeDocument/2006/relationships/image" Target="media/image8.wmf"/><Relationship Id="rId40" Type="http://schemas.openxmlformats.org/officeDocument/2006/relationships/image" Target="media/image24.wmf"/><Relationship Id="rId45" Type="http://schemas.openxmlformats.org/officeDocument/2006/relationships/image" Target="media/image29.png"/><Relationship Id="rId66" Type="http://schemas.openxmlformats.org/officeDocument/2006/relationships/image" Target="media/image50.wmf"/><Relationship Id="rId87" Type="http://schemas.openxmlformats.org/officeDocument/2006/relationships/oleObject" Target="embeddings/oleObject1.bin"/><Relationship Id="rId110" Type="http://schemas.openxmlformats.org/officeDocument/2006/relationships/oleObject" Target="embeddings/oleObject7.bin"/><Relationship Id="rId115" Type="http://schemas.openxmlformats.org/officeDocument/2006/relationships/image" Target="media/image89.wmf"/></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4.xml><?xml version="1.0" encoding="utf-8"?>
<ds:datastoreItem xmlns:ds="http://schemas.openxmlformats.org/officeDocument/2006/customXml" ds:itemID="{9ED422FA-0862-4F3F-870C-0D47F1F8B2CE}"/>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151</Pages>
  <Words>44649</Words>
  <Characters>254500</Characters>
  <Application>Microsoft Office Word</Application>
  <DocSecurity>0</DocSecurity>
  <Lines>2120</Lines>
  <Paragraphs>597</Paragraphs>
  <ScaleCrop>false</ScaleCrop>
  <LinksUpToDate>false</LinksUpToDate>
  <CharactersWithSpaces>298552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creator/>
  <cp:keywords/>
  <dc:description/>
  <cp:lastModifiedBy/>
  <cp:revision>1</cp:revision>
  <dcterms:created xsi:type="dcterms:W3CDTF">2024-07-03T15:00:00Z</dcterms:created>
  <dcterms:modified xsi:type="dcterms:W3CDTF">2024-07-03T15:16:00Z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