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6E935" w14:textId="77777777" w:rsidR="00617ACE" w:rsidRPr="00D94D1E" w:rsidRDefault="00617ACE" w:rsidP="00617ACE">
      <w:pPr>
        <w:pStyle w:val="Title"/>
        <w:jc w:val="left"/>
        <w:rPr>
          <w:ins w:id="0" w:author="Author" w:date="2024-06-14T13:29:00Z"/>
          <w:rFonts w:ascii="Arial" w:hAnsi="Arial"/>
          <w:b w:val="0"/>
          <w:bCs w:val="0"/>
          <w:color w:val="FF0000"/>
          <w:sz w:val="24"/>
          <w:szCs w:val="28"/>
        </w:rPr>
      </w:pPr>
      <w:ins w:id="1" w:author="Author" w:date="2024-06-14T13:29:00Z">
        <w:r w:rsidRPr="00D94D1E">
          <w:rPr>
            <w:rFonts w:ascii="Arial" w:hAnsi="Arial"/>
            <w:b w:val="0"/>
            <w:bCs w:val="0"/>
            <w:color w:val="FF0000"/>
            <w:sz w:val="24"/>
            <w:szCs w:val="28"/>
          </w:rPr>
          <w:t xml:space="preserve">This legal text is to be used for CMP393, if CMP316 </w:t>
        </w:r>
        <w:r>
          <w:rPr>
            <w:rFonts w:ascii="Arial" w:hAnsi="Arial"/>
            <w:b w:val="0"/>
            <w:bCs w:val="0"/>
            <w:color w:val="FF0000"/>
            <w:sz w:val="24"/>
            <w:szCs w:val="28"/>
          </w:rPr>
          <w:t>Original</w:t>
        </w:r>
        <w:r w:rsidRPr="00D94D1E">
          <w:rPr>
            <w:rFonts w:ascii="Arial" w:hAnsi="Arial"/>
            <w:b w:val="0"/>
            <w:bCs w:val="0"/>
            <w:color w:val="FF0000"/>
            <w:sz w:val="24"/>
            <w:szCs w:val="28"/>
          </w:rPr>
          <w:t xml:space="preserve"> is approved prior to CMP393 approval.</w:t>
        </w:r>
      </w:ins>
    </w:p>
    <w:p w14:paraId="5F9D63BA" w14:textId="77777777" w:rsidR="00617ACE" w:rsidRPr="00D94D1E" w:rsidRDefault="00617ACE" w:rsidP="00617ACE">
      <w:pPr>
        <w:pStyle w:val="Title"/>
        <w:jc w:val="left"/>
        <w:rPr>
          <w:ins w:id="2" w:author="Author" w:date="2024-06-14T13:29:00Z"/>
          <w:rFonts w:ascii="Arial" w:hAnsi="Arial"/>
          <w:b w:val="0"/>
          <w:bCs w:val="0"/>
          <w:color w:val="FF0000"/>
          <w:sz w:val="24"/>
          <w:szCs w:val="28"/>
        </w:rPr>
      </w:pPr>
      <w:ins w:id="3" w:author="Author" w:date="2024-06-14T13:29:00Z">
        <w:r w:rsidRPr="00D94D1E">
          <w:rPr>
            <w:rFonts w:ascii="Arial" w:hAnsi="Arial"/>
            <w:b w:val="0"/>
            <w:bCs w:val="0"/>
            <w:color w:val="FF0000"/>
            <w:sz w:val="24"/>
            <w:szCs w:val="28"/>
            <w:highlight w:val="yellow"/>
          </w:rPr>
          <w:t>Legal text highlighted in yellow is specific to CMP316</w:t>
        </w:r>
        <w:r>
          <w:rPr>
            <w:rFonts w:ascii="Arial" w:hAnsi="Arial"/>
            <w:b w:val="0"/>
            <w:bCs w:val="0"/>
            <w:color w:val="FF0000"/>
            <w:sz w:val="24"/>
            <w:szCs w:val="28"/>
            <w:highlight w:val="yellow"/>
          </w:rPr>
          <w:t xml:space="preserve"> Original</w:t>
        </w:r>
        <w:r w:rsidRPr="00D94D1E">
          <w:rPr>
            <w:rFonts w:ascii="Arial" w:hAnsi="Arial"/>
            <w:b w:val="0"/>
            <w:bCs w:val="0"/>
            <w:color w:val="FF0000"/>
            <w:sz w:val="24"/>
            <w:szCs w:val="28"/>
            <w:highlight w:val="yellow"/>
          </w:rPr>
          <w:t>.</w:t>
        </w:r>
      </w:ins>
    </w:p>
    <w:p w14:paraId="3407CFBB" w14:textId="77777777" w:rsidR="00617ACE" w:rsidRPr="00D94D1E" w:rsidRDefault="00617ACE" w:rsidP="00617ACE">
      <w:pPr>
        <w:pStyle w:val="Title"/>
        <w:jc w:val="left"/>
        <w:rPr>
          <w:ins w:id="4" w:author="Author" w:date="2024-06-14T13:29:00Z"/>
          <w:rFonts w:ascii="Arial" w:hAnsi="Arial"/>
          <w:b w:val="0"/>
          <w:bCs w:val="0"/>
          <w:color w:val="FF0000"/>
          <w:sz w:val="24"/>
          <w:szCs w:val="28"/>
        </w:rPr>
      </w:pPr>
      <w:ins w:id="5" w:author="Author" w:date="2024-06-14T13:29:00Z">
        <w:r w:rsidRPr="00D94D1E">
          <w:rPr>
            <w:rFonts w:ascii="Arial" w:hAnsi="Arial"/>
            <w:b w:val="0"/>
            <w:bCs w:val="0"/>
            <w:color w:val="FF0000"/>
            <w:sz w:val="24"/>
            <w:szCs w:val="28"/>
            <w:highlight w:val="green"/>
          </w:rPr>
          <w:t>Legal text highlighted in green is required if both CMP316</w:t>
        </w:r>
        <w:r>
          <w:rPr>
            <w:rFonts w:ascii="Arial" w:hAnsi="Arial"/>
            <w:b w:val="0"/>
            <w:bCs w:val="0"/>
            <w:color w:val="FF0000"/>
            <w:sz w:val="24"/>
            <w:szCs w:val="28"/>
            <w:highlight w:val="green"/>
          </w:rPr>
          <w:t xml:space="preserve"> Original</w:t>
        </w:r>
        <w:r w:rsidRPr="00D94D1E">
          <w:rPr>
            <w:rFonts w:ascii="Arial" w:hAnsi="Arial"/>
            <w:b w:val="0"/>
            <w:bCs w:val="0"/>
            <w:color w:val="FF0000"/>
            <w:sz w:val="24"/>
            <w:szCs w:val="28"/>
            <w:highlight w:val="green"/>
          </w:rPr>
          <w:t xml:space="preserve"> and CMP393 are approved.</w:t>
        </w:r>
      </w:ins>
    </w:p>
    <w:p w14:paraId="2AB907C3" w14:textId="77777777" w:rsidR="00617ACE" w:rsidRPr="00D94D1E" w:rsidRDefault="00617ACE" w:rsidP="00617ACE">
      <w:pPr>
        <w:pStyle w:val="Title"/>
        <w:jc w:val="left"/>
        <w:rPr>
          <w:ins w:id="6" w:author="Author" w:date="2024-06-14T13:29:00Z"/>
          <w:rFonts w:ascii="Arial" w:hAnsi="Arial"/>
          <w:color w:val="FF0000"/>
          <w:u w:val="single"/>
        </w:rPr>
      </w:pPr>
      <w:ins w:id="7" w:author="Author" w:date="2024-06-14T13:29:00Z">
        <w:r w:rsidRPr="00D94D1E">
          <w:rPr>
            <w:rFonts w:ascii="Arial" w:hAnsi="Arial"/>
            <w:b w:val="0"/>
            <w:bCs w:val="0"/>
            <w:color w:val="FF0000"/>
            <w:sz w:val="24"/>
            <w:szCs w:val="28"/>
          </w:rPr>
          <w:t>All other CMP393 legal text can be found on tracked changes, not highlighted.</w:t>
        </w:r>
      </w:ins>
    </w:p>
    <w:p w14:paraId="16CC0A46" w14:textId="77777777" w:rsidR="00617ACE" w:rsidRDefault="00617ACE" w:rsidP="00617ACE">
      <w:pPr>
        <w:pStyle w:val="Title"/>
        <w:jc w:val="left"/>
        <w:rPr>
          <w:ins w:id="8" w:author="Author" w:date="2024-06-14T13:29:00Z"/>
          <w:rFonts w:ascii="Arial" w:hAnsi="Arial"/>
          <w:u w:val="single"/>
        </w:rPr>
      </w:pPr>
    </w:p>
    <w:p w14:paraId="298EFEC4" w14:textId="4D0D6AEE"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lastRenderedPageBreak/>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9" w:name="_DV_M10"/>
      <w:bookmarkStart w:id="10" w:name="_DV_M11"/>
      <w:bookmarkEnd w:id="9"/>
      <w:bookmarkEnd w:id="10"/>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11"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12" w:name="_Toc32208919"/>
      <w:bookmarkStart w:id="13" w:name="_Toc44315380"/>
      <w:bookmarkEnd w:id="11"/>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14" w:name="_Toc220918005"/>
      <w:bookmarkEnd w:id="12"/>
      <w:bookmarkEnd w:id="13"/>
      <w:r w:rsidRPr="00922CDA">
        <w:t>Costs and their Allocation</w:t>
      </w:r>
      <w:bookmarkEnd w:id="14"/>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15" w:name="_Toc32208920"/>
      <w:bookmarkStart w:id="16" w:name="_Toc44315381"/>
      <w:bookmarkStart w:id="17" w:name="_Toc220918006"/>
      <w:r w:rsidRPr="00922CDA">
        <w:t>Connection/Use of System Boundary</w:t>
      </w:r>
      <w:bookmarkEnd w:id="15"/>
      <w:bookmarkEnd w:id="16"/>
      <w:bookmarkEnd w:id="17"/>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18" w:name="_Ref469392153"/>
      <w:r>
        <w:t xml:space="preserve"> </w:t>
      </w:r>
      <w:r w:rsidRPr="00922CDA">
        <w:t>Connection assets are defined as all those single user assets which:</w:t>
      </w:r>
      <w:bookmarkEnd w:id="18"/>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9" w:name="_Hlt531685514"/>
      <w:bookmarkStart w:id="20" w:name="_Hlt531683258"/>
      <w:bookmarkStart w:id="21" w:name="_Toc44315383"/>
      <w:bookmarkEnd w:id="19"/>
      <w:bookmarkEnd w:id="20"/>
      <w:r w:rsidRPr="00922CDA">
        <w:br w:type="page"/>
      </w:r>
      <w:bookmarkStart w:id="22" w:name="_Toc220918007"/>
      <w:r w:rsidRPr="00415339">
        <w:rPr>
          <w:color w:val="auto"/>
          <w:sz w:val="28"/>
          <w:szCs w:val="28"/>
        </w:rPr>
        <w:lastRenderedPageBreak/>
        <w:t>14.3 The Calculation of the Basic Annual Connection Charge for an Asset</w:t>
      </w:r>
      <w:bookmarkEnd w:id="21"/>
      <w:bookmarkEnd w:id="22"/>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23" w:name="_Toc220918008"/>
      <w:r>
        <w:t>Pre and Post Vesting Connections</w:t>
      </w:r>
      <w:bookmarkEnd w:id="23"/>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24" w:name="_Toc32208924"/>
      <w:bookmarkStart w:id="25" w:name="_Toc44315385"/>
      <w:bookmarkStart w:id="26" w:name="_Toc220918009"/>
      <w:r>
        <w:t>Calculation of the Gross Asset Value</w:t>
      </w:r>
      <w:bookmarkEnd w:id="24"/>
      <w:bookmarkEnd w:id="25"/>
      <w:r>
        <w:t xml:space="preserve"> (GAV)</w:t>
      </w:r>
      <w:bookmarkEnd w:id="26"/>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27" w:name="_Ref492175443"/>
      <w:r>
        <w:t xml:space="preserve">  The </w:t>
      </w:r>
      <w:bookmarkStart w:id="28" w:name="Para_2_2"/>
      <w:bookmarkEnd w:id="28"/>
      <w:r>
        <w:t>GAV represents the initial total cost of an asset to the transmission licensee.  For a new asset it will be the costs incurred by the transmission licensee in the provision of that asset.  Typically, the GAV is made up of the following components:</w:t>
      </w:r>
      <w:bookmarkEnd w:id="27"/>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9" w:name="_Ref469457101"/>
      <w:r>
        <w:t xml:space="preserve">The </w:t>
      </w:r>
      <w:bookmarkStart w:id="30" w:name="Para_2_5"/>
      <w:bookmarkEnd w:id="30"/>
      <w:r w:rsidR="00061D6F">
        <w:t>TOPI</w:t>
      </w:r>
      <w:r>
        <w:t xml:space="preserve"> revaluation method is as follows:</w:t>
      </w:r>
      <w:bookmarkEnd w:id="29"/>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31" w:name="_Toc220918010"/>
      <w:r>
        <w:t>Calculation of Net Asset Value</w:t>
      </w:r>
      <w:bookmarkEnd w:id="31"/>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32" w:name="_Hlt492200960"/>
      <w:bookmarkStart w:id="33" w:name="_Ref492200889"/>
      <w:bookmarkEnd w:id="32"/>
      <w:r>
        <w:t xml:space="preserve">  The </w:t>
      </w:r>
      <w:bookmarkStart w:id="34" w:name="Para_2_6"/>
      <w:bookmarkEnd w:id="34"/>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33"/>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35" w:name="_Hlt492200957"/>
      <w:bookmarkStart w:id="36" w:name="_Ref469457714"/>
      <w:bookmarkEnd w:id="35"/>
      <w:r>
        <w:t xml:space="preserve">   In </w:t>
      </w:r>
      <w:bookmarkStart w:id="37" w:name="Para_2_7"/>
      <w:bookmarkEnd w:id="37"/>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38" w:name="_Toc32208926"/>
      <w:bookmarkStart w:id="39" w:name="_Toc44315387"/>
      <w:bookmarkEnd w:id="36"/>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40" w:name="_Toc220918011"/>
      <w:bookmarkEnd w:id="38"/>
      <w:bookmarkEnd w:id="39"/>
      <w:r>
        <w:t>Capital Components of the Connection charge for Post Vesting Connection Assets</w:t>
      </w:r>
      <w:bookmarkEnd w:id="40"/>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41" w:name="_Ref480172085"/>
      <w:r>
        <w:t>The standard terms for a connection offer will be</w:t>
      </w:r>
      <w:bookmarkEnd w:id="41"/>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42" w:name="_Ref469456967"/>
      <w:r>
        <w:t xml:space="preserve">In </w:t>
      </w:r>
      <w:bookmarkStart w:id="43" w:name="Para_2_9"/>
      <w:bookmarkEnd w:id="43"/>
      <w:r>
        <w:t>addition a number of options exist:</w:t>
      </w:r>
      <w:bookmarkEnd w:id="42"/>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44" w:name="_Toc32208927"/>
      <w:bookmarkStart w:id="45"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46" w:name="_Toc220918012"/>
      <w:r>
        <w:t>Capital Components of the Connection charge for Pre Vesting Connection Assets</w:t>
      </w:r>
      <w:bookmarkEnd w:id="44"/>
      <w:bookmarkEnd w:id="45"/>
      <w:bookmarkEnd w:id="46"/>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47" w:name="_Toc32208928"/>
      <w:bookmarkStart w:id="48" w:name="_Toc44315389"/>
      <w:bookmarkStart w:id="49" w:name="_Toc220918013"/>
      <w:r>
        <w:t>Non-Capital Components - Charging for Maintenance</w:t>
      </w:r>
      <w:r>
        <w:fldChar w:fldCharType="begin"/>
      </w:r>
      <w:r>
        <w:instrText xml:space="preserve"> XE "Maintenance" </w:instrText>
      </w:r>
      <w:r>
        <w:fldChar w:fldCharType="end"/>
      </w:r>
      <w:r>
        <w:t xml:space="preserve"> and Transmission Running Costs</w:t>
      </w:r>
      <w:bookmarkEnd w:id="47"/>
      <w:bookmarkEnd w:id="48"/>
      <w:bookmarkEnd w:id="49"/>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50" w:name="_Toc220918014"/>
      <w:r>
        <w:t>Part A: Site Specific Maintenance Charges</w:t>
      </w:r>
      <w:bookmarkEnd w:id="50"/>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51" w:name="_Toc220918015"/>
      <w:r>
        <w:t>Part B: Transmission Running Costs</w:t>
      </w:r>
      <w:bookmarkEnd w:id="51"/>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52" w:name="_Toc220918016"/>
      <w:r w:rsidRPr="00094C68">
        <w:rPr>
          <w:rFonts w:ascii="Arial" w:hAnsi="Arial" w:cs="Arial"/>
          <w:szCs w:val="22"/>
        </w:rPr>
        <w:t>The Basic Annual Connection Charge Formula</w:t>
      </w:r>
      <w:bookmarkEnd w:id="52"/>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53" w:name="_Hlt32209703"/>
      <w:bookmarkStart w:id="54" w:name="_Ref500843438"/>
      <w:bookmarkEnd w:id="53"/>
      <w:r w:rsidRPr="00094C68">
        <w:rPr>
          <w:rFonts w:ascii="Arial" w:hAnsi="Arial" w:cs="Arial"/>
          <w:szCs w:val="22"/>
        </w:rPr>
        <w:t xml:space="preserve">The </w:t>
      </w:r>
      <w:bookmarkStart w:id="55" w:name="Para_2_22"/>
      <w:bookmarkEnd w:id="55"/>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54"/>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56" w:name="_Toc32208932"/>
      <w:bookmarkStart w:id="57" w:name="_Toc44315393"/>
    </w:p>
    <w:p w14:paraId="35B32AB3" w14:textId="77777777" w:rsidR="00225419" w:rsidRDefault="00225419">
      <w:pPr>
        <w:pStyle w:val="Heading2"/>
      </w:pPr>
    </w:p>
    <w:p w14:paraId="3579E9C6" w14:textId="77777777" w:rsidR="00225419" w:rsidRDefault="00225419">
      <w:pPr>
        <w:pStyle w:val="Heading2"/>
      </w:pPr>
      <w:bookmarkStart w:id="58" w:name="_Toc220918017"/>
      <w:r>
        <w:t>Adjustment for Capital Contributions</w:t>
      </w:r>
      <w:bookmarkEnd w:id="56"/>
      <w:bookmarkEnd w:id="57"/>
      <w:bookmarkEnd w:id="58"/>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9" w:name="_Ref501761199"/>
      <w:r>
        <w:t xml:space="preserve">If a </w:t>
      </w:r>
      <w:bookmarkStart w:id="60" w:name="Para_2_25"/>
      <w:bookmarkEnd w:id="60"/>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9"/>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61"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62" w:name="_Hlt499019949"/>
      <w:bookmarkStart w:id="63" w:name="_Hlt499019955"/>
      <w:bookmarkEnd w:id="61"/>
      <w:bookmarkEnd w:id="62"/>
      <w:bookmarkEnd w:id="63"/>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64"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65" w:name="_Toc220918018"/>
      <w:r w:rsidRPr="00415339">
        <w:rPr>
          <w:color w:val="auto"/>
          <w:sz w:val="28"/>
          <w:szCs w:val="28"/>
        </w:rPr>
        <w:lastRenderedPageBreak/>
        <w:t>14.4 Other Charges</w:t>
      </w:r>
      <w:bookmarkEnd w:id="64"/>
      <w:bookmarkEnd w:id="65"/>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66" w:name="_Hlt490987527"/>
      <w:bookmarkStart w:id="67" w:name="_Ref477681385"/>
      <w:bookmarkEnd w:id="66"/>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67"/>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68" w:name="_Toc32208936"/>
      <w:bookmarkStart w:id="69" w:name="_Toc44315397"/>
      <w:bookmarkStart w:id="70" w:name="_Toc220918019"/>
      <w:r>
        <w:t>One</w:t>
      </w:r>
      <w:r>
        <w:noBreakHyphen/>
        <w:t>off Works</w:t>
      </w:r>
      <w:bookmarkEnd w:id="68"/>
      <w:bookmarkEnd w:id="69"/>
      <w:bookmarkEnd w:id="70"/>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71" w:name="_Ref2138694"/>
      <w:r>
        <w:t>For information, the general formula for the calculation of the one-off charge for works is outlined below</w:t>
      </w:r>
      <w:bookmarkEnd w:id="71"/>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72"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72"/>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73" w:name="_Toc220918020"/>
      <w:r>
        <w:t>Miscellaneous Charges</w:t>
      </w:r>
      <w:bookmarkEnd w:id="73"/>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74" w:name="_Hlt1554299"/>
      <w:bookmarkStart w:id="75" w:name="_Ref1554289"/>
      <w:bookmarkEnd w:id="74"/>
      <w:r>
        <w:t xml:space="preserve">  Other contract specific charges may be payable by the User, these will be set out in the Bilateral and Construction Agreements where appropriate.</w:t>
      </w:r>
      <w:bookmarkEnd w:id="75"/>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76" w:name="_Toc32208939"/>
      <w:bookmarkStart w:id="77" w:name="_Toc44315400"/>
      <w:bookmarkStart w:id="78" w:name="_Toc220918021"/>
      <w:r>
        <w:t>Rental sites</w:t>
      </w:r>
      <w:bookmarkEnd w:id="76"/>
      <w:bookmarkEnd w:id="77"/>
      <w:bookmarkEnd w:id="78"/>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9" w:name="_Toc220918022"/>
      <w:r>
        <w:t>Final Metering Scheme (FMS)/Energy Metering Systems</w:t>
      </w:r>
      <w:bookmarkEnd w:id="79"/>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80" w:name="_Toc44315402"/>
      <w:bookmarkStart w:id="81" w:name="_Toc220918023"/>
      <w:r>
        <w:rPr>
          <w:sz w:val="28"/>
          <w:szCs w:val="28"/>
        </w:rPr>
        <w:lastRenderedPageBreak/>
        <w:t>14.5</w:t>
      </w:r>
      <w:r w:rsidRPr="00395682">
        <w:rPr>
          <w:sz w:val="28"/>
          <w:szCs w:val="28"/>
        </w:rPr>
        <w:t xml:space="preserve"> Connection Agreements</w:t>
      </w:r>
      <w:bookmarkEnd w:id="80"/>
      <w:bookmarkEnd w:id="81"/>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82" w:name="_Toc220918024"/>
      <w:r>
        <w:t>Indicative Agreement</w:t>
      </w:r>
      <w:bookmarkEnd w:id="82"/>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83" w:name="_Toc493589034"/>
      <w:bookmarkStart w:id="84" w:name="_Toc32208943"/>
      <w:bookmarkStart w:id="85"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86" w:name="_Toc220918025"/>
      <w:r>
        <w:t>Outturning the Indicative Agreement</w:t>
      </w:r>
      <w:bookmarkEnd w:id="83"/>
      <w:bookmarkEnd w:id="84"/>
      <w:bookmarkEnd w:id="85"/>
      <w:bookmarkEnd w:id="86"/>
    </w:p>
    <w:p w14:paraId="295282BC" w14:textId="77777777" w:rsidR="00225419" w:rsidRDefault="00225419">
      <w:pPr>
        <w:pStyle w:val="1"/>
        <w:keepNext/>
        <w:jc w:val="both"/>
      </w:pPr>
    </w:p>
    <w:p w14:paraId="5D6E2E9A" w14:textId="05D4085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648E3">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87" w:name="_Toc32208944"/>
      <w:bookmarkStart w:id="88" w:name="_Toc44315405"/>
      <w:bookmarkStart w:id="89" w:name="_Toc220918026"/>
      <w:r>
        <w:t>Firm Price Agreement</w:t>
      </w:r>
      <w:bookmarkEnd w:id="87"/>
      <w:bookmarkEnd w:id="88"/>
      <w:bookmarkEnd w:id="89"/>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BAA0B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648E3">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90" w:name="_Toc220918027"/>
      <w:r>
        <w:lastRenderedPageBreak/>
        <w:t>Monthly Connection Charges</w:t>
      </w:r>
      <w:bookmarkEnd w:id="90"/>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106D047"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648E3">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7648E3">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91" w:name="_Toc44315407"/>
      <w:bookmarkStart w:id="92"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91"/>
      <w:bookmarkEnd w:id="92"/>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93" w:name="_Toc220918029"/>
      <w:r>
        <w:t>Charges Liable</w:t>
      </w:r>
      <w:bookmarkEnd w:id="93"/>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94" w:name="_Toc220918030"/>
      <w:r>
        <w:lastRenderedPageBreak/>
        <w:t>Repayment on Re-Use of Assets</w:t>
      </w:r>
      <w:bookmarkEnd w:id="94"/>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95" w:name="_Toc220918031"/>
      <w:r>
        <w:t>Valuation of Assets that are re-used as connection assets or existing infrastructure assets re-allocated to connection</w:t>
      </w:r>
      <w:bookmarkEnd w:id="95"/>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96" w:name="_Toc44315413"/>
      <w:bookmarkStart w:id="97" w:name="_Toc220918032"/>
      <w:r w:rsidRPr="007F69E9">
        <w:rPr>
          <w:color w:val="auto"/>
          <w:sz w:val="28"/>
          <w:szCs w:val="28"/>
        </w:rPr>
        <w:lastRenderedPageBreak/>
        <w:t>14.7 Contestability</w:t>
      </w:r>
      <w:bookmarkEnd w:id="96"/>
      <w:bookmarkEnd w:id="97"/>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98" w:name="_Toc32208953"/>
      <w:bookmarkStart w:id="99" w:name="_Toc44315414"/>
    </w:p>
    <w:p w14:paraId="30FF6B22" w14:textId="77777777" w:rsidR="00225419" w:rsidRDefault="00225419"/>
    <w:p w14:paraId="51BDC2A7" w14:textId="77777777" w:rsidR="00225419" w:rsidRDefault="00225419">
      <w:pPr>
        <w:pStyle w:val="Heading2"/>
      </w:pPr>
      <w:bookmarkStart w:id="100" w:name="_Toc220918033"/>
      <w:bookmarkEnd w:id="98"/>
      <w:bookmarkEnd w:id="99"/>
      <w:r>
        <w:t>Contestability in Construction</w:t>
      </w:r>
      <w:bookmarkEnd w:id="100"/>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101" w:name="_Toc44315417"/>
      <w:bookmarkStart w:id="102" w:name="_Toc220918035"/>
      <w:r w:rsidRPr="00415339">
        <w:rPr>
          <w:color w:val="auto"/>
          <w:sz w:val="28"/>
          <w:szCs w:val="28"/>
        </w:rPr>
        <w:lastRenderedPageBreak/>
        <w:t>14.8 Asset Replacement</w:t>
      </w:r>
      <w:bookmarkEnd w:id="101"/>
      <w:bookmarkEnd w:id="102"/>
    </w:p>
    <w:p w14:paraId="14DD157F" w14:textId="77777777" w:rsidR="00225419" w:rsidRDefault="00225419">
      <w:pPr>
        <w:pStyle w:val="1"/>
        <w:tabs>
          <w:tab w:val="left" w:pos="-1440"/>
          <w:tab w:val="num" w:pos="709"/>
        </w:tabs>
        <w:ind w:left="709" w:hanging="709"/>
        <w:jc w:val="both"/>
      </w:pPr>
      <w:bookmarkStart w:id="103" w:name="_Hlt492191662"/>
      <w:bookmarkStart w:id="104" w:name="_Ref491666437"/>
      <w:bookmarkStart w:id="105" w:name="_Ref501761566"/>
      <w:bookmarkEnd w:id="103"/>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104"/>
    <w:bookmarkEnd w:id="105"/>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106" w:name="_Toc220918036"/>
      <w:r>
        <w:t>Asset Replacement that includes a change of Voltage</w:t>
      </w:r>
      <w:bookmarkEnd w:id="106"/>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107" w:name="_Toc44315419"/>
      <w:bookmarkStart w:id="108" w:name="_Toc220918037"/>
      <w:r w:rsidRPr="00415339">
        <w:rPr>
          <w:color w:val="auto"/>
          <w:sz w:val="28"/>
          <w:szCs w:val="28"/>
        </w:rPr>
        <w:lastRenderedPageBreak/>
        <w:t>14.9 Data Requirements</w:t>
      </w:r>
      <w:bookmarkEnd w:id="107"/>
      <w:bookmarkEnd w:id="108"/>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Under the connection charging methodology no data is required from Users in order to calculate the connection charges payable by the User.</w:t>
      </w:r>
      <w:bookmarkStart w:id="109" w:name="_Ref531686418"/>
      <w:bookmarkStart w:id="110"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11" w:name="_Toc220918038"/>
      <w:bookmarkStart w:id="112" w:name="_Toc44315421"/>
      <w:r w:rsidRPr="00415339">
        <w:rPr>
          <w:color w:val="auto"/>
          <w:sz w:val="28"/>
          <w:szCs w:val="28"/>
        </w:rPr>
        <w:lastRenderedPageBreak/>
        <w:t>14.10 Applications</w:t>
      </w:r>
      <w:bookmarkEnd w:id="111"/>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13" w:name="_Toc220918039"/>
      <w:r w:rsidRPr="00415339">
        <w:rPr>
          <w:color w:val="auto"/>
          <w:sz w:val="28"/>
          <w:szCs w:val="28"/>
        </w:rPr>
        <w:lastRenderedPageBreak/>
        <w:t>14.11 Illustrative Connection Charges</w:t>
      </w:r>
      <w:bookmarkEnd w:id="109"/>
      <w:bookmarkEnd w:id="110"/>
      <w:bookmarkEnd w:id="112"/>
      <w:bookmarkEnd w:id="113"/>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14" w:name="_Toc32208961"/>
      <w:bookmarkStart w:id="115" w:name="_Toc44315422"/>
      <w:bookmarkStart w:id="116"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14"/>
      <w:bookmarkEnd w:id="115"/>
      <w:bookmarkEnd w:id="116"/>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17" w:name="_Toc220918041"/>
      <w:bookmarkStart w:id="118" w:name="_Toc44315423"/>
      <w:r w:rsidRPr="002F776A">
        <w:lastRenderedPageBreak/>
        <w:t>Connection Examples</w:t>
      </w:r>
      <w:bookmarkEnd w:id="117"/>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18"/>
    </w:p>
    <w:p w14:paraId="25208F68" w14:textId="77777777" w:rsidR="00225419" w:rsidRPr="00415339" w:rsidRDefault="00225419">
      <w:pPr>
        <w:pStyle w:val="Heading1"/>
        <w:rPr>
          <w:color w:val="auto"/>
          <w:sz w:val="28"/>
          <w:szCs w:val="28"/>
        </w:rPr>
      </w:pPr>
      <w:bookmarkStart w:id="119" w:name="_Toc220918042"/>
      <w:r w:rsidRPr="00415339">
        <w:rPr>
          <w:color w:val="auto"/>
          <w:sz w:val="28"/>
          <w:szCs w:val="28"/>
        </w:rPr>
        <w:lastRenderedPageBreak/>
        <w:t>14.12 Examples of Connection Charge Calculations</w:t>
      </w:r>
      <w:bookmarkEnd w:id="119"/>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20" w:name="_Toc32208970"/>
      <w:bookmarkStart w:id="121" w:name="_Toc44315431"/>
      <w:bookmarkStart w:id="122" w:name="_Toc220918043"/>
      <w:r w:rsidRPr="00225419">
        <w:rPr>
          <w:rFonts w:ascii="Arial" w:hAnsi="Arial" w:cs="Arial"/>
          <w:szCs w:val="22"/>
        </w:rPr>
        <w:t>Example 1</w:t>
      </w:r>
      <w:bookmarkEnd w:id="120"/>
      <w:bookmarkEnd w:id="121"/>
      <w:bookmarkEnd w:id="122"/>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23"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23"/>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24" w:name="_Toc44315432"/>
      <w:bookmarkStart w:id="125" w:name="_Toc220918044"/>
    </w:p>
    <w:p w14:paraId="1F4808FD" w14:textId="77777777" w:rsidR="00225419" w:rsidRDefault="00225419">
      <w:pPr>
        <w:pStyle w:val="Heading2"/>
      </w:pPr>
      <w:r>
        <w:t>Example 2</w:t>
      </w:r>
      <w:bookmarkEnd w:id="124"/>
      <w:bookmarkEnd w:id="125"/>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26" w:name="_Toc32208972"/>
      <w:bookmarkStart w:id="127" w:name="_Toc44315433"/>
      <w:bookmarkStart w:id="128" w:name="_Toc220918045"/>
      <w:r>
        <w:t>Example 3</w:t>
      </w:r>
      <w:bookmarkEnd w:id="126"/>
      <w:bookmarkEnd w:id="127"/>
      <w:bookmarkEnd w:id="128"/>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9" w:name="_Toc32208973"/>
      <w:bookmarkStart w:id="130" w:name="_Toc44315434"/>
      <w:bookmarkStart w:id="131" w:name="_Toc220918046"/>
      <w:r>
        <w:t>Example 4</w:t>
      </w:r>
      <w:bookmarkEnd w:id="129"/>
      <w:bookmarkEnd w:id="130"/>
      <w:bookmarkEnd w:id="131"/>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32" w:name="_Toc48626029"/>
      <w:bookmarkStart w:id="133" w:name="_Toc220918047"/>
      <w:r w:rsidRPr="00415339">
        <w:rPr>
          <w:color w:val="auto"/>
          <w:sz w:val="28"/>
          <w:szCs w:val="28"/>
        </w:rPr>
        <w:t xml:space="preserve">14.13 </w:t>
      </w:r>
      <w:bookmarkEnd w:id="132"/>
      <w:r w:rsidRPr="00415339">
        <w:rPr>
          <w:color w:val="auto"/>
          <w:sz w:val="28"/>
          <w:szCs w:val="28"/>
        </w:rPr>
        <w:t>Nominally Over Equipped Connection Sites</w:t>
      </w:r>
      <w:bookmarkEnd w:id="133"/>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34" w:name="_Toc44315467"/>
      <w:bookmarkStart w:id="135" w:name="_Toc220918048"/>
      <w:r>
        <w:t>Historical</w:t>
      </w:r>
      <w:bookmarkEnd w:id="134"/>
      <w:bookmarkEnd w:id="135"/>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36" w:name="_Toc44315469"/>
      <w:bookmarkStart w:id="137" w:name="_Toc220918049"/>
      <w:r>
        <w:t>Early Construction</w:t>
      </w:r>
      <w:bookmarkEnd w:id="136"/>
      <w:bookmarkEnd w:id="137"/>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38" w:name="_Toc44315470"/>
    </w:p>
    <w:p w14:paraId="6F7A293D" w14:textId="77777777" w:rsidR="00225419" w:rsidRDefault="00225419"/>
    <w:p w14:paraId="3C8CFF19" w14:textId="77777777" w:rsidR="00225419" w:rsidRDefault="00225419">
      <w:pPr>
        <w:pStyle w:val="Heading2"/>
        <w:jc w:val="both"/>
      </w:pPr>
      <w:bookmarkStart w:id="139" w:name="_Toc220918050"/>
      <w:r>
        <w:t>Connection site Specific Technical or Economic Conditions</w:t>
      </w:r>
      <w:bookmarkEnd w:id="138"/>
      <w:bookmarkEnd w:id="139"/>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40" w:name="_Toc32201074"/>
      <w:bookmarkStart w:id="141" w:name="_Toc49661105"/>
      <w:bookmarkStart w:id="142"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40"/>
      <w:bookmarkEnd w:id="141"/>
      <w:bookmarkEnd w:id="142"/>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43" w:name="_Hlt501800266"/>
      <w:bookmarkStart w:id="144" w:name="_Hlt506958549"/>
      <w:bookmarkStart w:id="145" w:name="_Hlt531602422"/>
      <w:bookmarkStart w:id="146" w:name="_Ref492170858"/>
      <w:bookmarkStart w:id="147" w:name="_Ref501800370"/>
      <w:bookmarkStart w:id="148" w:name="_Ref506633072"/>
      <w:bookmarkStart w:id="149" w:name="_Ref531602385"/>
      <w:bookmarkStart w:id="150" w:name="_Toc32201075"/>
      <w:bookmarkStart w:id="151" w:name="_Toc49661106"/>
      <w:bookmarkEnd w:id="143"/>
      <w:bookmarkEnd w:id="144"/>
      <w:bookmarkEnd w:id="145"/>
      <w:r>
        <w:br w:type="page"/>
      </w:r>
      <w:bookmarkStart w:id="152"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46"/>
      <w:bookmarkEnd w:id="147"/>
      <w:bookmarkEnd w:id="148"/>
      <w:bookmarkEnd w:id="149"/>
      <w:bookmarkEnd w:id="150"/>
      <w:bookmarkEnd w:id="151"/>
      <w:bookmarkEnd w:id="152"/>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53" w:name="_Hlt501802899"/>
      <w:bookmarkEnd w:id="153"/>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54" w:name="OLE_LINK10"/>
      <w:bookmarkStart w:id="155" w:name="OLE_LINK11"/>
      <w:r>
        <w:t xml:space="preserve">represents the combined effect of the </w:t>
      </w:r>
      <w:r w:rsidR="0084619F">
        <w:t xml:space="preserve">three </w:t>
      </w:r>
      <w:r>
        <w:t>wider locational tariff component</w:t>
      </w:r>
      <w:r w:rsidR="0048210A">
        <w:t>s</w:t>
      </w:r>
      <w:bookmarkEnd w:id="154"/>
      <w:bookmarkEnd w:id="155"/>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56" w:name="_Toc32201076"/>
      <w:bookmarkStart w:id="157" w:name="_Toc49661107"/>
      <w:bookmarkStart w:id="158" w:name="_Toc274049678"/>
      <w:r>
        <w:t>The Transport Model</w:t>
      </w:r>
      <w:bookmarkEnd w:id="156"/>
      <w:bookmarkEnd w:id="157"/>
      <w:bookmarkEnd w:id="158"/>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9" w:name="_Toc49661108"/>
      <w:bookmarkStart w:id="160" w:name="_Toc274049679"/>
      <w:r w:rsidRPr="006661FE">
        <w:rPr>
          <w:rFonts w:ascii="Arial" w:hAnsi="Arial" w:cs="Arial"/>
          <w:b/>
        </w:rPr>
        <w:t>Model Inputs</w:t>
      </w:r>
      <w:bookmarkEnd w:id="159"/>
      <w:bookmarkEnd w:id="160"/>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61"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61"/>
    </w:p>
    <w:p w14:paraId="5DD306F3" w14:textId="77777777" w:rsidR="00940F3A" w:rsidRDefault="00940F3A" w:rsidP="00940F3A">
      <w:pPr>
        <w:pStyle w:val="1"/>
        <w:ind w:left="720"/>
        <w:jc w:val="both"/>
      </w:pPr>
    </w:p>
    <w:tbl>
      <w:tblPr>
        <w:tblW w:w="7655" w:type="dxa"/>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4"/>
        <w:gridCol w:w="2261"/>
        <w:gridCol w:w="2159"/>
        <w:gridCol w:w="1501"/>
      </w:tblGrid>
      <w:tr w:rsidR="00366B05" w:rsidRPr="00506BD8" w14:paraId="177DE49B" w14:textId="21DCDE2E" w:rsidTr="00366B05">
        <w:tc>
          <w:tcPr>
            <w:tcW w:w="1734" w:type="dxa"/>
            <w:vAlign w:val="center"/>
          </w:tcPr>
          <w:p w14:paraId="03BE7D5C" w14:textId="77777777" w:rsidR="00366B05" w:rsidRPr="00874A70" w:rsidRDefault="00366B05" w:rsidP="00366B05">
            <w:pPr>
              <w:pStyle w:val="1"/>
              <w:jc w:val="center"/>
              <w:rPr>
                <w:b/>
                <w:szCs w:val="22"/>
              </w:rPr>
            </w:pPr>
            <w:r w:rsidRPr="00874A70">
              <w:rPr>
                <w:b/>
                <w:szCs w:val="22"/>
              </w:rPr>
              <w:t>Generation Plant Type</w:t>
            </w:r>
          </w:p>
        </w:tc>
        <w:tc>
          <w:tcPr>
            <w:tcW w:w="2323" w:type="dxa"/>
            <w:vAlign w:val="center"/>
          </w:tcPr>
          <w:p w14:paraId="3DDBE72C" w14:textId="77777777" w:rsidR="00366B05" w:rsidRPr="00874A70" w:rsidRDefault="00366B05" w:rsidP="00366B05">
            <w:pPr>
              <w:pStyle w:val="1"/>
              <w:jc w:val="center"/>
              <w:rPr>
                <w:b/>
                <w:szCs w:val="22"/>
              </w:rPr>
            </w:pPr>
            <w:r w:rsidRPr="00874A70">
              <w:rPr>
                <w:b/>
                <w:szCs w:val="22"/>
              </w:rPr>
              <w:t>Peak Security Background</w:t>
            </w:r>
          </w:p>
        </w:tc>
        <w:tc>
          <w:tcPr>
            <w:tcW w:w="2213" w:type="dxa"/>
            <w:vAlign w:val="center"/>
          </w:tcPr>
          <w:p w14:paraId="38405807" w14:textId="77777777" w:rsidR="00366B05" w:rsidRPr="00874A70" w:rsidRDefault="00366B05" w:rsidP="00366B05">
            <w:pPr>
              <w:pStyle w:val="1"/>
              <w:jc w:val="center"/>
              <w:rPr>
                <w:b/>
                <w:szCs w:val="22"/>
              </w:rPr>
            </w:pPr>
            <w:r w:rsidRPr="00874A70">
              <w:rPr>
                <w:b/>
                <w:szCs w:val="22"/>
              </w:rPr>
              <w:t>Year Round Background</w:t>
            </w:r>
          </w:p>
        </w:tc>
        <w:tc>
          <w:tcPr>
            <w:tcW w:w="1385" w:type="dxa"/>
          </w:tcPr>
          <w:p w14:paraId="314449E0" w14:textId="0F59054F" w:rsidR="00366B05" w:rsidRPr="00874A70" w:rsidRDefault="00366B05" w:rsidP="00366B05">
            <w:pPr>
              <w:pStyle w:val="1"/>
              <w:jc w:val="center"/>
              <w:rPr>
                <w:b/>
                <w:szCs w:val="22"/>
              </w:rPr>
            </w:pPr>
            <w:ins w:id="162" w:author="Author" w:date="2024-06-14T13:30:00Z">
              <w:r w:rsidRPr="00BE6B20">
                <w:rPr>
                  <w:b/>
                  <w:szCs w:val="22"/>
                  <w:highlight w:val="yellow"/>
                </w:rPr>
                <w:t>Technology Type</w:t>
              </w:r>
            </w:ins>
          </w:p>
        </w:tc>
      </w:tr>
      <w:tr w:rsidR="00366B05" w:rsidRPr="00506BD8" w14:paraId="45F61E55" w14:textId="2128D22C" w:rsidTr="00366B05">
        <w:tc>
          <w:tcPr>
            <w:tcW w:w="1734" w:type="dxa"/>
          </w:tcPr>
          <w:p w14:paraId="53B7BC8A" w14:textId="77777777" w:rsidR="00366B05" w:rsidRPr="00874A70" w:rsidRDefault="00366B05" w:rsidP="00366B05">
            <w:pPr>
              <w:pStyle w:val="1"/>
              <w:jc w:val="both"/>
              <w:rPr>
                <w:szCs w:val="22"/>
              </w:rPr>
            </w:pPr>
            <w:r w:rsidRPr="00874A70">
              <w:rPr>
                <w:szCs w:val="22"/>
              </w:rPr>
              <w:t>Intermittent</w:t>
            </w:r>
          </w:p>
        </w:tc>
        <w:tc>
          <w:tcPr>
            <w:tcW w:w="2323" w:type="dxa"/>
          </w:tcPr>
          <w:p w14:paraId="4AC8D6BE" w14:textId="77777777" w:rsidR="00366B05" w:rsidRPr="00874A70" w:rsidRDefault="00366B05" w:rsidP="00366B05">
            <w:pPr>
              <w:pStyle w:val="1"/>
              <w:jc w:val="center"/>
              <w:rPr>
                <w:szCs w:val="22"/>
              </w:rPr>
            </w:pPr>
            <w:r w:rsidRPr="00874A70">
              <w:rPr>
                <w:szCs w:val="22"/>
              </w:rPr>
              <w:t>Fixed (0%)</w:t>
            </w:r>
          </w:p>
        </w:tc>
        <w:tc>
          <w:tcPr>
            <w:tcW w:w="2213" w:type="dxa"/>
          </w:tcPr>
          <w:p w14:paraId="15E32459" w14:textId="77777777" w:rsidR="00366B05" w:rsidRPr="00874A70" w:rsidRDefault="00366B05" w:rsidP="00366B05">
            <w:pPr>
              <w:pStyle w:val="1"/>
              <w:jc w:val="center"/>
              <w:rPr>
                <w:szCs w:val="22"/>
              </w:rPr>
            </w:pPr>
            <w:r w:rsidRPr="00874A70">
              <w:rPr>
                <w:szCs w:val="22"/>
              </w:rPr>
              <w:t>Fixed (70%)</w:t>
            </w:r>
          </w:p>
        </w:tc>
        <w:tc>
          <w:tcPr>
            <w:tcW w:w="1385" w:type="dxa"/>
          </w:tcPr>
          <w:p w14:paraId="3613A173" w14:textId="652D67B0" w:rsidR="00366B05" w:rsidRPr="00874A70" w:rsidRDefault="00366B05" w:rsidP="00366B05">
            <w:pPr>
              <w:pStyle w:val="1"/>
              <w:jc w:val="center"/>
              <w:rPr>
                <w:szCs w:val="22"/>
              </w:rPr>
            </w:pPr>
            <w:ins w:id="163" w:author="Author" w:date="2024-06-14T13:30:00Z">
              <w:r w:rsidRPr="00BE6B20">
                <w:rPr>
                  <w:szCs w:val="22"/>
                  <w:highlight w:val="yellow"/>
                </w:rPr>
                <w:t>Intermittent</w:t>
              </w:r>
            </w:ins>
          </w:p>
        </w:tc>
      </w:tr>
      <w:tr w:rsidR="00366B05" w:rsidRPr="00506BD8" w14:paraId="7C06D146" w14:textId="79477758" w:rsidTr="00366B05">
        <w:tc>
          <w:tcPr>
            <w:tcW w:w="1734" w:type="dxa"/>
          </w:tcPr>
          <w:p w14:paraId="0DF67EF8" w14:textId="77777777" w:rsidR="00366B05" w:rsidRPr="00874A70" w:rsidRDefault="00366B05" w:rsidP="00366B05">
            <w:pPr>
              <w:pStyle w:val="1"/>
              <w:jc w:val="both"/>
              <w:rPr>
                <w:szCs w:val="22"/>
              </w:rPr>
            </w:pPr>
            <w:r w:rsidRPr="00874A70">
              <w:rPr>
                <w:szCs w:val="22"/>
              </w:rPr>
              <w:t>Nuclear &amp; CCS</w:t>
            </w:r>
          </w:p>
        </w:tc>
        <w:tc>
          <w:tcPr>
            <w:tcW w:w="2323" w:type="dxa"/>
          </w:tcPr>
          <w:p w14:paraId="4471ACA3" w14:textId="77777777" w:rsidR="00366B05" w:rsidRPr="00874A70" w:rsidRDefault="00366B05" w:rsidP="00366B05">
            <w:pPr>
              <w:pStyle w:val="1"/>
              <w:jc w:val="center"/>
              <w:rPr>
                <w:szCs w:val="22"/>
              </w:rPr>
            </w:pPr>
            <w:r w:rsidRPr="00874A70">
              <w:rPr>
                <w:szCs w:val="22"/>
              </w:rPr>
              <w:t>Variable</w:t>
            </w:r>
          </w:p>
        </w:tc>
        <w:tc>
          <w:tcPr>
            <w:tcW w:w="2213" w:type="dxa"/>
          </w:tcPr>
          <w:p w14:paraId="57F8BA10" w14:textId="77777777" w:rsidR="00366B05" w:rsidRPr="00874A70" w:rsidRDefault="00366B05" w:rsidP="00366B05">
            <w:pPr>
              <w:pStyle w:val="1"/>
              <w:jc w:val="center"/>
              <w:rPr>
                <w:szCs w:val="22"/>
              </w:rPr>
            </w:pPr>
            <w:r w:rsidRPr="00874A70">
              <w:rPr>
                <w:szCs w:val="22"/>
              </w:rPr>
              <w:t>Fixed (85%)</w:t>
            </w:r>
          </w:p>
        </w:tc>
        <w:tc>
          <w:tcPr>
            <w:tcW w:w="1385" w:type="dxa"/>
          </w:tcPr>
          <w:p w14:paraId="45BA6913" w14:textId="19EFA96D" w:rsidR="00366B05" w:rsidRPr="00874A70" w:rsidRDefault="00366B05" w:rsidP="00366B05">
            <w:pPr>
              <w:pStyle w:val="1"/>
              <w:jc w:val="center"/>
              <w:rPr>
                <w:szCs w:val="22"/>
              </w:rPr>
            </w:pPr>
            <w:ins w:id="164" w:author="Author" w:date="2024-06-14T13:30:00Z">
              <w:r w:rsidRPr="00BE6B20">
                <w:rPr>
                  <w:szCs w:val="22"/>
                  <w:highlight w:val="yellow"/>
                </w:rPr>
                <w:t>Conventional Low Carbon</w:t>
              </w:r>
            </w:ins>
          </w:p>
        </w:tc>
      </w:tr>
      <w:tr w:rsidR="00366B05" w:rsidRPr="00506BD8" w14:paraId="1DC1DE16" w14:textId="4DBD57AC" w:rsidTr="00366B05">
        <w:tc>
          <w:tcPr>
            <w:tcW w:w="1734" w:type="dxa"/>
          </w:tcPr>
          <w:p w14:paraId="2C9765FD" w14:textId="77777777" w:rsidR="00366B05" w:rsidRPr="00874A70" w:rsidRDefault="00366B05" w:rsidP="00366B05">
            <w:pPr>
              <w:pStyle w:val="1"/>
              <w:jc w:val="both"/>
              <w:rPr>
                <w:szCs w:val="22"/>
              </w:rPr>
            </w:pPr>
            <w:r w:rsidRPr="00874A70">
              <w:rPr>
                <w:szCs w:val="22"/>
              </w:rPr>
              <w:t>Interconnectors</w:t>
            </w:r>
          </w:p>
        </w:tc>
        <w:tc>
          <w:tcPr>
            <w:tcW w:w="2323" w:type="dxa"/>
          </w:tcPr>
          <w:p w14:paraId="4730629E" w14:textId="77777777" w:rsidR="00366B05" w:rsidRPr="00874A70" w:rsidRDefault="00366B05" w:rsidP="00366B05">
            <w:pPr>
              <w:pStyle w:val="1"/>
              <w:jc w:val="center"/>
              <w:rPr>
                <w:szCs w:val="22"/>
              </w:rPr>
            </w:pPr>
            <w:r w:rsidRPr="00874A70">
              <w:rPr>
                <w:szCs w:val="22"/>
              </w:rPr>
              <w:t>Fixed (0%)</w:t>
            </w:r>
          </w:p>
        </w:tc>
        <w:tc>
          <w:tcPr>
            <w:tcW w:w="2213" w:type="dxa"/>
          </w:tcPr>
          <w:p w14:paraId="26441AB8" w14:textId="77777777" w:rsidR="00366B05" w:rsidRPr="00874A70" w:rsidRDefault="00366B05" w:rsidP="00366B05">
            <w:pPr>
              <w:pStyle w:val="1"/>
              <w:jc w:val="center"/>
              <w:rPr>
                <w:szCs w:val="22"/>
              </w:rPr>
            </w:pPr>
            <w:r w:rsidRPr="00874A70">
              <w:rPr>
                <w:szCs w:val="22"/>
              </w:rPr>
              <w:t>Fixed (100%)</w:t>
            </w:r>
          </w:p>
        </w:tc>
        <w:tc>
          <w:tcPr>
            <w:tcW w:w="1385" w:type="dxa"/>
          </w:tcPr>
          <w:p w14:paraId="73D94390" w14:textId="1A436FF3" w:rsidR="00366B05" w:rsidRPr="00874A70" w:rsidRDefault="00366B05" w:rsidP="00366B05">
            <w:pPr>
              <w:pStyle w:val="1"/>
              <w:jc w:val="center"/>
              <w:rPr>
                <w:szCs w:val="22"/>
              </w:rPr>
            </w:pPr>
            <w:ins w:id="165" w:author="Author" w:date="2024-06-14T13:30:00Z">
              <w:r w:rsidRPr="00BE6B20">
                <w:rPr>
                  <w:szCs w:val="22"/>
                  <w:highlight w:val="yellow"/>
                </w:rPr>
                <w:t>N/A</w:t>
              </w:r>
            </w:ins>
          </w:p>
        </w:tc>
      </w:tr>
      <w:tr w:rsidR="00366B05" w:rsidRPr="00506BD8" w14:paraId="4C8CC99E" w14:textId="03F7B29B" w:rsidTr="00366B05">
        <w:tc>
          <w:tcPr>
            <w:tcW w:w="1734" w:type="dxa"/>
          </w:tcPr>
          <w:p w14:paraId="3171B248" w14:textId="77777777" w:rsidR="00366B05" w:rsidRPr="00874A70" w:rsidRDefault="00366B05" w:rsidP="00366B05">
            <w:pPr>
              <w:pStyle w:val="1"/>
              <w:jc w:val="both"/>
              <w:rPr>
                <w:szCs w:val="22"/>
              </w:rPr>
            </w:pPr>
            <w:r w:rsidRPr="00874A70">
              <w:rPr>
                <w:szCs w:val="22"/>
              </w:rPr>
              <w:t>Hydro</w:t>
            </w:r>
          </w:p>
        </w:tc>
        <w:tc>
          <w:tcPr>
            <w:tcW w:w="2323" w:type="dxa"/>
          </w:tcPr>
          <w:p w14:paraId="71D14826" w14:textId="77777777" w:rsidR="00366B05" w:rsidRPr="00874A70" w:rsidRDefault="00366B05" w:rsidP="00366B05">
            <w:pPr>
              <w:pStyle w:val="1"/>
              <w:jc w:val="center"/>
              <w:rPr>
                <w:szCs w:val="22"/>
              </w:rPr>
            </w:pPr>
            <w:r w:rsidRPr="00874A70">
              <w:rPr>
                <w:szCs w:val="22"/>
              </w:rPr>
              <w:t>Variable</w:t>
            </w:r>
          </w:p>
        </w:tc>
        <w:tc>
          <w:tcPr>
            <w:tcW w:w="2213" w:type="dxa"/>
          </w:tcPr>
          <w:p w14:paraId="04C9CB66" w14:textId="77777777" w:rsidR="00366B05" w:rsidRPr="00874A70" w:rsidRDefault="00366B05" w:rsidP="00366B05">
            <w:pPr>
              <w:pStyle w:val="1"/>
              <w:jc w:val="center"/>
              <w:rPr>
                <w:szCs w:val="22"/>
              </w:rPr>
            </w:pPr>
            <w:r w:rsidRPr="00874A70">
              <w:rPr>
                <w:szCs w:val="22"/>
              </w:rPr>
              <w:t>Variable</w:t>
            </w:r>
          </w:p>
        </w:tc>
        <w:tc>
          <w:tcPr>
            <w:tcW w:w="1385" w:type="dxa"/>
          </w:tcPr>
          <w:p w14:paraId="508B8CFE" w14:textId="282A7D58" w:rsidR="00366B05" w:rsidRPr="00874A70" w:rsidRDefault="00366B05" w:rsidP="00366B05">
            <w:pPr>
              <w:pStyle w:val="1"/>
              <w:jc w:val="center"/>
              <w:rPr>
                <w:szCs w:val="22"/>
              </w:rPr>
            </w:pPr>
            <w:ins w:id="166" w:author="Author" w:date="2024-06-14T13:30:00Z">
              <w:r w:rsidRPr="00BE6B20">
                <w:rPr>
                  <w:szCs w:val="22"/>
                  <w:highlight w:val="yellow"/>
                </w:rPr>
                <w:t>Conventional Low Carbon</w:t>
              </w:r>
            </w:ins>
          </w:p>
        </w:tc>
      </w:tr>
      <w:tr w:rsidR="00366B05" w:rsidRPr="00506BD8" w14:paraId="11CB4A1A" w14:textId="233A1D54" w:rsidTr="00366B05">
        <w:tc>
          <w:tcPr>
            <w:tcW w:w="1734" w:type="dxa"/>
          </w:tcPr>
          <w:p w14:paraId="501F89C4" w14:textId="77777777" w:rsidR="00366B05" w:rsidRPr="00874A70" w:rsidRDefault="00366B05" w:rsidP="00366B05">
            <w:pPr>
              <w:pStyle w:val="1"/>
              <w:jc w:val="both"/>
              <w:rPr>
                <w:szCs w:val="22"/>
              </w:rPr>
            </w:pPr>
            <w:r w:rsidRPr="00874A70">
              <w:rPr>
                <w:szCs w:val="22"/>
              </w:rPr>
              <w:t>Pumped Storage</w:t>
            </w:r>
          </w:p>
        </w:tc>
        <w:tc>
          <w:tcPr>
            <w:tcW w:w="2323" w:type="dxa"/>
          </w:tcPr>
          <w:p w14:paraId="64F4F619" w14:textId="77777777" w:rsidR="00366B05" w:rsidRPr="00874A70" w:rsidRDefault="00366B05" w:rsidP="00366B05">
            <w:pPr>
              <w:pStyle w:val="1"/>
              <w:jc w:val="center"/>
              <w:rPr>
                <w:szCs w:val="22"/>
              </w:rPr>
            </w:pPr>
            <w:r w:rsidRPr="00874A70">
              <w:rPr>
                <w:szCs w:val="22"/>
              </w:rPr>
              <w:t>Variable</w:t>
            </w:r>
          </w:p>
        </w:tc>
        <w:tc>
          <w:tcPr>
            <w:tcW w:w="2213" w:type="dxa"/>
          </w:tcPr>
          <w:p w14:paraId="24920B61" w14:textId="77777777" w:rsidR="00366B05" w:rsidRPr="00874A70" w:rsidRDefault="00366B05" w:rsidP="00366B05">
            <w:pPr>
              <w:pStyle w:val="1"/>
              <w:jc w:val="center"/>
              <w:rPr>
                <w:szCs w:val="22"/>
              </w:rPr>
            </w:pPr>
            <w:r w:rsidRPr="00874A70">
              <w:rPr>
                <w:szCs w:val="22"/>
              </w:rPr>
              <w:t>Fixed (50%)</w:t>
            </w:r>
          </w:p>
        </w:tc>
        <w:tc>
          <w:tcPr>
            <w:tcW w:w="1385" w:type="dxa"/>
          </w:tcPr>
          <w:p w14:paraId="0783F3AA" w14:textId="01175810" w:rsidR="00366B05" w:rsidRPr="00874A70" w:rsidRDefault="00366B05" w:rsidP="00366B05">
            <w:pPr>
              <w:pStyle w:val="1"/>
              <w:jc w:val="center"/>
              <w:rPr>
                <w:szCs w:val="22"/>
              </w:rPr>
            </w:pPr>
            <w:ins w:id="167" w:author="Author" w:date="2024-06-14T13:30:00Z">
              <w:r w:rsidRPr="00BE6B20">
                <w:rPr>
                  <w:szCs w:val="22"/>
                  <w:highlight w:val="yellow"/>
                </w:rPr>
                <w:t>Conventional Carbon</w:t>
              </w:r>
            </w:ins>
          </w:p>
        </w:tc>
      </w:tr>
      <w:tr w:rsidR="00366B05" w:rsidRPr="00506BD8" w14:paraId="5F4836F2" w14:textId="65E9630A" w:rsidTr="00366B05">
        <w:tc>
          <w:tcPr>
            <w:tcW w:w="1734" w:type="dxa"/>
          </w:tcPr>
          <w:p w14:paraId="3EE69452" w14:textId="77777777" w:rsidR="00366B05" w:rsidRPr="00874A70" w:rsidRDefault="00366B05" w:rsidP="00366B05">
            <w:pPr>
              <w:pStyle w:val="1"/>
              <w:jc w:val="both"/>
              <w:rPr>
                <w:szCs w:val="22"/>
              </w:rPr>
            </w:pPr>
            <w:r w:rsidRPr="00874A70">
              <w:rPr>
                <w:szCs w:val="22"/>
              </w:rPr>
              <w:t>Peaking</w:t>
            </w:r>
          </w:p>
        </w:tc>
        <w:tc>
          <w:tcPr>
            <w:tcW w:w="2323" w:type="dxa"/>
          </w:tcPr>
          <w:p w14:paraId="2ED4F591" w14:textId="77777777" w:rsidR="00366B05" w:rsidRPr="00874A70" w:rsidRDefault="00366B05" w:rsidP="00366B05">
            <w:pPr>
              <w:pStyle w:val="1"/>
              <w:jc w:val="center"/>
              <w:rPr>
                <w:szCs w:val="22"/>
              </w:rPr>
            </w:pPr>
            <w:r w:rsidRPr="00874A70">
              <w:rPr>
                <w:szCs w:val="22"/>
              </w:rPr>
              <w:t>Variable</w:t>
            </w:r>
          </w:p>
        </w:tc>
        <w:tc>
          <w:tcPr>
            <w:tcW w:w="2213" w:type="dxa"/>
          </w:tcPr>
          <w:p w14:paraId="3ADD851B" w14:textId="77777777" w:rsidR="00366B05" w:rsidRPr="00874A70" w:rsidRDefault="00366B05" w:rsidP="00366B05">
            <w:pPr>
              <w:pStyle w:val="1"/>
              <w:jc w:val="center"/>
              <w:rPr>
                <w:szCs w:val="22"/>
              </w:rPr>
            </w:pPr>
            <w:r w:rsidRPr="00874A70">
              <w:rPr>
                <w:szCs w:val="22"/>
              </w:rPr>
              <w:t>Fixed  (0%)</w:t>
            </w:r>
          </w:p>
        </w:tc>
        <w:tc>
          <w:tcPr>
            <w:tcW w:w="1385" w:type="dxa"/>
          </w:tcPr>
          <w:p w14:paraId="45896ED1" w14:textId="779A0F0A" w:rsidR="00366B05" w:rsidRPr="00874A70" w:rsidRDefault="00366B05" w:rsidP="00366B05">
            <w:pPr>
              <w:pStyle w:val="1"/>
              <w:jc w:val="center"/>
              <w:rPr>
                <w:szCs w:val="22"/>
              </w:rPr>
            </w:pPr>
            <w:ins w:id="168" w:author="Author" w:date="2024-06-14T13:30:00Z">
              <w:r w:rsidRPr="00BE6B20">
                <w:rPr>
                  <w:szCs w:val="22"/>
                  <w:highlight w:val="yellow"/>
                </w:rPr>
                <w:t>Conventional Carbon</w:t>
              </w:r>
            </w:ins>
          </w:p>
        </w:tc>
      </w:tr>
      <w:tr w:rsidR="00366B05" w:rsidRPr="00506BD8" w14:paraId="4A8BF391" w14:textId="30303816" w:rsidTr="00366B05">
        <w:tc>
          <w:tcPr>
            <w:tcW w:w="1734" w:type="dxa"/>
          </w:tcPr>
          <w:p w14:paraId="7070CF75" w14:textId="77777777" w:rsidR="00366B05" w:rsidRPr="00874A70" w:rsidRDefault="00366B05" w:rsidP="00366B05">
            <w:pPr>
              <w:pStyle w:val="1"/>
              <w:jc w:val="both"/>
              <w:rPr>
                <w:szCs w:val="22"/>
              </w:rPr>
            </w:pPr>
            <w:r w:rsidRPr="00874A70">
              <w:rPr>
                <w:szCs w:val="22"/>
              </w:rPr>
              <w:t>Other (Conventional)</w:t>
            </w:r>
          </w:p>
        </w:tc>
        <w:tc>
          <w:tcPr>
            <w:tcW w:w="2323" w:type="dxa"/>
          </w:tcPr>
          <w:p w14:paraId="32D3AAC6" w14:textId="77777777" w:rsidR="00366B05" w:rsidRPr="00874A70" w:rsidRDefault="00366B05" w:rsidP="00366B05">
            <w:pPr>
              <w:pStyle w:val="1"/>
              <w:jc w:val="center"/>
              <w:rPr>
                <w:szCs w:val="22"/>
              </w:rPr>
            </w:pPr>
            <w:r w:rsidRPr="00874A70">
              <w:rPr>
                <w:szCs w:val="22"/>
              </w:rPr>
              <w:t>Variable</w:t>
            </w:r>
          </w:p>
        </w:tc>
        <w:tc>
          <w:tcPr>
            <w:tcW w:w="2213" w:type="dxa"/>
          </w:tcPr>
          <w:p w14:paraId="7D4B3DBA" w14:textId="77777777" w:rsidR="00366B05" w:rsidRPr="00874A70" w:rsidRDefault="00366B05" w:rsidP="00366B05">
            <w:pPr>
              <w:pStyle w:val="1"/>
              <w:jc w:val="center"/>
              <w:rPr>
                <w:szCs w:val="22"/>
              </w:rPr>
            </w:pPr>
            <w:r w:rsidRPr="00874A70">
              <w:rPr>
                <w:szCs w:val="22"/>
              </w:rPr>
              <w:t>Variable</w:t>
            </w:r>
          </w:p>
        </w:tc>
        <w:tc>
          <w:tcPr>
            <w:tcW w:w="1385" w:type="dxa"/>
          </w:tcPr>
          <w:p w14:paraId="44E468ED" w14:textId="6C3FD96F" w:rsidR="00366B05" w:rsidRPr="00874A70" w:rsidRDefault="00366B05" w:rsidP="00366B05">
            <w:pPr>
              <w:pStyle w:val="1"/>
              <w:jc w:val="center"/>
              <w:rPr>
                <w:szCs w:val="22"/>
              </w:rPr>
            </w:pPr>
            <w:ins w:id="169" w:author="Author" w:date="2024-06-14T13:30:00Z">
              <w:r w:rsidRPr="00BE6B20">
                <w:rPr>
                  <w:szCs w:val="22"/>
                  <w:highlight w:val="yellow"/>
                </w:rPr>
                <w:t>Conventional Carbon</w:t>
              </w:r>
            </w:ins>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rPr>
          <w:ins w:id="170" w:author="Author" w:date="2024-06-14T13:30:00Z"/>
        </w:rPr>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5FD89687" w14:textId="77777777" w:rsidR="007650C4" w:rsidRDefault="007650C4" w:rsidP="00940F3A">
      <w:pPr>
        <w:pStyle w:val="1"/>
        <w:ind w:left="1560"/>
        <w:jc w:val="both"/>
        <w:rPr>
          <w:ins w:id="171" w:author="Author" w:date="2024-06-14T13:30:00Z"/>
        </w:rPr>
      </w:pPr>
    </w:p>
    <w:p w14:paraId="2195C38E" w14:textId="77777777" w:rsidR="007650C4" w:rsidRPr="00BE6B20" w:rsidRDefault="007650C4" w:rsidP="007650C4">
      <w:pPr>
        <w:pStyle w:val="1"/>
        <w:numPr>
          <w:ilvl w:val="0"/>
          <w:numId w:val="51"/>
        </w:numPr>
        <w:ind w:left="1920"/>
        <w:jc w:val="both"/>
        <w:rPr>
          <w:ins w:id="172" w:author="Author" w:date="2024-06-14T13:30:00Z"/>
          <w:highlight w:val="yellow"/>
        </w:rPr>
      </w:pPr>
      <w:ins w:id="173" w:author="Author" w:date="2024-06-14T13:30:00Z">
        <w:r w:rsidRPr="00BE6B20">
          <w:rPr>
            <w:highlight w:val="yellow"/>
          </w:rPr>
          <w:t xml:space="preserve">For the purposes of multi technology </w:t>
        </w:r>
        <w:r w:rsidRPr="00BE6B20">
          <w:rPr>
            <w:b/>
            <w:bCs/>
            <w:highlight w:val="yellow"/>
          </w:rPr>
          <w:t>Power Station</w:t>
        </w:r>
        <w:r w:rsidRPr="00BE6B20">
          <w:rPr>
            <w:highlight w:val="yellow"/>
          </w:rPr>
          <w:t xml:space="preserve"> charging, “technology type” shall categorise a generator as either Conventional Carbon, </w:t>
        </w:r>
        <w:r w:rsidRPr="00BE6B20">
          <w:rPr>
            <w:highlight w:val="yellow"/>
          </w:rPr>
          <w:lastRenderedPageBreak/>
          <w:t>Conventional Low Carbon, or Intermittent as per the table above. Technology type may include more than one generation plant type</w:t>
        </w:r>
      </w:ins>
    </w:p>
    <w:p w14:paraId="097BD849" w14:textId="77777777" w:rsidR="007650C4" w:rsidRPr="00BE6B20" w:rsidRDefault="007650C4" w:rsidP="007650C4">
      <w:pPr>
        <w:pStyle w:val="1"/>
        <w:numPr>
          <w:ilvl w:val="0"/>
          <w:numId w:val="51"/>
        </w:numPr>
        <w:ind w:left="1920"/>
        <w:jc w:val="both"/>
        <w:rPr>
          <w:ins w:id="174" w:author="Author" w:date="2024-06-14T13:30:00Z"/>
          <w:highlight w:val="yellow"/>
        </w:rPr>
      </w:pPr>
      <w:ins w:id="175" w:author="Author" w:date="2024-06-14T13:30:00Z">
        <w:r w:rsidRPr="00BE6B20">
          <w:rPr>
            <w:highlight w:val="yellow"/>
          </w:rPr>
          <w:t xml:space="preserve">For a multi technology </w:t>
        </w:r>
        <w:r w:rsidRPr="00BE6B20">
          <w:rPr>
            <w:b/>
            <w:bCs/>
            <w:highlight w:val="yellow"/>
          </w:rPr>
          <w:t>Power Station</w:t>
        </w:r>
        <w:r w:rsidRPr="00BE6B20">
          <w:rPr>
            <w:highlight w:val="yellow"/>
          </w:rPr>
          <w:t>, the technology type assigned to each BM Unit will be based on the category as contained in the relevant Bilateral Connection Agreement or Bilateral Embedded Generation Agreement.</w:t>
        </w:r>
      </w:ins>
    </w:p>
    <w:p w14:paraId="6F2516BF" w14:textId="77777777" w:rsidR="007650C4" w:rsidRPr="00BE6B20" w:rsidRDefault="007650C4" w:rsidP="007650C4">
      <w:pPr>
        <w:pStyle w:val="1"/>
        <w:numPr>
          <w:ilvl w:val="0"/>
          <w:numId w:val="51"/>
        </w:numPr>
        <w:ind w:left="1920"/>
        <w:jc w:val="both"/>
        <w:rPr>
          <w:ins w:id="176" w:author="Author" w:date="2024-06-14T13:30:00Z"/>
          <w:highlight w:val="yellow"/>
        </w:rPr>
      </w:pPr>
      <w:ins w:id="177" w:author="Author" w:date="2024-06-14T13:30:00Z">
        <w:r w:rsidRPr="00BE6B20">
          <w:rPr>
            <w:highlight w:val="yellow"/>
          </w:rPr>
          <w:t xml:space="preserve">A single technology </w:t>
        </w:r>
        <w:r w:rsidRPr="00BE6B20">
          <w:rPr>
            <w:b/>
            <w:bCs/>
            <w:highlight w:val="yellow"/>
          </w:rPr>
          <w:t>Power Station</w:t>
        </w:r>
        <w:r w:rsidRPr="00BE6B20">
          <w:rPr>
            <w:highlight w:val="yellow"/>
          </w:rPr>
          <w:t xml:space="preserve"> utilises one technology type to produce electricity</w:t>
        </w:r>
      </w:ins>
    </w:p>
    <w:p w14:paraId="7CE6A05C" w14:textId="77777777" w:rsidR="007650C4" w:rsidRPr="00BE6B20" w:rsidRDefault="007650C4" w:rsidP="007650C4">
      <w:pPr>
        <w:pStyle w:val="1"/>
        <w:numPr>
          <w:ilvl w:val="0"/>
          <w:numId w:val="51"/>
        </w:numPr>
        <w:ind w:left="1920"/>
        <w:jc w:val="both"/>
        <w:rPr>
          <w:ins w:id="178" w:author="Author" w:date="2024-06-14T13:30:00Z"/>
          <w:highlight w:val="yellow"/>
        </w:rPr>
      </w:pPr>
      <w:ins w:id="179" w:author="Author" w:date="2024-06-14T13:30:00Z">
        <w:r w:rsidRPr="00BE6B20">
          <w:rPr>
            <w:highlight w:val="yellow"/>
          </w:rPr>
          <w:t xml:space="preserve">A multi technology </w:t>
        </w:r>
        <w:r w:rsidRPr="00BE6B20">
          <w:rPr>
            <w:b/>
            <w:bCs/>
            <w:highlight w:val="yellow"/>
          </w:rPr>
          <w:t>Power Station</w:t>
        </w:r>
        <w:r w:rsidRPr="00BE6B20">
          <w:rPr>
            <w:highlight w:val="yellow"/>
          </w:rPr>
          <w:t xml:space="preserve"> utilises more than one technology type to produce electricity. Nodal generation for a multi technology </w:t>
        </w:r>
        <w:r w:rsidRPr="00BE6B20">
          <w:rPr>
            <w:b/>
            <w:bCs/>
            <w:highlight w:val="yellow"/>
          </w:rPr>
          <w:t>Power Station</w:t>
        </w:r>
        <w:r w:rsidRPr="00BE6B20">
          <w:rPr>
            <w:highlight w:val="yellow"/>
          </w:rPr>
          <w:t xml:space="preserve"> uses MTPSTEC, MTPSTECPk and MTPSECS as per paragraph 14.18.7</w:t>
        </w:r>
      </w:ins>
    </w:p>
    <w:p w14:paraId="36A2D6BE" w14:textId="77777777" w:rsidR="007650C4" w:rsidRDefault="007650C4" w:rsidP="007650C4">
      <w:pPr>
        <w:pStyle w:val="1"/>
        <w:numPr>
          <w:ilvl w:val="0"/>
          <w:numId w:val="51"/>
        </w:numPr>
        <w:ind w:left="1920"/>
        <w:jc w:val="both"/>
        <w:rPr>
          <w:ins w:id="180" w:author="Author" w:date="2024-06-14T13:30:00Z"/>
        </w:rPr>
      </w:pPr>
      <w:ins w:id="181" w:author="Author" w:date="2024-06-14T13:30:00Z">
        <w:r w:rsidRPr="00BE6B20">
          <w:rPr>
            <w:highlight w:val="yellow"/>
          </w:rPr>
          <w:t xml:space="preserve">In the event that a multi technology </w:t>
        </w:r>
        <w:r w:rsidRPr="00BE6B20">
          <w:rPr>
            <w:b/>
            <w:bCs/>
            <w:highlight w:val="yellow"/>
          </w:rPr>
          <w:t>Power Station</w:t>
        </w:r>
        <w:r w:rsidRPr="00BE6B20">
          <w:rPr>
            <w:highlight w:val="yellow"/>
          </w:rPr>
          <w:t xml:space="preserve"> does not have appropriate metering, refer to further guidance made available. Further guidance made available from The Company from time to time will provide further detail on treatment of multi technology Power Stations. Where inconsistencies or conflicts exist between the CUSC and that guidance, the CUSC shall take precedence.</w:t>
        </w:r>
      </w:ins>
    </w:p>
    <w:p w14:paraId="746C3BE5" w14:textId="77777777" w:rsidR="007650C4" w:rsidRDefault="007650C4" w:rsidP="00940F3A">
      <w:pPr>
        <w:pStyle w:val="1"/>
        <w:ind w:left="1560"/>
        <w:jc w:val="both"/>
      </w:pPr>
    </w:p>
    <w:p w14:paraId="0F996E3D" w14:textId="77777777" w:rsidR="00940F3A" w:rsidRDefault="00940F3A" w:rsidP="00940F3A">
      <w:pPr>
        <w:pStyle w:val="1"/>
        <w:ind w:left="1080"/>
        <w:jc w:val="both"/>
      </w:pPr>
    </w:p>
    <w:p w14:paraId="0C26CCAA" w14:textId="6A681C48"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 xml:space="preserve">stated elsewhere </w:t>
      </w:r>
      <w:del w:id="182" w:author="Author" w:date="2024-06-14T13:30:00Z">
        <w:r w:rsidR="00940F3A" w:rsidRPr="007650C4" w:rsidDel="007650C4">
          <w:rPr>
            <w:highlight w:val="yellow"/>
            <w:rPrChange w:id="183" w:author="Author" w:date="2024-06-14T13:31:00Z">
              <w:rPr/>
            </w:rPrChange>
          </w:rPr>
          <w:delText>in the tabl</w:delText>
        </w:r>
        <w:r w:rsidR="00891D82" w:rsidRPr="007650C4" w:rsidDel="007650C4">
          <w:rPr>
            <w:highlight w:val="yellow"/>
            <w:rPrChange w:id="184" w:author="Author" w:date="2024-06-14T13:31:00Z">
              <w:rPr/>
            </w:rPrChange>
          </w:rPr>
          <w:delText>e</w:delText>
        </w:r>
        <w:r w:rsidR="00940F3A" w:rsidRPr="007650C4" w:rsidDel="007650C4">
          <w:rPr>
            <w:highlight w:val="yellow"/>
            <w:rPrChange w:id="185" w:author="Author" w:date="2024-06-14T13:31:00Z">
              <w:rPr/>
            </w:rPrChange>
          </w:rPr>
          <w:delText xml:space="preserve"> In the event that a power station is made up of more than one technology type, the type of the higher Transmission Entry Capacity (TEC) would apply.</w:delText>
        </w:r>
      </w:del>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w:t>
      </w:r>
      <w:r>
        <w:lastRenderedPageBreak/>
        <w:t>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86" w:name="_Toc49661109"/>
      <w:bookmarkStart w:id="187" w:name="_Toc274049680"/>
      <w:r w:rsidRPr="006661FE">
        <w:rPr>
          <w:rFonts w:ascii="Arial" w:hAnsi="Arial" w:cs="Arial"/>
          <w:b/>
        </w:rPr>
        <w:t>Model Outputs</w:t>
      </w:r>
      <w:bookmarkEnd w:id="186"/>
      <w:bookmarkEnd w:id="187"/>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w:t>
      </w:r>
      <w:r>
        <w:lastRenderedPageBreak/>
        <w:t xml:space="preserve">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88" w:name="_Toc32201077"/>
    </w:p>
    <w:p w14:paraId="10911A77" w14:textId="77777777" w:rsidR="006661FE" w:rsidRPr="009470D8" w:rsidRDefault="006661FE" w:rsidP="006661FE">
      <w:pPr>
        <w:pStyle w:val="Heading2"/>
      </w:pPr>
      <w:bookmarkStart w:id="189" w:name="_Toc274049681"/>
      <w:bookmarkStart w:id="190" w:name="_Toc49661110"/>
      <w:r w:rsidRPr="009470D8">
        <w:t>Calculation of local nodal marginal km</w:t>
      </w:r>
      <w:bookmarkEnd w:id="189"/>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91" w:name="_Toc274049682"/>
      <w:r>
        <w:t>Calculation of zonal marginal km</w:t>
      </w:r>
      <w:bookmarkEnd w:id="188"/>
      <w:bookmarkEnd w:id="190"/>
      <w:bookmarkEnd w:id="191"/>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lastRenderedPageBreak/>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92"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92"/>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lastRenderedPageBreak/>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93" w:name="_Toc32201078"/>
      <w:bookmarkStart w:id="194" w:name="_Toc49661111"/>
      <w:bookmarkStart w:id="195" w:name="_Toc274049683"/>
      <w:r>
        <w:t>Deriving the Final</w:t>
      </w:r>
      <w:r w:rsidRPr="00E75EE9">
        <w:rPr>
          <w:color w:val="auto"/>
        </w:rPr>
        <w:t xml:space="preserve"> </w:t>
      </w:r>
      <w:r w:rsidRPr="00E75EE9">
        <w:t>Local £/kW Tariff and the Wider</w:t>
      </w:r>
      <w:r>
        <w:t xml:space="preserve"> £/kW Tariff</w:t>
      </w:r>
      <w:bookmarkEnd w:id="193"/>
      <w:bookmarkEnd w:id="194"/>
      <w:bookmarkEnd w:id="195"/>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96" w:name="_Toc49661112"/>
    </w:p>
    <w:p w14:paraId="00EBE464" w14:textId="77777777" w:rsidR="006661FE" w:rsidRPr="00543982" w:rsidRDefault="006661FE" w:rsidP="006661FE">
      <w:pPr>
        <w:pStyle w:val="Heading3"/>
        <w:ind w:firstLine="709"/>
        <w:jc w:val="both"/>
        <w:rPr>
          <w:rFonts w:ascii="Arial (W1)" w:hAnsi="Arial (W1)"/>
        </w:rPr>
      </w:pPr>
      <w:bookmarkStart w:id="197" w:name="_Toc274049684"/>
      <w:r w:rsidRPr="00543982">
        <w:rPr>
          <w:rFonts w:ascii="Arial" w:hAnsi="Arial" w:cs="Arial"/>
          <w:b/>
        </w:rPr>
        <w:lastRenderedPageBreak/>
        <w:t>The Expansion Constant</w:t>
      </w:r>
      <w:bookmarkEnd w:id="196"/>
      <w:bookmarkEnd w:id="197"/>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however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lastRenderedPageBreak/>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w:t>
      </w:r>
      <w:r w:rsidR="00DE4067" w:rsidRPr="00DE4067">
        <w:rPr>
          <w:rFonts w:cs="Arial"/>
          <w:szCs w:val="22"/>
        </w:rPr>
        <w:lastRenderedPageBreak/>
        <w:t xml:space="preserve">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lastRenderedPageBreak/>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98" w:name="_Toc274049685"/>
      <w:bookmarkStart w:id="199"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98"/>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6533D4" w:rsidRDefault="00926FF8" w:rsidP="215D4A0F">
      <w:pPr>
        <w:pStyle w:val="Default"/>
        <w:ind w:left="1440"/>
        <w:rPr>
          <w:rFonts w:ascii="Arial (W1)" w:hAnsi="Arial (W1)"/>
          <w:sz w:val="22"/>
          <w:szCs w:val="22"/>
        </w:rPr>
      </w:pPr>
      <w:r w:rsidRPr="004D2270">
        <w:rPr>
          <w:rFonts w:ascii="Arial (W1)" w:hAnsi="Arial (W1)"/>
          <w:sz w:val="22"/>
          <w:szCs w:val="22"/>
        </w:rPr>
        <w:tab/>
      </w:r>
      <w:r w:rsidRPr="006533D4">
        <w:rPr>
          <w:rFonts w:ascii="Arial (W1)" w:hAnsi="Arial (W1)"/>
          <w:sz w:val="22"/>
          <w:szCs w:val="22"/>
        </w:rPr>
        <w:t>+ min ( Cap</w:t>
      </w:r>
      <w:r w:rsidRPr="006533D4">
        <w:rPr>
          <w:rFonts w:ascii="Arial (W1)" w:hAnsi="Arial (W1)"/>
          <w:sz w:val="22"/>
          <w:szCs w:val="22"/>
          <w:vertAlign w:val="subscript"/>
        </w:rPr>
        <w:t>IBC</w:t>
      </w:r>
      <w:r w:rsidRPr="006533D4">
        <w:rPr>
          <w:rFonts w:ascii="Arial (W1)" w:hAnsi="Arial (W1)"/>
          <w:sz w:val="22"/>
          <w:szCs w:val="22"/>
        </w:rPr>
        <w:t>, Cap</w:t>
      </w:r>
      <w:r w:rsidRPr="006533D4">
        <w:rPr>
          <w:rFonts w:ascii="Arial (W1)" w:hAnsi="Arial (W1)"/>
          <w:sz w:val="22"/>
          <w:szCs w:val="22"/>
          <w:vertAlign w:val="subscript"/>
        </w:rPr>
        <w:t>C</w:t>
      </w:r>
      <w:r w:rsidRPr="006533D4">
        <w:rPr>
          <w:rFonts w:ascii="Arial (W1)" w:hAnsi="Arial (W1)"/>
          <w:sz w:val="22"/>
          <w:szCs w:val="22"/>
        </w:rPr>
        <w:t xml:space="preserve"> - ILF</w:t>
      </w:r>
      <w:r w:rsidRPr="006533D4">
        <w:rPr>
          <w:rFonts w:ascii="Arial (W1)" w:hAnsi="Arial (W1)"/>
          <w:sz w:val="22"/>
          <w:szCs w:val="22"/>
          <w:vertAlign w:val="subscript"/>
        </w:rPr>
        <w:t>C</w:t>
      </w:r>
      <w:r w:rsidRPr="006533D4">
        <w:rPr>
          <w:rFonts w:ascii="Arial (W1)" w:hAnsi="Arial (W1)"/>
          <w:sz w:val="22"/>
          <w:szCs w:val="22"/>
        </w:rPr>
        <w:t xml:space="preserve"> × TEC</w:t>
      </w:r>
      <w:r w:rsidRPr="006533D4">
        <w:rPr>
          <w:rFonts w:ascii="Arial (W1)" w:hAnsi="Arial (W1)"/>
          <w:sz w:val="22"/>
          <w:szCs w:val="22"/>
          <w:vertAlign w:val="subscript"/>
        </w:rPr>
        <w:t>C</w:t>
      </w:r>
      <w:r w:rsidRPr="006533D4">
        <w:rPr>
          <w:rFonts w:ascii="Arial (W1)" w:hAnsi="Arial (W1)"/>
          <w:sz w:val="22"/>
          <w:szCs w:val="22"/>
        </w:rPr>
        <w:t>) }</w:t>
      </w:r>
    </w:p>
    <w:p w14:paraId="7D2C050F" w14:textId="77777777" w:rsidR="00277DA2" w:rsidRPr="006533D4"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 xml:space="preserve">nterlink was included </w:t>
      </w:r>
      <w:r w:rsidRPr="00CD2281">
        <w:rPr>
          <w:rFonts w:ascii="Arial (W1)" w:hAnsi="Arial (W1)"/>
          <w:sz w:val="22"/>
          <w:szCs w:val="22"/>
        </w:rPr>
        <w:lastRenderedPageBreak/>
        <w:t>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00" w:name="_Toc274049686"/>
      <w:r w:rsidRPr="00543982">
        <w:rPr>
          <w:rFonts w:ascii="Arial" w:hAnsi="Arial" w:cs="Arial"/>
          <w:b/>
        </w:rPr>
        <w:t>The Locational Onshore Security Factor</w:t>
      </w:r>
      <w:bookmarkEnd w:id="199"/>
      <w:bookmarkEnd w:id="200"/>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w:t>
      </w:r>
      <w:r w:rsidR="006661FE">
        <w:lastRenderedPageBreak/>
        <w:t>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01" w:name="_Hlt506963614"/>
      <w:bookmarkEnd w:id="201"/>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02"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02"/>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lastRenderedPageBreak/>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03" w:name="_Toc49661114"/>
      <w:bookmarkStart w:id="204" w:name="_Toc274049687"/>
      <w:r w:rsidRPr="00887323">
        <w:rPr>
          <w:rFonts w:ascii="Arial" w:hAnsi="Arial" w:cs="Arial"/>
          <w:b/>
        </w:rPr>
        <w:t>Initial Transport Tariff</w:t>
      </w:r>
      <w:bookmarkEnd w:id="203"/>
      <w:bookmarkEnd w:id="204"/>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lastRenderedPageBreak/>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rPr>
          <w:ins w:id="205" w:author="Author" w:date="2024-06-14T13:31:00Z"/>
        </w:rPr>
      </w:pPr>
      <w:r>
        <w:t>Where:</w:t>
      </w:r>
    </w:p>
    <w:p w14:paraId="132F6D50" w14:textId="12D4E312" w:rsidR="002E3211" w:rsidRPr="00EB530E" w:rsidRDefault="002E3211" w:rsidP="002E3211">
      <w:pPr>
        <w:pStyle w:val="1"/>
        <w:ind w:left="1440"/>
      </w:pPr>
      <w:ins w:id="206" w:author="Author" w:date="2024-06-14T13:31:00Z">
        <w:r>
          <w:t xml:space="preserve">For calculation of ALF relating to an </w:t>
        </w:r>
        <w:r>
          <w:rPr>
            <w:b/>
            <w:bCs/>
          </w:rPr>
          <w:t xml:space="preserve">Electricity Generation Facility </w:t>
        </w:r>
        <w:r>
          <w:t xml:space="preserve">that is not an </w:t>
        </w:r>
        <w:r>
          <w:rPr>
            <w:b/>
            <w:bCs/>
          </w:rPr>
          <w:t>Electricity Storage Facility:</w:t>
        </w:r>
      </w:ins>
    </w:p>
    <w:p w14:paraId="1E19BE77" w14:textId="7113A2BB" w:rsidR="00636937" w:rsidRDefault="00636937" w:rsidP="00636937">
      <w:pPr>
        <w:pStyle w:val="1"/>
        <w:ind w:left="1440"/>
      </w:pPr>
      <w:r>
        <w:t>GMWh</w:t>
      </w:r>
      <w:r w:rsidRPr="00E215A3">
        <w:rPr>
          <w:vertAlign w:val="subscript"/>
        </w:rPr>
        <w:t>p</w:t>
      </w:r>
      <w:r>
        <w:t xml:space="preserve"> is the maximum of FPN or actual metered output in a Settlement Period related to the </w:t>
      </w:r>
      <w:ins w:id="207" w:author="Author" w:date="2024-06-14T13:31:00Z">
        <w:r w:rsidR="002E3211" w:rsidRPr="0013514B">
          <w:rPr>
            <w:b/>
            <w:bCs/>
            <w:highlight w:val="yellow"/>
          </w:rPr>
          <w:t>P</w:t>
        </w:r>
      </w:ins>
      <w:del w:id="208" w:author="Author" w:date="2024-06-14T13:31:00Z">
        <w:r w:rsidRPr="0013514B" w:rsidDel="002E3211">
          <w:rPr>
            <w:b/>
            <w:bCs/>
            <w:highlight w:val="yellow"/>
          </w:rPr>
          <w:delText>p</w:delText>
        </w:r>
      </w:del>
      <w:r w:rsidRPr="006D2E90">
        <w:t>ower</w:t>
      </w:r>
      <w:r>
        <w:t xml:space="preserve"> </w:t>
      </w:r>
      <w:ins w:id="209" w:author="Author" w:date="2024-06-14T13:31:00Z">
        <w:r w:rsidR="002E3211" w:rsidRPr="0013514B">
          <w:rPr>
            <w:b/>
            <w:bCs/>
            <w:highlight w:val="yellow"/>
          </w:rPr>
          <w:t>S</w:t>
        </w:r>
      </w:ins>
      <w:del w:id="210" w:author="Author" w:date="2024-06-14T13:31:00Z">
        <w:r w:rsidRPr="0013514B" w:rsidDel="002E3211">
          <w:rPr>
            <w:b/>
            <w:bCs/>
            <w:highlight w:val="yellow"/>
          </w:rPr>
          <w:delText>s</w:delText>
        </w:r>
      </w:del>
      <w:r w:rsidRPr="006D2E90">
        <w:t>tation</w:t>
      </w:r>
      <w:r>
        <w:t xml:space="preserve">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rPr>
          <w:ins w:id="211" w:author="Author" w:date="2024-06-14T13:32:00Z"/>
        </w:rPr>
      </w:pPr>
    </w:p>
    <w:p w14:paraId="325FA1F0" w14:textId="77777777" w:rsidR="002F3B92" w:rsidRDefault="002F3B92" w:rsidP="002F3B92">
      <w:pPr>
        <w:pStyle w:val="1"/>
        <w:ind w:left="1440"/>
        <w:rPr>
          <w:ins w:id="212" w:author="Author" w:date="2024-06-14T13:32:00Z"/>
        </w:rPr>
      </w:pPr>
      <w:ins w:id="213" w:author="Author" w:date="2024-06-14T13:32:00Z">
        <w:r>
          <w:t xml:space="preserve">For calculation of the ALF relating to an </w:t>
        </w:r>
        <w:r>
          <w:rPr>
            <w:b/>
            <w:bCs/>
          </w:rPr>
          <w:t xml:space="preserve">Electricity Storage Facility </w:t>
        </w:r>
        <w:r>
          <w:t>only:</w:t>
        </w:r>
      </w:ins>
    </w:p>
    <w:p w14:paraId="19D44929" w14:textId="77777777" w:rsidR="002F3B92" w:rsidRDefault="002F3B92" w:rsidP="002F3B92">
      <w:pPr>
        <w:pStyle w:val="1"/>
        <w:ind w:left="1440"/>
        <w:rPr>
          <w:ins w:id="214" w:author="Author" w:date="2024-06-14T13:32:00Z"/>
          <w:rStyle w:val="ui-provider"/>
        </w:rPr>
      </w:pPr>
      <w:ins w:id="215" w:author="Author" w:date="2024-06-14T13:32:00Z">
        <w:r>
          <w:t>GMWh</w:t>
        </w:r>
        <w:r w:rsidRPr="00E215A3">
          <w:rPr>
            <w:vertAlign w:val="subscript"/>
          </w:rPr>
          <w:t>p</w:t>
        </w:r>
        <w:r>
          <w:t xml:space="preserve"> is the actual metered net output </w:t>
        </w:r>
        <w:r>
          <w:rPr>
            <w:rStyle w:val="ui-provider"/>
          </w:rPr>
          <w:t xml:space="preserve">in a </w:t>
        </w:r>
        <w:r w:rsidRPr="00CC545F">
          <w:rPr>
            <w:rStyle w:val="ui-provider"/>
            <w:b/>
            <w:bCs/>
          </w:rPr>
          <w:t>Settlement Period</w:t>
        </w:r>
        <w:r>
          <w:rPr>
            <w:rStyle w:val="ui-provider"/>
          </w:rPr>
          <w:t xml:space="preserve"> related to the power station TEC (MW). For the avoidance of doubt, where the actual metered net output across all </w:t>
        </w:r>
        <w:r w:rsidRPr="00CC545F">
          <w:rPr>
            <w:rStyle w:val="ui-provider"/>
            <w:b/>
            <w:bCs/>
          </w:rPr>
          <w:t>Settlement Periods</w:t>
        </w:r>
        <w:r>
          <w:rPr>
            <w:rStyle w:val="ui-provider"/>
          </w:rPr>
          <w:t xml:space="preserve"> in a </w:t>
        </w:r>
        <w:r w:rsidRPr="00CC545F">
          <w:rPr>
            <w:rStyle w:val="ui-provider"/>
            <w:b/>
            <w:bCs/>
          </w:rPr>
          <w:t>Financial Year</w:t>
        </w:r>
        <w:r>
          <w:rPr>
            <w:rStyle w:val="ui-provider"/>
          </w:rPr>
          <w:t xml:space="preserve"> is negative, this shall be taken to be 0; and</w:t>
        </w:r>
      </w:ins>
    </w:p>
    <w:p w14:paraId="00075CA0" w14:textId="77777777" w:rsidR="002F3B92" w:rsidRDefault="002F3B92" w:rsidP="002F3B92">
      <w:pPr>
        <w:pStyle w:val="1"/>
        <w:ind w:left="1440"/>
        <w:rPr>
          <w:ins w:id="216" w:author="Author" w:date="2024-06-14T13:32:00Z"/>
        </w:rPr>
      </w:pPr>
      <w:ins w:id="217" w:author="Author" w:date="2024-06-14T13:32:00Z">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ins>
    </w:p>
    <w:p w14:paraId="3579187A" w14:textId="77777777" w:rsidR="002F3B92" w:rsidRDefault="002F3B92" w:rsidP="002F3B92">
      <w:pPr>
        <w:pStyle w:val="1"/>
        <w:ind w:left="1440"/>
        <w:rPr>
          <w:ins w:id="218" w:author="Author" w:date="2024-06-14T13:32:00Z"/>
        </w:rPr>
      </w:pPr>
    </w:p>
    <w:p w14:paraId="7DBD7B71" w14:textId="01ACDC90" w:rsidR="002F3B92" w:rsidRDefault="002F3B92" w:rsidP="002F3B92">
      <w:pPr>
        <w:pStyle w:val="1"/>
        <w:ind w:left="1440"/>
        <w:rPr>
          <w:ins w:id="219" w:author="Author" w:date="2024-06-14T13:32:00Z"/>
        </w:rPr>
      </w:pPr>
      <w:ins w:id="220" w:author="Author" w:date="2024-06-14T13:32:00Z">
        <w:r w:rsidRPr="00BE6B20">
          <w:rPr>
            <w:highlight w:val="yellow"/>
          </w:rPr>
          <w:t xml:space="preserve">A single technology </w:t>
        </w:r>
        <w:r w:rsidRPr="00BE6B20">
          <w:rPr>
            <w:b/>
            <w:bCs/>
            <w:highlight w:val="yellow"/>
          </w:rPr>
          <w:t>Power Station</w:t>
        </w:r>
        <w:r w:rsidRPr="00BE6B20">
          <w:rPr>
            <w:highlight w:val="yellow"/>
          </w:rPr>
          <w:t xml:space="preserve"> will use the formula above to calculate the </w:t>
        </w:r>
        <w:r w:rsidRPr="00BE6B20">
          <w:rPr>
            <w:b/>
            <w:bCs/>
            <w:highlight w:val="yellow"/>
          </w:rPr>
          <w:t>Power Station</w:t>
        </w:r>
        <w:r w:rsidRPr="00BE6B20">
          <w:rPr>
            <w:highlight w:val="yellow"/>
          </w:rPr>
          <w:t xml:space="preserve"> ALF. For a multi technology </w:t>
        </w:r>
        <w:r w:rsidRPr="00BE6B20">
          <w:rPr>
            <w:b/>
            <w:bCs/>
            <w:highlight w:val="yellow"/>
          </w:rPr>
          <w:t>Power Station</w:t>
        </w:r>
        <w:r w:rsidRPr="00BE6B20">
          <w:rPr>
            <w:highlight w:val="yellow"/>
          </w:rPr>
          <w:t xml:space="preserve"> (as 14.15.7), where appropriate metering arrangements are in place, an ALF will be calculated for each technology type</w:t>
        </w:r>
        <w:r>
          <w:rPr>
            <w:highlight w:val="yellow"/>
          </w:rPr>
          <w:t>,</w:t>
        </w:r>
        <w:r w:rsidRPr="00BE6B20">
          <w:rPr>
            <w:highlight w:val="green"/>
          </w:rPr>
          <w:t xml:space="preserve"> including for an </w:t>
        </w:r>
        <w:r w:rsidRPr="00BE6B20">
          <w:rPr>
            <w:b/>
            <w:bCs/>
            <w:highlight w:val="green"/>
          </w:rPr>
          <w:t>Electricity Storage Facility</w:t>
        </w:r>
        <w:r w:rsidRPr="00BE6B20">
          <w:rPr>
            <w:highlight w:val="green"/>
          </w:rPr>
          <w:t xml:space="preserve"> as above</w:t>
        </w:r>
        <w:r w:rsidRPr="00BE6B20">
          <w:rPr>
            <w:highlight w:val="yellow"/>
          </w:rPr>
          <w:t>.</w:t>
        </w:r>
      </w:ins>
    </w:p>
    <w:p w14:paraId="78583D57" w14:textId="77777777" w:rsidR="002F3B92" w:rsidRDefault="002F3B92" w:rsidP="002F3B92">
      <w:pPr>
        <w:pStyle w:val="1"/>
        <w:ind w:left="1440"/>
        <w:rPr>
          <w:ins w:id="221" w:author="Author" w:date="2024-06-14T13:32:00Z"/>
        </w:rPr>
      </w:pPr>
    </w:p>
    <w:p w14:paraId="5B1C0B20" w14:textId="77777777" w:rsidR="00E3036C" w:rsidRPr="00BE6B20" w:rsidRDefault="00E3036C" w:rsidP="00E3036C">
      <w:pPr>
        <w:pStyle w:val="1"/>
        <w:ind w:left="1440"/>
        <w:rPr>
          <w:ins w:id="222" w:author="Author" w:date="2024-06-14T13:32:00Z"/>
          <w:highlight w:val="yellow"/>
        </w:rPr>
      </w:pPr>
      <w:ins w:id="223" w:author="Author" w:date="2024-06-14T13:32:00Z">
        <w:r w:rsidRPr="00BE6B20">
          <w:rPr>
            <w:highlight w:val="yellow"/>
          </w:rPr>
          <w:lastRenderedPageBreak/>
          <w:t xml:space="preserve">Note that the sum of GMWh for a multi technology </w:t>
        </w:r>
        <w:r w:rsidRPr="00BE6B20">
          <w:rPr>
            <w:b/>
            <w:bCs/>
            <w:highlight w:val="yellow"/>
          </w:rPr>
          <w:t>Power Station</w:t>
        </w:r>
        <w:r w:rsidRPr="00BE6B20">
          <w:rPr>
            <w:highlight w:val="yellow"/>
          </w:rPr>
          <w:t xml:space="preserve"> across all technology types will equal the total GMWh for the </w:t>
        </w:r>
        <w:r w:rsidRPr="00BE6B20">
          <w:rPr>
            <w:b/>
            <w:bCs/>
            <w:highlight w:val="yellow"/>
          </w:rPr>
          <w:t>Power Station</w:t>
        </w:r>
        <w:r w:rsidRPr="00BE6B20">
          <w:rPr>
            <w:highlight w:val="yellow"/>
          </w:rPr>
          <w:t>.</w:t>
        </w:r>
      </w:ins>
    </w:p>
    <w:p w14:paraId="5DE3AD9B" w14:textId="77777777" w:rsidR="00E3036C" w:rsidRDefault="00E3036C" w:rsidP="00E3036C">
      <w:pPr>
        <w:pStyle w:val="1"/>
        <w:ind w:left="1440"/>
        <w:rPr>
          <w:ins w:id="224" w:author="Author" w:date="2024-06-14T13:32:00Z"/>
        </w:rPr>
      </w:pPr>
    </w:p>
    <w:p w14:paraId="0287EB21" w14:textId="77777777" w:rsidR="00E3036C" w:rsidRPr="00BE6B20" w:rsidRDefault="00135D78" w:rsidP="00E3036C">
      <w:pPr>
        <w:pStyle w:val="1"/>
        <w:ind w:left="1440"/>
        <w:jc w:val="center"/>
        <w:rPr>
          <w:ins w:id="225" w:author="Author" w:date="2024-06-14T13:32:00Z"/>
          <w:highlight w:val="yellow"/>
        </w:rPr>
      </w:pPr>
      <m:oMathPara>
        <m:oMath>
          <m:sSub>
            <m:sSubPr>
              <m:ctrlPr>
                <w:ins w:id="226" w:author="Author" w:date="2024-06-14T13:32:00Z">
                  <w:rPr>
                    <w:rFonts w:ascii="Cambria Math" w:hAnsi="Cambria Math"/>
                    <w:i/>
                    <w:highlight w:val="yellow"/>
                  </w:rPr>
                </w:ins>
              </m:ctrlPr>
            </m:sSubPr>
            <m:e>
              <m:r>
                <w:ins w:id="227" w:author="Author" w:date="2024-06-14T13:32:00Z">
                  <w:rPr>
                    <w:rFonts w:ascii="Cambria Math" w:hAnsi="Cambria Math"/>
                    <w:highlight w:val="yellow"/>
                  </w:rPr>
                  <m:t>ALF</m:t>
                </w:ins>
              </m:r>
            </m:e>
            <m:sub>
              <m:r>
                <w:ins w:id="228" w:author="Author" w:date="2024-06-14T13:32:00Z">
                  <w:rPr>
                    <w:rFonts w:ascii="Cambria Math" w:hAnsi="Cambria Math"/>
                    <w:highlight w:val="yellow"/>
                  </w:rPr>
                  <m:t>A</m:t>
                </w:ins>
              </m:r>
            </m:sub>
          </m:sSub>
          <m:r>
            <w:ins w:id="229" w:author="Author" w:date="2024-06-14T13:32:00Z">
              <w:rPr>
                <w:rFonts w:ascii="Cambria Math" w:hAnsi="Cambria Math"/>
                <w:highlight w:val="yellow"/>
              </w:rPr>
              <m:t>=</m:t>
            </w:ins>
          </m:r>
          <m:f>
            <m:fPr>
              <m:ctrlPr>
                <w:ins w:id="230" w:author="Author" w:date="2024-06-14T13:32:00Z">
                  <w:rPr>
                    <w:rFonts w:ascii="Cambria Math" w:hAnsi="Cambria Math"/>
                    <w:i/>
                    <w:highlight w:val="yellow"/>
                  </w:rPr>
                </w:ins>
              </m:ctrlPr>
            </m:fPr>
            <m:num>
              <m:nary>
                <m:naryPr>
                  <m:chr m:val="∑"/>
                  <m:limLoc m:val="undOvr"/>
                  <m:ctrlPr>
                    <w:ins w:id="231" w:author="Author" w:date="2024-06-14T13:32:00Z">
                      <w:rPr>
                        <w:rFonts w:ascii="Cambria Math" w:hAnsi="Cambria Math"/>
                        <w:i/>
                        <w:highlight w:val="yellow"/>
                      </w:rPr>
                    </w:ins>
                  </m:ctrlPr>
                </m:naryPr>
                <m:sub>
                  <m:r>
                    <w:ins w:id="232" w:author="Author" w:date="2024-06-14T13:32:00Z">
                      <w:rPr>
                        <w:rFonts w:ascii="Cambria Math" w:hAnsi="Cambria Math"/>
                        <w:highlight w:val="yellow"/>
                      </w:rPr>
                      <m:t>p=1</m:t>
                    </w:ins>
                  </m:r>
                </m:sub>
                <m:sup>
                  <m:r>
                    <w:ins w:id="233" w:author="Author" w:date="2024-06-14T13:32:00Z">
                      <w:rPr>
                        <w:rFonts w:ascii="Cambria Math" w:hAnsi="Cambria Math"/>
                        <w:highlight w:val="yellow"/>
                      </w:rPr>
                      <m:t>17520</m:t>
                    </w:ins>
                  </m:r>
                </m:sup>
                <m:e>
                  <m:r>
                    <w:ins w:id="234" w:author="Author" w:date="2024-06-14T13:32:00Z">
                      <w:rPr>
                        <w:rFonts w:ascii="Cambria Math" w:hAnsi="Cambria Math"/>
                        <w:highlight w:val="yellow"/>
                      </w:rPr>
                      <m:t>GMWhAp</m:t>
                    </w:ins>
                  </m:r>
                </m:e>
              </m:nary>
            </m:num>
            <m:den>
              <m:nary>
                <m:naryPr>
                  <m:chr m:val="∑"/>
                  <m:limLoc m:val="undOvr"/>
                  <m:ctrlPr>
                    <w:ins w:id="235" w:author="Author" w:date="2024-06-14T13:32:00Z">
                      <w:rPr>
                        <w:rFonts w:ascii="Cambria Math" w:hAnsi="Cambria Math"/>
                        <w:i/>
                        <w:highlight w:val="yellow"/>
                      </w:rPr>
                    </w:ins>
                  </m:ctrlPr>
                </m:naryPr>
                <m:sub>
                  <m:r>
                    <w:ins w:id="236" w:author="Author" w:date="2024-06-14T13:32:00Z">
                      <w:rPr>
                        <w:rFonts w:ascii="Cambria Math" w:hAnsi="Cambria Math"/>
                        <w:highlight w:val="yellow"/>
                      </w:rPr>
                      <m:t>p=1</m:t>
                    </w:ins>
                  </m:r>
                </m:sub>
                <m:sup>
                  <m:r>
                    <w:ins w:id="237" w:author="Author" w:date="2024-06-14T13:32:00Z">
                      <w:rPr>
                        <w:rFonts w:ascii="Cambria Math" w:hAnsi="Cambria Math"/>
                        <w:highlight w:val="yellow"/>
                      </w:rPr>
                      <m:t>17520</m:t>
                    </w:ins>
                  </m:r>
                </m:sup>
                <m:e>
                  <m:sSub>
                    <m:sSubPr>
                      <m:ctrlPr>
                        <w:ins w:id="238" w:author="Author" w:date="2024-06-14T13:32:00Z">
                          <w:rPr>
                            <w:rFonts w:ascii="Cambria Math" w:hAnsi="Cambria Math"/>
                            <w:i/>
                            <w:highlight w:val="yellow"/>
                          </w:rPr>
                        </w:ins>
                      </m:ctrlPr>
                    </m:sSubPr>
                    <m:e>
                      <m:r>
                        <w:ins w:id="239" w:author="Author" w:date="2024-06-14T13:32:00Z">
                          <w:rPr>
                            <w:rFonts w:ascii="Cambria Math" w:hAnsi="Cambria Math"/>
                            <w:highlight w:val="yellow"/>
                          </w:rPr>
                          <m:t>TEC</m:t>
                        </w:ins>
                      </m:r>
                    </m:e>
                    <m:sub>
                      <m:r>
                        <w:ins w:id="240" w:author="Author" w:date="2024-06-14T13:32:00Z">
                          <w:rPr>
                            <w:rFonts w:ascii="Cambria Math" w:hAnsi="Cambria Math"/>
                            <w:highlight w:val="yellow"/>
                          </w:rPr>
                          <m:t>p</m:t>
                        </w:ins>
                      </m:r>
                    </m:sub>
                  </m:sSub>
                </m:e>
              </m:nary>
              <m:r>
                <w:ins w:id="241" w:author="Author" w:date="2024-06-14T13:32:00Z">
                  <w:rPr>
                    <w:rFonts w:ascii="Cambria Math" w:hAnsi="Cambria Math"/>
                    <w:highlight w:val="yellow"/>
                  </w:rPr>
                  <m:t xml:space="preserve"> ×0.5</m:t>
                </w:ins>
              </m:r>
            </m:den>
          </m:f>
        </m:oMath>
      </m:oMathPara>
    </w:p>
    <w:p w14:paraId="3353FFF8" w14:textId="77777777" w:rsidR="00E3036C" w:rsidRPr="00BE6B20" w:rsidRDefault="00E3036C" w:rsidP="00E3036C">
      <w:pPr>
        <w:pStyle w:val="1"/>
        <w:ind w:left="1440"/>
        <w:rPr>
          <w:ins w:id="242" w:author="Author" w:date="2024-06-14T13:32:00Z"/>
          <w:highlight w:val="yellow"/>
        </w:rPr>
      </w:pPr>
    </w:p>
    <w:p w14:paraId="388FA2AA" w14:textId="77777777" w:rsidR="00E3036C" w:rsidRPr="00BE6B20" w:rsidRDefault="00E3036C" w:rsidP="00E3036C">
      <w:pPr>
        <w:pStyle w:val="1"/>
        <w:ind w:left="1440"/>
        <w:rPr>
          <w:ins w:id="243" w:author="Author" w:date="2024-06-14T13:32:00Z"/>
          <w:highlight w:val="yellow"/>
        </w:rPr>
      </w:pPr>
      <w:ins w:id="244" w:author="Author" w:date="2024-06-14T13:32:00Z">
        <w:r w:rsidRPr="00BE6B20">
          <w:rPr>
            <w:highlight w:val="yellow"/>
          </w:rPr>
          <w:t>Where:</w:t>
        </w:r>
      </w:ins>
    </w:p>
    <w:p w14:paraId="79602EDE" w14:textId="77777777" w:rsidR="00E3036C" w:rsidRPr="00BE6B20" w:rsidRDefault="00E3036C" w:rsidP="00E3036C">
      <w:pPr>
        <w:pStyle w:val="1"/>
        <w:ind w:left="1440"/>
        <w:rPr>
          <w:ins w:id="245" w:author="Author" w:date="2024-06-14T13:32:00Z"/>
          <w:highlight w:val="yellow"/>
        </w:rPr>
      </w:pPr>
      <w:ins w:id="246" w:author="Author" w:date="2024-06-14T13:32:00Z">
        <w:r w:rsidRPr="00BE6B20">
          <w:rPr>
            <w:highlight w:val="yellow"/>
          </w:rPr>
          <w:t>A denotes each technology type within a Power Station</w:t>
        </w:r>
      </w:ins>
    </w:p>
    <w:p w14:paraId="79F2F60D" w14:textId="77777777" w:rsidR="00E3036C" w:rsidRDefault="00E3036C" w:rsidP="00E3036C">
      <w:pPr>
        <w:pStyle w:val="1"/>
        <w:ind w:left="1440"/>
        <w:rPr>
          <w:ins w:id="247" w:author="Author" w:date="2024-06-14T13:32:00Z"/>
        </w:rPr>
      </w:pPr>
      <w:ins w:id="248" w:author="Author" w:date="2024-06-14T13:32:00Z">
        <w:r w:rsidRPr="00BE6B20">
          <w:rPr>
            <w:highlight w:val="yellow"/>
          </w:rPr>
          <w:t xml:space="preserve">GMWhAp is the maximum of FPN or actual metered output in a </w:t>
        </w:r>
        <w:r w:rsidRPr="00BE6B20">
          <w:rPr>
            <w:b/>
            <w:bCs/>
            <w:highlight w:val="yellow"/>
          </w:rPr>
          <w:t>Settlement Period</w:t>
        </w:r>
        <w:r w:rsidRPr="00BE6B20">
          <w:rPr>
            <w:highlight w:val="yellow"/>
          </w:rPr>
          <w:t xml:space="preserve"> related to the </w:t>
        </w:r>
        <w:r w:rsidRPr="00BE6B20">
          <w:rPr>
            <w:b/>
            <w:bCs/>
            <w:highlight w:val="yellow"/>
          </w:rPr>
          <w:t>BM Unit</w:t>
        </w:r>
        <w:r w:rsidRPr="00BE6B20">
          <w:rPr>
            <w:highlight w:val="yellow"/>
          </w:rPr>
          <w:t xml:space="preserve"> associated with MTPSTEC</w:t>
        </w:r>
        <w:r w:rsidRPr="00BE6B20">
          <w:rPr>
            <w:highlight w:val="yellow"/>
            <w:vertAlign w:val="subscript"/>
          </w:rPr>
          <w:t>A</w:t>
        </w:r>
        <w:r w:rsidRPr="00BE6B20">
          <w:rPr>
            <w:highlight w:val="yellow"/>
          </w:rPr>
          <w:t>.</w:t>
        </w:r>
      </w:ins>
    </w:p>
    <w:p w14:paraId="2EBFEC27" w14:textId="77777777" w:rsidR="002F3B92" w:rsidRDefault="002F3B92" w:rsidP="002F3B92">
      <w:pPr>
        <w:pStyle w:val="1"/>
        <w:ind w:left="1440"/>
      </w:pPr>
    </w:p>
    <w:p w14:paraId="515E40F5" w14:textId="77777777" w:rsidR="00636937" w:rsidRPr="00891501" w:rsidRDefault="00636937" w:rsidP="00636937">
      <w:pPr>
        <w:pStyle w:val="1"/>
        <w:ind w:left="720"/>
        <w:jc w:val="both"/>
      </w:pPr>
    </w:p>
    <w:p w14:paraId="27EED677" w14:textId="4F73F5BD" w:rsidR="00636937" w:rsidRPr="00823D2E" w:rsidRDefault="00B8085F" w:rsidP="007D27B2">
      <w:pPr>
        <w:pStyle w:val="1"/>
        <w:numPr>
          <w:ilvl w:val="0"/>
          <w:numId w:val="90"/>
        </w:numPr>
        <w:jc w:val="both"/>
        <w:rPr>
          <w:b/>
        </w:rPr>
      </w:pPr>
      <w:ins w:id="249" w:author="Author" w:date="2024-06-14T13:32:00Z">
        <w:r w:rsidRPr="00BE6B20">
          <w:rPr>
            <w:highlight w:val="yellow"/>
          </w:rPr>
          <w:t xml:space="preserve">For single technology </w:t>
        </w:r>
        <w:r w:rsidRPr="00BE6B20">
          <w:rPr>
            <w:b/>
            <w:bCs/>
            <w:highlight w:val="yellow"/>
          </w:rPr>
          <w:t>Power Stations</w:t>
        </w:r>
        <w:r w:rsidRPr="00BE6B20">
          <w:rPr>
            <w:highlight w:val="yellow"/>
          </w:rPr>
          <w:t xml:space="preserve">, </w:t>
        </w:r>
      </w:ins>
      <w:del w:id="250" w:author="Author" w:date="2024-06-14T13:32:00Z">
        <w:r w:rsidR="00636937" w:rsidRPr="00891501" w:rsidDel="00B8085F">
          <w:delText>T</w:delText>
        </w:r>
      </w:del>
      <w:ins w:id="251" w:author="Author" w:date="2024-06-14T13:32:00Z">
        <w:r>
          <w:t>t</w:t>
        </w:r>
      </w:ins>
      <w:r w:rsidR="00636937" w:rsidRPr="00891501">
        <w:t xml:space="preserve">he </w:t>
      </w:r>
      <w:r w:rsidR="00636937">
        <w:t>appropriate output (FPN or actual metered</w:t>
      </w:r>
      <w:ins w:id="252" w:author="Author" w:date="2024-06-14T13:33:00Z">
        <w:r w:rsidR="00A43E83">
          <w:t xml:space="preserve"> output; or actual metered net output</w:t>
        </w:r>
      </w:ins>
      <w:r w:rsidR="00636937">
        <w:t xml:space="preserve">)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and relates to the total TEC of the Power Station</w:t>
      </w:r>
      <w:r w:rsidR="00636937" w:rsidRPr="00891501">
        <w:t xml:space="preserve">. </w:t>
      </w:r>
      <w:ins w:id="253" w:author="Author" w:date="2024-06-14T13:35:00Z">
        <w:r w:rsidR="004D7F50" w:rsidRPr="00BE6B20">
          <w:rPr>
            <w:highlight w:val="yellow"/>
          </w:rPr>
          <w:t xml:space="preserve">For multiple technology </w:t>
        </w:r>
        <w:r w:rsidR="004D7F50" w:rsidRPr="00BE6B20">
          <w:rPr>
            <w:b/>
            <w:bCs/>
            <w:highlight w:val="yellow"/>
          </w:rPr>
          <w:t>Power Stations</w:t>
        </w:r>
        <w:r w:rsidR="004D7F50" w:rsidRPr="00BE6B20">
          <w:rPr>
            <w:highlight w:val="yellow"/>
          </w:rPr>
          <w:t xml:space="preserve">, the appropriate output (FPN or actual metered) figure is derived from the </w:t>
        </w:r>
        <w:r w:rsidR="004D7F50" w:rsidRPr="00BE6B20">
          <w:rPr>
            <w:b/>
            <w:bCs/>
            <w:highlight w:val="yellow"/>
          </w:rPr>
          <w:t>BM Unit</w:t>
        </w:r>
        <w:r w:rsidR="004D7F50" w:rsidRPr="00BE6B20">
          <w:rPr>
            <w:highlight w:val="yellow"/>
          </w:rPr>
          <w:t xml:space="preserve"> data available to </w:t>
        </w:r>
        <w:r w:rsidR="004D7F50" w:rsidRPr="00BE6B20">
          <w:rPr>
            <w:b/>
            <w:bCs/>
            <w:highlight w:val="yellow"/>
          </w:rPr>
          <w:t>The Company</w:t>
        </w:r>
        <w:r w:rsidR="004D7F50" w:rsidRPr="00BE6B20">
          <w:rPr>
            <w:highlight w:val="yellow"/>
          </w:rPr>
          <w:t xml:space="preserve"> and associated with MTPSTEC</w:t>
        </w:r>
        <w:r w:rsidR="004D7F50" w:rsidRPr="00BE6B20">
          <w:rPr>
            <w:highlight w:val="yellow"/>
            <w:vertAlign w:val="subscript"/>
          </w:rPr>
          <w:t>A</w:t>
        </w:r>
        <w:r w:rsidR="004D7F50" w:rsidRPr="00BE6B20">
          <w:rPr>
            <w:highlight w:val="yellow"/>
          </w:rPr>
          <w:t>.</w:t>
        </w:r>
      </w:ins>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16456579"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(FPN or actual metered</w:t>
      </w:r>
      <w:ins w:id="254" w:author="Author" w:date="2024-06-14T13:36:00Z">
        <w:r w:rsidR="0086510B">
          <w:t xml:space="preserve"> output; or actual metered net output</w:t>
        </w:r>
      </w:ins>
      <w:r>
        <w:t xml:space="preserve">)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101073A"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ins w:id="255" w:author="Author" w:date="2024-06-14T13:36:00Z">
        <w:r w:rsidR="00D458FF">
          <w:t xml:space="preserve"> output; or actual metered net output</w:t>
        </w:r>
      </w:ins>
      <w:r>
        <w:t>)</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41F1655B"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ins w:id="256" w:author="Author" w:date="2024-06-14T13:36:00Z">
        <w:r w:rsidR="00C97F51" w:rsidRPr="00C97F51">
          <w:t xml:space="preserve"> </w:t>
        </w:r>
        <w:r w:rsidR="00C97F51">
          <w:t>output; or actual metered net output</w:t>
        </w:r>
      </w:ins>
      <w:r>
        <w:t>)</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lastRenderedPageBreak/>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135D78"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lastRenderedPageBreak/>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135D78"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135D78"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lastRenderedPageBreak/>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257"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135D78"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258" w:name="_Toc208554779"/>
      <w:bookmarkStart w:id="259" w:name="_Toc208745842"/>
      <w:bookmarkStart w:id="260" w:name="_Toc274049688"/>
      <w:r w:rsidRPr="00D76842">
        <w:rPr>
          <w:color w:val="auto"/>
        </w:rPr>
        <w:t>Deriving the Final Local Tariff</w:t>
      </w:r>
      <w:bookmarkEnd w:id="258"/>
      <w:bookmarkEnd w:id="259"/>
      <w:r>
        <w:rPr>
          <w:color w:val="auto"/>
        </w:rPr>
        <w:t xml:space="preserve"> (</w:t>
      </w:r>
      <w:r w:rsidRPr="00D76842">
        <w:rPr>
          <w:color w:val="auto"/>
        </w:rPr>
        <w:t>£/kW</w:t>
      </w:r>
      <w:r>
        <w:rPr>
          <w:color w:val="auto"/>
        </w:rPr>
        <w:t>)</w:t>
      </w:r>
      <w:bookmarkEnd w:id="260"/>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61" w:name="_Toc208554780"/>
      <w:bookmarkStart w:id="262" w:name="_Toc208745843"/>
      <w:bookmarkStart w:id="263" w:name="_Toc274049689"/>
      <w:r w:rsidRPr="009F4FB0">
        <w:rPr>
          <w:i/>
          <w:color w:val="auto"/>
        </w:rPr>
        <w:t>Local Circuit Tariff</w:t>
      </w:r>
      <w:bookmarkEnd w:id="261"/>
      <w:bookmarkEnd w:id="262"/>
      <w:bookmarkEnd w:id="263"/>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64" w:name="_Toc208554781"/>
      <w:bookmarkStart w:id="265" w:name="_Toc208745844"/>
    </w:p>
    <w:p w14:paraId="7839E442" w14:textId="77777777" w:rsidR="006661FE" w:rsidRPr="00543982" w:rsidRDefault="006661FE" w:rsidP="006661FE">
      <w:pPr>
        <w:pStyle w:val="Heading3"/>
        <w:ind w:left="709"/>
        <w:rPr>
          <w:rFonts w:ascii="Arial" w:hAnsi="Arial" w:cs="Arial"/>
          <w:b/>
        </w:rPr>
      </w:pPr>
      <w:bookmarkStart w:id="266" w:name="_Toc274049690"/>
      <w:r w:rsidRPr="00543982">
        <w:rPr>
          <w:rFonts w:ascii="Arial" w:hAnsi="Arial" w:cs="Arial"/>
          <w:b/>
        </w:rPr>
        <w:lastRenderedPageBreak/>
        <w:t>Onshore Local Substation Tariff</w:t>
      </w:r>
      <w:bookmarkEnd w:id="264"/>
      <w:bookmarkEnd w:id="265"/>
      <w:bookmarkEnd w:id="266"/>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67"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lastRenderedPageBreak/>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67"/>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68" w:name="_Toc274049691"/>
      <w:r w:rsidRPr="00543982">
        <w:rPr>
          <w:rFonts w:ascii="Arial" w:hAnsi="Arial" w:cs="Arial"/>
          <w:b/>
        </w:rPr>
        <w:t>Offshore substation local tariff</w:t>
      </w:r>
      <w:bookmarkEnd w:id="268"/>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69" w:name="_Toc49661115"/>
      <w:bookmarkStart w:id="270" w:name="_Toc274049692"/>
      <w:bookmarkEnd w:id="257"/>
      <w:r w:rsidRPr="00CD5631">
        <w:rPr>
          <w:rFonts w:ascii="Arial" w:hAnsi="Arial" w:cs="Arial"/>
          <w:b/>
          <w:color w:val="00B0F0"/>
        </w:rPr>
        <w:lastRenderedPageBreak/>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lastRenderedPageBreak/>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lastRenderedPageBreak/>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69"/>
    <w:bookmarkEnd w:id="270"/>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71" w:name="_Toc32201079"/>
      <w:bookmarkStart w:id="272" w:name="_Toc49661116"/>
      <w:bookmarkStart w:id="273" w:name="_Toc274049693"/>
      <w:r>
        <w:t>Final £/kW Tariff</w:t>
      </w:r>
      <w:bookmarkEnd w:id="271"/>
      <w:bookmarkEnd w:id="272"/>
      <w:bookmarkEnd w:id="273"/>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135D78"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w:t>
      </w:r>
      <w:r w:rsidR="00B56030">
        <w:rPr>
          <w:rFonts w:ascii="Arial" w:hAnsi="Arial"/>
          <w:sz w:val="22"/>
        </w:rPr>
        <w:lastRenderedPageBreak/>
        <w:t>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135D78"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 xml:space="preserve">Final </w:t>
      </w:r>
      <w:r w:rsidR="00010EB2" w:rsidRPr="00CD5631">
        <w:rPr>
          <w:b/>
        </w:rPr>
        <w:lastRenderedPageBreak/>
        <w:t>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w:t>
      </w:r>
      <w:r w:rsidR="006661FE">
        <w:lastRenderedPageBreak/>
        <w:t xml:space="preserve">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74" w:name="_Toc274049694"/>
      <w:r w:rsidRPr="007B2988">
        <w:t>Stability &amp; Predictability of TNUoS tariffs</w:t>
      </w:r>
      <w:bookmarkEnd w:id="274"/>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75" w:name="_Toc32201081"/>
      <w:bookmarkStart w:id="276"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lastRenderedPageBreak/>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lastRenderedPageBreak/>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77"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77"/>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lastRenderedPageBreak/>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78"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78"/>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79" w:name="_Toc32201082"/>
      <w:bookmarkStart w:id="280" w:name="_Toc49661119"/>
      <w:bookmarkEnd w:id="275"/>
      <w:bookmarkEnd w:id="276"/>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81" w:name="_Ref506957800"/>
      <w:bookmarkStart w:id="282" w:name="_Toc32201083"/>
      <w:bookmarkStart w:id="283" w:name="_Toc49661120"/>
      <w:bookmarkStart w:id="284" w:name="_Toc98821478"/>
      <w:bookmarkStart w:id="285" w:name="_Toc111259845"/>
      <w:bookmarkStart w:id="286" w:name="_Toc111262532"/>
      <w:bookmarkStart w:id="287" w:name="_Toc274049695"/>
      <w:bookmarkEnd w:id="279"/>
      <w:bookmarkEnd w:id="280"/>
      <w:r w:rsidRPr="00D54761">
        <w:rPr>
          <w:bCs/>
          <w:color w:val="auto"/>
          <w:sz w:val="28"/>
          <w:szCs w:val="28"/>
        </w:rPr>
        <w:t>14.16 Derivation of the Transmission Network Use of System Energy Consumption Tariff</w:t>
      </w:r>
      <w:bookmarkEnd w:id="281"/>
      <w:bookmarkEnd w:id="282"/>
      <w:bookmarkEnd w:id="283"/>
      <w:r w:rsidRPr="00D54761">
        <w:rPr>
          <w:bCs/>
          <w:color w:val="auto"/>
          <w:sz w:val="28"/>
          <w:szCs w:val="28"/>
        </w:rPr>
        <w:t xml:space="preserve"> and Short Term Capacity Tariff</w:t>
      </w:r>
      <w:bookmarkEnd w:id="284"/>
      <w:bookmarkEnd w:id="285"/>
      <w:bookmarkEnd w:id="286"/>
      <w:r w:rsidRPr="00D54761">
        <w:rPr>
          <w:bCs/>
          <w:color w:val="auto"/>
          <w:sz w:val="28"/>
          <w:szCs w:val="28"/>
        </w:rPr>
        <w:t>s</w:t>
      </w:r>
      <w:bookmarkEnd w:id="287"/>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88" w:name="_Toc274049696"/>
      <w:r>
        <w:t>Short Term Transmission Entry Capacity (STTEC) Tariff</w:t>
      </w:r>
      <w:bookmarkEnd w:id="288"/>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89" w:name="_Toc274049697"/>
      <w:r w:rsidRPr="00DC7159">
        <w:t>Limited Duration Transmission Entry Capacity (LDTEC) Tariffs</w:t>
      </w:r>
      <w:bookmarkEnd w:id="289"/>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90"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91" w:name="_Toc32201085"/>
      <w:bookmarkStart w:id="292" w:name="_Toc49661123"/>
      <w:bookmarkStart w:id="293" w:name="_Toc274049698"/>
      <w:bookmarkEnd w:id="290"/>
      <w:r w:rsidRPr="00D54761">
        <w:rPr>
          <w:color w:val="auto"/>
          <w:sz w:val="28"/>
          <w:szCs w:val="28"/>
        </w:rPr>
        <w:lastRenderedPageBreak/>
        <w:t>14.17 Demand Charges</w:t>
      </w:r>
      <w:bookmarkEnd w:id="291"/>
      <w:bookmarkEnd w:id="292"/>
      <w:bookmarkEnd w:id="293"/>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94" w:name="_Toc32201086"/>
      <w:bookmarkStart w:id="295" w:name="_Toc49661124"/>
      <w:bookmarkStart w:id="296" w:name="_Toc274049699"/>
      <w:r>
        <w:t>Parties Liable for Demand Charges</w:t>
      </w:r>
      <w:bookmarkEnd w:id="294"/>
      <w:bookmarkEnd w:id="295"/>
      <w:bookmarkEnd w:id="296"/>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97" w:name="_Toc32201087"/>
      <w:bookmarkStart w:id="298" w:name="_Toc49661125"/>
      <w:bookmarkStart w:id="299" w:name="_Toc274049700"/>
      <w:r>
        <w:t xml:space="preserve">Basis of </w:t>
      </w:r>
      <w:r w:rsidR="00010EB2">
        <w:t>Demand Locational</w:t>
      </w:r>
      <w:r>
        <w:t xml:space="preserve"> Charges</w:t>
      </w:r>
      <w:bookmarkEnd w:id="297"/>
      <w:bookmarkEnd w:id="298"/>
      <w:bookmarkEnd w:id="299"/>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300" w:name="_Toc49661126"/>
      <w:bookmarkStart w:id="301"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300"/>
      <w:bookmarkEnd w:id="301"/>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302" w:name="_Toc49661127"/>
      <w:bookmarkStart w:id="303" w:name="_Toc274049702"/>
      <w:r w:rsidRPr="004248A1">
        <w:rPr>
          <w:rFonts w:ascii="Arial" w:hAnsi="Arial" w:cs="Arial"/>
          <w:b/>
        </w:rPr>
        <w:t>Power Stations with a Bilateral Connection Agreement</w:t>
      </w:r>
      <w:bookmarkEnd w:id="302"/>
      <w:r w:rsidRPr="004248A1">
        <w:rPr>
          <w:rFonts w:ascii="Arial" w:hAnsi="Arial" w:cs="Arial"/>
          <w:b/>
        </w:rPr>
        <w:t xml:space="preserve"> and Licensable Generation with a Bilateral Embedded Generation Agreement</w:t>
      </w:r>
      <w:bookmarkEnd w:id="303"/>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04" w:name="_Toc49661128"/>
      <w:bookmarkStart w:id="305" w:name="_Toc274049703"/>
      <w:r w:rsidRPr="004248A1">
        <w:rPr>
          <w:rFonts w:ascii="Arial" w:hAnsi="Arial" w:cs="Arial"/>
          <w:b/>
        </w:rPr>
        <w:lastRenderedPageBreak/>
        <w:t>Exemptible Generation and Derogated Distribution Interconnectors with a Bilateral Embedded Generation Agreement</w:t>
      </w:r>
      <w:bookmarkEnd w:id="304"/>
      <w:bookmarkEnd w:id="305"/>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06" w:name="_Toc32201088"/>
      <w:bookmarkStart w:id="307" w:name="_Toc49661130"/>
    </w:p>
    <w:p w14:paraId="2145EB86" w14:textId="77777777" w:rsidR="006661FE" w:rsidRDefault="006661FE" w:rsidP="006661FE">
      <w:pPr>
        <w:pStyle w:val="Heading2"/>
      </w:pPr>
      <w:bookmarkStart w:id="308" w:name="_Toc274049704"/>
      <w:r>
        <w:t>Small Generators Tariffs</w:t>
      </w:r>
      <w:bookmarkEnd w:id="308"/>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09" w:name="_Toc274049705"/>
      <w:r>
        <w:t>The Triad</w:t>
      </w:r>
      <w:bookmarkEnd w:id="306"/>
      <w:bookmarkEnd w:id="307"/>
      <w:bookmarkEnd w:id="309"/>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10"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10"/>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311" w:name="_Toc497131269"/>
      <w:r w:rsidR="006661FE">
        <w:fldChar w:fldCharType="begin"/>
      </w:r>
      <w:r w:rsidR="006661FE">
        <w:instrText xml:space="preserve"> XE "Triad" </w:instrText>
      </w:r>
      <w:r w:rsidR="006661FE">
        <w:fldChar w:fldCharType="end"/>
      </w:r>
      <w:bookmarkEnd w:id="311"/>
      <w:r w:rsidR="006661FE">
        <w:fldChar w:fldCharType="begin"/>
      </w:r>
      <w:r w:rsidR="006661FE">
        <w:instrText xml:space="preserve"> XE "Trading Unit" </w:instrText>
      </w:r>
      <w:r w:rsidR="006661FE">
        <w:fldChar w:fldCharType="end"/>
      </w:r>
    </w:p>
    <w:bookmarkStart w:id="312"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12"/>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13" w:name="_Hlt497734631"/>
      <w:bookmarkEnd w:id="313"/>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w:t>
      </w:r>
      <w:r>
        <w:rPr>
          <w:rFonts w:ascii="Arial" w:hAnsi="Arial" w:cs="Arial"/>
        </w:rPr>
        <w:lastRenderedPageBreak/>
        <w:t xml:space="preserve">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14" w:name="_Hlk35263653"/>
      <w:bookmarkStart w:id="315" w:name="_Hlk35263622"/>
      <w:r w:rsidRPr="00010EB2">
        <w:rPr>
          <w:rFonts w:ascii="Arial" w:hAnsi="Arial" w:cs="Arial"/>
          <w:b/>
        </w:rPr>
        <w:t>Initial Reconciliation Part 2 – Non-half-hourly metered demand</w:t>
      </w:r>
    </w:p>
    <w:bookmarkEnd w:id="314"/>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lastRenderedPageBreak/>
        <w:t xml:space="preserve">Actual payments for </w:t>
      </w:r>
      <w:bookmarkStart w:id="316" w:name="_Hlk35263694"/>
      <w:r w:rsidRPr="00010EB2">
        <w:rPr>
          <w:rFonts w:ascii="Arial" w:hAnsi="Arial" w:cs="Arial"/>
        </w:rPr>
        <w:t xml:space="preserve">non-half-hourly metered demand will be </w:t>
      </w:r>
      <w:bookmarkEnd w:id="316"/>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15"/>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5BB2387A"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lastRenderedPageBreak/>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135D78"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17"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w:t>
      </w:r>
      <w:r w:rsidRPr="007E2F78">
        <w:lastRenderedPageBreak/>
        <w:t xml:space="preserve">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18" w:name="_Toc274049713"/>
      <w:r>
        <w:t>Further Information</w:t>
      </w:r>
      <w:bookmarkEnd w:id="318"/>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w:t>
      </w:r>
      <w:r>
        <w:rPr>
          <w:rFonts w:ascii="Arial" w:hAnsi="Arial" w:cs="Arial"/>
        </w:rPr>
        <w:lastRenderedPageBreak/>
        <w:t xml:space="preserve">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19" w:name="_Toc32201092"/>
      <w:bookmarkStart w:id="320" w:name="_Toc49661139"/>
      <w:bookmarkStart w:id="321" w:name="_Toc274049714"/>
      <w:bookmarkEnd w:id="317"/>
      <w:r w:rsidRPr="00FE40FB">
        <w:rPr>
          <w:color w:val="auto"/>
          <w:sz w:val="28"/>
          <w:szCs w:val="28"/>
        </w:rPr>
        <w:lastRenderedPageBreak/>
        <w:t>14.18 Generation charges</w:t>
      </w:r>
      <w:bookmarkEnd w:id="319"/>
      <w:bookmarkEnd w:id="320"/>
      <w:bookmarkEnd w:id="321"/>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22" w:name="_Toc32201093"/>
      <w:bookmarkStart w:id="323" w:name="_Toc49661140"/>
      <w:bookmarkStart w:id="324" w:name="_Toc274049715"/>
      <w:r>
        <w:t>Parties Liable for Generation Charges</w:t>
      </w:r>
      <w:bookmarkEnd w:id="322"/>
      <w:bookmarkEnd w:id="323"/>
      <w:bookmarkEnd w:id="324"/>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25" w:name="_Toc274049716"/>
      <w:bookmarkStart w:id="326" w:name="_Toc32201094"/>
      <w:bookmarkStart w:id="327" w:name="_Toc49661141"/>
      <w:r>
        <w:t>Structure of Generation Charges</w:t>
      </w:r>
      <w:bookmarkEnd w:id="325"/>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135D78">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135D78">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135D78">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rPr>
          <w:ins w:id="328" w:author="Author" w:date="2024-06-14T13:37:00Z"/>
        </w:rPr>
      </w:pPr>
      <w:r>
        <w:t>Adj Tariff = Adjustment Tariff</w:t>
      </w:r>
    </w:p>
    <w:p w14:paraId="74ECCFAB" w14:textId="77777777" w:rsidR="00271CF5" w:rsidRDefault="00271CF5" w:rsidP="00674102">
      <w:pPr>
        <w:pStyle w:val="1"/>
        <w:ind w:left="1627"/>
        <w:jc w:val="both"/>
        <w:rPr>
          <w:ins w:id="329" w:author="Author" w:date="2024-06-14T13:37:00Z"/>
        </w:rPr>
      </w:pPr>
    </w:p>
    <w:p w14:paraId="4610D7AD" w14:textId="77777777" w:rsidR="00271CF5" w:rsidRPr="00BE6B20" w:rsidRDefault="00271CF5" w:rsidP="00271CF5">
      <w:pPr>
        <w:pStyle w:val="1"/>
        <w:ind w:left="1627"/>
        <w:jc w:val="both"/>
        <w:rPr>
          <w:ins w:id="330" w:author="Author" w:date="2024-06-14T13:37:00Z"/>
          <w:highlight w:val="yellow"/>
        </w:rPr>
      </w:pPr>
      <w:ins w:id="331" w:author="Author" w:date="2024-06-14T13:37:00Z">
        <w:r w:rsidRPr="00BE6B20">
          <w:rPr>
            <w:highlight w:val="yellow"/>
          </w:rPr>
          <w:t xml:space="preserve">For a multi technology </w:t>
        </w:r>
        <w:r w:rsidRPr="00BE6B20">
          <w:rPr>
            <w:b/>
            <w:bCs/>
            <w:highlight w:val="yellow"/>
          </w:rPr>
          <w:t>Power Station</w:t>
        </w:r>
        <w:r w:rsidRPr="00BE6B20">
          <w:rPr>
            <w:highlight w:val="yellow"/>
          </w:rPr>
          <w:t xml:space="preserve"> the </w:t>
        </w:r>
        <w:r w:rsidRPr="00BE6B20">
          <w:rPr>
            <w:b/>
            <w:bCs/>
            <w:highlight w:val="yellow"/>
          </w:rPr>
          <w:t>Power Station</w:t>
        </w:r>
        <w:r w:rsidRPr="00BE6B20">
          <w:rPr>
            <w:highlight w:val="yellow"/>
          </w:rPr>
          <w:t xml:space="preserve">’s </w:t>
        </w:r>
        <w:r w:rsidRPr="00BE6B20">
          <w:rPr>
            <w:b/>
            <w:bCs/>
            <w:highlight w:val="yellow"/>
          </w:rPr>
          <w:t>Transmission Entry Capacity</w:t>
        </w:r>
        <w:r w:rsidRPr="00BE6B20">
          <w:rPr>
            <w:highlight w:val="yellow"/>
          </w:rPr>
          <w:t xml:space="preserve"> is allocated across the different generation plant types, specifically:</w:t>
        </w:r>
      </w:ins>
    </w:p>
    <w:p w14:paraId="0F2EF266" w14:textId="77777777" w:rsidR="00271CF5" w:rsidRPr="00BE6B20" w:rsidRDefault="00271CF5" w:rsidP="00271CF5">
      <w:pPr>
        <w:pStyle w:val="1"/>
        <w:ind w:left="1627"/>
        <w:jc w:val="both"/>
        <w:rPr>
          <w:ins w:id="332" w:author="Author" w:date="2024-06-14T13:37:00Z"/>
          <w:highlight w:val="yellow"/>
        </w:rPr>
      </w:pPr>
    </w:p>
    <w:p w14:paraId="1715F1C6" w14:textId="77777777" w:rsidR="00271CF5" w:rsidRPr="00BE6B20" w:rsidRDefault="00135D78" w:rsidP="00271CF5">
      <w:pPr>
        <w:pStyle w:val="1"/>
        <w:jc w:val="center"/>
        <w:rPr>
          <w:ins w:id="333" w:author="Author" w:date="2024-06-14T13:37:00Z"/>
          <w:highlight w:val="yellow"/>
        </w:rPr>
      </w:pPr>
      <m:oMathPara>
        <m:oMath>
          <m:sSub>
            <m:sSubPr>
              <m:ctrlPr>
                <w:ins w:id="334" w:author="Author" w:date="2024-06-14T13:37:00Z">
                  <w:rPr>
                    <w:rFonts w:ascii="Cambria Math" w:hAnsi="Cambria Math"/>
                    <w:i/>
                    <w:highlight w:val="yellow"/>
                  </w:rPr>
                </w:ins>
              </m:ctrlPr>
            </m:sSubPr>
            <m:e>
              <m:r>
                <w:ins w:id="335" w:author="Author" w:date="2024-06-14T13:37:00Z">
                  <w:rPr>
                    <w:rFonts w:ascii="Cambria Math" w:hAnsi="Cambria Math"/>
                    <w:highlight w:val="yellow"/>
                  </w:rPr>
                  <m:t>MTPSTEC</m:t>
                </w:ins>
              </m:r>
            </m:e>
            <m:sub>
              <m:r>
                <w:ins w:id="336" w:author="Author" w:date="2024-06-14T13:37:00Z">
                  <w:rPr>
                    <w:rFonts w:ascii="Cambria Math" w:hAnsi="Cambria Math"/>
                    <w:highlight w:val="yellow"/>
                  </w:rPr>
                  <m:t>is</m:t>
                </w:ins>
              </m:r>
            </m:sub>
          </m:sSub>
          <m:r>
            <w:ins w:id="337" w:author="Author" w:date="2024-06-14T13:37:00Z">
              <w:rPr>
                <w:rFonts w:ascii="Cambria Math" w:hAnsi="Cambria Math"/>
                <w:highlight w:val="yellow"/>
              </w:rPr>
              <m:t>=</m:t>
            </w:ins>
          </m:r>
          <m:f>
            <m:fPr>
              <m:ctrlPr>
                <w:ins w:id="338" w:author="Author" w:date="2024-06-14T13:37:00Z">
                  <w:rPr>
                    <w:rFonts w:ascii="Cambria Math" w:hAnsi="Cambria Math"/>
                    <w:i/>
                    <w:highlight w:val="yellow"/>
                  </w:rPr>
                </w:ins>
              </m:ctrlPr>
            </m:fPr>
            <m:num>
              <m:sSub>
                <m:sSubPr>
                  <m:ctrlPr>
                    <w:ins w:id="339" w:author="Author" w:date="2024-06-14T13:37:00Z">
                      <w:rPr>
                        <w:rFonts w:ascii="Cambria Math" w:hAnsi="Cambria Math"/>
                        <w:i/>
                        <w:highlight w:val="yellow"/>
                      </w:rPr>
                    </w:ins>
                  </m:ctrlPr>
                </m:sSubPr>
                <m:e>
                  <m:r>
                    <w:ins w:id="340" w:author="Author" w:date="2024-06-14T13:37:00Z">
                      <w:rPr>
                        <w:rFonts w:ascii="Cambria Math" w:hAnsi="Cambria Math"/>
                        <w:highlight w:val="yellow"/>
                      </w:rPr>
                      <m:t>CAP</m:t>
                    </w:ins>
                  </m:r>
                </m:e>
                <m:sub>
                  <m:r>
                    <w:ins w:id="341" w:author="Author" w:date="2024-06-14T13:37:00Z">
                      <w:rPr>
                        <w:rFonts w:ascii="Cambria Math" w:hAnsi="Cambria Math"/>
                        <w:highlight w:val="yellow"/>
                      </w:rPr>
                      <m:t>i</m:t>
                    </w:ins>
                  </m:r>
                </m:sub>
              </m:sSub>
            </m:num>
            <m:den>
              <m:nary>
                <m:naryPr>
                  <m:chr m:val="∑"/>
                  <m:limLoc m:val="undOvr"/>
                  <m:ctrlPr>
                    <w:ins w:id="342" w:author="Author" w:date="2024-06-14T13:37:00Z">
                      <w:rPr>
                        <w:rFonts w:ascii="Cambria Math" w:hAnsi="Cambria Math"/>
                        <w:i/>
                        <w:highlight w:val="yellow"/>
                      </w:rPr>
                    </w:ins>
                  </m:ctrlPr>
                </m:naryPr>
                <m:sub>
                  <m:r>
                    <w:ins w:id="343" w:author="Author" w:date="2024-06-14T13:37:00Z">
                      <w:rPr>
                        <w:rFonts w:ascii="Cambria Math" w:hAnsi="Cambria Math"/>
                        <w:highlight w:val="yellow"/>
                      </w:rPr>
                      <m:t>i=1</m:t>
                    </w:ins>
                  </m:r>
                </m:sub>
                <m:sup>
                  <m:r>
                    <w:ins w:id="344" w:author="Author" w:date="2024-06-14T13:37:00Z">
                      <w:rPr>
                        <w:rFonts w:ascii="Cambria Math" w:hAnsi="Cambria Math"/>
                        <w:highlight w:val="yellow"/>
                      </w:rPr>
                      <m:t>n</m:t>
                    </w:ins>
                  </m:r>
                </m:sup>
                <m:e>
                  <m:sSub>
                    <m:sSubPr>
                      <m:ctrlPr>
                        <w:ins w:id="345" w:author="Author" w:date="2024-06-14T13:37:00Z">
                          <w:rPr>
                            <w:rFonts w:ascii="Cambria Math" w:hAnsi="Cambria Math"/>
                            <w:i/>
                            <w:highlight w:val="yellow"/>
                          </w:rPr>
                        </w:ins>
                      </m:ctrlPr>
                    </m:sSubPr>
                    <m:e>
                      <m:r>
                        <w:ins w:id="346" w:author="Author" w:date="2024-06-14T13:37:00Z">
                          <w:rPr>
                            <w:rFonts w:ascii="Cambria Math" w:hAnsi="Cambria Math"/>
                            <w:highlight w:val="yellow"/>
                          </w:rPr>
                          <m:t>CAP</m:t>
                        </w:ins>
                      </m:r>
                    </m:e>
                    <m:sub>
                      <m:r>
                        <w:ins w:id="347" w:author="Author" w:date="2024-06-14T13:37:00Z">
                          <w:rPr>
                            <w:rFonts w:ascii="Cambria Math" w:hAnsi="Cambria Math"/>
                            <w:highlight w:val="yellow"/>
                          </w:rPr>
                          <m:t>i</m:t>
                        </w:ins>
                      </m:r>
                    </m:sub>
                  </m:sSub>
                </m:e>
              </m:nary>
            </m:den>
          </m:f>
          <m:r>
            <w:ins w:id="348" w:author="Author" w:date="2024-06-14T13:37:00Z">
              <w:rPr>
                <w:rFonts w:ascii="Cambria Math" w:hAnsi="Cambria Math"/>
                <w:highlight w:val="yellow"/>
              </w:rPr>
              <m:t>×</m:t>
            </w:ins>
          </m:r>
          <m:sSub>
            <m:sSubPr>
              <m:ctrlPr>
                <w:ins w:id="349" w:author="Author" w:date="2024-06-14T13:37:00Z">
                  <w:rPr>
                    <w:rFonts w:ascii="Cambria Math" w:hAnsi="Cambria Math"/>
                    <w:i/>
                    <w:highlight w:val="yellow"/>
                  </w:rPr>
                </w:ins>
              </m:ctrlPr>
            </m:sSubPr>
            <m:e>
              <m:r>
                <w:ins w:id="350" w:author="Author" w:date="2024-06-14T13:37:00Z">
                  <w:rPr>
                    <w:rFonts w:ascii="Cambria Math" w:hAnsi="Cambria Math"/>
                    <w:highlight w:val="yellow"/>
                  </w:rPr>
                  <m:t>TEC</m:t>
                </w:ins>
              </m:r>
            </m:e>
            <m:sub>
              <m:r>
                <w:ins w:id="351" w:author="Author" w:date="2024-06-14T13:37:00Z">
                  <w:rPr>
                    <w:rFonts w:ascii="Cambria Math" w:hAnsi="Cambria Math"/>
                    <w:highlight w:val="yellow"/>
                  </w:rPr>
                  <m:t>s</m:t>
                </w:ins>
              </m:r>
            </m:sub>
          </m:sSub>
        </m:oMath>
      </m:oMathPara>
    </w:p>
    <w:p w14:paraId="3FE8EDAE" w14:textId="77777777" w:rsidR="00271CF5" w:rsidRPr="00BE6B20" w:rsidRDefault="00271CF5" w:rsidP="00271CF5">
      <w:pPr>
        <w:pStyle w:val="1"/>
        <w:ind w:left="1627"/>
        <w:jc w:val="both"/>
        <w:rPr>
          <w:ins w:id="352" w:author="Author" w:date="2024-06-14T13:37:00Z"/>
          <w:highlight w:val="yellow"/>
        </w:rPr>
      </w:pPr>
    </w:p>
    <w:p w14:paraId="65F30141" w14:textId="77777777" w:rsidR="00271CF5" w:rsidRPr="00BE6B20" w:rsidRDefault="00271CF5" w:rsidP="00271CF5">
      <w:pPr>
        <w:pStyle w:val="1"/>
        <w:ind w:left="1627"/>
        <w:jc w:val="both"/>
        <w:rPr>
          <w:ins w:id="353" w:author="Author" w:date="2024-06-14T13:37:00Z"/>
          <w:highlight w:val="yellow"/>
        </w:rPr>
      </w:pPr>
      <w:ins w:id="354" w:author="Author" w:date="2024-06-14T13:37:00Z">
        <w:r w:rsidRPr="00BE6B20">
          <w:rPr>
            <w:highlight w:val="yellow"/>
          </w:rPr>
          <w:t>Where;</w:t>
        </w:r>
      </w:ins>
    </w:p>
    <w:p w14:paraId="3683FAAC" w14:textId="77777777" w:rsidR="00271CF5" w:rsidRPr="00BE6B20" w:rsidRDefault="00271CF5" w:rsidP="00271CF5">
      <w:pPr>
        <w:pStyle w:val="1"/>
        <w:ind w:left="1627"/>
        <w:jc w:val="both"/>
        <w:rPr>
          <w:ins w:id="355" w:author="Author" w:date="2024-06-14T13:37:00Z"/>
          <w:highlight w:val="yellow"/>
        </w:rPr>
      </w:pPr>
      <w:ins w:id="356" w:author="Author" w:date="2024-06-14T13:37:00Z">
        <w:r w:rsidRPr="00BE6B20">
          <w:rPr>
            <w:highlight w:val="yellow"/>
          </w:rPr>
          <w:t xml:space="preserve">MTPSTECis = Multi Technology </w:t>
        </w:r>
        <w:r w:rsidRPr="00BE6B20">
          <w:rPr>
            <w:b/>
            <w:bCs/>
            <w:highlight w:val="yellow"/>
          </w:rPr>
          <w:t>Power Station</w:t>
        </w:r>
        <w:r w:rsidRPr="00BE6B20">
          <w:rPr>
            <w:highlight w:val="yellow"/>
          </w:rPr>
          <w:t>’s TEC for technology type i at station</w:t>
        </w:r>
      </w:ins>
    </w:p>
    <w:p w14:paraId="00346D15" w14:textId="77777777" w:rsidR="00271CF5" w:rsidRPr="00BE6B20" w:rsidRDefault="00271CF5" w:rsidP="00271CF5">
      <w:pPr>
        <w:pStyle w:val="1"/>
        <w:ind w:left="1627"/>
        <w:jc w:val="both"/>
        <w:rPr>
          <w:ins w:id="357" w:author="Author" w:date="2024-06-14T13:37:00Z"/>
          <w:highlight w:val="yellow"/>
        </w:rPr>
      </w:pPr>
      <w:ins w:id="358" w:author="Author" w:date="2024-06-14T13:37:00Z">
        <w:r w:rsidRPr="00BE6B20">
          <w:rPr>
            <w:highlight w:val="yellow"/>
          </w:rPr>
          <w:t>s</w:t>
        </w:r>
      </w:ins>
    </w:p>
    <w:p w14:paraId="764974E0" w14:textId="77777777" w:rsidR="00271CF5" w:rsidRPr="00BE6B20" w:rsidRDefault="00271CF5" w:rsidP="00271CF5">
      <w:pPr>
        <w:pStyle w:val="1"/>
        <w:ind w:left="1627"/>
        <w:jc w:val="both"/>
        <w:rPr>
          <w:ins w:id="359" w:author="Author" w:date="2024-06-14T13:37:00Z"/>
          <w:highlight w:val="yellow"/>
        </w:rPr>
      </w:pPr>
      <w:ins w:id="360" w:author="Author" w:date="2024-06-14T13:37:00Z">
        <w:r w:rsidRPr="00BE6B20">
          <w:rPr>
            <w:highlight w:val="yellow"/>
          </w:rPr>
          <w:t>CAP</w:t>
        </w:r>
        <w:r w:rsidRPr="00BE6B20">
          <w:rPr>
            <w:highlight w:val="yellow"/>
            <w:vertAlign w:val="subscript"/>
          </w:rPr>
          <w:t>i</w:t>
        </w:r>
        <w:r w:rsidRPr="00BE6B20">
          <w:rPr>
            <w:highlight w:val="yellow"/>
          </w:rPr>
          <w:t xml:space="preserve">= Maximum Capacity for generation plant type i (or the average of maximum </w:t>
        </w:r>
        <w:r w:rsidRPr="00BE6B20">
          <w:rPr>
            <w:b/>
            <w:bCs/>
            <w:highlight w:val="yellow"/>
          </w:rPr>
          <w:t>BM Unit</w:t>
        </w:r>
        <w:r w:rsidRPr="00BE6B20">
          <w:rPr>
            <w:highlight w:val="yellow"/>
          </w:rPr>
          <w:t xml:space="preserve"> metered values where there is a negative tariff, as per the negative methodology).</w:t>
        </w:r>
      </w:ins>
    </w:p>
    <w:p w14:paraId="7B15A2B2" w14:textId="77777777" w:rsidR="00271CF5" w:rsidRPr="00BE6B20" w:rsidRDefault="00271CF5" w:rsidP="00271CF5">
      <w:pPr>
        <w:pStyle w:val="1"/>
        <w:ind w:left="1627"/>
        <w:jc w:val="both"/>
        <w:rPr>
          <w:ins w:id="361" w:author="Author" w:date="2024-06-14T13:37:00Z"/>
          <w:highlight w:val="yellow"/>
        </w:rPr>
      </w:pPr>
      <w:ins w:id="362" w:author="Author" w:date="2024-06-14T13:37:00Z">
        <w:r w:rsidRPr="00BE6B20">
          <w:rPr>
            <w:highlight w:val="yellow"/>
          </w:rPr>
          <w:t>TEC</w:t>
        </w:r>
        <w:r w:rsidRPr="00BE6B20">
          <w:rPr>
            <w:highlight w:val="yellow"/>
            <w:vertAlign w:val="subscript"/>
          </w:rPr>
          <w:t>s</w:t>
        </w:r>
        <w:r w:rsidRPr="00BE6B20">
          <w:rPr>
            <w:highlight w:val="yellow"/>
          </w:rPr>
          <w:t xml:space="preserve"> = TEC of </w:t>
        </w:r>
        <w:r w:rsidRPr="00BE6B20">
          <w:rPr>
            <w:b/>
            <w:bCs/>
            <w:highlight w:val="yellow"/>
          </w:rPr>
          <w:t>Power Station</w:t>
        </w:r>
        <w:r w:rsidRPr="00BE6B20">
          <w:rPr>
            <w:highlight w:val="yellow"/>
          </w:rPr>
          <w:t xml:space="preserve"> as defined in the Connection Agreement (or the average of maximum </w:t>
        </w:r>
        <w:r w:rsidRPr="00BE6B20">
          <w:rPr>
            <w:b/>
            <w:bCs/>
            <w:highlight w:val="yellow"/>
          </w:rPr>
          <w:t>Power Station</w:t>
        </w:r>
        <w:r w:rsidRPr="00BE6B20">
          <w:rPr>
            <w:highlight w:val="yellow"/>
          </w:rPr>
          <w:t xml:space="preserve"> metered values where there is a negative tariff, as per the negative methodology).</w:t>
        </w:r>
      </w:ins>
    </w:p>
    <w:p w14:paraId="080F6F7E" w14:textId="77777777" w:rsidR="00271CF5" w:rsidRPr="00BE6B20" w:rsidRDefault="00271CF5" w:rsidP="00271CF5">
      <w:pPr>
        <w:pStyle w:val="1"/>
        <w:ind w:left="1627"/>
        <w:jc w:val="both"/>
        <w:rPr>
          <w:ins w:id="363" w:author="Author" w:date="2024-06-14T13:37:00Z"/>
          <w:highlight w:val="yellow"/>
        </w:rPr>
      </w:pPr>
      <w:ins w:id="364" w:author="Author" w:date="2024-06-14T13:37:00Z">
        <w:r w:rsidRPr="00BE6B20">
          <w:rPr>
            <w:highlight w:val="yellow"/>
          </w:rPr>
          <w:t>n = number of different technologies on site</w:t>
        </w:r>
      </w:ins>
    </w:p>
    <w:p w14:paraId="5334ECBE" w14:textId="77777777" w:rsidR="00271CF5" w:rsidRPr="00BE6B20" w:rsidRDefault="00271CF5" w:rsidP="00271CF5">
      <w:pPr>
        <w:pStyle w:val="1"/>
        <w:ind w:left="1627"/>
        <w:jc w:val="both"/>
        <w:rPr>
          <w:ins w:id="365" w:author="Author" w:date="2024-06-14T13:37:00Z"/>
          <w:highlight w:val="yellow"/>
        </w:rPr>
      </w:pPr>
    </w:p>
    <w:p w14:paraId="306B292A" w14:textId="77777777" w:rsidR="00271CF5" w:rsidRPr="00BE6B20" w:rsidRDefault="00271CF5" w:rsidP="00271CF5">
      <w:pPr>
        <w:pStyle w:val="1"/>
        <w:ind w:left="1627"/>
        <w:jc w:val="both"/>
        <w:rPr>
          <w:ins w:id="366" w:author="Author" w:date="2024-06-14T13:37:00Z"/>
          <w:highlight w:val="yellow"/>
        </w:rPr>
      </w:pPr>
      <w:ins w:id="367" w:author="Author" w:date="2024-06-14T13:37:00Z">
        <w:r w:rsidRPr="00BE6B20">
          <w:rPr>
            <w:highlight w:val="yellow"/>
          </w:rPr>
          <w:t xml:space="preserve">For a multi technology </w:t>
        </w:r>
        <w:r w:rsidRPr="00BE6B20">
          <w:rPr>
            <w:b/>
            <w:bCs/>
            <w:highlight w:val="yellow"/>
          </w:rPr>
          <w:t>Power Station</w:t>
        </w:r>
        <w:r w:rsidRPr="00BE6B20">
          <w:rPr>
            <w:highlight w:val="yellow"/>
          </w:rPr>
          <w:t>’s wider liability, the Chargeable Capacity associated with each technology type is the MTPSTEC</w:t>
        </w:r>
        <w:r w:rsidRPr="00BE6B20">
          <w:rPr>
            <w:highlight w:val="yellow"/>
            <w:vertAlign w:val="subscript"/>
          </w:rPr>
          <w:t>is</w:t>
        </w:r>
        <w:r w:rsidRPr="00BE6B20">
          <w:rPr>
            <w:highlight w:val="yellow"/>
          </w:rPr>
          <w:t xml:space="preserve">. The charge for a multi technology </w:t>
        </w:r>
        <w:r w:rsidRPr="00BE6B20">
          <w:rPr>
            <w:b/>
            <w:bCs/>
            <w:highlight w:val="yellow"/>
          </w:rPr>
          <w:t>Power Station</w:t>
        </w:r>
        <w:r w:rsidRPr="00BE6B20">
          <w:rPr>
            <w:highlight w:val="yellow"/>
          </w:rPr>
          <w:t xml:space="preserve"> will be calculated as the summation of all individual technology type liabilities as calculated using MTPSTEC</w:t>
        </w:r>
        <w:r w:rsidRPr="00BE6B20">
          <w:rPr>
            <w:highlight w:val="yellow"/>
            <w:vertAlign w:val="subscript"/>
          </w:rPr>
          <w:t>is</w:t>
        </w:r>
        <w:r w:rsidRPr="00BE6B20">
          <w:rPr>
            <w:highlight w:val="yellow"/>
          </w:rPr>
          <w:t>.</w:t>
        </w:r>
      </w:ins>
    </w:p>
    <w:p w14:paraId="1A16F891" w14:textId="77777777" w:rsidR="00271CF5" w:rsidRDefault="00271CF5" w:rsidP="00271CF5">
      <w:pPr>
        <w:pStyle w:val="1"/>
        <w:ind w:left="1627"/>
        <w:jc w:val="both"/>
        <w:rPr>
          <w:ins w:id="368" w:author="Author" w:date="2024-06-14T13:37:00Z"/>
          <w:rFonts w:cs="Arial"/>
          <w:szCs w:val="22"/>
        </w:rPr>
      </w:pPr>
    </w:p>
    <w:p w14:paraId="7E4A9103" w14:textId="77777777" w:rsidR="00271CF5" w:rsidRPr="00BE6B20" w:rsidRDefault="00271CF5" w:rsidP="00271CF5">
      <w:pPr>
        <w:pStyle w:val="1"/>
        <w:ind w:left="1627"/>
        <w:jc w:val="both"/>
        <w:rPr>
          <w:ins w:id="369" w:author="Author" w:date="2024-06-14T13:37:00Z"/>
          <w:highlight w:val="yellow"/>
          <w:u w:val="single"/>
        </w:rPr>
      </w:pPr>
      <w:ins w:id="370" w:author="Author" w:date="2024-06-14T13:37:00Z">
        <w:r w:rsidRPr="00BE6B20">
          <w:rPr>
            <w:highlight w:val="yellow"/>
            <w:u w:val="single"/>
          </w:rPr>
          <w:t>Negative Methodology</w:t>
        </w:r>
      </w:ins>
    </w:p>
    <w:p w14:paraId="0DAA2517" w14:textId="77777777" w:rsidR="00271CF5" w:rsidRPr="00BE6B20" w:rsidRDefault="00271CF5" w:rsidP="00271CF5">
      <w:pPr>
        <w:pStyle w:val="1"/>
        <w:ind w:left="1627"/>
        <w:jc w:val="both"/>
        <w:rPr>
          <w:ins w:id="371" w:author="Author" w:date="2024-06-14T13:37:00Z"/>
          <w:highlight w:val="yellow"/>
        </w:rPr>
      </w:pPr>
    </w:p>
    <w:p w14:paraId="535DA6B7" w14:textId="77777777" w:rsidR="00271CF5" w:rsidRDefault="00271CF5" w:rsidP="00271CF5">
      <w:pPr>
        <w:pStyle w:val="1"/>
        <w:ind w:left="1627"/>
        <w:jc w:val="both"/>
        <w:rPr>
          <w:ins w:id="372" w:author="Author" w:date="2024-06-14T13:37:00Z"/>
        </w:rPr>
      </w:pPr>
      <w:ins w:id="373" w:author="Author" w:date="2024-06-14T13:37:00Z">
        <w:r w:rsidRPr="00BE6B20">
          <w:rPr>
            <w:highlight w:val="yellow"/>
          </w:rPr>
          <w:t xml:space="preserve">When any of the </w:t>
        </w:r>
        <w:r w:rsidRPr="00BE6B20">
          <w:rPr>
            <w:b/>
            <w:bCs/>
            <w:highlight w:val="yellow"/>
          </w:rPr>
          <w:t>BM Units</w:t>
        </w:r>
        <w:r w:rsidRPr="00BE6B20">
          <w:rPr>
            <w:highlight w:val="yellow"/>
          </w:rPr>
          <w:t xml:space="preserve"> at a </w:t>
        </w:r>
        <w:r w:rsidRPr="00BE6B20">
          <w:rPr>
            <w:b/>
            <w:bCs/>
            <w:highlight w:val="yellow"/>
          </w:rPr>
          <w:t>Power Station</w:t>
        </w:r>
        <w:r w:rsidRPr="00BE6B20">
          <w:rPr>
            <w:highlight w:val="yellow"/>
          </w:rPr>
          <w:t xml:space="preserve"> are initially calculated to have a negative tariff, the final charge will be calculated using different capacity inputs to MTPSTEC. CAPi in the above equation will use maximum metered volumes for each </w:t>
        </w:r>
        <w:r w:rsidRPr="00BE6B20">
          <w:rPr>
            <w:b/>
            <w:bCs/>
            <w:highlight w:val="yellow"/>
          </w:rPr>
          <w:t>BM Unit</w:t>
        </w:r>
        <w:r w:rsidRPr="00BE6B20">
          <w:rPr>
            <w:highlight w:val="yellow"/>
          </w:rPr>
          <w:t xml:space="preserve"> instead of installed capacity. These will be the average of the capped metered volumes during the three </w:t>
        </w:r>
        <w:r w:rsidRPr="00BE6B20">
          <w:rPr>
            <w:b/>
            <w:bCs/>
            <w:highlight w:val="yellow"/>
          </w:rPr>
          <w:t>Settlement Periods</w:t>
        </w:r>
        <w:r w:rsidRPr="00BE6B20">
          <w:rPr>
            <w:highlight w:val="yellow"/>
          </w:rPr>
          <w:t xml:space="preserve"> which have the highest metered volumes for the </w:t>
        </w:r>
        <w:r w:rsidRPr="00BE6B20">
          <w:rPr>
            <w:b/>
            <w:bCs/>
            <w:highlight w:val="yellow"/>
          </w:rPr>
          <w:t>BM Unit</w:t>
        </w:r>
        <w:r w:rsidRPr="00BE6B20">
          <w:rPr>
            <w:highlight w:val="yellow"/>
          </w:rPr>
          <w:t xml:space="preserve">, separated by at least 10 clear business days, and between November and February of the relevant </w:t>
        </w:r>
        <w:r w:rsidRPr="00BE6B20">
          <w:rPr>
            <w:b/>
            <w:bCs/>
            <w:highlight w:val="yellow"/>
          </w:rPr>
          <w:t>Financial Year</w:t>
        </w:r>
        <w:r w:rsidRPr="00BE6B20">
          <w:rPr>
            <w:highlight w:val="yellow"/>
          </w:rPr>
          <w:t xml:space="preserve"> inclusive. TEC in the equation will also be replaced by maximum metered volumes for the </w:t>
        </w:r>
        <w:r w:rsidRPr="00BE6B20">
          <w:rPr>
            <w:b/>
            <w:bCs/>
            <w:highlight w:val="yellow"/>
          </w:rPr>
          <w:t>Power Station</w:t>
        </w:r>
        <w:r w:rsidRPr="00BE6B20">
          <w:rPr>
            <w:highlight w:val="yellow"/>
          </w:rPr>
          <w:t>.</w:t>
        </w:r>
      </w:ins>
    </w:p>
    <w:p w14:paraId="0B9E7F9D" w14:textId="77777777" w:rsidR="00271CF5" w:rsidRDefault="00271CF5" w:rsidP="00674102">
      <w:pPr>
        <w:pStyle w:val="1"/>
        <w:ind w:left="1627"/>
        <w:jc w:val="both"/>
      </w:pP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lastRenderedPageBreak/>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374" w:name="_Toc274049717"/>
      <w:r>
        <w:t>Basis of Wider Generation Charges</w:t>
      </w:r>
      <w:bookmarkEnd w:id="326"/>
      <w:bookmarkEnd w:id="327"/>
      <w:bookmarkEnd w:id="374"/>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375" w:name="_Toc274049718"/>
      <w:r w:rsidRPr="00887323">
        <w:rPr>
          <w:rFonts w:ascii="Arial" w:hAnsi="Arial" w:cs="Arial"/>
          <w:b/>
        </w:rPr>
        <w:t>Generation with positive wider tariffs</w:t>
      </w:r>
      <w:bookmarkEnd w:id="375"/>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376" w:name="_Ref272935596"/>
      <w:r>
        <w:t>The short-term chargeable capacity for Power Stations situated with positive generation tariffs is any approved STTEC or LDTEC applicable to that Power Station during a valid STTEC Period or LDTEC Period, as appropriate.</w:t>
      </w:r>
      <w:bookmarkEnd w:id="376"/>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 xml:space="preserve">will be the capacity </w:t>
      </w:r>
      <w:r w:rsidRPr="0074131D">
        <w:rPr>
          <w:rFonts w:cs="Arial"/>
          <w:szCs w:val="22"/>
        </w:rPr>
        <w:lastRenderedPageBreak/>
        <w:t>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379" w:name="_Toc49661143"/>
      <w:bookmarkStart w:id="380" w:name="_Toc274049719"/>
      <w:r w:rsidRPr="004248A1">
        <w:rPr>
          <w:rFonts w:ascii="Arial" w:hAnsi="Arial" w:cs="Arial"/>
          <w:b/>
        </w:rPr>
        <w:t xml:space="preserve">Generation with negative wider </w:t>
      </w:r>
      <w:bookmarkEnd w:id="379"/>
      <w:r w:rsidRPr="004248A1">
        <w:rPr>
          <w:rFonts w:ascii="Arial" w:hAnsi="Arial" w:cs="Arial"/>
          <w:b/>
        </w:rPr>
        <w:t>tariffs</w:t>
      </w:r>
      <w:bookmarkEnd w:id="380"/>
    </w:p>
    <w:p w14:paraId="5B84D42C" w14:textId="77777777" w:rsidR="006661FE" w:rsidRDefault="006661FE" w:rsidP="007D27B2">
      <w:pPr>
        <w:pStyle w:val="1"/>
        <w:numPr>
          <w:ilvl w:val="0"/>
          <w:numId w:val="73"/>
        </w:numPr>
        <w:jc w:val="both"/>
      </w:pPr>
      <w:bookmarkStart w:id="381"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382"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382"/>
    </w:p>
    <w:bookmarkEnd w:id="381"/>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383" w:name="_Toc274049720"/>
      <w:r>
        <w:t>Basis of Local Generation Charges</w:t>
      </w:r>
      <w:bookmarkEnd w:id="383"/>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384" w:name="_Toc497131273"/>
      <w:bookmarkStart w:id="385" w:name="_Toc32201095"/>
      <w:bookmarkStart w:id="386" w:name="_Toc49661145"/>
      <w:bookmarkStart w:id="387" w:name="_Toc274049722"/>
      <w:bookmarkStart w:id="388" w:name="_Hlt497625183"/>
      <w:r>
        <w:t>Monthly Charges</w:t>
      </w:r>
      <w:bookmarkEnd w:id="384"/>
      <w:bookmarkEnd w:id="385"/>
      <w:bookmarkEnd w:id="386"/>
      <w:bookmarkEnd w:id="387"/>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389" w:name="_Hlt532284319"/>
      <w:bookmarkStart w:id="390" w:name="_Ref272933161"/>
      <w:bookmarkEnd w:id="389"/>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390"/>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lastRenderedPageBreak/>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391" w:name="_Toc274049723"/>
      <w:r>
        <w:t>Ad hoc Charges</w:t>
      </w:r>
      <w:bookmarkEnd w:id="391"/>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lastRenderedPageBreak/>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392" w:name="_Toc274049724"/>
      <w:r w:rsidRPr="00FE2E3E">
        <w:t>Embedded Transmission Use of System Charges “ETUoS”</w:t>
      </w:r>
      <w:bookmarkEnd w:id="392"/>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93"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393"/>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135D78"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w:lastRenderedPageBreak/>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394" w:name="_Hlk155617635"/>
      <w:r w:rsidR="00CC06E2" w:rsidRPr="00CD5631">
        <w:rPr>
          <w:u w:val="single"/>
          <w:vertAlign w:val="subscript"/>
        </w:rPr>
        <w:t>DNO</w:t>
      </w:r>
      <w:bookmarkEnd w:id="394"/>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95" w:name="_Toc32201096"/>
      <w:bookmarkStart w:id="396" w:name="_Toc49661146"/>
      <w:bookmarkStart w:id="397" w:name="_Toc274049725"/>
      <w:r>
        <w:t>Reconciliation of Generation Charges</w:t>
      </w:r>
      <w:bookmarkEnd w:id="395"/>
      <w:bookmarkEnd w:id="396"/>
      <w:bookmarkEnd w:id="397"/>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477A40F" w:rsidR="006661FE" w:rsidRDefault="006661FE" w:rsidP="007D27B2">
      <w:pPr>
        <w:pStyle w:val="1"/>
        <w:numPr>
          <w:ilvl w:val="0"/>
          <w:numId w:val="73"/>
        </w:numPr>
        <w:jc w:val="both"/>
      </w:pPr>
      <w:r>
        <w:lastRenderedPageBreak/>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648E3">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98" w:name="_Toc32201097"/>
      <w:bookmarkStart w:id="399" w:name="_Toc49661147"/>
      <w:bookmarkStart w:id="400" w:name="_Toc274049726"/>
      <w:bookmarkEnd w:id="388"/>
      <w:r>
        <w:t>Further Information</w:t>
      </w:r>
      <w:bookmarkEnd w:id="398"/>
      <w:bookmarkEnd w:id="399"/>
      <w:bookmarkEnd w:id="400"/>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401" w:name="_Toc32201098"/>
      <w:r>
        <w:br w:type="page"/>
      </w:r>
      <w:bookmarkStart w:id="402" w:name="_Toc49661148"/>
      <w:bookmarkStart w:id="403" w:name="_Toc274049727"/>
      <w:r w:rsidRPr="00FE40FB">
        <w:rPr>
          <w:color w:val="auto"/>
          <w:sz w:val="28"/>
          <w:szCs w:val="28"/>
        </w:rPr>
        <w:lastRenderedPageBreak/>
        <w:t>14.19 Data Requirements</w:t>
      </w:r>
      <w:bookmarkEnd w:id="401"/>
      <w:bookmarkEnd w:id="402"/>
      <w:bookmarkEnd w:id="403"/>
    </w:p>
    <w:p w14:paraId="1B1F56AD" w14:textId="77777777" w:rsidR="006661FE" w:rsidRDefault="006661FE" w:rsidP="006661FE">
      <w:pPr>
        <w:pStyle w:val="Heading2"/>
      </w:pPr>
    </w:p>
    <w:p w14:paraId="1C4CFCE6" w14:textId="77777777" w:rsidR="006661FE" w:rsidRDefault="006661FE" w:rsidP="006661FE">
      <w:pPr>
        <w:pStyle w:val="Heading2"/>
      </w:pPr>
      <w:bookmarkStart w:id="404" w:name="_Toc32201099"/>
      <w:bookmarkStart w:id="405" w:name="_Toc49661149"/>
      <w:bookmarkStart w:id="406" w:name="_Toc274049728"/>
      <w:r>
        <w:t>Data Required for Charge Setting</w:t>
      </w:r>
      <w:bookmarkEnd w:id="404"/>
      <w:bookmarkEnd w:id="405"/>
      <w:bookmarkEnd w:id="406"/>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407" w:name="_Toc32201100"/>
      <w:bookmarkStart w:id="408" w:name="_Toc49661150"/>
      <w:bookmarkStart w:id="409" w:name="_Toc274049729"/>
      <w:r>
        <w:t>Data Required for Calculating Users’ Charges</w:t>
      </w:r>
      <w:bookmarkEnd w:id="407"/>
      <w:bookmarkEnd w:id="408"/>
      <w:bookmarkEnd w:id="409"/>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410" w:name="_Toc32201101"/>
      <w:r>
        <w:br w:type="page"/>
      </w:r>
      <w:bookmarkStart w:id="411" w:name="_Toc49661151"/>
      <w:bookmarkStart w:id="412" w:name="_Toc274049730"/>
      <w:r w:rsidRPr="00FE40FB">
        <w:rPr>
          <w:color w:val="auto"/>
          <w:sz w:val="28"/>
          <w:szCs w:val="28"/>
        </w:rPr>
        <w:lastRenderedPageBreak/>
        <w:t>14.20 Applications</w:t>
      </w:r>
      <w:bookmarkEnd w:id="410"/>
      <w:bookmarkEnd w:id="411"/>
      <w:bookmarkEnd w:id="412"/>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413" w:name="_Ref531603538"/>
      <w:bookmarkStart w:id="414" w:name="_Toc32201102"/>
      <w:r>
        <w:br w:type="page"/>
      </w:r>
      <w:bookmarkStart w:id="415" w:name="_Toc49661152"/>
      <w:bookmarkStart w:id="416" w:name="_Toc274049731"/>
      <w:bookmarkEnd w:id="413"/>
      <w:bookmarkEnd w:id="414"/>
      <w:r w:rsidRPr="00FE40FB">
        <w:rPr>
          <w:color w:val="auto"/>
        </w:rPr>
        <w:lastRenderedPageBreak/>
        <w:t xml:space="preserve">14.21 </w:t>
      </w:r>
      <w:r w:rsidRPr="00FE40FB">
        <w:rPr>
          <w:color w:val="auto"/>
          <w:sz w:val="28"/>
          <w:szCs w:val="28"/>
        </w:rPr>
        <w:t>Transport Model Example</w:t>
      </w:r>
      <w:bookmarkEnd w:id="415"/>
      <w:bookmarkEnd w:id="416"/>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135D78"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79884517"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C8E58"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F96AC"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0E15BE"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135D78"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79884518"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135D78"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79884519"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135D78"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79884520"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135D78"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79884521"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135D78"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79884522"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3F15D0"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0CCE62D3"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417" w:name="_Toc32201103"/>
      <w:r>
        <w:br w:type="page"/>
      </w:r>
      <w:bookmarkStart w:id="418" w:name="_Toc49661153"/>
      <w:bookmarkStart w:id="419"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417"/>
      <w:bookmarkEnd w:id="418"/>
      <w:bookmarkEnd w:id="419"/>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04F4B"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420" w:name="_Toc32201104"/>
      <w:bookmarkStart w:id="421" w:name="_Toc49661154"/>
      <w:bookmarkStart w:id="422"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20"/>
      <w:bookmarkEnd w:id="421"/>
      <w:bookmarkEnd w:id="422"/>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423" w:name="_Ref491664379"/>
      <w:bookmarkStart w:id="424" w:name="_Toc32201105"/>
      <w:r w:rsidRPr="004248A1">
        <w:rPr>
          <w:rFonts w:ascii="Arial" w:hAnsi="Arial" w:cs="Arial"/>
          <w:sz w:val="22"/>
          <w:szCs w:val="22"/>
        </w:rPr>
        <w:br w:type="page"/>
      </w:r>
      <w:bookmarkStart w:id="425" w:name="_Toc49661155"/>
      <w:bookmarkStart w:id="426"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423"/>
      <w:bookmarkEnd w:id="424"/>
      <w:bookmarkEnd w:id="425"/>
      <w:bookmarkEnd w:id="426"/>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427" w:name="_Hlt479666837"/>
      <w:bookmarkStart w:id="428" w:name="_Hlt506623598"/>
      <w:bookmarkEnd w:id="427"/>
      <w:bookmarkEnd w:id="428"/>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429" w:name="_Toc946728"/>
    </w:p>
    <w:p w14:paraId="2D914181" w14:textId="77777777" w:rsidR="006661FE" w:rsidRPr="004248A1" w:rsidRDefault="006661FE" w:rsidP="006661FE">
      <w:pPr>
        <w:pStyle w:val="Heading2"/>
        <w:rPr>
          <w:rFonts w:ascii="Arial" w:hAnsi="Arial" w:cs="Arial"/>
        </w:rPr>
      </w:pPr>
      <w:bookmarkStart w:id="430" w:name="_Toc32201106"/>
      <w:bookmarkStart w:id="431" w:name="_Toc49661156"/>
      <w:bookmarkStart w:id="432" w:name="_Toc274049735"/>
      <w:r w:rsidRPr="004248A1">
        <w:rPr>
          <w:rFonts w:ascii="Arial" w:hAnsi="Arial" w:cs="Arial"/>
        </w:rPr>
        <w:t>Monthly Charges</w:t>
      </w:r>
      <w:bookmarkEnd w:id="429"/>
      <w:bookmarkEnd w:id="430"/>
      <w:bookmarkEnd w:id="431"/>
      <w:bookmarkEnd w:id="43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433" w:name="_Toc946729"/>
      <w:bookmarkStart w:id="434" w:name="_Toc32201107"/>
      <w:bookmarkStart w:id="435" w:name="_Toc49661157"/>
      <w:bookmarkStart w:id="436" w:name="_Toc274049736"/>
      <w:r>
        <w:t>Initial Reconciliation (Part 1</w:t>
      </w:r>
      <w:r w:rsidR="003A0CB9">
        <w:t>a</w:t>
      </w:r>
      <w:r>
        <w:t>)</w:t>
      </w:r>
      <w:bookmarkEnd w:id="433"/>
      <w:bookmarkEnd w:id="434"/>
      <w:bookmarkEnd w:id="435"/>
      <w:bookmarkEnd w:id="436"/>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437" w:name="_Toc946730"/>
      <w:bookmarkStart w:id="438" w:name="_Toc32201108"/>
      <w:bookmarkStart w:id="439" w:name="_Toc49661158"/>
      <w:bookmarkStart w:id="440" w:name="_Toc274049737"/>
      <w:r w:rsidRPr="008E4447">
        <w:rPr>
          <w:rFonts w:ascii="Arial" w:hAnsi="Arial" w:cs="Arial"/>
          <w:szCs w:val="22"/>
        </w:rPr>
        <w:t>Initial Reconciliation (Part 2)</w:t>
      </w:r>
      <w:bookmarkEnd w:id="437"/>
      <w:bookmarkEnd w:id="438"/>
      <w:bookmarkEnd w:id="439"/>
      <w:bookmarkEnd w:id="44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135D78"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441" w:name="_Toc946732"/>
      <w:bookmarkStart w:id="442" w:name="_Toc32201109"/>
      <w:bookmarkStart w:id="443"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441"/>
    <w:bookmarkEnd w:id="442"/>
    <w:bookmarkEnd w:id="443"/>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444" w:name="_Ref531684937"/>
      <w:bookmarkStart w:id="445" w:name="_Toc32201110"/>
      <w:r w:rsidRPr="008E4447">
        <w:rPr>
          <w:rFonts w:ascii="Arial" w:hAnsi="Arial" w:cs="Arial"/>
          <w:sz w:val="22"/>
          <w:szCs w:val="22"/>
        </w:rPr>
        <w:br w:type="page"/>
      </w:r>
      <w:bookmarkStart w:id="446" w:name="_Toc274049739"/>
      <w:bookmarkStart w:id="447"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44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836EF3"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B770F"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0FC892"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448" w:name="_Hlt501343668"/>
      <w:bookmarkStart w:id="449" w:name="_Hlt488742812"/>
      <w:bookmarkStart w:id="450" w:name="_Toc32201111"/>
      <w:bookmarkStart w:id="451" w:name="_Toc49661161"/>
      <w:bookmarkStart w:id="452" w:name="_Toc274049740"/>
      <w:bookmarkEnd w:id="444"/>
      <w:bookmarkEnd w:id="445"/>
      <w:bookmarkEnd w:id="447"/>
      <w:bookmarkEnd w:id="448"/>
      <w:bookmarkEnd w:id="449"/>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450"/>
      <w:bookmarkEnd w:id="451"/>
      <w:bookmarkEnd w:id="45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453" w:name="_Toc32201112"/>
      <w:bookmarkStart w:id="454" w:name="_Toc49661162"/>
      <w:bookmarkStart w:id="455" w:name="_Toc274049741"/>
      <w:r>
        <w:t>Demand Charges</w:t>
      </w:r>
      <w:bookmarkEnd w:id="453"/>
      <w:bookmarkEnd w:id="454"/>
      <w:bookmarkEnd w:id="455"/>
    </w:p>
    <w:p w14:paraId="6FFEEB6C" w14:textId="77777777" w:rsidR="00E010AE" w:rsidRDefault="00135D78" w:rsidP="006661FE">
      <w:pPr>
        <w:pStyle w:val="1"/>
        <w:jc w:val="both"/>
      </w:pPr>
      <w:bookmarkStart w:id="456" w:name="_Toc32201113"/>
      <w:bookmarkStart w:id="457"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6" ShapeID="_x0000_s2083" DrawAspect="Content" ObjectID="_1779884523" r:id="rId106"/>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458" w:name="OLE_LINK9"/>
      <w:bookmarkStart w:id="459" w:name="OLE_LINK12"/>
      <w:bookmarkEnd w:id="456"/>
      <w:bookmarkEnd w:id="45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458"/>
      <w:bookmarkEnd w:id="45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460"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46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461"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46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462"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46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46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46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464" w:name="_Toc70749747"/>
      <w:bookmarkStart w:id="465"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464"/>
      <w:bookmarkEnd w:id="46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466"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466"/>
    </w:p>
    <w:p w14:paraId="70CE6CDB" w14:textId="77777777" w:rsidR="006661FE" w:rsidRDefault="006661FE">
      <w:pPr>
        <w:pStyle w:val="1"/>
        <w:jc w:val="both"/>
      </w:pPr>
    </w:p>
    <w:p w14:paraId="3A32FE67" w14:textId="77777777" w:rsidR="006661FE" w:rsidRPr="007B2988" w:rsidRDefault="006661FE" w:rsidP="006661FE">
      <w:pPr>
        <w:pStyle w:val="Heading2"/>
      </w:pPr>
      <w:bookmarkStart w:id="467" w:name="_Toc274049748"/>
      <w:r w:rsidRPr="007B2988">
        <w:t>Stability of tariffs</w:t>
      </w:r>
      <w:bookmarkEnd w:id="46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468" w:name="_Toc274049749"/>
      <w:r w:rsidRPr="007B2988">
        <w:t>Predictability of tariffs</w:t>
      </w:r>
      <w:bookmarkEnd w:id="468"/>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469" w:name="_Toc3598575"/>
      <w:bookmarkStart w:id="470" w:name="_Toc35675434"/>
      <w:bookmarkStart w:id="471"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469"/>
    <w:bookmarkEnd w:id="470"/>
    <w:bookmarkEnd w:id="47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472" w:name="_Hlt474031874"/>
      <w:bookmarkEnd w:id="472"/>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in order to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473"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473"/>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135D78"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135D78"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135D78"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135D78"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135D78"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135D78"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474"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474"/>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135D78"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135D78"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BSUoSFXCd</w:t>
      </w:r>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25pt;height:21.75pt" o:ole="">
                  <v:imagedata r:id="rId109" o:title=""/>
                </v:shape>
                <o:OLEObject Type="Embed" ProgID="Equation.3" ShapeID="_x0000_i1032" DrawAspect="Content" ObjectID="_1779884514"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75pt;height:21.75pt" o:ole="">
                  <v:imagedata r:id="rId111" o:title=""/>
                </v:shape>
                <o:OLEObject Type="Embed" ProgID="Equation.3" ShapeID="_x0000_i1033" DrawAspect="Content" ObjectID="_1779884515"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75pt;height:21.75pt" o:ole="">
                  <v:imagedata r:id="rId113" o:title=""/>
                </v:shape>
                <o:OLEObject Type="Embed" ProgID="Equation.3" ShapeID="_x0000_i1034" DrawAspect="Content" ObjectID="_1779884516"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475" w:name="BSUoSend"/>
      <w:bookmarkEnd w:id="475"/>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50D13" w14:textId="77777777" w:rsidR="009B08A6" w:rsidRDefault="009B08A6" w:rsidP="001046D7">
      <w:pPr>
        <w:pStyle w:val="LogoCaption"/>
      </w:pPr>
      <w:r>
        <w:separator/>
      </w:r>
    </w:p>
  </w:endnote>
  <w:endnote w:type="continuationSeparator" w:id="0">
    <w:p w14:paraId="739D2994" w14:textId="77777777" w:rsidR="009B08A6" w:rsidRDefault="009B08A6" w:rsidP="001046D7">
      <w:pPr>
        <w:pStyle w:val="LogoCaption"/>
      </w:pPr>
      <w:r>
        <w:continuationSeparator/>
      </w:r>
    </w:p>
  </w:endnote>
  <w:endnote w:type="continuationNotice" w:id="1">
    <w:p w14:paraId="14A20239" w14:textId="77777777" w:rsidR="009B08A6" w:rsidRDefault="009B08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76017733" w:rsidR="00CD5631" w:rsidRDefault="00CD5631">
    <w:pPr>
      <w:pStyle w:val="Footer"/>
    </w:pPr>
    <w:r>
      <w:fldChar w:fldCharType="begin"/>
    </w:r>
    <w:r>
      <w:instrText xml:space="preserve"> DOCPROPERTY "DocID" \* MERGEFORMAT </w:instrText>
    </w:r>
    <w:r>
      <w:fldChar w:fldCharType="separate"/>
    </w:r>
    <w:r w:rsidR="007648E3">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388BBE35"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B461C7">
      <w:rPr>
        <w:rFonts w:ascii="Arial" w:hAnsi="Arial" w:cs="Arial"/>
        <w:sz w:val="18"/>
        <w:szCs w:val="18"/>
      </w:rPr>
      <w:t>c</w:t>
    </w:r>
    <w:r>
      <w:rPr>
        <w:rFonts w:ascii="Arial" w:hAnsi="Arial" w:cs="Arial"/>
        <w:sz w:val="18"/>
        <w:szCs w:val="18"/>
      </w:rPr>
      <w:t xml:space="preserve"> – </w:t>
    </w:r>
    <w:r w:rsidR="00404699">
      <w:rPr>
        <w:rFonts w:ascii="Arial" w:hAnsi="Arial" w:cs="Arial"/>
        <w:sz w:val="18"/>
        <w:szCs w:val="18"/>
      </w:rPr>
      <w:t>0</w:t>
    </w:r>
    <w:r w:rsidR="003C1BDF">
      <w:rPr>
        <w:rFonts w:ascii="Arial" w:hAnsi="Arial" w:cs="Arial"/>
        <w:sz w:val="18"/>
        <w:szCs w:val="18"/>
      </w:rPr>
      <w:t>6</w:t>
    </w:r>
    <w:r w:rsidR="00404699">
      <w:rPr>
        <w:rFonts w:ascii="Arial" w:hAnsi="Arial" w:cs="Arial"/>
        <w:sz w:val="18"/>
        <w:szCs w:val="18"/>
      </w:rPr>
      <w:t xml:space="preserve"> </w:t>
    </w:r>
    <w:r w:rsidR="003C1BDF">
      <w:rPr>
        <w:rFonts w:ascii="Arial" w:hAnsi="Arial" w:cs="Arial"/>
        <w:sz w:val="18"/>
        <w:szCs w:val="18"/>
      </w:rPr>
      <w:t>June</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9A5C2" w14:textId="77777777" w:rsidR="009B08A6" w:rsidRDefault="009B08A6" w:rsidP="001046D7">
      <w:pPr>
        <w:pStyle w:val="LogoCaption"/>
      </w:pPr>
      <w:r>
        <w:separator/>
      </w:r>
    </w:p>
  </w:footnote>
  <w:footnote w:type="continuationSeparator" w:id="0">
    <w:p w14:paraId="68E44FDF" w14:textId="77777777" w:rsidR="009B08A6" w:rsidRDefault="009B08A6" w:rsidP="001046D7">
      <w:pPr>
        <w:pStyle w:val="LogoCaption"/>
      </w:pPr>
      <w:r>
        <w:continuationSeparator/>
      </w:r>
    </w:p>
  </w:footnote>
  <w:footnote w:type="continuationNotice" w:id="1">
    <w:p w14:paraId="37C54889" w14:textId="77777777" w:rsidR="009B08A6" w:rsidRDefault="009B08A6"/>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377" w:name="OLE_LINK4"/>
      <w:bookmarkStart w:id="378" w:name="OLE_LINK5"/>
      <w:r w:rsidRPr="00222B22">
        <w:rPr>
          <w:rFonts w:cs="Arial"/>
          <w:sz w:val="18"/>
          <w:szCs w:val="18"/>
        </w:rPr>
        <w:t xml:space="preserve">LDTEC Indicative Block Offer </w:t>
      </w:r>
      <w:bookmarkEnd w:id="377"/>
      <w:bookmarkEnd w:id="378"/>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476"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477" w:name="bmkLogoCaptionEven" w:colFirst="0" w:colLast="0"/>
          <w:bookmarkEnd w:id="476"/>
        </w:p>
      </w:tc>
    </w:tr>
    <w:bookmarkEnd w:id="477"/>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0A235825"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3C1BDF">
      <w:rPr>
        <w:rFonts w:ascii="Arial" w:hAnsi="Arial" w:cs="Arial"/>
        <w:sz w:val="18"/>
        <w:szCs w:val="18"/>
      </w:rPr>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478"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479" w:name="bmkLogoCaption" w:colFirst="0" w:colLast="0"/>
          <w:bookmarkEnd w:id="478"/>
        </w:p>
      </w:tc>
    </w:tr>
    <w:bookmarkEnd w:id="479"/>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formatting="1" w:enforcement="1" w:cryptProviderType="rsaAES" w:cryptAlgorithmClass="hash" w:cryptAlgorithmType="typeAny" w:cryptAlgorithmSid="14" w:cryptSpinCount="100000" w:hash="r2vQs5OUaYFt1+hYy/qWzNQgBhu3BCJqirVGVtkN6tWt/cX8/fOjIc2Iz9xDUG84Ryf3p4OOsiSpMtU7w1/C3A==" w:salt="PMqaau/e9ImmSaA4YE3l4Q=="/>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4C8D"/>
    <w:rsid w:val="00125177"/>
    <w:rsid w:val="00125F43"/>
    <w:rsid w:val="0012779E"/>
    <w:rsid w:val="00130444"/>
    <w:rsid w:val="00131C05"/>
    <w:rsid w:val="00133479"/>
    <w:rsid w:val="001341C9"/>
    <w:rsid w:val="00134C1E"/>
    <w:rsid w:val="0013514B"/>
    <w:rsid w:val="00135D78"/>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5E"/>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CF5"/>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3211"/>
    <w:rsid w:val="002E4D34"/>
    <w:rsid w:val="002E7341"/>
    <w:rsid w:val="002F229A"/>
    <w:rsid w:val="002F2682"/>
    <w:rsid w:val="002F2A99"/>
    <w:rsid w:val="002F3B92"/>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66B05"/>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666"/>
    <w:rsid w:val="00471C3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D7F50"/>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17ACE"/>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33D4"/>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2E90"/>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E69D8"/>
    <w:rsid w:val="006F0386"/>
    <w:rsid w:val="006F04E8"/>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50C4"/>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510B"/>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8A6"/>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E83"/>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61C7"/>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1D83"/>
    <w:rsid w:val="00B7295F"/>
    <w:rsid w:val="00B735F7"/>
    <w:rsid w:val="00B73601"/>
    <w:rsid w:val="00B74EA0"/>
    <w:rsid w:val="00B779B8"/>
    <w:rsid w:val="00B8085F"/>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97F51"/>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58FF"/>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CD4"/>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36C"/>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530E"/>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 w:val="215D4A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customStyle="1" w:styleId="TitleChar">
    <w:name w:val="Title Char"/>
    <w:basedOn w:val="DefaultParagraphFont"/>
    <w:link w:val="Title"/>
    <w:rsid w:val="00617ACE"/>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9.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oleObject7.bin"/><Relationship Id="rId114" Type="http://schemas.openxmlformats.org/officeDocument/2006/relationships/oleObject" Target="embeddings/oleObject10.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8.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174AC9-19D2-4651-BECE-15F80D782ABC}">
  <ds:schemaRefs>
    <ds:schemaRef ds:uri="http://www.imanage.com/work/xmlschema"/>
  </ds:schemaRefs>
</ds:datastoreItem>
</file>

<file path=customXml/itemProps4.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5.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6.xml><?xml version="1.0" encoding="utf-8"?>
<ds:datastoreItem xmlns:ds="http://schemas.openxmlformats.org/officeDocument/2006/customXml" ds:itemID="{8E44FF5C-FEDD-4250-B4B0-53BDDBD558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153</Pages>
  <Words>45174</Words>
  <Characters>257493</Characters>
  <Application>Microsoft Office Word</Application>
  <DocSecurity>0</DocSecurity>
  <Lines>2145</Lines>
  <Paragraphs>604</Paragraphs>
  <ScaleCrop>false</ScaleCrop>
  <LinksUpToDate>false</LinksUpToDate>
  <CharactersWithSpaces>302063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creator/>
  <cp:keywords/>
  <dc:description/>
  <cp:lastModifiedBy/>
  <cp:revision>1</cp:revision>
  <dcterms:created xsi:type="dcterms:W3CDTF">2024-06-06T10:31:00Z</dcterms:created>
  <dcterms:modified xsi:type="dcterms:W3CDTF">2024-06-14T14:35:00Z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