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69F60"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CA14A42"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(i.e.“single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Bay;</w:t>
      </w:r>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will own the busbars at a low voltage substation, the 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r>
        <w:t>Pre Vesting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formula set out in paragraph 14.3.6.  For Pre Vesting connection assets commissioned on or before 30 March 1990, the original cost is the 1996/97 charging GAV (MEA re-valued from vesting)</w:t>
      </w:r>
      <w:r w:rsidR="4F4C9B4B">
        <w:t xml:space="preserve">. </w:t>
      </w:r>
      <w:r>
        <w:t>The original costs of Post Vesting assets are calculated based on historical cost information provided by the transmission licensee’s.</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within;</w:t>
      </w:r>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calculated;</w:t>
      </w:r>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Amount;</w:t>
      </w:r>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C83E01">
        <w:t>TOPI</w:t>
      </w:r>
      <w:r>
        <w:rPr>
          <w:vertAlign w:val="subscript"/>
        </w:rPr>
        <w:t>n</w:t>
      </w:r>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3BDF5A75" w:rsidR="00225419" w:rsidRDefault="009E7467" w:rsidP="00D5087D">
      <w:pPr>
        <w:tabs>
          <w:tab w:val="left" w:pos="810"/>
          <w:tab w:val="left" w:pos="1620"/>
          <w:tab w:val="left" w:pos="4680"/>
        </w:tabs>
        <w:ind w:firstLine="1134"/>
        <w:jc w:val="both"/>
      </w:pPr>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2" w:name="_Toc220918010"/>
      <w:r>
        <w:t>Calculation of Net Asset Value</w:t>
      </w:r>
      <w:bookmarkEnd w:id="22"/>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w:t>
      </w:r>
      <w:r w:rsidR="123FD033">
        <w:t xml:space="preserve">. </w:t>
      </w:r>
      <w:r>
        <w:t>The following formula calculates the NAV of an asset, where A</w:t>
      </w:r>
      <w:r w:rsidRPr="0537B9E0">
        <w:rPr>
          <w:vertAlign w:val="subscript"/>
        </w:rPr>
        <w:t>n</w:t>
      </w:r>
      <w:r>
        <w:t xml:space="preserve"> is the age of the asset (number of completed </w:t>
      </w:r>
      <w:r w:rsidR="17E170F1" w:rsidRPr="0537B9E0">
        <w:rPr>
          <w:b/>
          <w:bCs/>
        </w:rPr>
        <w:t>Financial Years</w:t>
      </w:r>
      <w:r w:rsidRPr="0537B9E0">
        <w:rPr>
          <w:b/>
          <w:bCs/>
        </w:rPr>
        <w:t xml:space="preserve"> </w:t>
      </w:r>
      <w:r>
        <w:t>old) in year n:</w:t>
      </w:r>
      <w:bookmarkEnd w:id="24"/>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29" w:name="_Toc32208926"/>
      <w:bookmarkStart w:id="30" w:name="_Toc44315387"/>
      <w:bookmarkEnd w:id="27"/>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3" w:name="_Ref469456967"/>
      <w:r>
        <w:t xml:space="preserve">In </w:t>
      </w:r>
      <w:bookmarkStart w:id="34" w:name="Para_2_9"/>
      <w:bookmarkEnd w:id="34"/>
      <w:r>
        <w:t xml:space="preserve">addition </w:t>
      </w:r>
      <w:bookmarkStart w:id="35" w:name="_Int_WyeoAQ2L"/>
      <w:r>
        <w:t>a number of</w:t>
      </w:r>
      <w:bookmarkEnd w:id="35"/>
      <w:r>
        <w:t xml:space="preserve"> options exist:</w:t>
      </w:r>
      <w:bookmarkEnd w:id="33"/>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basis;</w:t>
      </w:r>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annuity based charging;</w:t>
      </w:r>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6" w:name="_Toc32208927"/>
      <w:bookmarkStart w:id="37"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8" w:name="_Hlk100667361"/>
      <w:r w:rsidR="17E170F1" w:rsidRPr="0537B9E0">
        <w:rPr>
          <w:b/>
          <w:bCs/>
        </w:rPr>
        <w:t xml:space="preserve">Financial Year </w:t>
      </w:r>
      <w:bookmarkEnd w:id="38"/>
      <w:r>
        <w:t xml:space="preserve">n which will be applied to the NAV prevailing at the start of year n. As the capital component of the connection charge for year n will reduce </w:t>
      </w:r>
      <w:bookmarkStart w:id="39" w:name="_Int_Ow93oxCn"/>
      <w:r>
        <w:t>as a result of</w:t>
      </w:r>
      <w:bookmarkEnd w:id="39"/>
      <w:r>
        <w:t xml:space="preserve"> the capital contribution, a reduced rate of return element will be payable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0" w:name="_Toc220918012"/>
      <w:r>
        <w:t>Capital Components of the Connection charge for Pre Vesting Connection Assets</w:t>
      </w:r>
      <w:bookmarkEnd w:id="36"/>
      <w:bookmarkEnd w:id="37"/>
      <w:bookmarkEnd w:id="40"/>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Control;</w:t>
      </w:r>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lastRenderedPageBreak/>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4" w:name="_Int_7DEsm87N"/>
      <w:r>
        <w:t>Both of these</w:t>
      </w:r>
      <w:bookmarkEnd w:id="44"/>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5" w:name="_Toc220918014"/>
      <w:r>
        <w:t>Part A: Site Specific Maintenance Charges</w:t>
      </w:r>
      <w:bookmarkEnd w:id="45"/>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Site-specific maintenance charges will be calculated each year based on the forecast total site specific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6" w:name="_Toc220918015"/>
      <w:r>
        <w:t>Part B: Transmission Running Costs</w:t>
      </w:r>
      <w:bookmarkEnd w:id="46"/>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3341EE" w:rsidRPr="00460B1E">
        <w:rPr>
          <w:rFonts w:ascii="Arial" w:hAnsi="Arial" w:cs="Arial"/>
          <w:color w:val="000000" w:themeColor="text1"/>
          <w:sz w:val="22"/>
          <w:szCs w:val="22"/>
        </w:rPr>
        <w:t xml:space="preserve">the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7" w:name="_Toc220918016"/>
      <w:r w:rsidRPr="00094C68">
        <w:rPr>
          <w:rFonts w:ascii="Arial" w:hAnsi="Arial" w:cs="Arial"/>
          <w:szCs w:val="22"/>
        </w:rPr>
        <w:t>The Basic Annual Connection Charge Formula</w:t>
      </w:r>
      <w:bookmarkEnd w:id="47"/>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8" w:name="_Hlt32209703"/>
      <w:bookmarkStart w:id="49" w:name="_Ref500843438"/>
      <w:bookmarkEnd w:id="48"/>
      <w:r w:rsidRPr="00094C68">
        <w:rPr>
          <w:rFonts w:ascii="Arial" w:hAnsi="Arial" w:cs="Arial"/>
          <w:szCs w:val="22"/>
        </w:rPr>
        <w:t xml:space="preserve">The </w:t>
      </w:r>
      <w:bookmarkStart w:id="50" w:name="Para_2_22"/>
      <w:bookmarkEnd w:id="50"/>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9"/>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(WACCn).</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lastRenderedPageBreak/>
        <w:t xml:space="preserve">And where for the calculation of WACCn: </w:t>
      </w:r>
      <w:r w:rsidR="00A64767">
        <w:rPr>
          <w:rFonts w:ascii="Arial" w:hAnsi="Arial" w:cs="Arial"/>
          <w:sz w:val="22"/>
          <w:szCs w:val="22"/>
        </w:rPr>
        <w:t>The real post-tax cost of equity, notional gearing %, real cost of debt and the corporation tax rate, are as specified in the latest published Ofgem Price Control Financial Model (PCFM) relating to year n, or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1" w:name="_Int_MJye7UUl"/>
      <w:r w:rsidRPr="0537B9E0">
        <w:rPr>
          <w:rFonts w:ascii="Arial" w:hAnsi="Arial" w:cs="Arial"/>
        </w:rPr>
        <w:t>on the basis of</w:t>
      </w:r>
      <w:bookmarkEnd w:id="51"/>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2" w:name="_Toc32208932"/>
      <w:bookmarkStart w:id="53" w:name="_Toc44315393"/>
    </w:p>
    <w:p w14:paraId="1CDBADFD" w14:textId="77777777" w:rsidR="00225419" w:rsidRDefault="00225419">
      <w:pPr>
        <w:pStyle w:val="Heading2"/>
      </w:pPr>
    </w:p>
    <w:p w14:paraId="32AE9269" w14:textId="77777777" w:rsidR="00225419" w:rsidRDefault="00225419">
      <w:pPr>
        <w:pStyle w:val="Heading2"/>
      </w:pPr>
      <w:bookmarkStart w:id="54" w:name="_Toc220918017"/>
      <w:r>
        <w:t>Adjustment for Capital Contributions</w:t>
      </w:r>
      <w:bookmarkEnd w:id="52"/>
      <w:bookmarkEnd w:id="53"/>
      <w:bookmarkEnd w:id="54"/>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asset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5" w:name="_Ref501761199"/>
      <w:r>
        <w:t xml:space="preserve">If a </w:t>
      </w:r>
      <w:bookmarkStart w:id="56" w:name="Para_2_25"/>
      <w:bookmarkEnd w:id="56"/>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5"/>
    </w:p>
    <w:p w14:paraId="14CFE924" w14:textId="77777777" w:rsidR="00225419" w:rsidRDefault="00225419">
      <w:pPr>
        <w:pStyle w:val="1"/>
        <w:keepNext/>
        <w:jc w:val="both"/>
      </w:pPr>
    </w:p>
    <w:p w14:paraId="072FBBFC" w14:textId="56B61998"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7" w:name="_Toc32208933"/>
      <w:r w:rsidR="2E44F857">
        <w:t xml:space="preserve">F = Partial Capital Contribution Factor </w:t>
      </w:r>
      <w:bookmarkStart w:id="58" w:name="_Int_upMrwqo0"/>
      <w:r w:rsidR="2E44F857">
        <w:t>taking into account</w:t>
      </w:r>
      <w:bookmarkEnd w:id="58"/>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59" w:name="_Hlt499019949"/>
      <w:bookmarkStart w:id="60" w:name="_Hlt499019955"/>
      <w:bookmarkEnd w:id="57"/>
      <w:bookmarkEnd w:id="59"/>
      <w:bookmarkEnd w:id="60"/>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1" w:name="_Int_kwYYKJjB"/>
      <w:r>
        <w:t>as a result of</w:t>
      </w:r>
      <w:bookmarkEnd w:id="61"/>
      <w:r>
        <w:t xml:space="preserve"> the modification.</w:t>
      </w:r>
    </w:p>
    <w:p w14:paraId="42065ADE" w14:textId="77777777" w:rsidR="00225419" w:rsidRDefault="00225419">
      <w:pPr>
        <w:pStyle w:val="Heading1"/>
      </w:pPr>
      <w:bookmarkStart w:id="62"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3" w:name="_Toc220918018"/>
      <w:r w:rsidRPr="00415339">
        <w:rPr>
          <w:color w:val="auto"/>
          <w:sz w:val="28"/>
          <w:szCs w:val="28"/>
        </w:rPr>
        <w:lastRenderedPageBreak/>
        <w:t>14.4 Other Charges</w:t>
      </w:r>
      <w:bookmarkEnd w:id="62"/>
      <w:bookmarkEnd w:id="63"/>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4" w:name="_Hlt490987527"/>
      <w:bookmarkStart w:id="65" w:name="_Ref477681385"/>
      <w:bookmarkEnd w:id="64"/>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5"/>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6" w:name="_Toc32208936"/>
      <w:bookmarkStart w:id="67" w:name="_Toc44315397"/>
      <w:bookmarkStart w:id="68" w:name="_Toc220918019"/>
      <w:r>
        <w:t>One</w:t>
      </w:r>
      <w:r>
        <w:noBreakHyphen/>
        <w:t>off Works</w:t>
      </w:r>
      <w:bookmarkEnd w:id="66"/>
      <w:bookmarkEnd w:id="67"/>
      <w:bookmarkEnd w:id="68"/>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69" w:name="_Int_xAjLx2ng"/>
      <w:r>
        <w:t>”.</w:t>
      </w:r>
      <w:bookmarkEnd w:id="69"/>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0" w:name="_Int_LC7vflZw"/>
      <w:r w:rsidRPr="0537B9E0">
        <w:rPr>
          <w:rFonts w:ascii="Arial" w:hAnsi="Arial" w:cs="Arial"/>
          <w:sz w:val="22"/>
          <w:szCs w:val="22"/>
        </w:rPr>
        <w:t>as a result of</w:t>
      </w:r>
      <w:bookmarkEnd w:id="70"/>
      <w:r w:rsidRPr="0537B9E0">
        <w:rPr>
          <w:rFonts w:ascii="Arial" w:hAnsi="Arial" w:cs="Arial"/>
          <w:sz w:val="22"/>
          <w:szCs w:val="22"/>
        </w:rPr>
        <w:t xml:space="preserve"> a User's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Category 1 Intertripping Scheme</w:t>
      </w:r>
      <w:r>
        <w:t xml:space="preserve"> or a </w:t>
      </w:r>
      <w:r w:rsidRPr="0537B9E0">
        <w:rPr>
          <w:b/>
          <w:bCs/>
        </w:rPr>
        <w:t>Category 3 Intertripping Scheme</w:t>
      </w:r>
      <w:r w:rsidR="7E0E633A">
        <w:t xml:space="preserve">. </w:t>
      </w:r>
      <w:r>
        <w:t xml:space="preserve">A one-off charge will </w:t>
      </w:r>
      <w:r w:rsidRPr="0537B9E0">
        <w:rPr>
          <w:b/>
          <w:bCs/>
          <w:u w:val="single"/>
        </w:rPr>
        <w:t>not</w:t>
      </w:r>
      <w:r>
        <w:t xml:space="preserve"> be levied for a </w:t>
      </w:r>
      <w:r w:rsidRPr="0537B9E0">
        <w:rPr>
          <w:b/>
          <w:bCs/>
        </w:rPr>
        <w:t>Category 2 Intertripping Scheme</w:t>
      </w:r>
      <w:r>
        <w:t xml:space="preserve"> or a </w:t>
      </w:r>
      <w:r w:rsidRPr="0537B9E0">
        <w:rPr>
          <w:b/>
          <w:bCs/>
        </w:rPr>
        <w:t>Category 4 Intertripping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2"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 xml:space="preserve">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w:t>
      </w:r>
      <w:r>
        <w:lastRenderedPageBreak/>
        <w:t>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2"/>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3" w:name="_Toc220918020"/>
      <w:r>
        <w:t>Miscellaneous Charges</w:t>
      </w:r>
      <w:bookmarkEnd w:id="73"/>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79" w:name="_Toc220918022"/>
      <w:r>
        <w:t>Final Metering Scheme (FMS)/Energy Metering Systems</w:t>
      </w:r>
      <w:bookmarkEnd w:id="79"/>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2" w:name="_Toc220918024"/>
      <w:r>
        <w:t>Indicative Agreement</w:t>
      </w:r>
      <w:bookmarkEnd w:id="82"/>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6" w:name="_Toc220918025"/>
      <w:r>
        <w:t>Outturning the Indicative Agreement</w:t>
      </w:r>
      <w:bookmarkEnd w:id="83"/>
      <w:bookmarkEnd w:id="84"/>
      <w:bookmarkEnd w:id="85"/>
      <w:bookmarkEnd w:id="86"/>
    </w:p>
    <w:p w14:paraId="160D5AFF" w14:textId="77777777" w:rsidR="00225419" w:rsidRDefault="00225419">
      <w:pPr>
        <w:pStyle w:val="1"/>
        <w:keepNext/>
        <w:jc w:val="both"/>
      </w:pPr>
    </w:p>
    <w:p w14:paraId="19689645" w14:textId="4059BFDC"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"outturned"</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7" w:name="_Hlt534790580"/>
      <w:r w:rsidR="00225419">
        <w:fldChar w:fldCharType="begin"/>
      </w:r>
      <w:r w:rsidR="00225419">
        <w:instrText xml:space="preserve"> REF Para_2_2 \r \h  \* MERGEFORMAT </w:instrText>
      </w:r>
      <w:r w:rsidR="00225419">
        <w:fldChar w:fldCharType="separate"/>
      </w:r>
      <w:r w:rsidR="004B2E96">
        <w:t>14.3.3</w:t>
      </w:r>
      <w:r w:rsidR="00225419">
        <w:fldChar w:fldCharType="end"/>
      </w:r>
      <w:bookmarkEnd w:id="87"/>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8" w:name="_Toc32208944"/>
      <w:bookmarkStart w:id="89" w:name="_Toc44315405"/>
      <w:bookmarkStart w:id="90" w:name="_Toc220918026"/>
      <w:r>
        <w:t>Firm Price Agreement</w:t>
      </w:r>
      <w:bookmarkEnd w:id="88"/>
      <w:bookmarkEnd w:id="89"/>
      <w:bookmarkEnd w:id="90"/>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3CA09971"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4B2E96">
        <w:t>14.3.10</w:t>
      </w:r>
      <w:r w:rsidR="00225419">
        <w:fldChar w:fldCharType="end"/>
      </w:r>
      <w:r>
        <w:t xml:space="preserve"> above, firm price agreements are also available</w:t>
      </w:r>
      <w:r w:rsidR="79925639">
        <w:t xml:space="preserve">. </w:t>
      </w:r>
      <w:r>
        <w:t xml:space="preserve">Typically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1" w:name="_Int_7WJFOc0N"/>
      <w:r>
        <w:t>all of</w:t>
      </w:r>
      <w:bookmarkEnd w:id="91"/>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2" w:name="_Toc220918027"/>
      <w:r>
        <w:lastRenderedPageBreak/>
        <w:t>Monthly Connection Charges</w:t>
      </w:r>
      <w:bookmarkEnd w:id="92"/>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15</w:t>
      </w:r>
      <w:r>
        <w:rPr>
          <w:vertAlign w:val="superscript"/>
        </w:rPr>
        <w:t>th</w:t>
      </w:r>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3DB4726B"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4B2E96">
        <w:t>14.4.8</w:t>
      </w:r>
      <w:r w:rsidR="00225419">
        <w:fldChar w:fldCharType="end"/>
      </w:r>
      <w:r>
        <w:t xml:space="preserve">) and Transmission Charges (annuitised one-offs, as defined in </w:t>
      </w:r>
      <w:r w:rsidR="00225419">
        <w:fldChar w:fldCharType="begin"/>
      </w:r>
      <w:r w:rsidR="00225419">
        <w:instrText xml:space="preserve"> REF _Ref1554412 \r \h  \* MERGEFORMAT </w:instrText>
      </w:r>
      <w:r w:rsidR="00225419">
        <w:fldChar w:fldCharType="separate"/>
      </w:r>
      <w:r w:rsidR="004B2E96">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3" w:name="_Toc44315407"/>
      <w:bookmarkStart w:id="94"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3"/>
      <w:bookmarkEnd w:id="94"/>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5" w:name="_Toc220918029"/>
      <w:r>
        <w:t>Charges Liable</w:t>
      </w:r>
      <w:bookmarkEnd w:id="95"/>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6" w:name="_Int_QJyBx4QP"/>
      <w:r>
        <w:t>as a result of</w:t>
      </w:r>
      <w:bookmarkEnd w:id="96"/>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These costs being inclusive of the costs of making good the condition of the connection site</w:t>
      </w:r>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the connection charge for the full year remains payable. Any remaining Use of System Charges (TNUoS and BSUoS) also remain payable</w:t>
      </w:r>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7" w:name="_Int_sUlNnocS"/>
      <w:r>
        <w:t>taken into account</w:t>
      </w:r>
      <w:bookmarkEnd w:id="97"/>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8" w:name="_Int_VVjbrjoj"/>
      <w:r>
        <w:t>as a result of</w:t>
      </w:r>
      <w:bookmarkEnd w:id="98"/>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If an asset were terminated and its associated civils had been removed to 1m below ground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99" w:name="_Toc220918030"/>
      <w:r>
        <w:lastRenderedPageBreak/>
        <w:t>Repayment on Re-Use of Assets</w:t>
      </w:r>
      <w:bookmarkEnd w:id="99"/>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such  Assets;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the NAV attributed to such  Assets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less any reasonable costs incurred  in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0" w:name="_Toc220918031"/>
      <w:r>
        <w:t>Valuation of Assets that are re-used as connection assets or existing infrastructure assets re-allocated to connection</w:t>
      </w:r>
      <w:bookmarkEnd w:id="100"/>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asset in use. The Net Asset Value will be calculated as if the asset had been in continuous service as a connection asset from its original commissioning date </w:t>
      </w:r>
      <w:bookmarkStart w:id="101" w:name="_Int_7u62nsg4"/>
      <w:r>
        <w:t>taking into account</w:t>
      </w:r>
      <w:bookmarkEnd w:id="101"/>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asset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2" w:name="_Toc44315413"/>
      <w:bookmarkStart w:id="103" w:name="_Toc220918032"/>
      <w:r w:rsidRPr="007F69E9">
        <w:rPr>
          <w:color w:val="auto"/>
          <w:sz w:val="28"/>
          <w:szCs w:val="28"/>
        </w:rPr>
        <w:lastRenderedPageBreak/>
        <w:t>14.7 Contestability</w:t>
      </w:r>
      <w:bookmarkEnd w:id="102"/>
      <w:bookmarkEnd w:id="10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4" w:name="_Int_kZ7Tly89"/>
      <w:r>
        <w:t>security</w:t>
      </w:r>
      <w:bookmarkEnd w:id="104"/>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5" w:name="_Toc32208953"/>
      <w:bookmarkStart w:id="106" w:name="_Toc44315414"/>
    </w:p>
    <w:p w14:paraId="6191EB42" w14:textId="77777777" w:rsidR="00225419" w:rsidRDefault="00225419"/>
    <w:p w14:paraId="35FB3C96" w14:textId="77777777" w:rsidR="00225419" w:rsidRDefault="00225419">
      <w:pPr>
        <w:pStyle w:val="Heading2"/>
      </w:pPr>
      <w:bookmarkStart w:id="107" w:name="_Toc220918033"/>
      <w:bookmarkEnd w:id="105"/>
      <w:bookmarkEnd w:id="106"/>
      <w:r>
        <w:t>Contestability in Construction</w:t>
      </w:r>
      <w:bookmarkEnd w:id="107"/>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8" w:name="_Toc44315417"/>
      <w:bookmarkStart w:id="109" w:name="_Toc220918035"/>
      <w:r w:rsidRPr="00415339">
        <w:rPr>
          <w:color w:val="auto"/>
          <w:sz w:val="28"/>
          <w:szCs w:val="28"/>
        </w:rPr>
        <w:lastRenderedPageBreak/>
        <w:t>14.8 Asset Replacement</w:t>
      </w:r>
      <w:bookmarkEnd w:id="108"/>
      <w:bookmarkEnd w:id="109"/>
    </w:p>
    <w:p w14:paraId="6D689F31" w14:textId="77777777" w:rsidR="00225419" w:rsidRDefault="00225419">
      <w:pPr>
        <w:pStyle w:val="1"/>
        <w:tabs>
          <w:tab w:val="left" w:pos="-1440"/>
          <w:tab w:val="num" w:pos="709"/>
        </w:tabs>
        <w:ind w:left="709" w:hanging="709"/>
        <w:jc w:val="both"/>
      </w:pPr>
      <w:bookmarkStart w:id="110" w:name="_Hlt492191662"/>
      <w:bookmarkStart w:id="111" w:name="_Ref491666437"/>
      <w:bookmarkStart w:id="112" w:name="_Ref501761566"/>
      <w:bookmarkEnd w:id="110"/>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3" w:name="_Int_foyDL8SO"/>
      <w:r w:rsidRPr="0537B9E0">
        <w:rPr>
          <w:rFonts w:ascii="Arial" w:hAnsi="Arial" w:cs="Arial"/>
          <w:sz w:val="22"/>
          <w:szCs w:val="22"/>
        </w:rPr>
        <w:t>on the basis of</w:t>
      </w:r>
      <w:bookmarkEnd w:id="113"/>
      <w:r w:rsidRPr="0537B9E0">
        <w:rPr>
          <w:rFonts w:ascii="Arial" w:hAnsi="Arial" w:cs="Arial"/>
          <w:sz w:val="22"/>
          <w:szCs w:val="22"/>
        </w:rPr>
        <w:t xml:space="preserve"> the original asset until replaced and </w:t>
      </w:r>
      <w:bookmarkStart w:id="114" w:name="_Int_CutWwLnF"/>
      <w:r w:rsidRPr="0537B9E0">
        <w:rPr>
          <w:rFonts w:ascii="Arial" w:hAnsi="Arial" w:cs="Arial"/>
          <w:sz w:val="22"/>
          <w:szCs w:val="22"/>
        </w:rPr>
        <w:t>on the basis of</w:t>
      </w:r>
      <w:bookmarkEnd w:id="114"/>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1"/>
    <w:bookmarkEnd w:id="112"/>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5" w:name="_Toc220918036"/>
      <w:r>
        <w:t>Asset Replacement that includes a change of Voltage</w:t>
      </w:r>
      <w:bookmarkEnd w:id="115"/>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6" w:name="_Int_lXDFmzNx"/>
      <w:r>
        <w:t>a number of</w:t>
      </w:r>
      <w:bookmarkEnd w:id="116"/>
      <w:r>
        <w:t xml:space="preserve"> situations where an asset replacement scheme may involve a change in the voltage level of a User's connection assets</w:t>
      </w:r>
      <w:r w:rsidR="4AA56626">
        <w:t xml:space="preserve">. </w:t>
      </w:r>
      <w:r>
        <w:t xml:space="preserve">These replacement schemes can take place over </w:t>
      </w:r>
      <w:bookmarkStart w:id="117" w:name="_Int_Px7xbdQF"/>
      <w:r>
        <w:t>a number of</w:t>
      </w:r>
      <w:bookmarkEnd w:id="117"/>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w:t>
      </w:r>
      <w:r>
        <w:lastRenderedPageBreak/>
        <w:t>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8" w:name="_Toc44315419"/>
      <w:bookmarkStart w:id="119" w:name="_Toc220918037"/>
      <w:r w:rsidRPr="00415339">
        <w:rPr>
          <w:color w:val="auto"/>
          <w:sz w:val="28"/>
          <w:szCs w:val="28"/>
        </w:rPr>
        <w:lastRenderedPageBreak/>
        <w:t>14.9 Data Requirements</w:t>
      </w:r>
      <w:bookmarkEnd w:id="118"/>
      <w:bookmarkEnd w:id="119"/>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methodology no data is required from Users </w:t>
      </w:r>
      <w:bookmarkStart w:id="120" w:name="_Int_O0890m2v"/>
      <w:r w:rsidRPr="0537B9E0">
        <w:rPr>
          <w:rFonts w:ascii="Arial" w:hAnsi="Arial" w:cs="Arial"/>
          <w:sz w:val="22"/>
          <w:szCs w:val="22"/>
        </w:rPr>
        <w:t>in order to</w:t>
      </w:r>
      <w:bookmarkEnd w:id="120"/>
      <w:r w:rsidRPr="0537B9E0">
        <w:rPr>
          <w:rFonts w:ascii="Arial" w:hAnsi="Arial" w:cs="Arial"/>
          <w:sz w:val="22"/>
          <w:szCs w:val="22"/>
        </w:rPr>
        <w:t xml:space="preserve"> calculate the connection charges payable by the User.</w:t>
      </w:r>
      <w:bookmarkStart w:id="121" w:name="_Ref531686418"/>
      <w:bookmarkStart w:id="122"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3" w:name="_Toc220918038"/>
      <w:bookmarkStart w:id="124" w:name="_Toc44315421"/>
      <w:r w:rsidRPr="00415339">
        <w:rPr>
          <w:color w:val="auto"/>
          <w:sz w:val="28"/>
          <w:szCs w:val="28"/>
        </w:rPr>
        <w:lastRenderedPageBreak/>
        <w:t>14.10 Applications</w:t>
      </w:r>
      <w:bookmarkEnd w:id="123"/>
    </w:p>
    <w:p w14:paraId="095653DD" w14:textId="77777777" w:rsidR="00225419" w:rsidRDefault="00225419">
      <w:pPr>
        <w:jc w:val="both"/>
      </w:pPr>
    </w:p>
    <w:p w14:paraId="4FDBED4C" w14:textId="0D96C811" w:rsidR="00225419" w:rsidRDefault="18569871" w:rsidP="0537B9E0">
      <w:pPr>
        <w:pStyle w:val="1"/>
        <w:numPr>
          <w:ilvl w:val="0"/>
          <w:numId w:val="44"/>
        </w:numPr>
        <w:jc w:val="both"/>
      </w:pPr>
      <w:r>
        <w:t>Application fees are payable in respect of applications for new connection agreements and modifications to existing agreements based on the reasonable costs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5" w:name="_Toc220918039"/>
      <w:r w:rsidRPr="00415339">
        <w:rPr>
          <w:color w:val="auto"/>
          <w:sz w:val="28"/>
          <w:szCs w:val="28"/>
        </w:rPr>
        <w:lastRenderedPageBreak/>
        <w:t>14.11 Illustrative Connection Charges</w:t>
      </w:r>
      <w:bookmarkEnd w:id="121"/>
      <w:bookmarkEnd w:id="122"/>
      <w:bookmarkEnd w:id="124"/>
      <w:bookmarkEnd w:id="125"/>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6" w:name="_Toc32208961"/>
      <w:bookmarkStart w:id="127" w:name="_Toc44315422"/>
      <w:bookmarkStart w:id="128"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6"/>
      <w:bookmarkEnd w:id="127"/>
      <w:bookmarkEnd w:id="128"/>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29" w:name="_Int_iMeiRzmP"/>
      <w:r w:rsidRPr="0537B9E0">
        <w:rPr>
          <w:rFonts w:ascii="Arial" w:hAnsi="Arial" w:cs="Arial"/>
          <w:sz w:val="22"/>
          <w:szCs w:val="22"/>
        </w:rPr>
        <w:t>read through</w:t>
      </w:r>
      <w:bookmarkEnd w:id="129"/>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indexation</w:t>
      </w:r>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0" w:name="_Toc220918041"/>
      <w:bookmarkStart w:id="131" w:name="_Toc44315423"/>
      <w:r w:rsidRPr="002F776A">
        <w:lastRenderedPageBreak/>
        <w:t>Connection Examples</w:t>
      </w:r>
      <w:bookmarkEnd w:id="130"/>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lastRenderedPageBreak/>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lastRenderedPageBreak/>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1"/>
    </w:p>
    <w:p w14:paraId="27C6327F" w14:textId="77777777" w:rsidR="00225419" w:rsidRPr="00415339" w:rsidRDefault="00225419">
      <w:pPr>
        <w:pStyle w:val="Heading1"/>
        <w:rPr>
          <w:color w:val="auto"/>
          <w:sz w:val="28"/>
          <w:szCs w:val="28"/>
        </w:rPr>
      </w:pPr>
      <w:bookmarkStart w:id="132" w:name="_Toc220918042"/>
      <w:r w:rsidRPr="00415339">
        <w:rPr>
          <w:color w:val="auto"/>
          <w:sz w:val="28"/>
          <w:szCs w:val="28"/>
        </w:rPr>
        <w:lastRenderedPageBreak/>
        <w:t>14.12 Examples of Connection Charge Calculations</w:t>
      </w:r>
      <w:bookmarkEnd w:id="132"/>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3" w:name="_Toc32208970"/>
      <w:bookmarkStart w:id="134" w:name="_Toc44315431"/>
      <w:bookmarkStart w:id="135" w:name="_Toc220918043"/>
      <w:r w:rsidRPr="00225419">
        <w:rPr>
          <w:rFonts w:ascii="Arial" w:hAnsi="Arial" w:cs="Arial"/>
          <w:szCs w:val="22"/>
        </w:rPr>
        <w:t>Example 1</w:t>
      </w:r>
      <w:bookmarkEnd w:id="133"/>
      <w:bookmarkEnd w:id="134"/>
      <w:bookmarkEnd w:id="135"/>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6" w:name="_Int_ngggBxDu"/>
      <w:r w:rsidRPr="0537B9E0">
        <w:rPr>
          <w:rFonts w:ascii="Arial" w:hAnsi="Arial" w:cs="Arial"/>
          <w:sz w:val="22"/>
          <w:szCs w:val="22"/>
        </w:rPr>
        <w:t>i.e.</w:t>
      </w:r>
      <w:bookmarkEnd w:id="136"/>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7" w:name="_Int_gKv4Z4Kc"/>
      <w:r w:rsidRPr="0537B9E0">
        <w:rPr>
          <w:rFonts w:ascii="Arial" w:hAnsi="Arial" w:cs="Arial"/>
          <w:sz w:val="22"/>
          <w:szCs w:val="22"/>
        </w:rPr>
        <w:t>site specific</w:t>
      </w:r>
      <w:bookmarkEnd w:id="137"/>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8" w:name="_Int_IQdUL1RJ"/>
      <w:r w:rsidRPr="0537B9E0">
        <w:rPr>
          <w:rFonts w:ascii="Arial" w:hAnsi="Arial" w:cs="Arial"/>
          <w:sz w:val="22"/>
          <w:szCs w:val="22"/>
        </w:rPr>
        <w:t>40 year</w:t>
      </w:r>
      <w:bookmarkEnd w:id="138"/>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39" w:name="_Int_Rxib9DkB"/>
      <w:r w:rsidRPr="0537B9E0">
        <w:rPr>
          <w:rFonts w:ascii="Arial" w:hAnsi="Arial" w:cs="Arial"/>
          <w:sz w:val="22"/>
          <w:szCs w:val="22"/>
        </w:rPr>
        <w:t>40 year</w:t>
      </w:r>
      <w:bookmarkEnd w:id="139"/>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0" w:name="_Int_KZL5Xcme"/>
      <w:r w:rsidRPr="0537B9E0">
        <w:rPr>
          <w:rFonts w:ascii="Arial" w:hAnsi="Arial" w:cs="Arial"/>
          <w:sz w:val="22"/>
          <w:szCs w:val="22"/>
        </w:rPr>
        <w:t>For the purpose of</w:t>
      </w:r>
      <w:bookmarkEnd w:id="140"/>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1"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2" w:name="_Int_tUQubkrq"/>
            <w:r w:rsidRPr="0537B9E0">
              <w:rPr>
                <w:rFonts w:ascii="Arial" w:hAnsi="Arial" w:cs="Arial"/>
                <w:sz w:val="22"/>
                <w:szCs w:val="22"/>
              </w:rPr>
              <w:t>40 year</w:t>
            </w:r>
            <w:bookmarkEnd w:id="142"/>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1"/>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3" w:name="_Int_rXKsaRrD"/>
      <w:r w:rsidRPr="0537B9E0">
        <w:rPr>
          <w:rFonts w:ascii="Arial" w:hAnsi="Arial" w:cs="Arial"/>
          <w:b/>
          <w:bCs/>
          <w:sz w:val="22"/>
          <w:szCs w:val="22"/>
        </w:rPr>
        <w:t>first year</w:t>
      </w:r>
      <w:bookmarkEnd w:id="143"/>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4" w:name="_Toc44315432"/>
      <w:bookmarkStart w:id="145" w:name="_Toc220918044"/>
    </w:p>
    <w:p w14:paraId="3F3F3B88" w14:textId="77777777" w:rsidR="00225419" w:rsidRDefault="00225419">
      <w:pPr>
        <w:pStyle w:val="Heading2"/>
      </w:pPr>
      <w:r>
        <w:t>Example 2</w:t>
      </w:r>
      <w:bookmarkEnd w:id="144"/>
      <w:bookmarkEnd w:id="145"/>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lastRenderedPageBreak/>
        <w:t>The previous example assumes that the asset is commissioned on 1 April 2010</w:t>
      </w:r>
      <w:r w:rsidR="36979604">
        <w:t xml:space="preserve">. </w:t>
      </w:r>
      <w:r>
        <w:t xml:space="preserve">If it is assumed that the asset is commissioned on 1 July 2010, the </w:t>
      </w:r>
      <w:bookmarkStart w:id="146" w:name="_Int_tclbppdD"/>
      <w:r>
        <w:t>first year</w:t>
      </w:r>
      <w:bookmarkEnd w:id="146"/>
      <w:r>
        <w:t xml:space="preserve"> charge would equal 9/12th of the first year annual connection charge </w:t>
      </w:r>
      <w:bookmarkStart w:id="147" w:name="_Int_vVBjww52"/>
      <w:r>
        <w:t>i.e.</w:t>
      </w:r>
      <w:bookmarkEnd w:id="147"/>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8" w:name="_Toc32208972"/>
      <w:bookmarkStart w:id="149" w:name="_Toc44315433"/>
      <w:bookmarkStart w:id="150" w:name="_Toc220918045"/>
      <w:r>
        <w:t>Example 3</w:t>
      </w:r>
      <w:bookmarkEnd w:id="148"/>
      <w:bookmarkEnd w:id="149"/>
      <w:bookmarkEnd w:id="150"/>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In the case of a firm price agreement, there will be two elements in the connection charge, a finance component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1" w:name="_Int_agQcUDb0"/>
      <w:r w:rsidRPr="0537B9E0">
        <w:rPr>
          <w:rFonts w:ascii="Arial" w:hAnsi="Arial" w:cs="Arial"/>
          <w:sz w:val="22"/>
          <w:szCs w:val="22"/>
        </w:rPr>
        <w:t>exactly the same</w:t>
      </w:r>
      <w:bookmarkEnd w:id="151"/>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2" w:name="_Int_UcL83BX1"/>
      <w:r w:rsidRPr="0537B9E0">
        <w:rPr>
          <w:rFonts w:ascii="Arial" w:hAnsi="Arial" w:cs="Arial"/>
          <w:sz w:val="22"/>
          <w:szCs w:val="22"/>
        </w:rPr>
        <w:t>as a result of</w:t>
      </w:r>
      <w:bookmarkEnd w:id="152"/>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3" w:name="_Toc32208973"/>
      <w:bookmarkStart w:id="154" w:name="_Toc44315434"/>
      <w:bookmarkStart w:id="155" w:name="_Toc220918046"/>
      <w:r>
        <w:t>Example 4</w:t>
      </w:r>
      <w:bookmarkEnd w:id="153"/>
      <w:bookmarkEnd w:id="154"/>
      <w:bookmarkEnd w:id="155"/>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6" w:name="_Toc48626029"/>
      <w:bookmarkStart w:id="157" w:name="_Toc220918047"/>
      <w:r w:rsidRPr="00415339">
        <w:rPr>
          <w:color w:val="auto"/>
          <w:sz w:val="28"/>
          <w:szCs w:val="28"/>
        </w:rPr>
        <w:t xml:space="preserve">14.13 </w:t>
      </w:r>
      <w:bookmarkEnd w:id="156"/>
      <w:r w:rsidRPr="00415339">
        <w:rPr>
          <w:color w:val="auto"/>
          <w:sz w:val="28"/>
          <w:szCs w:val="28"/>
        </w:rPr>
        <w:t>Nominally Over Equipped Connection Sites</w:t>
      </w:r>
      <w:bookmarkEnd w:id="157"/>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8" w:name="_Toc44315467"/>
      <w:bookmarkStart w:id="159" w:name="_Toc220918048"/>
      <w:r>
        <w:t>Historical</w:t>
      </w:r>
      <w:bookmarkEnd w:id="158"/>
      <w:bookmarkEnd w:id="159"/>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0" w:name="_Toc44315469"/>
      <w:bookmarkStart w:id="161" w:name="_Toc220918049"/>
      <w:r>
        <w:t>Early Construction</w:t>
      </w:r>
      <w:bookmarkEnd w:id="160"/>
      <w:bookmarkEnd w:id="161"/>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2" w:name="_Toc44315470"/>
    </w:p>
    <w:p w14:paraId="7B2E521D" w14:textId="77777777" w:rsidR="00225419" w:rsidRDefault="00225419"/>
    <w:p w14:paraId="3B11273C" w14:textId="77777777" w:rsidR="00225419" w:rsidRDefault="00225419">
      <w:pPr>
        <w:pStyle w:val="Heading2"/>
        <w:jc w:val="both"/>
      </w:pPr>
      <w:bookmarkStart w:id="163" w:name="_Toc220918050"/>
      <w:r>
        <w:t>Connection site Specific Technical or Economic Conditions</w:t>
      </w:r>
      <w:bookmarkEnd w:id="162"/>
      <w:bookmarkEnd w:id="163"/>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4" w:name="_Int_kMBpwaXx"/>
      <w:r>
        <w:t>has to</w:t>
      </w:r>
      <w:bookmarkEnd w:id="164"/>
      <w:r>
        <w:t xml:space="preserve"> be greater than the strict, theoretical interpretation of the standards</w:t>
      </w:r>
      <w:r w:rsidR="729040FE">
        <w:t xml:space="preserve">. </w:t>
      </w:r>
      <w:r>
        <w:t xml:space="preserve">In these </w:t>
      </w:r>
      <w:bookmarkStart w:id="165" w:name="_Int_5zw2ajBL"/>
      <w:r>
        <w:t>cases</w:t>
      </w:r>
      <w:bookmarkEnd w:id="165"/>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6" w:name="_Toc32201074"/>
      <w:bookmarkStart w:id="167" w:name="_Toc49661105"/>
      <w:bookmarkStart w:id="168" w:name="_Toc274049676"/>
      <w:r w:rsidRPr="002338F3">
        <w:rPr>
          <w:color w:val="auto"/>
          <w:sz w:val="32"/>
          <w:szCs w:val="32"/>
        </w:rPr>
        <w:lastRenderedPageBreak/>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6"/>
      <w:bookmarkEnd w:id="167"/>
      <w:bookmarkEnd w:id="168"/>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664E23A4" w14:textId="77777777" w:rsidR="00E571C2" w:rsidRDefault="00A800EA" w:rsidP="00A800EA">
      <w:pPr>
        <w:pStyle w:val="1"/>
        <w:numPr>
          <w:ilvl w:val="0"/>
          <w:numId w:val="46"/>
        </w:numPr>
        <w:tabs>
          <w:tab w:val="num" w:pos="720"/>
        </w:tabs>
        <w:ind w:left="1627"/>
        <w:rPr>
          <w:ins w:id="169" w:author="Stephen Dale (ESO)" w:date="2023-11-08T17:26:00Z"/>
        </w:rPr>
      </w:pPr>
      <w:ins w:id="170" w:author="Alex Aristodemou" w:date="2023-11-03T16:17:00Z">
        <w:r>
          <w:t xml:space="preserve">The </w:t>
        </w:r>
      </w:ins>
      <w:ins w:id="171" w:author="Craig Bell" w:date="2023-11-06T08:36:00Z">
        <w:r w:rsidR="00A04F2E">
          <w:t xml:space="preserve">method for calculating the </w:t>
        </w:r>
      </w:ins>
      <w:ins w:id="172" w:author="Alex Aristodemou" w:date="2023-11-03T16:17:00Z">
        <w:r>
          <w:t xml:space="preserve">Allowed Revenue for each </w:t>
        </w:r>
        <w:r>
          <w:rPr>
            <w:b/>
            <w:bCs/>
          </w:rPr>
          <w:t>Transmission Owner</w:t>
        </w:r>
        <w:r>
          <w:t xml:space="preserve"> (as defined in their licence)</w:t>
        </w:r>
        <w:r>
          <w:fldChar w:fldCharType="begin"/>
        </w:r>
        <w:r>
          <w:instrText xml:space="preserve"> XE "Maximum Allowed Revenue" </w:instrText>
        </w:r>
        <w:r>
          <w:fldChar w:fldCharType="end"/>
        </w:r>
        <w:r>
          <w:t xml:space="preserve"> for these activities is agreed with the </w:t>
        </w:r>
        <w:r w:rsidRPr="00212696">
          <w:rPr>
            <w:b/>
            <w:bCs/>
          </w:rPr>
          <w:t>Authority</w:t>
        </w:r>
        <w:r>
          <w:t xml:space="preserve"> at the time of the </w:t>
        </w:r>
        <w:r w:rsidRPr="004033DD">
          <w:rPr>
            <w:b/>
            <w:bCs/>
          </w:rPr>
          <w:t>Transmission Owner</w:t>
        </w:r>
        <w:r>
          <w:rPr>
            <w:b/>
            <w:bCs/>
          </w:rPr>
          <w:t>’</w:t>
        </w:r>
        <w:r w:rsidRPr="004033DD">
          <w:rPr>
            <w:b/>
            <w:bCs/>
          </w:rPr>
          <w:t>s</w:t>
        </w:r>
        <w:r>
          <w:t xml:space="preserve"> price control review for the succeeding price control period. </w:t>
        </w:r>
      </w:ins>
    </w:p>
    <w:p w14:paraId="5EBA43D0" w14:textId="77777777" w:rsidR="00E571C2" w:rsidRDefault="00E571C2" w:rsidP="00CD5FBB">
      <w:pPr>
        <w:pStyle w:val="ListParagraph"/>
        <w:rPr>
          <w:ins w:id="173" w:author="Stephen Dale (ESO)" w:date="2023-11-08T17:26:00Z"/>
          <w:b/>
          <w:bCs/>
        </w:rPr>
      </w:pPr>
    </w:p>
    <w:p w14:paraId="3013CD8A" w14:textId="3CDF8716" w:rsidR="00A800EA" w:rsidRDefault="00A800EA" w:rsidP="00CD5FBB">
      <w:pPr>
        <w:pStyle w:val="1"/>
        <w:tabs>
          <w:tab w:val="num" w:pos="720"/>
        </w:tabs>
        <w:ind w:left="1627"/>
        <w:rPr>
          <w:ins w:id="174" w:author="Alex Aristodemou" w:date="2023-11-03T16:17:00Z"/>
        </w:rPr>
      </w:pPr>
      <w:ins w:id="175" w:author="Alex Aristodemou" w:date="2023-11-03T16:17:00Z">
        <w:r w:rsidRPr="00212696">
          <w:rPr>
            <w:b/>
            <w:bCs/>
          </w:rPr>
          <w:t>Transmission Network Use of System Charges</w:t>
        </w:r>
        <w:r>
          <w:t xml:space="preserve"> are set to recover the Maximum Revenue, as defined in Special Condition 3.1 of </w:t>
        </w:r>
        <w:r>
          <w:rPr>
            <w:b/>
            <w:bCs/>
          </w:rPr>
          <w:t>The Company’s Transmission Licence</w:t>
        </w:r>
      </w:ins>
      <w:ins w:id="176" w:author="Craig Bell" w:date="2023-11-06T08:36:00Z">
        <w:r w:rsidR="00A04F2E">
          <w:rPr>
            <w:b/>
            <w:bCs/>
          </w:rPr>
          <w:t xml:space="preserve"> </w:t>
        </w:r>
        <w:r w:rsidR="00A04F2E" w:rsidRPr="00091EE6">
          <w:t xml:space="preserve">(a term that includes the Allowed Revenue of each </w:t>
        </w:r>
        <w:r w:rsidR="00A04F2E">
          <w:rPr>
            <w:b/>
            <w:bCs/>
          </w:rPr>
          <w:t>Transmission Owner</w:t>
        </w:r>
        <w:r w:rsidR="00A04F2E" w:rsidRPr="00091EE6">
          <w:t>)</w:t>
        </w:r>
      </w:ins>
      <w:ins w:id="177" w:author="Alex Aristodemou" w:date="2023-11-03T16:17:00Z">
        <w:r>
          <w:t>.</w:t>
        </w:r>
        <w:r>
          <w:br/>
        </w:r>
        <w:bookmarkStart w:id="178" w:name="_Hlk146714034"/>
      </w:ins>
    </w:p>
    <w:bookmarkEnd w:id="178"/>
    <w:p w14:paraId="47C6C0CF" w14:textId="789C1128" w:rsidR="006661FE" w:rsidDel="003B6D98" w:rsidRDefault="4DB720A2" w:rsidP="0537B9E0">
      <w:pPr>
        <w:pStyle w:val="1"/>
        <w:numPr>
          <w:ilvl w:val="0"/>
          <w:numId w:val="46"/>
        </w:numPr>
        <w:tabs>
          <w:tab w:val="num" w:pos="720"/>
        </w:tabs>
        <w:ind w:left="1627"/>
        <w:jc w:val="both"/>
        <w:rPr>
          <w:del w:id="179" w:author="Alex Aristodemou" w:date="2023-10-05T21:30:00Z"/>
        </w:rPr>
      </w:pPr>
      <w:del w:id="180" w:author="Alex Aristodemou" w:date="2023-10-05T21:30:00Z">
        <w:r w:rsidDel="003B6D98">
          <w:delText>A Maximum Allowed Revenue</w:delText>
        </w:r>
        <w:r w:rsidR="006661FE" w:rsidDel="003B6D98">
          <w:fldChar w:fldCharType="begin"/>
        </w:r>
        <w:r w:rsidR="006661FE" w:rsidDel="003B6D98">
          <w:delInstrText xml:space="preserve"> XE "Maximum Allowed Revenue" </w:delInstrText>
        </w:r>
        <w:r w:rsidR="006661FE" w:rsidDel="003B6D98">
          <w:fldChar w:fldCharType="end"/>
        </w:r>
        <w:r w:rsidDel="003B6D98">
          <w:delText xml:space="preserve"> (MAR) defined for these activities and those associated with pre-vesting connections is set by the Authority at the time of the Transmission Owners’ price control review for the succeeding price control period</w:delText>
        </w:r>
        <w:r w:rsidR="2F3FCD97" w:rsidDel="003B6D98">
          <w:delText xml:space="preserve">. </w:delText>
        </w:r>
        <w:r w:rsidDel="003B6D98">
          <w:delText>Transmission Network Use of System Charges are set to recover the Maximum Allowed Revenue as set by the Price Control (where necessary, allowing for any K</w:delText>
        </w:r>
        <w:r w:rsidRPr="0537B9E0" w:rsidDel="003B6D98">
          <w:rPr>
            <w:vertAlign w:val="subscript"/>
          </w:rPr>
          <w:delText>t</w:delText>
        </w:r>
        <w:r w:rsidDel="003B6D98">
          <w:delText xml:space="preserve"> adjustment for under or over recovery in a previous year net of the income recovered through pre-vesting connection charges).</w:delText>
        </w:r>
      </w:del>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81" w:name="_Int_K0by3BFj"/>
      <w:r>
        <w:t>April 2004</w:t>
      </w:r>
      <w:bookmarkEnd w:id="181"/>
      <w:r>
        <w:t xml:space="preserve"> </w:t>
      </w:r>
      <w:bookmarkStart w:id="182" w:name="_Int_Patcmq2R"/>
      <w:r w:rsidR="58867969" w:rsidRPr="0537B9E0">
        <w:rPr>
          <w:b/>
          <w:bCs/>
        </w:rPr>
        <w:t>The</w:t>
      </w:r>
      <w:bookmarkEnd w:id="182"/>
      <w:r w:rsidRPr="0537B9E0">
        <w:rPr>
          <w:b/>
          <w:bCs/>
        </w:rPr>
        <w:t xml:space="preserve"> Company</w:t>
      </w:r>
      <w:r>
        <w:t xml:space="preserve"> introduced a DC Loadflow (DCLF) ICRP based transport model for the England and Wales charging methodology. The DCLF model has been extended to incorporate Scottish network data with existing </w:t>
      </w:r>
      <w:r>
        <w:lastRenderedPageBreak/>
        <w:t xml:space="preserve">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83" w:name="OLE_LINK3"/>
      <w:r>
        <w:t>The application of a de-minimus level demand charge of £0/kW for Half Hourly and £0/kWh for Non</w:t>
      </w:r>
      <w:r w:rsidR="31229BBB">
        <w:t>-</w:t>
      </w:r>
      <w:r>
        <w:t xml:space="preserve">Half Hourly metered demand </w:t>
      </w:r>
      <w:r w:rsidR="78F4669F">
        <w:t xml:space="preserve">and £0/KWh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83"/>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(GCharge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84" w:name="_Int_3qtJW4u3"/>
      <w:r w:rsidR="58867969" w:rsidRPr="0537B9E0">
        <w:rPr>
          <w:b/>
          <w:bCs/>
        </w:rPr>
        <w:t>The</w:t>
      </w:r>
      <w:bookmarkEnd w:id="184"/>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Where annual average TNUoS charges to Generators are positive under the GCharge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 xml:space="preserve">Where annual average TNUoS charges to Generators are negative under the GCharge (Forecast) the Adjustment Revenue will be the </w:t>
      </w:r>
      <w:r w:rsidR="006C1394">
        <w:lastRenderedPageBreak/>
        <w:t>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(AdjGenRev)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y = (1+ ErrorGenRev) / (1 - ErrorGO)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r w:rsidRPr="000215F8">
        <w:rPr>
          <w:b/>
        </w:rPr>
        <w:t>ErrorGenRev</w:t>
      </w:r>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r w:rsidRPr="000215F8">
        <w:rPr>
          <w:b/>
        </w:rPr>
        <w:t>ErrorGO</w:t>
      </w:r>
      <w:r>
        <w:t xml:space="preserve"> = the highest absolute percentage error in generation TWh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85" w:name="_Int_MPTp3TJY"/>
      <w:r w:rsidR="341F9F42">
        <w:t>31</w:t>
      </w:r>
      <w:r w:rsidR="341F9F42" w:rsidRPr="0537B9E0">
        <w:rPr>
          <w:rFonts w:ascii="Arial" w:hAnsi="Arial"/>
          <w:vertAlign w:val="superscript"/>
        </w:rPr>
        <w:t>st</w:t>
      </w:r>
      <w:bookmarkEnd w:id="185"/>
      <w:r w:rsidR="341F9F42">
        <w:t xml:space="preserve"> October in the year preceding the relevant </w:t>
      </w:r>
      <w:r w:rsidR="17E170F1" w:rsidRPr="0537B9E0">
        <w:rPr>
          <w:b/>
          <w:bCs/>
        </w:rPr>
        <w:t>Financial Year</w:t>
      </w:r>
      <w:r w:rsidR="17E170F1">
        <w:t xml:space="preserve"> </w:t>
      </w:r>
      <w:r w:rsidR="341F9F42">
        <w:t>to convert average annual TNUoS charges payable by Generators in the GCharge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r>
        <w:t xml:space="preserve">Where; </w:t>
      </w:r>
    </w:p>
    <w:p w14:paraId="0A0939FE" w14:textId="5F46AC51" w:rsidR="00B135E3" w:rsidRDefault="00B135E3" w:rsidP="000215F8">
      <w:pPr>
        <w:pStyle w:val="1"/>
        <w:ind w:firstLine="1276"/>
        <w:jc w:val="both"/>
      </w:pPr>
      <w:r>
        <w:t xml:space="preserve">    Cap</w:t>
      </w:r>
      <w:r>
        <w:rPr>
          <w:rFonts w:ascii="Arial" w:hAnsi="Arial"/>
          <w:vertAlign w:val="subscript"/>
        </w:rPr>
        <w:t>EC</w:t>
      </w:r>
      <w:r>
        <w:t xml:space="preserve"> </w:t>
      </w:r>
      <w:r w:rsidR="00142062">
        <w:t xml:space="preserve"> </w:t>
      </w:r>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r w:rsidR="00F20735">
        <w:rPr>
          <w:rFonts w:ascii="Arial" w:hAnsi="Arial"/>
        </w:rPr>
        <w:t>Cap</w:t>
      </w:r>
      <w:r w:rsidR="00F20735">
        <w:rPr>
          <w:rFonts w:ascii="Arial" w:hAnsi="Arial"/>
          <w:vertAlign w:val="subscript"/>
        </w:rPr>
        <w:t>EC</w:t>
      </w:r>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86" w:name="_Int_nHtJyKqR"/>
      <w:r>
        <w:t>i.e.</w:t>
      </w:r>
      <w:bookmarkEnd w:id="186"/>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lastRenderedPageBreak/>
        <w:t xml:space="preserve"> ER </w:t>
      </w:r>
      <w:r w:rsidR="465D395B">
        <w:t xml:space="preserve">     </w:t>
      </w:r>
      <w:r>
        <w:t xml:space="preserve">= The latest OBR Forecast €/£ Exchange Rate published prior to the </w:t>
      </w:r>
      <w:bookmarkStart w:id="187" w:name="_Int_hVAvqiY9"/>
      <w:r>
        <w:t>31</w:t>
      </w:r>
      <w:r w:rsidR="671D01F3" w:rsidRPr="0537B9E0">
        <w:rPr>
          <w:rFonts w:ascii="Arial" w:hAnsi="Arial"/>
          <w:vertAlign w:val="superscript"/>
        </w:rPr>
        <w:t>st</w:t>
      </w:r>
      <w:bookmarkEnd w:id="187"/>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r>
        <w:t xml:space="preserve">GCharge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r>
        <w:t xml:space="preserve">AdjRevenue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r>
        <w:t>AdjTariff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88" w:name="_Int_DnJPpaDG"/>
      <w:r w:rsidRPr="0537B9E0">
        <w:rPr>
          <w:rFonts w:ascii="Arial" w:hAnsi="Arial" w:cs="Arial"/>
          <w:sz w:val="22"/>
          <w:szCs w:val="22"/>
        </w:rPr>
        <w:t>different locations</w:t>
      </w:r>
      <w:bookmarkEnd w:id="188"/>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89" w:name="_Int_wbv3ngMN"/>
      <w:r w:rsidRPr="0537B9E0">
        <w:rPr>
          <w:rFonts w:ascii="Arial" w:hAnsi="Arial" w:cs="Arial"/>
          <w:sz w:val="22"/>
          <w:szCs w:val="22"/>
        </w:rPr>
        <w:t>addition</w:t>
      </w:r>
      <w:bookmarkEnd w:id="189"/>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90" w:name="_Int_F7vxyyqG"/>
      <w:r w:rsidRPr="0537B9E0">
        <w:rPr>
          <w:rFonts w:ascii="Arial" w:hAnsi="Arial" w:cs="Arial"/>
          <w:sz w:val="22"/>
          <w:szCs w:val="22"/>
        </w:rPr>
        <w:t>largely driven</w:t>
      </w:r>
      <w:bookmarkEnd w:id="190"/>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i.e.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91" w:name="_Int_4dpoWLWC"/>
      <w:r>
        <w:t>in order to</w:t>
      </w:r>
      <w:bookmarkEnd w:id="191"/>
      <w:r>
        <w:t xml:space="preserve"> meet varying </w:t>
      </w:r>
      <w:r>
        <w:lastRenderedPageBreak/>
        <w:t>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t xml:space="preserve">The TNUoS charging methodology seeks to reflect these arrangements </w:t>
      </w:r>
      <w:bookmarkStart w:id="192" w:name="_Int_CYFr6udg"/>
      <w:r>
        <w:t>through the use of</w:t>
      </w:r>
      <w:bookmarkEnd w:id="192"/>
      <w:r>
        <w:t xml:space="preserve"> dual backgrounds in the Transport Model, namely a Peak Security background representative of the Demand Security Criterion and a </w:t>
      </w:r>
      <w:bookmarkStart w:id="193" w:name="_Int_96RtqgYX"/>
      <w:r>
        <w:t>Year Round</w:t>
      </w:r>
      <w:bookmarkEnd w:id="193"/>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94" w:name="_Int_CV9cDdyP"/>
      <w:r>
        <w:t>various types</w:t>
      </w:r>
      <w:bookmarkEnd w:id="194"/>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95" w:name="_Int_r7R2ntED"/>
      <w:r>
        <w:t>Year Round</w:t>
      </w:r>
      <w:bookmarkEnd w:id="195"/>
      <w:r>
        <w:t xml:space="preserve"> </w:t>
      </w:r>
      <w:bookmarkStart w:id="196" w:name="_Int_I8vQ0FjM"/>
      <w:r>
        <w:t>backgrounds</w:t>
      </w:r>
      <w:bookmarkEnd w:id="196"/>
      <w:r>
        <w:t xml:space="preserve"> respectively</w:t>
      </w:r>
      <w:r w:rsidR="2BEA94C5">
        <w:t xml:space="preserve">. </w:t>
      </w:r>
      <w:r>
        <w:t xml:space="preserve">For the Year Round background the diversity of the plant mix (i.e the proportion of low carbon and carbon generation) in each charging zone is also </w:t>
      </w:r>
      <w:bookmarkStart w:id="197" w:name="_Int_vqxodb1U"/>
      <w:r>
        <w:t>taken into account</w:t>
      </w:r>
      <w:bookmarkEnd w:id="197"/>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98" w:name="_Int_dC3bosch"/>
      <w:r>
        <w:t>a number of</w:t>
      </w:r>
      <w:bookmarkEnd w:id="198"/>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1D0F7754"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99" w:name="_Int_sgro87Fp"/>
      <w:r>
        <w:t>on the basis of</w:t>
      </w:r>
      <w:bookmarkEnd w:id="199"/>
      <w:r>
        <w:t xml:space="preserve"> services provided and </w:t>
      </w:r>
      <w:bookmarkStart w:id="200" w:name="_Int_ykhPNOty"/>
      <w:r>
        <w:t>on the basis of</w:t>
      </w:r>
      <w:bookmarkEnd w:id="200"/>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201" w:name="_Int_fI1AvZQf"/>
      <w:r>
        <w:t>time-scales</w:t>
      </w:r>
      <w:bookmarkEnd w:id="201"/>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202" w:name="_Int_ViXwuHMn"/>
      <w:r w:rsidR="4DB720A2">
        <w:t>However</w:t>
      </w:r>
      <w:bookmarkEnd w:id="202"/>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203" w:name="_Hlt501800266"/>
      <w:bookmarkStart w:id="204" w:name="_Hlt506958549"/>
      <w:bookmarkStart w:id="205" w:name="_Hlt531602422"/>
      <w:bookmarkStart w:id="206" w:name="_Ref492170858"/>
      <w:bookmarkStart w:id="207" w:name="_Ref501800370"/>
      <w:bookmarkStart w:id="208" w:name="_Ref506633072"/>
      <w:bookmarkStart w:id="209" w:name="_Ref531602385"/>
      <w:bookmarkStart w:id="210" w:name="_Toc32201075"/>
      <w:bookmarkStart w:id="211" w:name="_Toc49661106"/>
      <w:bookmarkEnd w:id="203"/>
      <w:bookmarkEnd w:id="204"/>
      <w:bookmarkEnd w:id="205"/>
      <w:r>
        <w:br w:type="page"/>
      </w:r>
      <w:bookmarkStart w:id="212"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206"/>
      <w:bookmarkEnd w:id="207"/>
      <w:bookmarkEnd w:id="208"/>
      <w:bookmarkEnd w:id="209"/>
      <w:bookmarkEnd w:id="210"/>
      <w:bookmarkEnd w:id="211"/>
      <w:bookmarkEnd w:id="212"/>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13" w:name="_Int_B2K1ZxG9"/>
      <w:r>
        <w:t>different locations</w:t>
      </w:r>
      <w:bookmarkEnd w:id="213"/>
      <w:r>
        <w:t>. Secondly, a non-locationally varyin</w:t>
      </w:r>
      <w:bookmarkStart w:id="214" w:name="_Hlt501802899"/>
      <w:bookmarkEnd w:id="214"/>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15" w:name="_Int_W7JH7fwt"/>
      <w:r>
        <w:t>Year Round</w:t>
      </w:r>
      <w:bookmarkEnd w:id="215"/>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different generation backgrounds set out in the Demand Security Criterion (for Peak Security component) and Economy Criterion (for both YearRound components) of the Security Standard</w:t>
      </w:r>
      <w:r w:rsidR="303AD364">
        <w:t xml:space="preserve">. </w:t>
      </w:r>
      <w:r>
        <w:t xml:space="preserve">The </w:t>
      </w:r>
      <w:bookmarkStart w:id="216" w:name="_Int_hpRkVrXC"/>
      <w:r>
        <w:t>two Year</w:t>
      </w:r>
      <w:bookmarkEnd w:id="216"/>
      <w:r>
        <w:t xml:space="preserve"> Round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17" w:name="OLE_LINK10"/>
      <w:bookmarkStart w:id="218" w:name="OLE_LINK11"/>
      <w:r>
        <w:t xml:space="preserve">represents the combined effect of the </w:t>
      </w:r>
      <w:r w:rsidR="0084619F">
        <w:t xml:space="preserve">three </w:t>
      </w:r>
      <w:r>
        <w:t>wider locational tariff component</w:t>
      </w:r>
      <w:r w:rsidR="0048210A">
        <w:t>s</w:t>
      </w:r>
      <w:r>
        <w:t xml:space="preserve"> </w:t>
      </w:r>
      <w:bookmarkEnd w:id="217"/>
      <w:bookmarkEnd w:id="218"/>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19" w:name="_Toc32201076"/>
      <w:bookmarkStart w:id="220" w:name="_Toc49661107"/>
      <w:bookmarkStart w:id="221" w:name="_Toc274049678"/>
      <w:r>
        <w:t>The Transport Model</w:t>
      </w:r>
      <w:bookmarkEnd w:id="219"/>
      <w:bookmarkEnd w:id="220"/>
      <w:bookmarkEnd w:id="221"/>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22" w:name="_Toc49661108"/>
      <w:bookmarkStart w:id="223" w:name="_Toc274049679"/>
      <w:r w:rsidRPr="006661FE">
        <w:rPr>
          <w:rFonts w:ascii="Arial" w:hAnsi="Arial" w:cs="Arial"/>
          <w:b/>
        </w:rPr>
        <w:t>Model Inputs</w:t>
      </w:r>
      <w:bookmarkEnd w:id="222"/>
      <w:bookmarkEnd w:id="223"/>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24" w:name="_Int_XPcSAJTm"/>
      <w:r>
        <w:t>as a consequence of</w:t>
      </w:r>
      <w:bookmarkEnd w:id="224"/>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25" w:name="_Int_i0d8B0dg"/>
      <w:r w:rsidR="579DDD42">
        <w:t>Year Round</w:t>
      </w:r>
      <w:bookmarkEnd w:id="225"/>
      <w:r w:rsidR="579DDD42">
        <w:t xml:space="preserve"> generation backgrounds </w:t>
      </w:r>
      <w:r>
        <w:t>on the transmission system</w:t>
      </w:r>
      <w:r w:rsidR="633726A8">
        <w:t xml:space="preserve">. </w:t>
      </w:r>
      <w:r>
        <w:t>One measure of the investment costs is in terms of MWkm</w:t>
      </w:r>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Hence, marginal costs are estimated 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lastRenderedPageBreak/>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26" w:name="_Int_tamLVqJh"/>
      <w:r w:rsidR="579DDD42">
        <w:t>Year Round</w:t>
      </w:r>
      <w:bookmarkEnd w:id="226"/>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27" w:name="_Ref348628645"/>
      <w:r>
        <w:t xml:space="preserve">Scaling factors for different generation plant types are applied on their aggregated capacity for both Peak Security and </w:t>
      </w:r>
      <w:bookmarkStart w:id="228" w:name="_Int_xXfV1P1L"/>
      <w:r>
        <w:t>Year Round</w:t>
      </w:r>
      <w:bookmarkEnd w:id="228"/>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27"/>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29" w:name="_Int_gGff1tyW"/>
            <w:r w:rsidRPr="0537B9E0">
              <w:rPr>
                <w:b/>
                <w:bCs/>
              </w:rPr>
              <w:t>Year Round</w:t>
            </w:r>
            <w:bookmarkEnd w:id="229"/>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30" w:name="_Int_bBTDZe0O"/>
            <w:r>
              <w:t>Fixed  (</w:t>
            </w:r>
            <w:bookmarkEnd w:id="230"/>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940F3A">
      <w:pPr>
        <w:pStyle w:val="1"/>
        <w:ind w:left="1080"/>
        <w:jc w:val="both"/>
      </w:pPr>
    </w:p>
    <w:p w14:paraId="4BB247ED" w14:textId="34269A15"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ed in the Security Standard. Peaking plant will include oil and OCGT technologies and Other (Conv.) represents all remaining conventional plant not explicitly stated elsewhere in the tabl</w:t>
      </w:r>
      <w:r w:rsidR="012AD273">
        <w:t>e</w:t>
      </w:r>
      <w:r w:rsidR="1979FBEC">
        <w:t xml:space="preserve"> </w:t>
      </w:r>
      <w:bookmarkStart w:id="231" w:name="_Int_xYW0Z6w1"/>
      <w:r w:rsidR="1979FBEC">
        <w:t>In</w:t>
      </w:r>
      <w:bookmarkEnd w:id="231"/>
      <w:r w:rsidR="1979FBEC">
        <w:t xml:space="preserve"> the event that a power station is made up of more than one technology type, the type of the higher Transmission Entry Capacity (TEC) would apply.</w:t>
      </w:r>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lastRenderedPageBreak/>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(i)</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32" w:name="_Int_Rv5nVH1x"/>
      <w:r>
        <w:t>case by case</w:t>
      </w:r>
      <w:bookmarkEnd w:id="232"/>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33" w:name="_Int_6PdXfbG2"/>
            <w:r w:rsidRPr="0537B9E0">
              <w:rPr>
                <w:rFonts w:ascii="Arial" w:hAnsi="Arial" w:cs="Arial"/>
                <w:sz w:val="22"/>
                <w:szCs w:val="22"/>
              </w:rPr>
              <w:t>e.g.</w:t>
            </w:r>
            <w:bookmarkEnd w:id="233"/>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TEC; </w:t>
            </w:r>
            <w:bookmarkStart w:id="234" w:name="_Int_h0oQ8U6P"/>
            <w:r w:rsidRPr="0537B9E0">
              <w:rPr>
                <w:rFonts w:ascii="Arial" w:hAnsi="Arial" w:cs="Arial"/>
                <w:sz w:val="22"/>
                <w:szCs w:val="22"/>
              </w:rPr>
              <w:t>i.e.</w:t>
            </w:r>
            <w:bookmarkEnd w:id="234"/>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35" w:name="_Int_dMbJ9VUH"/>
            <w:r w:rsidRPr="0537B9E0">
              <w:rPr>
                <w:rFonts w:ascii="Arial" w:hAnsi="Arial" w:cs="Arial"/>
                <w:sz w:val="22"/>
                <w:szCs w:val="22"/>
              </w:rPr>
              <w:t>undertaken,</w:t>
            </w:r>
            <w:bookmarkEnd w:id="235"/>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36" w:name="_Toc49661109"/>
      <w:bookmarkStart w:id="237" w:name="_Toc274049680"/>
      <w:r w:rsidRPr="006661FE">
        <w:rPr>
          <w:rFonts w:ascii="Arial" w:hAnsi="Arial" w:cs="Arial"/>
          <w:b/>
        </w:rPr>
        <w:t>Model Outputs</w:t>
      </w:r>
      <w:bookmarkEnd w:id="236"/>
      <w:bookmarkEnd w:id="237"/>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38" w:name="_Int_WxyNOzUg"/>
      <w:r w:rsidR="6CE00157">
        <w:t>Year Round</w:t>
      </w:r>
      <w:bookmarkEnd w:id="238"/>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w:t>
      </w:r>
      <w:r w:rsidR="4DB720A2">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Year Round depending upon the background resulting in the highest flow. </w:t>
      </w:r>
      <w:bookmarkStart w:id="239" w:name="_Int_fMRWJncc"/>
      <w:r>
        <w:t>In the event that</w:t>
      </w:r>
      <w:bookmarkEnd w:id="239"/>
      <w:r>
        <w:t xml:space="preserve"> both backgrounds result in the same flow, the circuit will be tagged as Peak Security.</w:t>
      </w:r>
      <w:r w:rsidR="7A2506D7">
        <w:t xml:space="preserve"> </w:t>
      </w:r>
      <w:r w:rsidR="4DB720A2">
        <w:t>Then it calculates the resultant total network</w:t>
      </w:r>
      <w:r>
        <w:t xml:space="preserve"> Peak Security MWkm and </w:t>
      </w:r>
      <w:bookmarkStart w:id="240" w:name="_Int_240qzldk"/>
      <w:r>
        <w:t>Year Round</w:t>
      </w:r>
      <w:bookmarkEnd w:id="240"/>
      <w:r>
        <w:t xml:space="preserve"> </w:t>
      </w:r>
      <w:r w:rsidR="4DB720A2">
        <w:t>MWkm,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41" w:name="_Int_FzOG3kO3"/>
      <w:r w:rsidR="11B7C303">
        <w:t>Year Round</w:t>
      </w:r>
      <w:bookmarkEnd w:id="241"/>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the increase or decrease in total MWkm</w:t>
      </w:r>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42" w:name="_Int_dSSRqJlS"/>
      <w:r w:rsidR="11B7C303">
        <w:t>i.e.</w:t>
      </w:r>
      <w:bookmarkEnd w:id="242"/>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43" w:name="_Int_lmxkFyOs"/>
      <w:r w:rsidR="11B7C303">
        <w:t>Year Round</w:t>
      </w:r>
      <w:bookmarkEnd w:id="243"/>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Year Round</w:t>
      </w:r>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44" w:name="_Int_HrymkxGd"/>
      <w:r w:rsidR="11B7C303">
        <w:t>Year Round</w:t>
      </w:r>
      <w:bookmarkEnd w:id="244"/>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45" w:name="_Int_2QnK3fDd"/>
      <w:r w:rsidR="60A1BB6D">
        <w:t>Year Round</w:t>
      </w:r>
      <w:bookmarkEnd w:id="245"/>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46" w:name="_Int_6MK7GBHw"/>
      <w:r>
        <w:t>particular node’s</w:t>
      </w:r>
      <w:bookmarkEnd w:id="246"/>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47" w:name="_Toc32201077"/>
    </w:p>
    <w:p w14:paraId="736C8392" w14:textId="77777777" w:rsidR="006661FE" w:rsidRPr="009470D8" w:rsidRDefault="006661FE" w:rsidP="006661FE">
      <w:pPr>
        <w:pStyle w:val="Heading2"/>
      </w:pPr>
      <w:bookmarkStart w:id="248" w:name="_Toc274049681"/>
      <w:bookmarkStart w:id="249" w:name="_Toc49661110"/>
      <w:r w:rsidRPr="009470D8">
        <w:t>Calculation of local nodal marginal km</w:t>
      </w:r>
      <w:bookmarkEnd w:id="248"/>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50" w:name="_Int_0JyakC29"/>
      <w:r>
        <w:t>In order to</w:t>
      </w:r>
      <w:bookmarkEnd w:id="250"/>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i.e.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51" w:name="_Toc274049682"/>
      <w:r>
        <w:t>Calculation of zonal marginal km</w:t>
      </w:r>
      <w:bookmarkEnd w:id="247"/>
      <w:bookmarkEnd w:id="249"/>
      <w:bookmarkEnd w:id="251"/>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52" w:name="_Int_7z0Nocfs"/>
      <w:r>
        <w:t>relatively stable</w:t>
      </w:r>
      <w:bookmarkEnd w:id="252"/>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53" w:name="_Int_Uf3O70sa"/>
      <w:r>
        <w:t>are</w:t>
      </w:r>
      <w:bookmarkEnd w:id="253"/>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54" w:name="_Int_caoupXbc"/>
      <w:r w:rsidR="60A1BB6D">
        <w:t>Year Round</w:t>
      </w:r>
      <w:bookmarkEnd w:id="254"/>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55" w:name="_Int_reAdpqgA"/>
      <w:r>
        <w:t>Where</w:t>
      </w:r>
      <w:bookmarkEnd w:id="255"/>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56" w:name="_Ref221005180"/>
      <w:r>
        <w:t>Similarly, the</w:t>
      </w:r>
      <w:r w:rsidR="4DB720A2">
        <w:t xml:space="preserve"> zonal</w:t>
      </w:r>
      <w:r>
        <w:t xml:space="preserve"> </w:t>
      </w:r>
      <w:bookmarkStart w:id="257" w:name="_Int_8cs6GW2K"/>
      <w:r>
        <w:t>Year Round</w:t>
      </w:r>
      <w:bookmarkEnd w:id="257"/>
      <w:r w:rsidR="4DB720A2">
        <w:t xml:space="preserve"> marginal km for </w:t>
      </w:r>
      <w:r>
        <w:t xml:space="preserve">generation is </w:t>
      </w:r>
      <w:r w:rsidR="4DB720A2">
        <w:t>calculated as</w:t>
      </w:r>
      <w:bookmarkEnd w:id="256"/>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58" w:name="_Int_gvnQMOKU"/>
      <w:r>
        <w:t>Where</w:t>
      </w:r>
      <w:bookmarkEnd w:id="258"/>
    </w:p>
    <w:p w14:paraId="6C193E11"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r>
        <w:t>WNMkm</w:t>
      </w:r>
      <w:r w:rsidRPr="0537B9E0">
        <w:rPr>
          <w:vertAlign w:val="subscript"/>
        </w:rPr>
        <w:t>YR</w:t>
      </w:r>
      <w:r w:rsidR="003A12C5">
        <w:tab/>
      </w:r>
      <w:r>
        <w:t>=</w:t>
      </w:r>
      <w:r w:rsidR="003A12C5">
        <w:tab/>
      </w:r>
      <w:bookmarkStart w:id="259" w:name="_Int_TkW2C1ZI"/>
      <w:r>
        <w:t>Year Round</w:t>
      </w:r>
      <w:bookmarkEnd w:id="259"/>
      <w:r>
        <w:t xml:space="preserve"> Weighted nodal marginal km</w:t>
      </w:r>
    </w:p>
    <w:p w14:paraId="7EAE9832" w14:textId="77777777" w:rsidR="003A12C5" w:rsidRDefault="604DC3D6" w:rsidP="003A12C5">
      <w:pPr>
        <w:pStyle w:val="1"/>
        <w:ind w:firstLine="720"/>
        <w:jc w:val="both"/>
      </w:pPr>
      <w:r>
        <w:t>ZMkm</w:t>
      </w:r>
      <w:r w:rsidRPr="0537B9E0">
        <w:rPr>
          <w:vertAlign w:val="subscript"/>
        </w:rPr>
        <w:t>YR</w:t>
      </w:r>
      <w:r w:rsidR="003A12C5">
        <w:tab/>
      </w:r>
      <w:r>
        <w:t>=</w:t>
      </w:r>
      <w:r w:rsidR="003A12C5">
        <w:tab/>
      </w:r>
      <w:bookmarkStart w:id="260" w:name="_Int_gYgLjrwt"/>
      <w:r>
        <w:t>Year Round</w:t>
      </w:r>
      <w:bookmarkEnd w:id="260"/>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261" w:name="_Int_2W4PPUqG"/>
      <w:r>
        <w:t>Year Round</w:t>
      </w:r>
      <w:bookmarkEnd w:id="261"/>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262" w:name="_Int_BhtEsbea"/>
      <w:r>
        <w:t>are</w:t>
      </w:r>
      <w:bookmarkEnd w:id="262"/>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263" w:name="_Int_UubqlScS"/>
      <w:r>
        <w:t>Year Round</w:t>
      </w:r>
      <w:bookmarkEnd w:id="263"/>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264"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265" w:name="_Int_9kar1WQ7"/>
      <w:r>
        <w:t>are considered to be</w:t>
      </w:r>
      <w:bookmarkEnd w:id="265"/>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264"/>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266" w:name="_Int_y8aBjYL0"/>
      <w:r>
        <w:t>Year Round</w:t>
      </w:r>
      <w:bookmarkEnd w:id="266"/>
      <w:r>
        <w:t xml:space="preserve"> marginal km costs for </w:t>
      </w:r>
      <w:r w:rsidR="28E57FE8">
        <w:t>generation into</w:t>
      </w:r>
      <w:r>
        <w:t xml:space="preserve"> Year Round Shared marginal km costs and </w:t>
      </w:r>
      <w:bookmarkStart w:id="267" w:name="_Int_Qm9EHzCE"/>
      <w:r>
        <w:t>Year Round</w:t>
      </w:r>
      <w:bookmarkEnd w:id="267"/>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lastRenderedPageBreak/>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r w:rsidRPr="000B6C0D">
        <w:t>Where;</w:t>
      </w:r>
    </w:p>
    <w:p w14:paraId="1872F16A"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r w:rsidRPr="000B6C0D">
        <w:t>ZIkm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of;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lastRenderedPageBreak/>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268" w:name="_Int_Wo4VhscV"/>
      <w:r>
        <w:t>Year round</w:t>
      </w:r>
      <w:bookmarkEnd w:id="268"/>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lastRenderedPageBreak/>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269" w:name="_Int_JumrOMSo"/>
      <w:r>
        <w:t>are</w:t>
      </w:r>
      <w:bookmarkEnd w:id="269"/>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r w:rsidRPr="000B6C0D">
        <w:t>Where;</w:t>
      </w:r>
    </w:p>
    <w:p w14:paraId="32480A06"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r w:rsidRPr="000B6C0D">
        <w:t>Where;</w:t>
      </w:r>
    </w:p>
    <w:p w14:paraId="31FFF99E"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r w:rsidRPr="000B6C0D">
        <w:t>Where;</w:t>
      </w:r>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r w:rsidRPr="0537B9E0">
        <w:rPr>
          <w:rFonts w:ascii="Arial" w:hAnsi="Arial"/>
          <w:sz w:val="22"/>
          <w:szCs w:val="22"/>
        </w:rPr>
        <w:t>ZMkm</w:t>
      </w:r>
      <w:r w:rsidRPr="0537B9E0">
        <w:rPr>
          <w:rFonts w:ascii="Arial" w:hAnsi="Arial"/>
          <w:sz w:val="22"/>
          <w:szCs w:val="22"/>
          <w:vertAlign w:val="subscript"/>
        </w:rPr>
        <w:t>nYRS</w:t>
      </w:r>
      <w:r w:rsidR="003A12C5">
        <w:tab/>
      </w:r>
      <w:r w:rsidRPr="0537B9E0">
        <w:rPr>
          <w:rFonts w:ascii="Arial" w:hAnsi="Arial"/>
          <w:sz w:val="22"/>
          <w:szCs w:val="22"/>
        </w:rPr>
        <w:t>=</w:t>
      </w:r>
      <w:r w:rsidR="003A12C5">
        <w:tab/>
      </w:r>
      <w:bookmarkStart w:id="270" w:name="_Int_CeW6Abkv"/>
      <w:r w:rsidRPr="0537B9E0">
        <w:rPr>
          <w:rFonts w:ascii="Arial" w:hAnsi="Arial"/>
          <w:sz w:val="22"/>
          <w:szCs w:val="22"/>
        </w:rPr>
        <w:t>Year Round</w:t>
      </w:r>
      <w:bookmarkEnd w:id="270"/>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r w:rsidRPr="000B6C0D">
        <w:t>Where;</w:t>
      </w:r>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r w:rsidRPr="0537B9E0">
        <w:rPr>
          <w:rFonts w:ascii="Arial" w:hAnsi="Arial"/>
        </w:rPr>
        <w:t>ZMkm</w:t>
      </w:r>
      <w:r w:rsidRPr="0537B9E0">
        <w:rPr>
          <w:rFonts w:ascii="Arial" w:hAnsi="Arial"/>
          <w:vertAlign w:val="subscript"/>
        </w:rPr>
        <w:t>nYRNS</w:t>
      </w:r>
      <w:r w:rsidR="003A12C5">
        <w:tab/>
      </w:r>
      <w:r w:rsidRPr="0537B9E0">
        <w:rPr>
          <w:rFonts w:ascii="Arial" w:hAnsi="Arial"/>
        </w:rPr>
        <w:t>=</w:t>
      </w:r>
      <w:r w:rsidR="003A12C5">
        <w:tab/>
      </w:r>
      <w:bookmarkStart w:id="271" w:name="_Int_GqzbOx8U"/>
      <w:r w:rsidRPr="0537B9E0">
        <w:rPr>
          <w:rFonts w:ascii="Arial" w:hAnsi="Arial"/>
        </w:rPr>
        <w:t>Year Round</w:t>
      </w:r>
      <w:bookmarkEnd w:id="271"/>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272" w:name="_Toc32201078"/>
      <w:bookmarkStart w:id="273" w:name="_Toc49661111"/>
      <w:bookmarkStart w:id="274" w:name="_Toc274049683"/>
      <w:r>
        <w:t>Deriving the Final</w:t>
      </w:r>
      <w:r w:rsidRPr="00E75EE9">
        <w:rPr>
          <w:color w:val="auto"/>
        </w:rPr>
        <w:t xml:space="preserve"> </w:t>
      </w:r>
      <w:r w:rsidRPr="00E75EE9">
        <w:t>Local £/kW Tariff and the Wider</w:t>
      </w:r>
      <w:r>
        <w:t xml:space="preserve"> £/kW Tariff</w:t>
      </w:r>
      <w:bookmarkEnd w:id="272"/>
      <w:bookmarkEnd w:id="273"/>
      <w:bookmarkEnd w:id="274"/>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(ZMkm</w:t>
      </w:r>
      <w:r w:rsidRPr="0537B9E0">
        <w:rPr>
          <w:vertAlign w:val="subscript"/>
        </w:rPr>
        <w:t>Gi</w:t>
      </w:r>
      <w:r>
        <w:t xml:space="preserve">) </w:t>
      </w:r>
      <w:bookmarkStart w:id="275" w:name="_Int_s5PNjqqA"/>
      <w:r>
        <w:t>are</w:t>
      </w:r>
      <w:bookmarkEnd w:id="275"/>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(NLMkm</w:t>
      </w:r>
      <w:r w:rsidRPr="0537B9E0">
        <w:rPr>
          <w:vertAlign w:val="superscript"/>
        </w:rPr>
        <w:t>L</w:t>
      </w:r>
      <w:r>
        <w:t xml:space="preserve">) are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276" w:name="_Toc49661112"/>
    </w:p>
    <w:p w14:paraId="2087034A" w14:textId="77777777" w:rsidR="006661FE" w:rsidRPr="00543982" w:rsidRDefault="006661FE" w:rsidP="006661FE">
      <w:pPr>
        <w:pStyle w:val="Heading3"/>
        <w:ind w:firstLine="709"/>
        <w:jc w:val="both"/>
        <w:rPr>
          <w:rFonts w:ascii="Arial (W1)" w:hAnsi="Arial (W1)"/>
          <w:szCs w:val="20"/>
        </w:rPr>
      </w:pPr>
      <w:bookmarkStart w:id="277" w:name="_Toc274049684"/>
      <w:r w:rsidRPr="00543982">
        <w:rPr>
          <w:rFonts w:ascii="Arial" w:hAnsi="Arial" w:cs="Arial"/>
          <w:b/>
        </w:rPr>
        <w:lastRenderedPageBreak/>
        <w:t>The Expansion Constant</w:t>
      </w:r>
      <w:bookmarkEnd w:id="276"/>
      <w:bookmarkEnd w:id="277"/>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£/MWkm</w:t>
      </w:r>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annuitised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278" w:name="_Int_VjD8R443"/>
      <w:r w:rsidRPr="0537B9E0">
        <w:rPr>
          <w:rFonts w:cs="Arial"/>
        </w:rPr>
        <w:t>and also</w:t>
      </w:r>
      <w:bookmarkEnd w:id="278"/>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279" w:name="_Int_8GKU1nzq"/>
      <w:r w:rsidRPr="0537B9E0">
        <w:rPr>
          <w:rFonts w:cs="Arial"/>
        </w:rPr>
        <w:t>a number of</w:t>
      </w:r>
      <w:bookmarkEnd w:id="279"/>
      <w:r w:rsidRPr="0537B9E0">
        <w:rPr>
          <w:rFonts w:cs="Arial"/>
        </w:rPr>
        <w:t xml:space="preserve"> indices (</w:t>
      </w:r>
      <w:bookmarkStart w:id="280" w:name="_Int_CVDgJJMI"/>
      <w:r w:rsidRPr="0537B9E0">
        <w:rPr>
          <w:rFonts w:cs="Arial"/>
        </w:rPr>
        <w:t>e.g.</w:t>
      </w:r>
      <w:bookmarkEnd w:id="280"/>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’s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£/MWkm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281" w:name="_Int_A9SPAWQx"/>
      <w:r w:rsidRPr="0537B9E0">
        <w:rPr>
          <w:rFonts w:cs="Arial"/>
        </w:rPr>
        <w:t>In order to</w:t>
      </w:r>
      <w:bookmarkEnd w:id="281"/>
      <w:r w:rsidRPr="0537B9E0">
        <w:rPr>
          <w:rFonts w:cs="Arial"/>
        </w:rPr>
        <w:t xml:space="preserve"> simplify the calculation a unity power factor is assumed, converting £/MVAkm to £/MWkm.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282" w:name="_Int_9LMRPljW"/>
      <w:r w:rsidRPr="0537B9E0">
        <w:rPr>
          <w:rFonts w:cs="Arial"/>
        </w:rPr>
        <w:t>used</w:t>
      </w:r>
      <w:bookmarkEnd w:id="282"/>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 xml:space="preserve">The weighted average £/MWkm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283" w:name="_Int_8hGJWSB4"/>
      <w:r w:rsidRPr="0537B9E0">
        <w:rPr>
          <w:rFonts w:cs="Arial"/>
        </w:rPr>
        <w:t>reasonably representative</w:t>
      </w:r>
      <w:bookmarkEnd w:id="283"/>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284" w:name="_Int_kqV5a8uD"/>
      <w:r w:rsidRPr="0537B9E0">
        <w:rPr>
          <w:rFonts w:cs="Arial"/>
        </w:rPr>
        <w:t>final step</w:t>
      </w:r>
      <w:bookmarkEnd w:id="284"/>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285" w:name="_Int_TxSYtWhU"/>
      <w:r w:rsidRPr="0537B9E0">
        <w:rPr>
          <w:rFonts w:cs="Arial"/>
        </w:rPr>
        <w:t>’.</w:t>
      </w:r>
      <w:bookmarkEnd w:id="285"/>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annuitised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400kV OHL expansion constant calculation</w:t>
            </w:r>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£/MWkm</w:t>
            </w:r>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Annuitised</w:t>
            </w:r>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w:t>
      </w:r>
      <w:r w:rsidRPr="0537B9E0">
        <w:rPr>
          <w:rFonts w:cs="Arial"/>
        </w:rPr>
        <w:lastRenderedPageBreak/>
        <w:t xml:space="preserve">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with </w:t>
      </w:r>
      <w:r w:rsidR="00C83E01">
        <w:t xml:space="preserve"> TOPI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286" w:name="_Int_6etKE1eg"/>
      <w:r>
        <w:t>various types</w:t>
      </w:r>
      <w:bookmarkEnd w:id="286"/>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287" w:name="_Int_lX2uX5sm"/>
      <w:r>
        <w:t>case by case</w:t>
      </w:r>
      <w:bookmarkEnd w:id="287"/>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288" w:name="_Int_g0oVoDrF"/>
      <w:r>
        <w:t>taking into account</w:t>
      </w:r>
      <w:bookmarkEnd w:id="288"/>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289" w:name="_Toc274049685"/>
      <w:bookmarkStart w:id="290"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89"/>
    </w:p>
    <w:p w14:paraId="3BDEE986" w14:textId="3C8FB47D" w:rsidR="006661FE" w:rsidRDefault="4DB720A2" w:rsidP="00533333">
      <w:pPr>
        <w:pStyle w:val="1"/>
        <w:numPr>
          <w:ilvl w:val="0"/>
          <w:numId w:val="73"/>
        </w:numPr>
        <w:jc w:val="both"/>
      </w:pPr>
      <w:r>
        <w:t>Offshore expansion factors (£/MWkm)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lastRenderedPageBreak/>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r w:rsidR="1FF93439" w:rsidRPr="0537B9E0">
        <w:rPr>
          <w:i/>
          <w:iCs/>
        </w:rPr>
        <w:t>OFTOInd</w:t>
      </w:r>
      <w:r w:rsidR="1FF93439">
        <w:t xml:space="preserve">, calculated as follows;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w:t>
      </w:r>
      <w:r w:rsidRPr="00CD2281">
        <w:rPr>
          <w:rFonts w:ascii="Arial (W1)" w:hAnsi="Arial (W1)"/>
          <w:sz w:val="22"/>
          <w:szCs w:val="22"/>
        </w:rPr>
        <w:lastRenderedPageBreak/>
        <w:t xml:space="preserve">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 xml:space="preserve">All relevant Users may agree to vary the proportions notified under (a)   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291" w:name="_Int_D9GjBCm6"/>
      <w:r w:rsidRPr="0537B9E0">
        <w:rPr>
          <w:rFonts w:ascii="Arial (W1)" w:hAnsi="Arial (W1)"/>
          <w:sz w:val="22"/>
          <w:szCs w:val="22"/>
        </w:rPr>
        <w:t>all of</w:t>
      </w:r>
      <w:bookmarkEnd w:id="291"/>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292" w:name="_Toc274049686"/>
      <w:r w:rsidRPr="00543982">
        <w:rPr>
          <w:rFonts w:ascii="Arial" w:hAnsi="Arial" w:cs="Arial"/>
          <w:b/>
        </w:rPr>
        <w:t>The Locational Onshore Security Factor</w:t>
      </w:r>
      <w:bookmarkEnd w:id="290"/>
      <w:bookmarkEnd w:id="292"/>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293" w:name="_Int_t1h1z1jt"/>
      <w:r>
        <w:t>Essentially the</w:t>
      </w:r>
      <w:bookmarkEnd w:id="293"/>
      <w:r>
        <w:t xml:space="preserve"> calculation of secured nodal marginal costs is identical to the process outlined above except that the secure DCLF study additionally calculates a nodal marginal cost </w:t>
      </w:r>
      <w:bookmarkStart w:id="294" w:name="_Int_7vaYWgEo"/>
      <w:r>
        <w:t>taking into account</w:t>
      </w:r>
      <w:bookmarkEnd w:id="294"/>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 based on an average from </w:t>
      </w:r>
      <w:bookmarkStart w:id="296" w:name="_Int_uzo9Yqr1"/>
      <w:r w:rsidR="6B913268">
        <w:t>a number of</w:t>
      </w:r>
      <w:bookmarkEnd w:id="296"/>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factor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lastRenderedPageBreak/>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297" w:name="_Hlt506963614"/>
      <w:bookmarkEnd w:id="297"/>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298"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MITS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298"/>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(LocalSF)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w:t>
      </w:r>
      <w:r w:rsidR="00277DA2" w:rsidRPr="00277DA2">
        <w:lastRenderedPageBreak/>
        <w:t xml:space="preserve">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299" w:name="_Toc49661114"/>
      <w:bookmarkStart w:id="300" w:name="_Toc274049687"/>
      <w:r w:rsidRPr="00887323">
        <w:rPr>
          <w:rFonts w:ascii="Arial" w:hAnsi="Arial" w:cs="Arial"/>
          <w:b/>
        </w:rPr>
        <w:t>Initial Transport Tariff</w:t>
      </w:r>
      <w:bookmarkEnd w:id="299"/>
      <w:bookmarkEnd w:id="300"/>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for both Peak Security and Year Round backgrounds.</w:t>
      </w:r>
      <w:r>
        <w:t xml:space="preserve"> For Generation</w:t>
      </w:r>
      <w:r w:rsidR="0033649F">
        <w:t>,</w:t>
      </w:r>
      <w:r>
        <w:t xml:space="preserve"> the </w:t>
      </w:r>
      <w:r w:rsidR="0093242F">
        <w:t xml:space="preserve">Peak Security </w:t>
      </w:r>
      <w:r>
        <w:t>zonal marginal km (ZMkm</w:t>
      </w:r>
      <w:r w:rsidR="0093242F" w:rsidRPr="00AC562E">
        <w:rPr>
          <w:vertAlign w:val="subscript"/>
        </w:rPr>
        <w:t>PS</w:t>
      </w:r>
      <w:r>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349866F7" w14:textId="77777777" w:rsidR="00660B78" w:rsidRDefault="00660B78" w:rsidP="00660B78">
      <w:pPr>
        <w:jc w:val="both"/>
        <w:rPr>
          <w:rFonts w:ascii="Arial" w:hAnsi="Arial"/>
        </w:rPr>
      </w:pPr>
    </w:p>
    <w:p w14:paraId="55B2DB9C" w14:textId="77777777" w:rsidR="00660B78" w:rsidRDefault="00660B78" w:rsidP="00660B78">
      <w:pPr>
        <w:pStyle w:val="Equation"/>
        <w:jc w:val="center"/>
        <w:rPr>
          <w:rFonts w:ascii="Arial" w:hAnsi="Arial"/>
          <w:sz w:val="22"/>
        </w:rPr>
      </w:pPr>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499FCD42"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129231CC"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r>
        <w:rPr>
          <w:rFonts w:ascii="Arial" w:hAnsi="Arial"/>
          <w:sz w:val="22"/>
        </w:rPr>
        <w:t>Where</w:t>
      </w:r>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r>
        <w:rPr>
          <w:rFonts w:ascii="Arial" w:hAnsi="Arial"/>
          <w:sz w:val="22"/>
        </w:rPr>
        <w:t>Where</w:t>
      </w:r>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301" w:name="_Int_B0qss8RX"/>
      <w:r>
        <w:t>significant change</w:t>
      </w:r>
      <w:bookmarkEnd w:id="301"/>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lastRenderedPageBreak/>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r>
              <w:rPr>
                <w:szCs w:val="22"/>
              </w:rPr>
              <w:t>Non Conventional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C5292AC"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26D19C63"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pPr>
    </w:p>
    <w:p w14:paraId="2EF69F61" w14:textId="77777777" w:rsidR="00636937" w:rsidRPr="00891501" w:rsidRDefault="00636937" w:rsidP="00636937">
      <w:pPr>
        <w:pStyle w:val="1"/>
        <w:ind w:left="720"/>
        <w:jc w:val="both"/>
      </w:pPr>
    </w:p>
    <w:p w14:paraId="464D2182" w14:textId="4912F1DD" w:rsidR="00636937" w:rsidRPr="00823D2E" w:rsidRDefault="4C6B28F3" w:rsidP="00533333">
      <w:pPr>
        <w:pStyle w:val="1"/>
        <w:numPr>
          <w:ilvl w:val="0"/>
          <w:numId w:val="90"/>
        </w:numPr>
        <w:jc w:val="both"/>
        <w:rPr>
          <w:b/>
          <w:bCs/>
        </w:rPr>
      </w:pPr>
      <w:r>
        <w:t xml:space="preserve">The appropriate output (FPN or actual metered) figure is derived from </w:t>
      </w:r>
      <w:r w:rsidRPr="6D50A407">
        <w:rPr>
          <w:b/>
          <w:bCs/>
        </w:rPr>
        <w:t>BM Unit</w:t>
      </w:r>
      <w:r>
        <w:t xml:space="preserve"> data available to </w:t>
      </w:r>
      <w:r w:rsidR="2EBFAECD" w:rsidRPr="009F4595">
        <w:rPr>
          <w:b/>
          <w:bCs/>
        </w:rPr>
        <w:t>The Company</w:t>
      </w:r>
      <w:r w:rsidR="76750A66">
        <w:t xml:space="preserve"> </w:t>
      </w:r>
      <w:r>
        <w:t xml:space="preserve">and relates to the total TEC of the Power Station.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3EFF65E0" w:rsidR="00636937" w:rsidRDefault="5DE50EC8" w:rsidP="00533333">
      <w:pPr>
        <w:pStyle w:val="1"/>
        <w:numPr>
          <w:ilvl w:val="0"/>
          <w:numId w:val="90"/>
        </w:numPr>
        <w:jc w:val="both"/>
      </w:pPr>
      <w:bookmarkStart w:id="302" w:name="_Int_oYDw9wgR"/>
      <w:r>
        <w:t>In the event that</w:t>
      </w:r>
      <w:bookmarkEnd w:id="302"/>
      <w:r>
        <w:t xml:space="preserve"> only four </w:t>
      </w:r>
      <w:r w:rsidR="091DC3A0" w:rsidRPr="0537B9E0">
        <w:rPr>
          <w:b/>
          <w:bCs/>
        </w:rPr>
        <w:t>Financial Years</w:t>
      </w:r>
      <w:r w:rsidR="091DC3A0">
        <w:t xml:space="preserve"> </w:t>
      </w:r>
      <w:r>
        <w:t xml:space="preserve">of complete output (FPN or actual metered)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303" w:name="_Int_AhFPs34W"/>
      <w:r>
        <w:t>In the event that</w:t>
      </w:r>
      <w:bookmarkEnd w:id="303"/>
      <w:r>
        <w:t xml:space="preserve"> only three </w:t>
      </w:r>
      <w:r w:rsidR="4C74463D" w:rsidRPr="0537B9E0">
        <w:rPr>
          <w:b/>
          <w:bCs/>
        </w:rPr>
        <w:t>Financial Years</w:t>
      </w:r>
      <w:r w:rsidR="4C74463D">
        <w:t xml:space="preserve"> </w:t>
      </w:r>
      <w:r>
        <w:t xml:space="preserve">of </w:t>
      </w:r>
      <w:r>
        <w:lastRenderedPageBreak/>
        <w:t xml:space="preserve">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77777777" w:rsidR="00636937" w:rsidRDefault="00636937" w:rsidP="00533333">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37EBF055" w:rsidR="00636937" w:rsidRDefault="5DE50EC8" w:rsidP="00533333">
      <w:pPr>
        <w:pStyle w:val="1"/>
        <w:numPr>
          <w:ilvl w:val="0"/>
          <w:numId w:val="90"/>
        </w:numPr>
        <w:jc w:val="both"/>
      </w:pPr>
      <w:bookmarkStart w:id="304" w:name="_Int_g3bx84gf"/>
      <w:r>
        <w:t>In the event that</w:t>
      </w:r>
      <w:bookmarkEnd w:id="304"/>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 or actual metered)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particular generation plant type exist, then data from all existing generators of that </w:t>
      </w:r>
      <w:bookmarkStart w:id="305" w:name="_Int_1fSEnc34"/>
      <w:r>
        <w:t>particular generation</w:t>
      </w:r>
      <w:bookmarkEnd w:id="305"/>
      <w:r>
        <w:t xml:space="preserve"> plant type will be used. Example generation plant type categories are listed below;</w:t>
      </w:r>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306" w:name="_Int_j4ivt4hG"/>
      <w:r w:rsidR="4A24E6D7">
        <w:t>update</w:t>
      </w:r>
      <w:bookmarkEnd w:id="306"/>
      <w:r w:rsidR="4A24E6D7">
        <w:t xml:space="preserve"> as necessary. Where within a category there is a significant locational </w:t>
      </w:r>
      <w:r w:rsidR="4A24E6D7">
        <w:lastRenderedPageBreak/>
        <w:t>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the  best information available e.g. from manufactu</w:t>
      </w:r>
      <w:r w:rsidR="0AC22D9E">
        <w:t>er</w:t>
      </w:r>
      <w:r>
        <w:t xml:space="preserve">s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CD5FBB"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307" w:name="_Int_JIbR17bL"/>
      <w:r w:rsidRPr="0537B9E0">
        <w:rPr>
          <w:rFonts w:ascii="Arial" w:eastAsia="Arial" w:hAnsi="Arial"/>
          <w:sz w:val="22"/>
          <w:szCs w:val="22"/>
        </w:rPr>
        <w:t>as a consequence of</w:t>
      </w:r>
      <w:bookmarkEnd w:id="307"/>
      <w:r w:rsidRPr="0537B9E0">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price  control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r w:rsidRPr="00AB4296">
        <w:rPr>
          <w:rFonts w:ascii="Arial" w:eastAsia="Arial" w:hAnsi="Arial"/>
          <w:sz w:val="22"/>
          <w:szCs w:val="22"/>
        </w:rPr>
        <w:lastRenderedPageBreak/>
        <w:t xml:space="preserve">supergrid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For the Year Round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Non Conventional Carbon. For Conventional </w:t>
      </w:r>
      <w:bookmarkStart w:id="308" w:name="_Int_zfdA2ilm"/>
      <w:r w:rsidR="71D56782" w:rsidRPr="0537B9E0">
        <w:rPr>
          <w:rFonts w:ascii="Arial" w:hAnsi="Arial" w:cs="Arial"/>
        </w:rPr>
        <w:t>Carbon</w:t>
      </w:r>
      <w:bookmarkEnd w:id="308"/>
      <w:r w:rsidR="71D56782" w:rsidRPr="0537B9E0">
        <w:rPr>
          <w:rFonts w:ascii="Arial" w:hAnsi="Arial" w:cs="Arial"/>
        </w:rPr>
        <w:t xml:space="preserve"> the initial tariff for the Not Shared component is multiplied by both, the total forecast generation </w:t>
      </w:r>
      <w:bookmarkStart w:id="309" w:name="_Int_fuFWXSg0"/>
      <w:r w:rsidR="71D56782" w:rsidRPr="0537B9E0">
        <w:rPr>
          <w:rFonts w:ascii="Arial" w:hAnsi="Arial" w:cs="Arial"/>
        </w:rPr>
        <w:t>capacity</w:t>
      </w:r>
      <w:bookmarkEnd w:id="309"/>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310" w:name="_Int_sLMVxweX"/>
      <w:r w:rsidRPr="0537B9E0">
        <w:rPr>
          <w:rFonts w:ascii="Arial" w:hAnsi="Arial" w:cs="Arial"/>
        </w:rPr>
        <w:t>capacity</w:t>
      </w:r>
      <w:bookmarkEnd w:id="310"/>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CD5FBB"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CD5FBB"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m:t>
              </m:r>
              <m:r>
                <w:rPr>
                  <w:rFonts w:ascii="Cambria Math" w:hAnsi="Cambria Math"/>
                </w:rPr>
                <m:t>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311" w:name="_Int_Yq2KmU2U"/>
      <w:r w:rsidRPr="0537B9E0">
        <w:rPr>
          <w:rFonts w:ascii="Arial" w:hAnsi="Arial"/>
        </w:rPr>
        <w:t>Similar to</w:t>
      </w:r>
      <w:bookmarkEnd w:id="311"/>
      <w:r w:rsidRPr="0537B9E0">
        <w:rPr>
          <w:rFonts w:ascii="Arial" w:hAnsi="Arial"/>
        </w:rPr>
        <w:t xml:space="preserve"> the Peak Security background, t</w:t>
      </w:r>
      <w:r>
        <w:t>he initial revenue recovery for</w:t>
      </w:r>
      <w:r w:rsidR="34D616CE">
        <w:t xml:space="preserve"> gross  GSP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312"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CD5FBB"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m:t>
                  </m:r>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r>
        <w:t xml:space="preserve">Where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313" w:name="_Toc208554779"/>
      <w:bookmarkStart w:id="314" w:name="_Toc208745842"/>
      <w:bookmarkStart w:id="315" w:name="_Toc274049688"/>
      <w:r w:rsidRPr="00D76842">
        <w:rPr>
          <w:color w:val="auto"/>
        </w:rPr>
        <w:t>Deriving the Final Local Tariff</w:t>
      </w:r>
      <w:bookmarkEnd w:id="313"/>
      <w:bookmarkEnd w:id="314"/>
      <w:r>
        <w:rPr>
          <w:color w:val="auto"/>
        </w:rPr>
        <w:t xml:space="preserve"> (</w:t>
      </w:r>
      <w:r w:rsidRPr="00D76842">
        <w:rPr>
          <w:color w:val="auto"/>
        </w:rPr>
        <w:t>£/kW</w:t>
      </w:r>
      <w:r>
        <w:rPr>
          <w:color w:val="auto"/>
        </w:rPr>
        <w:t>)</w:t>
      </w:r>
      <w:bookmarkEnd w:id="315"/>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316" w:name="_Toc208554780"/>
      <w:bookmarkStart w:id="317" w:name="_Toc208745843"/>
      <w:bookmarkStart w:id="318" w:name="_Toc274049689"/>
      <w:r w:rsidRPr="009F4FB0">
        <w:rPr>
          <w:i/>
          <w:color w:val="auto"/>
        </w:rPr>
        <w:t>Local Circuit Tariff</w:t>
      </w:r>
      <w:bookmarkEnd w:id="316"/>
      <w:bookmarkEnd w:id="317"/>
      <w:bookmarkEnd w:id="318"/>
    </w:p>
    <w:p w14:paraId="0842EDB1" w14:textId="77777777" w:rsidR="006661FE" w:rsidRPr="00D76842" w:rsidRDefault="006661FE" w:rsidP="006661FE"/>
    <w:p w14:paraId="0AA54CA3" w14:textId="77777777" w:rsidR="006661FE" w:rsidRDefault="006661FE" w:rsidP="00533333">
      <w:pPr>
        <w:pStyle w:val="1"/>
        <w:numPr>
          <w:ilvl w:val="0"/>
          <w:numId w:val="90"/>
        </w:numPr>
        <w:jc w:val="both"/>
      </w:pPr>
      <w:r w:rsidRPr="00D76842">
        <w:lastRenderedPageBreak/>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pPr>
    </w:p>
    <w:p w14:paraId="0279B893" w14:textId="3A13A411" w:rsidR="006661FE" w:rsidRPr="00D76842" w:rsidRDefault="006C4437" w:rsidP="006C4437">
      <w:pPr>
        <w:ind w:left="1985"/>
        <w:jc w:val="both"/>
      </w:pPr>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r w:rsidRPr="009F4FB0">
        <w:rPr>
          <w:rFonts w:ascii="Arial" w:hAnsi="Arial"/>
          <w:sz w:val="22"/>
        </w:rPr>
        <w:t>Where</w:t>
      </w:r>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319" w:name="_Toc208554781"/>
      <w:bookmarkStart w:id="320" w:name="_Toc208745844"/>
    </w:p>
    <w:p w14:paraId="19D642B2" w14:textId="77777777" w:rsidR="006661FE" w:rsidRPr="00543982" w:rsidRDefault="006661FE" w:rsidP="006661FE">
      <w:pPr>
        <w:pStyle w:val="Heading3"/>
        <w:ind w:left="709"/>
        <w:rPr>
          <w:rFonts w:ascii="Arial" w:hAnsi="Arial" w:cs="Arial"/>
          <w:b/>
        </w:rPr>
      </w:pPr>
      <w:bookmarkStart w:id="321" w:name="_Toc274049690"/>
      <w:r w:rsidRPr="00543982">
        <w:rPr>
          <w:rFonts w:ascii="Arial" w:hAnsi="Arial" w:cs="Arial"/>
          <w:b/>
        </w:rPr>
        <w:t>Onshore Local Substation Tariff</w:t>
      </w:r>
      <w:bookmarkEnd w:id="319"/>
      <w:bookmarkEnd w:id="320"/>
      <w:bookmarkEnd w:id="321"/>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r w:rsidRPr="00D76842">
        <w:rPr>
          <w:szCs w:val="22"/>
        </w:rPr>
        <w:t>Where</w:t>
      </w:r>
    </w:p>
    <w:p w14:paraId="730A949D"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322" w:name="_Ref221008896"/>
      <w:r>
        <w:rPr>
          <w:szCs w:val="22"/>
        </w:rPr>
        <w:lastRenderedPageBreak/>
        <w:t xml:space="preserve">Where tariffs do not change mid way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7E62ED7C" w14:textId="77777777" w:rsidR="006661FE" w:rsidRPr="00D76842" w:rsidRDefault="006661FE" w:rsidP="006661FE">
      <w:pPr>
        <w:pStyle w:val="1"/>
        <w:ind w:left="709"/>
        <w:jc w:val="both"/>
        <w:rPr>
          <w:szCs w:val="22"/>
        </w:rPr>
      </w:pPr>
      <w:r w:rsidRPr="00D76842">
        <w:rPr>
          <w:szCs w:val="22"/>
        </w:rPr>
        <w:t>Where</w:t>
      </w:r>
    </w:p>
    <w:p w14:paraId="343DB717"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22"/>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t>Where</w:t>
      </w:r>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323" w:name="_Toc274049691"/>
      <w:r w:rsidRPr="00543982">
        <w:rPr>
          <w:rFonts w:ascii="Arial" w:hAnsi="Arial" w:cs="Arial"/>
          <w:b/>
        </w:rPr>
        <w:t>Offshore substation local tariff</w:t>
      </w:r>
      <w:bookmarkEnd w:id="323"/>
    </w:p>
    <w:p w14:paraId="525E54BB" w14:textId="77777777" w:rsidR="006661FE" w:rsidRDefault="4DB720A2" w:rsidP="00533333">
      <w:pPr>
        <w:pStyle w:val="1"/>
        <w:numPr>
          <w:ilvl w:val="0"/>
          <w:numId w:val="90"/>
        </w:numPr>
        <w:jc w:val="both"/>
      </w:pPr>
      <w:r>
        <w:t>All offshore chargeable generation is subject to an offshore substation tariff</w:t>
      </w:r>
      <w:bookmarkStart w:id="324" w:name="_Int_Hjc5z51g"/>
      <w:r>
        <w:t xml:space="preserve">.  </w:t>
      </w:r>
      <w:bookmarkEnd w:id="324"/>
      <w:r>
        <w:t xml:space="preserve">The offshore substation tariff shall be the sum of transformer, </w:t>
      </w:r>
      <w:bookmarkStart w:id="325" w:name="_Int_dy5hICxK"/>
      <w:r>
        <w:t>switchgear</w:t>
      </w:r>
      <w:bookmarkEnd w:id="325"/>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326" w:name="_Int_DVHoRYRC"/>
      <w:r>
        <w:t>switchgear</w:t>
      </w:r>
      <w:bookmarkEnd w:id="326"/>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In the case of the platform component, the relevant rating shall be the lower of the 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327" w:name="_Toc49661115"/>
      <w:bookmarkStart w:id="328" w:name="_Toc274049692"/>
      <w:bookmarkEnd w:id="312"/>
      <w:r w:rsidRPr="00887323">
        <w:rPr>
          <w:rFonts w:ascii="Arial" w:hAnsi="Arial" w:cs="Arial"/>
          <w:b/>
        </w:rPr>
        <w:t>The Residual Tariff</w:t>
      </w:r>
      <w:bookmarkEnd w:id="327"/>
      <w:bookmarkEnd w:id="328"/>
    </w:p>
    <w:p w14:paraId="16E65292" w14:textId="42DA7D74" w:rsidR="000619F8" w:rsidRDefault="000619F8" w:rsidP="00CD5FBB">
      <w:pPr>
        <w:pStyle w:val="1"/>
        <w:numPr>
          <w:ilvl w:val="0"/>
          <w:numId w:val="90"/>
        </w:numPr>
        <w:jc w:val="both"/>
        <w:rPr>
          <w:ins w:id="329" w:author="Alex Aristodemou" w:date="2023-10-05T21:33:00Z"/>
        </w:rPr>
      </w:pPr>
      <w:ins w:id="330" w:author="Alex Aristodemou" w:date="2023-10-05T21:33:00Z">
        <w:r>
          <w:t xml:space="preserve">The </w:t>
        </w:r>
      </w:ins>
      <w:ins w:id="331" w:author="Alex Aristodemou" w:date="2023-11-03T16:18:00Z">
        <w:r w:rsidR="00A554B4">
          <w:t>Maximum Revenue</w:t>
        </w:r>
      </w:ins>
      <w:ins w:id="332" w:author="Alex Aristodemou" w:date="2023-10-05T21:33:00Z">
        <w:r>
          <w:t xml:space="preserve"> to be recovered through TNUoS</w:t>
        </w:r>
        <w:r>
          <w:fldChar w:fldCharType="begin"/>
        </w:r>
        <w:r>
          <w:instrText xml:space="preserve"> “E "TN”oS" </w:instrText>
        </w:r>
        <w:r>
          <w:fldChar w:fldCharType="end"/>
        </w:r>
        <w:r>
          <w:t xml:space="preserve"> charges is determined each year with reference to </w:t>
        </w:r>
      </w:ins>
      <w:ins w:id="333" w:author="Alex Aristodemou" w:date="2023-11-03T16:18:00Z">
        <w:r w:rsidR="00A554B4">
          <w:rPr>
            <w:b/>
            <w:bCs/>
          </w:rPr>
          <w:t xml:space="preserve">The Company’s </w:t>
        </w:r>
      </w:ins>
      <w:ins w:id="334" w:author="Alex Aristodemou" w:date="2023-10-05T21:33:00Z">
        <w:r>
          <w:t xml:space="preserve">Price Control formulae. </w:t>
        </w:r>
      </w:ins>
      <w:ins w:id="335" w:author="Craig Bell" w:date="2023-11-06T08:37:00Z">
        <w:r w:rsidR="00417CA8">
          <w:t>For the purpose of setting charges, c</w:t>
        </w:r>
      </w:ins>
      <w:ins w:id="336" w:author="Alex Aristodemou" w:date="2023-11-03T16:19:00Z">
        <w:del w:id="337" w:author="Craig Bell" w:date="2023-11-06T08:37:00Z">
          <w:r w:rsidR="00A554B4" w:rsidDel="00417CA8">
            <w:delText>C</w:delText>
          </w:r>
        </w:del>
        <w:r w:rsidR="00A554B4">
          <w:t>ertain f</w:t>
        </w:r>
      </w:ins>
      <w:ins w:id="338" w:author="Alex Aristodemou" w:date="2023-10-05T21:33:00Z">
        <w:r>
          <w:t>orecast inputs for revenue</w:t>
        </w:r>
      </w:ins>
      <w:ins w:id="339" w:author="Alex Aristodemou" w:date="2023-11-03T16:19:00Z">
        <w:r w:rsidR="00280FDF">
          <w:t xml:space="preserve"> (</w:t>
        </w:r>
        <w:r w:rsidR="00280FDF" w:rsidRPr="00280FDF">
          <w:t>TSP, TSH, TNGET,</w:t>
        </w:r>
      </w:ins>
      <w:ins w:id="340" w:author="Alex Aristodemou" w:date="2023-11-03T16:33:00Z">
        <w:r w:rsidR="00E57FE0">
          <w:t xml:space="preserve"> TOFTO, TICF</w:t>
        </w:r>
      </w:ins>
      <w:ins w:id="341" w:author="Alex Aristodemou" w:date="2023-11-03T16:19:00Z">
        <w:r w:rsidR="00280FDF" w:rsidRPr="00280FDF">
          <w:t xml:space="preserve"> and </w:t>
        </w:r>
      </w:ins>
      <w:ins w:id="342" w:author="Alex Aristodemou" w:date="2023-11-03T16:33:00Z">
        <w:r w:rsidR="00E57FE0">
          <w:t xml:space="preserve">TICP </w:t>
        </w:r>
      </w:ins>
      <w:ins w:id="343" w:author="Alex Aristodemou" w:date="2023-11-03T16:19:00Z">
        <w:r w:rsidR="00280FDF" w:rsidRPr="00280FDF">
          <w:t xml:space="preserve">as defined in Special Condition 3.2 of </w:t>
        </w:r>
        <w:r w:rsidR="00280FDF" w:rsidRPr="00CD5FBB">
          <w:rPr>
            <w:b/>
            <w:bCs/>
          </w:rPr>
          <w:t>The Company’s Transmission Licence</w:t>
        </w:r>
        <w:r w:rsidR="00280FDF" w:rsidRPr="00280FDF">
          <w:t>)</w:t>
        </w:r>
      </w:ins>
      <w:ins w:id="344" w:author="Alex Aristodemou" w:date="2023-10-05T21:33:00Z">
        <w:r>
          <w:t xml:space="preserve"> will be determined 15 months before the </w:t>
        </w:r>
        <w:r>
          <w:rPr>
            <w:b/>
            <w:bCs/>
          </w:rPr>
          <w:t xml:space="preserve">Financial Year </w:t>
        </w:r>
        <w:r>
          <w:t xml:space="preserve">and subsequently reconciled and recovered through succeeding </w:t>
        </w:r>
        <w:r>
          <w:rPr>
            <w:b/>
            <w:bCs/>
          </w:rPr>
          <w:t xml:space="preserve">Financial Years </w:t>
        </w:r>
        <w:r>
          <w:t xml:space="preserve">once revenue requirements are known. The </w:t>
        </w:r>
      </w:ins>
      <w:ins w:id="345" w:author="Alex Aristodemou" w:date="2023-11-03T16:20:00Z">
        <w:r w:rsidR="00CF3A05">
          <w:t xml:space="preserve">remaining </w:t>
        </w:r>
      </w:ins>
      <w:ins w:id="346" w:author="Alex Aristodemou" w:date="2023-10-05T21:33:00Z">
        <w:r>
          <w:t xml:space="preserve">amount of the Maximum Revenue value relating </w:t>
        </w:r>
      </w:ins>
      <w:ins w:id="347" w:author="Alex Aristodemou" w:date="2023-11-03T16:20:00Z">
        <w:r w:rsidR="00CF3A05">
          <w:t xml:space="preserve">in its entirety </w:t>
        </w:r>
      </w:ins>
      <w:ins w:id="348" w:author="Alex Aristodemou" w:date="2023-10-05T21:33:00Z">
        <w:r>
          <w:t xml:space="preserve">to costs borne by </w:t>
        </w:r>
        <w:r>
          <w:rPr>
            <w:b/>
            <w:bCs/>
          </w:rPr>
          <w:t>The Company</w:t>
        </w:r>
        <w:r>
          <w:t xml:space="preserve">, will be finalised 2 months before the </w:t>
        </w:r>
        <w:r>
          <w:rPr>
            <w:b/>
            <w:bCs/>
          </w:rPr>
          <w:t>Financial Year</w:t>
        </w:r>
        <w:r>
          <w:t xml:space="preserve">. </w:t>
        </w:r>
      </w:ins>
    </w:p>
    <w:p w14:paraId="6829E4EB" w14:textId="72E11C86" w:rsidR="006661FE" w:rsidDel="000619F8" w:rsidRDefault="4DB720A2" w:rsidP="000619F8">
      <w:pPr>
        <w:pStyle w:val="1"/>
        <w:numPr>
          <w:ilvl w:val="0"/>
          <w:numId w:val="165"/>
        </w:numPr>
        <w:jc w:val="both"/>
        <w:rPr>
          <w:del w:id="349" w:author="Alex Aristodemou" w:date="2023-10-05T21:33:00Z"/>
        </w:rPr>
      </w:pPr>
      <w:del w:id="350" w:author="Alex Aristodemou" w:date="2023-10-05T21:33:00Z">
        <w:r w:rsidDel="000619F8">
          <w:delText>The total revenue to be recovered through TNUoS</w:delText>
        </w:r>
        <w:r w:rsidR="006661FE" w:rsidDel="000619F8">
          <w:fldChar w:fldCharType="begin"/>
        </w:r>
        <w:r w:rsidR="006661FE" w:rsidDel="000619F8">
          <w:delInstrText xml:space="preserve"> XE "TNUoS" </w:delInstrText>
        </w:r>
        <w:r w:rsidR="006661FE" w:rsidDel="000619F8">
          <w:fldChar w:fldCharType="end"/>
        </w:r>
        <w:r w:rsidDel="000619F8">
          <w:delText xml:space="preserve"> charges is determined each year with reference to the Transmission Licensees’ Price Control formulas less the costs expected to be recovered through Pre-Vesting connection charges.  Hence in any given year t, a target revenue figure for TNUoS charges (TRR</w:delText>
        </w:r>
        <w:r w:rsidRPr="0537B9E0" w:rsidDel="000619F8">
          <w:rPr>
            <w:vertAlign w:val="subscript"/>
          </w:rPr>
          <w:delText>t</w:delText>
        </w:r>
        <w:r w:rsidDel="000619F8">
          <w:delText>) is set after adjusting for any under or over recovery for and including, the small generators discount is as follows:</w:delText>
        </w:r>
      </w:del>
    </w:p>
    <w:p w14:paraId="2A3FF087" w14:textId="021069F4" w:rsidR="006661FE" w:rsidDel="000619F8" w:rsidRDefault="00777969" w:rsidP="00777969">
      <w:pPr>
        <w:pStyle w:val="1"/>
        <w:ind w:left="2478"/>
        <w:jc w:val="both"/>
        <w:rPr>
          <w:del w:id="351" w:author="Alex Aristodemou" w:date="2023-10-05T21:33:00Z"/>
        </w:rPr>
      </w:pPr>
      <w:del w:id="352" w:author="Alex Aristodemou" w:date="2023-10-05T21:33:00Z">
        <w:r w:rsidDel="000619F8">
          <w:br/>
        </w:r>
        <w:r w:rsidDel="000619F8">
          <w:rPr>
            <w:noProof/>
            <w:position w:val="-12"/>
          </w:rPr>
          <w:drawing>
            <wp:inline distT="0" distB="0" distL="0" distR="0" wp14:anchorId="6A098D39" wp14:editId="0B7BB23B">
              <wp:extent cx="1590675" cy="228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90675" cy="228600"/>
                      </a:xfrm>
                      <a:prstGeom prst="rect">
                        <a:avLst/>
                      </a:prstGeom>
                      <a:noFill/>
                      <a:ln>
                        <a:noFill/>
                      </a:ln>
                    </pic:spPr>
                  </pic:pic>
                </a:graphicData>
              </a:graphic>
            </wp:inline>
          </w:drawing>
        </w:r>
      </w:del>
    </w:p>
    <w:p w14:paraId="71FB26C2" w14:textId="4ABD6E49" w:rsidR="006661FE" w:rsidDel="000619F8" w:rsidRDefault="006661FE" w:rsidP="006661FE">
      <w:pPr>
        <w:pStyle w:val="1"/>
        <w:jc w:val="center"/>
        <w:rPr>
          <w:del w:id="353" w:author="Alex Aristodemou" w:date="2023-10-05T21:33:00Z"/>
        </w:rPr>
      </w:pPr>
    </w:p>
    <w:p w14:paraId="4B0AD7C3" w14:textId="1783DCE4" w:rsidR="006661FE" w:rsidDel="000619F8" w:rsidRDefault="006661FE" w:rsidP="006661FE">
      <w:pPr>
        <w:pStyle w:val="1"/>
        <w:ind w:firstLine="720"/>
        <w:jc w:val="both"/>
        <w:rPr>
          <w:del w:id="354" w:author="Alex Aristodemou" w:date="2023-10-05T21:33:00Z"/>
        </w:rPr>
      </w:pPr>
      <w:del w:id="355" w:author="Alex Aristodemou" w:date="2023-10-05T21:33:00Z">
        <w:r w:rsidDel="000619F8">
          <w:delText>Where</w:delText>
        </w:r>
      </w:del>
    </w:p>
    <w:p w14:paraId="7A043445" w14:textId="769BEBCB" w:rsidR="006661FE" w:rsidDel="000619F8" w:rsidRDefault="006661FE" w:rsidP="006661FE">
      <w:pPr>
        <w:pStyle w:val="1"/>
        <w:tabs>
          <w:tab w:val="left" w:pos="1440"/>
        </w:tabs>
        <w:ind w:firstLine="720"/>
        <w:jc w:val="both"/>
        <w:rPr>
          <w:del w:id="356" w:author="Alex Aristodemou" w:date="2023-10-05T21:33:00Z"/>
        </w:rPr>
      </w:pPr>
      <w:del w:id="357" w:author="Alex Aristodemou" w:date="2023-10-05T21:33:00Z">
        <w:r w:rsidDel="000619F8">
          <w:delText>TRR</w:delText>
        </w:r>
        <w:r w:rsidDel="000619F8">
          <w:rPr>
            <w:vertAlign w:val="subscript"/>
          </w:rPr>
          <w:delText xml:space="preserve">t </w:delText>
        </w:r>
        <w:r w:rsidDel="000619F8">
          <w:rPr>
            <w:vertAlign w:val="subscript"/>
          </w:rPr>
          <w:tab/>
        </w:r>
        <w:r w:rsidDel="000619F8">
          <w:delText>=</w:delText>
        </w:r>
        <w:r w:rsidDel="000619F8">
          <w:tab/>
          <w:delText>TNUoS</w:delText>
        </w:r>
        <w:r w:rsidDel="000619F8">
          <w:fldChar w:fldCharType="begin"/>
        </w:r>
        <w:r w:rsidDel="000619F8">
          <w:delInstrText xml:space="preserve"> XE "TNUoS" </w:delInstrText>
        </w:r>
        <w:r w:rsidDel="000619F8">
          <w:fldChar w:fldCharType="end"/>
        </w:r>
        <w:r w:rsidDel="000619F8">
          <w:delText xml:space="preserve"> Revenue Recovery target for year t</w:delText>
        </w:r>
      </w:del>
    </w:p>
    <w:p w14:paraId="0E563281" w14:textId="1A266FF0" w:rsidR="006661FE" w:rsidDel="000619F8" w:rsidRDefault="6B913268" w:rsidP="006661FE">
      <w:pPr>
        <w:pStyle w:val="1"/>
        <w:tabs>
          <w:tab w:val="left" w:pos="1440"/>
        </w:tabs>
        <w:ind w:left="2170" w:hanging="1461"/>
        <w:jc w:val="both"/>
        <w:rPr>
          <w:del w:id="358" w:author="Alex Aristodemou" w:date="2023-10-05T21:33:00Z"/>
        </w:rPr>
      </w:pPr>
      <w:del w:id="359" w:author="Alex Aristodemou" w:date="2023-10-05T21:33:00Z">
        <w:r w:rsidDel="000619F8">
          <w:delText>R</w:delText>
        </w:r>
        <w:r w:rsidRPr="0537B9E0" w:rsidDel="000619F8">
          <w:rPr>
            <w:i/>
            <w:iCs/>
            <w:vertAlign w:val="subscript"/>
          </w:rPr>
          <w:delText>t</w:delText>
        </w:r>
        <w:r w:rsidR="3D47CB0D" w:rsidDel="000619F8">
          <w:tab/>
        </w:r>
        <w:r w:rsidDel="000619F8">
          <w:delText>=</w:delText>
        </w:r>
        <w:r w:rsidR="3D47CB0D" w:rsidDel="000619F8">
          <w:tab/>
        </w:r>
        <w:r w:rsidDel="000619F8">
          <w:delText xml:space="preserve">Forecast Revenue allowed under </w:delText>
        </w:r>
        <w:r w:rsidR="3D96AF96" w:rsidRPr="0537B9E0" w:rsidDel="000619F8">
          <w:rPr>
            <w:b/>
            <w:bCs/>
          </w:rPr>
          <w:delText xml:space="preserve">The </w:delText>
        </w:r>
        <w:r w:rsidRPr="0537B9E0" w:rsidDel="000619F8">
          <w:rPr>
            <w:b/>
            <w:bCs/>
          </w:rPr>
          <w:delText>Compan</w:delText>
        </w:r>
        <w:r w:rsidDel="000619F8">
          <w:delText>y</w:delText>
        </w:r>
        <w:r w:rsidRPr="0537B9E0" w:rsidDel="000619F8">
          <w:rPr>
            <w:b/>
            <w:bCs/>
          </w:rPr>
          <w:delText xml:space="preserve">’s </w:delText>
        </w:r>
        <w:r w:rsidDel="000619F8">
          <w:delText xml:space="preserve">Price Control  for year t (this term includes a number of adjustments, including for over/under recovery from the previous year).  For further information, refer to Special Condition D2 of </w:delText>
        </w:r>
        <w:r w:rsidR="3D96AF96" w:rsidRPr="0537B9E0" w:rsidDel="000619F8">
          <w:rPr>
            <w:b/>
            <w:bCs/>
          </w:rPr>
          <w:delText xml:space="preserve">The </w:delText>
        </w:r>
        <w:r w:rsidRPr="0537B9E0" w:rsidDel="000619F8">
          <w:rPr>
            <w:b/>
            <w:bCs/>
          </w:rPr>
          <w:delText xml:space="preserve">Company’s </w:delText>
        </w:r>
        <w:r w:rsidDel="000619F8">
          <w:delText>Transmission Licence.</w:delText>
        </w:r>
      </w:del>
    </w:p>
    <w:p w14:paraId="1BDC4706" w14:textId="5AF9A94D" w:rsidR="006661FE" w:rsidDel="000619F8" w:rsidRDefault="006661FE" w:rsidP="006661FE">
      <w:pPr>
        <w:pStyle w:val="1"/>
        <w:tabs>
          <w:tab w:val="left" w:pos="1440"/>
        </w:tabs>
        <w:ind w:left="1440" w:hanging="720"/>
        <w:jc w:val="both"/>
        <w:rPr>
          <w:del w:id="360" w:author="Alex Aristodemou" w:date="2023-10-05T21:33:00Z"/>
        </w:rPr>
      </w:pPr>
      <w:del w:id="361" w:author="Alex Aristodemou" w:date="2023-10-05T21:33:00Z">
        <w:r w:rsidDel="000619F8">
          <w:delText>PVC</w:delText>
        </w:r>
        <w:r w:rsidDel="000619F8">
          <w:rPr>
            <w:i/>
            <w:vertAlign w:val="subscript"/>
          </w:rPr>
          <w:delText>t</w:delText>
        </w:r>
        <w:r w:rsidDel="000619F8">
          <w:rPr>
            <w:i/>
            <w:vertAlign w:val="subscript"/>
          </w:rPr>
          <w:tab/>
        </w:r>
        <w:r w:rsidDel="000619F8">
          <w:delText>=</w:delText>
        </w:r>
        <w:r w:rsidDel="000619F8">
          <w:tab/>
          <w:delText>Forecast Revenue from Pre-Vesting connection charges for year t</w:delText>
        </w:r>
      </w:del>
    </w:p>
    <w:p w14:paraId="6C9D6195" w14:textId="75249147" w:rsidR="006661FE" w:rsidRDefault="3D47CB0D" w:rsidP="006661FE">
      <w:pPr>
        <w:pStyle w:val="1"/>
        <w:tabs>
          <w:tab w:val="left" w:pos="1440"/>
        </w:tabs>
        <w:ind w:left="2127" w:hanging="1418"/>
        <w:jc w:val="both"/>
      </w:pPr>
      <w:del w:id="362" w:author="Alex Aristodemou" w:date="2023-10-05T21:33:00Z">
        <w:r w:rsidDel="000619F8">
          <w:delText>SG</w:delText>
        </w:r>
        <w:r w:rsidRPr="6D50A407" w:rsidDel="000619F8">
          <w:rPr>
            <w:i/>
            <w:iCs/>
            <w:vertAlign w:val="subscript"/>
          </w:rPr>
          <w:delText>t-1</w:delText>
        </w:r>
        <w:r w:rsidR="006661FE" w:rsidDel="000619F8">
          <w:tab/>
        </w:r>
        <w:r w:rsidDel="000619F8">
          <w:delText>=</w:delText>
        </w:r>
        <w:r w:rsidR="006661FE" w:rsidDel="000619F8">
          <w:tab/>
        </w:r>
        <w:r w:rsidDel="000619F8">
          <w:delText>The proportion of the under/over recovery included within R</w:delText>
        </w:r>
        <w:r w:rsidRPr="6D50A407" w:rsidDel="000619F8">
          <w:rPr>
            <w:vertAlign w:val="subscript"/>
          </w:rPr>
          <w:delText xml:space="preserve">t </w:delText>
        </w:r>
        <w:r w:rsidDel="000619F8">
          <w:delText xml:space="preserve">which relates to the operation of statement C13 of </w:delText>
        </w:r>
        <w:r w:rsidR="2EBFAECD" w:rsidRPr="00EC52BD" w:rsidDel="000619F8">
          <w:rPr>
            <w:b/>
            <w:bCs/>
          </w:rPr>
          <w:delText>The Company</w:delText>
        </w:r>
        <w:r w:rsidRPr="00EC52BD" w:rsidDel="000619F8">
          <w:rPr>
            <w:b/>
            <w:bCs/>
          </w:rPr>
          <w:delText xml:space="preserve"> </w:delText>
        </w:r>
        <w:r w:rsidDel="000619F8">
          <w:delText>Transmission Licence. Should the operation of statement C13 result in an under recovery in year t – 1, the SG figure will be positive and vice versa for an over recovery</w:delText>
        </w:r>
      </w:del>
      <w:r>
        <w:t xml:space="preserve">. </w:t>
      </w:r>
    </w:p>
    <w:p w14:paraId="6CB57801" w14:textId="77777777" w:rsidR="006661FE" w:rsidRDefault="006661FE" w:rsidP="006661FE">
      <w:pPr>
        <w:pStyle w:val="1"/>
        <w:jc w:val="both"/>
        <w:rPr>
          <w:vertAlign w:val="subscript"/>
        </w:rPr>
      </w:pPr>
    </w:p>
    <w:p w14:paraId="08C9A757" w14:textId="77777777" w:rsidR="006661FE" w:rsidRDefault="4DB720A2" w:rsidP="00CD5FBB">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due to </w:t>
      </w:r>
      <w:bookmarkStart w:id="363" w:name="_Int_yQC2CqvJ"/>
      <w:r>
        <w:t>a number of</w:t>
      </w:r>
      <w:bookmarkEnd w:id="363"/>
      <w:r>
        <w:t xml:space="preserve"> factors</w:t>
      </w:r>
      <w:bookmarkStart w:id="364" w:name="_Int_JJtRjYC1"/>
      <w:r>
        <w:t xml:space="preserve">.  </w:t>
      </w:r>
      <w:bookmarkEnd w:id="364"/>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365" w:name="_Int_HDqHKKdx"/>
      <w:r>
        <w:t>In reality, transmission</w:t>
      </w:r>
      <w:bookmarkEnd w:id="365"/>
      <w:r>
        <w:t xml:space="preserve"> investment can only be made in discrete 'lumps'. The transmission system has been planned and developed over </w:t>
      </w:r>
      <w:bookmarkStart w:id="366" w:name="_Int_zKRjQ32D"/>
      <w:r>
        <w:t>a long period</w:t>
      </w:r>
      <w:bookmarkEnd w:id="366"/>
      <w:r>
        <w:t xml:space="preserve"> of time</w:t>
      </w:r>
      <w:bookmarkStart w:id="367" w:name="_Int_tSZPfNWA"/>
      <w:r>
        <w:t xml:space="preserve">.  </w:t>
      </w:r>
      <w:bookmarkEnd w:id="367"/>
      <w:r>
        <w:t xml:space="preserve">Forecasts and assessments used for planning purposes will not have been borne out precisely by events and therefore some distinction </w:t>
      </w:r>
      <w:r>
        <w:lastRenderedPageBreak/>
        <w:t>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CD5FBB">
      <w:pPr>
        <w:pStyle w:val="1"/>
        <w:numPr>
          <w:ilvl w:val="0"/>
          <w:numId w:val="90"/>
        </w:numPr>
        <w:jc w:val="both"/>
      </w:pPr>
      <w:r>
        <w:t xml:space="preserve">As a result of the factors above, </w:t>
      </w:r>
      <w:bookmarkStart w:id="368" w:name="_Int_fkxcJiz8"/>
      <w:r>
        <w:t>in order to</w:t>
      </w:r>
      <w:bookmarkEnd w:id="368"/>
      <w:r>
        <w:t xml:space="preserve"> ensure adequate recovery of total Transmission Owner revenue, a </w:t>
      </w:r>
      <w:r w:rsidR="3A2097F6">
        <w:t xml:space="preserve"> set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369" w:name="_Int_RYkjr2eV"/>
      <w:r>
        <w:t xml:space="preserve">.  </w:t>
      </w:r>
      <w:bookmarkEnd w:id="369"/>
      <w:r>
        <w:t>Th</w:t>
      </w:r>
      <w:r w:rsidR="7613A7A4">
        <w:t xml:space="preserve">ese </w:t>
      </w:r>
      <w:r>
        <w:t xml:space="preserve"> tariff</w:t>
      </w:r>
      <w:r w:rsidR="2E69AFFD">
        <w:t>s</w:t>
      </w:r>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CD5FBB"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m:t>
              </m:r>
              <m:r>
                <w:rPr>
                  <w:rFonts w:ascii="Cambria Math" w:hAnsi="Cambria Math" w:cs="Arial"/>
                </w:rPr>
                <m:t>=</m:t>
              </m:r>
              <m:r>
                <w:rPr>
                  <w:rFonts w:ascii="Cambria Math" w:hAnsi="Cambria Math" w:cs="Arial"/>
                </w:rPr>
                <m:t>TRR</m:t>
              </m:r>
              <m:r>
                <w:rPr>
                  <w:rFonts w:ascii="Cambria Math" w:hAnsi="Cambria Math" w:cs="Arial"/>
                </w:rPr>
                <m:t>-</m:t>
              </m:r>
              <m:sSub>
                <m:sSubPr>
                  <m:ctrlPr>
                    <w:rPr>
                      <w:rFonts w:ascii="Cambria Math" w:hAnsi="Cambria Math" w:cs="Arial"/>
                      <w:i/>
                    </w:rPr>
                  </m:ctrlPr>
                </m:sSubPr>
                <m:e>
                  <m:r>
                    <w:rPr>
                      <w:rFonts w:ascii="Cambria Math" w:hAnsi="Cambria Math" w:cs="Arial"/>
                    </w:rPr>
                    <m:t>ITR</m:t>
                  </m:r>
                  <m:r>
                    <w:rPr>
                      <w:rFonts w:ascii="Cambria Math" w:hAnsi="Cambria Math" w:cs="Arial"/>
                    </w:rPr>
                    <m:t>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GYRS</m:t>
                  </m:r>
                  <m:r>
                    <w:rPr>
                      <w:rFonts w:ascii="Cambria Math" w:hAnsi="Cambria Math" w:cs="Arial"/>
                    </w:rPr>
                    <m:t xml:space="preserve">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m:t>
              </m:r>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r>
        <w:t>Where</w:t>
      </w:r>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290CE825" w14:textId="50676AB3" w:rsidR="00FD1F73" w:rsidRDefault="006661FE" w:rsidP="00CD5FBB">
      <w:pPr>
        <w:pStyle w:val="1"/>
        <w:tabs>
          <w:tab w:val="left" w:pos="2127"/>
        </w:tabs>
        <w:ind w:left="2977" w:hanging="2268"/>
        <w:jc w:val="both"/>
        <w:rPr>
          <w:ins w:id="370" w:author="Alex Aristodemou" w:date="2023-11-03T16:20:00Z"/>
        </w:rPr>
      </w:pPr>
      <w:del w:id="371" w:author="Craig Bell" w:date="2023-11-06T08:39:00Z">
        <w:r w:rsidDel="002C7F91">
          <w:rPr>
            <w:rFonts w:ascii="Arial" w:hAnsi="Arial"/>
          </w:rPr>
          <w:tab/>
        </w:r>
      </w:del>
      <w:ins w:id="372" w:author="Alex Aristodemou" w:date="2023-11-03T16:20:00Z">
        <w:del w:id="373" w:author="Craig Bell" w:date="2023-11-06T08:39:00Z">
          <w:r w:rsidR="00FD1F73" w:rsidDel="002C7F91">
            <w:rPr>
              <w:rFonts w:ascii="Arial" w:hAnsi="Arial"/>
            </w:rPr>
            <w:tab/>
          </w:r>
        </w:del>
        <w:r w:rsidR="00FD1F73">
          <w:t>TRR</w:t>
        </w:r>
        <w:del w:id="374" w:author="Alex Aristodemou" w:date="2023-11-03T15:47:00Z">
          <w:r w:rsidR="00FD1F73" w:rsidDel="00105821">
            <w:rPr>
              <w:vertAlign w:val="subscript"/>
            </w:rPr>
            <w:delText>t</w:delText>
          </w:r>
        </w:del>
        <w:r w:rsidR="00FD1F73">
          <w:rPr>
            <w:vertAlign w:val="subscript"/>
          </w:rPr>
          <w:t xml:space="preserve"> </w:t>
        </w:r>
        <w:r w:rsidR="00FD1F73">
          <w:rPr>
            <w:vertAlign w:val="subscript"/>
          </w:rPr>
          <w:tab/>
        </w:r>
        <w:r w:rsidR="00FD1F73">
          <w:t>=</w:t>
        </w:r>
        <w:r w:rsidR="00FD1F73">
          <w:tab/>
        </w:r>
        <w:del w:id="375" w:author="Alex Aristodemou" w:date="2023-11-03T15:47:00Z">
          <w:r w:rsidR="00FD1F73" w:rsidDel="00105821">
            <w:delText>TNUoS</w:delText>
          </w:r>
          <w:r w:rsidR="00FD1F73" w:rsidDel="00105821">
            <w:fldChar w:fldCharType="begin"/>
          </w:r>
          <w:r w:rsidR="00FD1F73" w:rsidDel="00105821">
            <w:delInstrText xml:space="preserve"> XE "TNUoS" </w:delInstrText>
          </w:r>
          <w:r w:rsidR="00FD1F73" w:rsidDel="00105821">
            <w:fldChar w:fldCharType="end"/>
          </w:r>
          <w:r w:rsidR="00FD1F73" w:rsidDel="00105821">
            <w:delText xml:space="preserve"> Revenue Recovery target for year t</w:delText>
          </w:r>
        </w:del>
        <w:r w:rsidR="00FD1F73">
          <w:t>the forecast of Maximum Revenue at the point where charges are set for a period</w:t>
        </w:r>
      </w:ins>
      <w:ins w:id="376" w:author="Craig Bell" w:date="2023-11-06T08:40:00Z">
        <w:r w:rsidR="006575AA">
          <w:t xml:space="preserve"> (as </w:t>
        </w:r>
        <w:r w:rsidR="00D15856">
          <w:t>calculated in line with paragraph 14.15.135)</w:t>
        </w:r>
      </w:ins>
    </w:p>
    <w:p w14:paraId="00D8A1B3" w14:textId="6F3297B3" w:rsidR="006661FE" w:rsidRDefault="006661FE" w:rsidP="006661FE">
      <w:pPr>
        <w:pStyle w:val="Variableexplanation"/>
        <w:tabs>
          <w:tab w:val="clear" w:pos="1134"/>
          <w:tab w:val="clear" w:pos="1418"/>
          <w:tab w:val="clear" w:pos="1701"/>
        </w:tabs>
        <w:rPr>
          <w:rFonts w:ascii="Arial" w:hAnsi="Arial"/>
          <w:sz w:val="22"/>
        </w:rPr>
      </w:pP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r>
        <w:rPr>
          <w:rFonts w:ascii="Arial" w:hAnsi="Arial"/>
          <w:sz w:val="22"/>
        </w:rPr>
        <w:t>AdjRevenue</w:t>
      </w:r>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r>
        <w:rPr>
          <w:rFonts w:ascii="Arial" w:hAnsi="Arial"/>
          <w:sz w:val="22"/>
        </w:rPr>
        <w:t>14.15.13</w:t>
      </w:r>
      <w:r w:rsidR="001D3D15">
        <w:rPr>
          <w:rFonts w:ascii="Arial" w:hAnsi="Arial"/>
          <w:sz w:val="22"/>
        </w:rPr>
        <w:t xml:space="preserve">8  </w:t>
      </w:r>
      <w:r>
        <w:rPr>
          <w:rFonts w:ascii="Arial" w:hAnsi="Arial" w:cs="Arial"/>
          <w:sz w:val="22"/>
        </w:rPr>
        <w:t xml:space="preserve">To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r>
        <w:rPr>
          <w:rFonts w:ascii="Arial" w:hAnsi="Arial" w:cs="Arial"/>
          <w:sz w:val="22"/>
          <w:lang w:eastAsia="en-US"/>
        </w:rPr>
        <w:t>and;</w:t>
      </w:r>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32  of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and;</w:t>
      </w:r>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377" w:name="_Toc32201079"/>
      <w:bookmarkStart w:id="378" w:name="_Toc49661116"/>
      <w:bookmarkStart w:id="379"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w:t>
      </w:r>
      <w:r>
        <w:rPr>
          <w:rFonts w:ascii="Arial" w:hAnsi="Arial" w:cs="Arial"/>
          <w:sz w:val="22"/>
        </w:rPr>
        <w:lastRenderedPageBreak/>
        <w:t xml:space="preserve">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377"/>
      <w:bookmarkEnd w:id="378"/>
      <w:bookmarkEnd w:id="379"/>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and</w:t>
      </w:r>
      <w:r>
        <w:t xml:space="preserve"> </w:t>
      </w:r>
      <w:r w:rsidR="00F31A9A">
        <w:t xml:space="preserve"> Adjustment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CD5FBB"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CD5FBB"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m:t>
                  </m:r>
                  <m:r>
                    <w:rPr>
                      <w:rFonts w:ascii="Cambria Math" w:hAnsi="Cambria Math"/>
                    </w:rPr>
                    <m: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CD5FBB"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LT</w:t>
      </w:r>
      <w:r w:rsidRPr="00EA7EDB">
        <w:rPr>
          <w:rFonts w:ascii="Arial" w:hAnsi="Arial"/>
          <w:sz w:val="22"/>
          <w:vertAlign w:val="subscript"/>
        </w:rPr>
        <w:t>Gi</w:t>
      </w:r>
      <w:r>
        <w:rPr>
          <w:rFonts w:ascii="Arial" w:hAnsi="Arial"/>
          <w:sz w:val="22"/>
          <w:vertAlign w:val="subscript"/>
        </w:rPr>
        <w:t xml:space="preserve">  </w:t>
      </w:r>
      <w:r w:rsidR="00A4028F">
        <w:rPr>
          <w:rFonts w:ascii="Arial" w:hAnsi="Arial"/>
          <w:sz w:val="22"/>
        </w:rPr>
        <w:t>and AdjTariff</w:t>
      </w:r>
      <w:r w:rsidR="00A4028F" w:rsidRPr="008B5A73">
        <w:rPr>
          <w:rFonts w:ascii="Arial" w:hAnsi="Arial"/>
          <w:sz w:val="22"/>
          <w:vertAlign w:val="subscript"/>
        </w:rPr>
        <w:t>i</w:t>
      </w:r>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mid way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t xml:space="preserve">If the final </w:t>
      </w:r>
      <w:r w:rsidR="003C7F7D">
        <w:t xml:space="preserve"> HH</w:t>
      </w:r>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Therefore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r>
        <w:rPr>
          <w:rFonts w:ascii="Arial" w:hAnsi="Arial"/>
          <w:sz w:val="22"/>
        </w:rPr>
        <w:t>Where</w:t>
      </w:r>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lastRenderedPageBreak/>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r w:rsidR="00B56030">
        <w:t>-;</w:t>
      </w:r>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the PS flag</w:t>
      </w:r>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380" w:name="_Int_Sz9Q4bof"/>
      <w:r>
        <w:t>on the basis of</w:t>
      </w:r>
      <w:bookmarkEnd w:id="380"/>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381" w:name="_Int_jkzcfmzK"/>
      <w:r>
        <w:t>A number of</w:t>
      </w:r>
      <w:bookmarkEnd w:id="381"/>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382" w:name="_Toc32201081"/>
      <w:bookmarkStart w:id="383"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(i)</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14.15.137;</w:t>
      </w:r>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r>
        <w:rPr>
          <w:rFonts w:ascii="Arial" w:hAnsi="Arial" w:cs="Arial"/>
          <w:lang w:val="en-US"/>
        </w:rPr>
        <w:t>);</w:t>
      </w:r>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or;</w:t>
      </w:r>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3AD1A5B3" w:rsidR="00023E64" w:rsidRDefault="7B02D755" w:rsidP="00023E64">
      <w:pPr>
        <w:rPr>
          <w:rFonts w:ascii="Arial" w:hAnsi="Arial" w:cs="Arial"/>
        </w:rPr>
      </w:pPr>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it’s </w:t>
      </w:r>
      <w:r w:rsidRPr="0537B9E0">
        <w:rPr>
          <w:rFonts w:ascii="Arial" w:hAnsi="Arial" w:cs="Arial"/>
          <w:b/>
          <w:bCs/>
        </w:rPr>
        <w:t>Supplier</w:t>
      </w:r>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360653FC"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lastRenderedPageBreak/>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6935B1C2" w14:textId="157F561D" w:rsidR="00985AD8" w:rsidRDefault="00985AD8" w:rsidP="00985AD8">
      <w:pPr>
        <w:ind w:left="1418" w:hanging="1418"/>
        <w:jc w:val="both"/>
        <w:rPr>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w:t>
      </w:r>
      <w:r w:rsidR="007413B1">
        <w:rPr>
          <w:rFonts w:ascii="Arial" w:hAnsi="Arial" w:cs="Arial"/>
          <w:sz w:val="22"/>
          <w:szCs w:val="22"/>
        </w:rPr>
        <w:t>147</w:t>
      </w:r>
      <w:r>
        <w:rPr>
          <w:rFonts w:ascii="Arial" w:hAnsi="Arial" w:cs="Arial"/>
          <w:sz w:val="22"/>
          <w:szCs w:val="22"/>
        </w:rPr>
        <w:t xml:space="preserve">  shall be used.</w:t>
      </w:r>
    </w:p>
    <w:p w14:paraId="7F414ABE" w14:textId="77777777" w:rsidR="00C44673" w:rsidRDefault="00C44673" w:rsidP="00985AD8">
      <w:pPr>
        <w:ind w:left="1418" w:hanging="1418"/>
        <w:jc w:val="both"/>
        <w:rPr>
          <w:sz w:val="22"/>
          <w:szCs w:val="22"/>
        </w:rPr>
      </w:pP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6102E3C" w:rsidR="00DC2C60" w:rsidRDefault="00DC2C60" w:rsidP="00DC2C60">
      <w:pPr>
        <w:rPr>
          <w:rFonts w:ascii="Arial" w:hAnsi="Arial" w:cs="Arial"/>
          <w:lang w:val="en-US"/>
        </w:rPr>
      </w:pPr>
      <w:r>
        <w:rPr>
          <w:rFonts w:ascii="Arial" w:eastAsia="Calibri" w:hAnsi="Arial" w:cs="Arial"/>
          <w:lang w:val="en-US"/>
        </w:rPr>
        <w:lastRenderedPageBreak/>
        <w:t>14.15.1</w:t>
      </w:r>
      <w:r w:rsidR="00B336A7">
        <w:rPr>
          <w:rFonts w:ascii="Arial" w:eastAsia="Calibri" w:hAnsi="Arial" w:cs="Arial"/>
          <w:lang w:val="en-US"/>
        </w:rPr>
        <w:t>62</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for their respective network</w:t>
      </w:r>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384" w:name="_Int_QnRndOFl"/>
      <w:r w:rsidRPr="0537B9E0">
        <w:rPr>
          <w:rFonts w:ascii="Arial" w:hAnsi="Arial" w:cs="Arial"/>
          <w:lang w:val="en-US"/>
        </w:rPr>
        <w:t>as a result of</w:t>
      </w:r>
      <w:bookmarkEnd w:id="384"/>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385"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385"/>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a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lastRenderedPageBreak/>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386"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386"/>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387" w:name="_Int_RX8r3RnS"/>
      <w:r w:rsidRPr="0537B9E0">
        <w:rPr>
          <w:rFonts w:ascii="Arial" w:hAnsi="Arial" w:cs="Arial"/>
          <w:sz w:val="22"/>
          <w:szCs w:val="22"/>
        </w:rPr>
        <w:t>acting reasonably, have</w:t>
      </w:r>
      <w:bookmarkEnd w:id="387"/>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invalid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88" w:name="_Toc32201082"/>
      <w:bookmarkStart w:id="389" w:name="_Toc49661119"/>
      <w:bookmarkEnd w:id="382"/>
      <w:bookmarkEnd w:id="38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90" w:name="_Ref506957800"/>
      <w:bookmarkStart w:id="391" w:name="_Toc32201083"/>
      <w:bookmarkStart w:id="392" w:name="_Toc49661120"/>
      <w:bookmarkStart w:id="393" w:name="_Toc98821478"/>
      <w:bookmarkStart w:id="394" w:name="_Toc111259845"/>
      <w:bookmarkStart w:id="395" w:name="_Toc111262532"/>
      <w:bookmarkStart w:id="396" w:name="_Toc274049695"/>
      <w:bookmarkEnd w:id="388"/>
      <w:bookmarkEnd w:id="389"/>
      <w:r w:rsidRPr="00D54761">
        <w:rPr>
          <w:bCs/>
          <w:color w:val="auto"/>
          <w:sz w:val="28"/>
          <w:szCs w:val="28"/>
        </w:rPr>
        <w:t>14.16 Derivation of the Transmission Network Use of System Energy Consumption Tariff</w:t>
      </w:r>
      <w:bookmarkEnd w:id="390"/>
      <w:bookmarkEnd w:id="391"/>
      <w:bookmarkEnd w:id="392"/>
      <w:r w:rsidRPr="00D54761">
        <w:rPr>
          <w:bCs/>
          <w:color w:val="auto"/>
          <w:sz w:val="28"/>
          <w:szCs w:val="28"/>
        </w:rPr>
        <w:t xml:space="preserve"> and Short Term Capacity Tariff</w:t>
      </w:r>
      <w:bookmarkEnd w:id="393"/>
      <w:bookmarkEnd w:id="394"/>
      <w:bookmarkEnd w:id="395"/>
      <w:r w:rsidRPr="00D54761">
        <w:rPr>
          <w:bCs/>
          <w:color w:val="auto"/>
          <w:sz w:val="28"/>
          <w:szCs w:val="28"/>
        </w:rPr>
        <w:t>s</w:t>
      </w:r>
      <w:bookmarkEnd w:id="39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Locational </w:t>
      </w:r>
      <w:r>
        <w:t xml:space="preserve"> Demand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397" w:name="_Toc274049696"/>
      <w:r>
        <w:t>Short Term Transmission Entry Capacity (STTEC) Tariff</w:t>
      </w:r>
      <w:bookmarkEnd w:id="397"/>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(ET</w:t>
      </w:r>
      <w:r w:rsidR="44A6D22D" w:rsidRPr="0537B9E0">
        <w:rPr>
          <w:vertAlign w:val="subscript"/>
        </w:rPr>
        <w:t>Gi</w:t>
      </w:r>
      <w:r w:rsidR="44A6D22D">
        <w:t xml:space="preserve">) </w:t>
      </w:r>
      <w:r>
        <w:t xml:space="preserve"> annual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 xml:space="preserve">The periods over which the tariff would be prorated would be identical to the periods used when calculating the wider tariff (i.e.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STTECs will not be reconciled following a mid year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42196373" w:rsidR="006661FE" w:rsidRDefault="006661FE" w:rsidP="006661FE">
      <w:pPr>
        <w:ind w:left="709" w:firstLine="720"/>
        <w:jc w:val="both"/>
        <w:rPr>
          <w:sz w:val="22"/>
        </w:rPr>
      </w:pPr>
      <w:r>
        <w:rPr>
          <w:sz w:val="22"/>
        </w:rPr>
        <w:t xml:space="preserve">  </w:t>
      </w:r>
      <w:r>
        <w:rPr>
          <w:rFonts w:ascii="Arial" w:hAnsi="Arial"/>
          <w:sz w:val="22"/>
        </w:rPr>
        <w:t>STTEC tariff   (£/kW/period)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398" w:name="_Toc274049697"/>
      <w:r w:rsidRPr="00DC7159">
        <w:t>Limited Duration Transmission Entry Capacity (LDTEC) Tariffs</w:t>
      </w:r>
      <w:bookmarkEnd w:id="398"/>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 xml:space="preserve">The periods over which the tariff would be prorated would be identical to the periods used when calculating the wider tariff (ie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TECs will not be reconciled following a mid year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399"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400" w:name="_Toc32201085"/>
      <w:bookmarkStart w:id="401" w:name="_Toc49661123"/>
      <w:bookmarkStart w:id="402" w:name="_Toc274049698"/>
      <w:bookmarkEnd w:id="399"/>
      <w:r w:rsidRPr="00D54761">
        <w:rPr>
          <w:color w:val="auto"/>
          <w:sz w:val="28"/>
          <w:szCs w:val="28"/>
        </w:rPr>
        <w:lastRenderedPageBreak/>
        <w:t>14.17 Demand Charges</w:t>
      </w:r>
      <w:bookmarkEnd w:id="400"/>
      <w:bookmarkEnd w:id="401"/>
      <w:bookmarkEnd w:id="40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403" w:name="_Toc32201086"/>
      <w:bookmarkStart w:id="404" w:name="_Toc49661124"/>
      <w:bookmarkStart w:id="405" w:name="_Toc274049699"/>
      <w:r>
        <w:t>Parties Liable for Demand Charges</w:t>
      </w:r>
      <w:bookmarkEnd w:id="403"/>
      <w:bookmarkEnd w:id="404"/>
      <w:bookmarkEnd w:id="405"/>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Demand charges are subdivided into charges for  demand</w:t>
      </w:r>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406" w:name="_Int_8NZgU8u1"/>
      <w:r w:rsidRPr="0537B9E0">
        <w:rPr>
          <w:rFonts w:ascii="Arial" w:hAnsi="Arial" w:cs="Arial"/>
          <w:i w:val="0"/>
        </w:rPr>
        <w:t>energy</w:t>
      </w:r>
      <w:bookmarkEnd w:id="406"/>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407" w:name="_Int_UK3QItuu"/>
      <w:r w:rsidRPr="0537B9E0">
        <w:rPr>
          <w:rFonts w:ascii="Arial" w:hAnsi="Arial" w:cs="Arial"/>
          <w:i w:val="0"/>
        </w:rPr>
        <w:t>all of</w:t>
      </w:r>
      <w:bookmarkEnd w:id="407"/>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The Lead Party of a Supplier BM Unit;</w:t>
      </w:r>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Power Stations with a Bilateral Connection Agreement;</w:t>
      </w:r>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408" w:name="_Toc32201087"/>
      <w:bookmarkStart w:id="409" w:name="_Toc49661125"/>
      <w:bookmarkStart w:id="410" w:name="_Toc274049700"/>
      <w:r>
        <w:t xml:space="preserve">Basis of </w:t>
      </w:r>
      <w:r w:rsidR="00A26D6E">
        <w:t xml:space="preserve"> </w:t>
      </w:r>
      <w:r>
        <w:t>Demand</w:t>
      </w:r>
      <w:r w:rsidR="00862939">
        <w:t xml:space="preserve"> Locational</w:t>
      </w:r>
      <w:r>
        <w:t xml:space="preserve"> Charges</w:t>
      </w:r>
      <w:bookmarkEnd w:id="408"/>
      <w:bookmarkEnd w:id="409"/>
      <w:bookmarkEnd w:id="410"/>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£0/kW charge for Half Hourly and £0/kWh for Non Half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r>
        <w:t xml:space="preserve">Chargeable </w:t>
      </w:r>
      <w:r w:rsidR="39E75A13">
        <w:t xml:space="preserve"> </w:t>
      </w:r>
      <w:r>
        <w:t xml:space="preserve">Demand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of </w:t>
      </w:r>
      <w:r w:rsidR="39E75A13">
        <w:t xml:space="preserve"> </w:t>
      </w:r>
      <w:r>
        <w:t>demand</w:t>
      </w:r>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of </w:t>
      </w:r>
      <w:r w:rsidR="00A26D6E">
        <w:t xml:space="preserve"> </w:t>
      </w:r>
      <w:r>
        <w:t>demand</w:t>
      </w:r>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pro rated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CD5FBB"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m:t>
              </m:r>
              <m:r>
                <w:rPr>
                  <w:rFonts w:ascii="Cambria Math" w:eastAsia="Calibri" w:hAnsi="Cambria Math"/>
                  <w:sz w:val="18"/>
                  <w:szCs w:val="18"/>
                </w:rPr>
                <m:t xml:space="preserve"> </m:t>
              </m:r>
              <m:r>
                <w:rPr>
                  <w:rFonts w:ascii="Cambria Math" w:eastAsia="Calibri" w:hAnsi="Cambria Math"/>
                  <w:sz w:val="18"/>
                  <w:szCs w:val="18"/>
                </w:rPr>
                <m:t>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m:t>
                      </m:r>
                      <m:r>
                        <w:rPr>
                          <w:rFonts w:ascii="Cambria Math" w:eastAsia="Calibri" w:hAnsi="Cambria Math"/>
                          <w:sz w:val="18"/>
                          <w:szCs w:val="18"/>
                        </w:rPr>
                        <m:t xml:space="preserve">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m:t>
                      </m:r>
                      <m:r>
                        <w:rPr>
                          <w:rFonts w:ascii="Cambria Math" w:eastAsia="Calibri" w:hAnsi="Cambria Math"/>
                          <w:sz w:val="18"/>
                          <w:szCs w:val="18"/>
                        </w:rPr>
                        <m:t xml:space="preserve">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lastRenderedPageBreak/>
        <w:drawing>
          <wp:inline distT="0" distB="0" distL="0" distR="0" wp14:anchorId="0107CD10" wp14:editId="52176791">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energy  charges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34378C8A">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lastRenderedPageBreak/>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pro rated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411" w:name="_Toc49661126"/>
      <w:bookmarkStart w:id="412" w:name="_Toc274049701"/>
      <w:r w:rsidRPr="00543982">
        <w:rPr>
          <w:rFonts w:ascii="Arial" w:hAnsi="Arial" w:cs="Arial"/>
          <w:b/>
        </w:rPr>
        <w:t>Supplier BM Unit</w:t>
      </w:r>
      <w:bookmarkEnd w:id="411"/>
      <w:bookmarkEnd w:id="412"/>
      <w:r w:rsidRPr="00543982">
        <w:rPr>
          <w:rFonts w:ascii="Arial" w:hAnsi="Arial" w:cs="Arial"/>
          <w:b/>
        </w:rPr>
        <w:t xml:space="preserve"> </w:t>
      </w:r>
    </w:p>
    <w:p w14:paraId="56B7796B" w14:textId="3200427F" w:rsidR="006661FE" w:rsidRDefault="006661FE" w:rsidP="00533333">
      <w:pPr>
        <w:pStyle w:val="1"/>
        <w:numPr>
          <w:ilvl w:val="0"/>
          <w:numId w:val="110"/>
        </w:numPr>
        <w:jc w:val="both"/>
      </w:pPr>
      <w:r>
        <w:t>A Supplier BM Unit charges will be the sum of its energy</w:t>
      </w:r>
      <w:r w:rsidR="00793AFF">
        <w:t>,  demand</w:t>
      </w:r>
      <w:r w:rsidR="00F27AE2">
        <w:t xml:space="preserve"> locational</w:t>
      </w:r>
      <w:r w:rsidR="00964501">
        <w:t>, Transmission Demand Residual</w:t>
      </w:r>
      <w:r>
        <w:t xml:space="preserve">and </w:t>
      </w:r>
      <w:r w:rsidR="00793AFF">
        <w:t xml:space="preserve">embedded export </w:t>
      </w:r>
      <w:r>
        <w:t>liabilities where:</w:t>
      </w:r>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The Chargeable</w:t>
      </w:r>
      <w:r w:rsidR="00793AFF">
        <w:t xml:space="preserve"> </w:t>
      </w:r>
      <w:r>
        <w:t xml:space="preserve"> Demand</w:t>
      </w:r>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non half-hourly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 </w:t>
      </w:r>
      <w:r>
        <w:rPr>
          <w:i/>
        </w:rPr>
        <w:t>and</w:t>
      </w:r>
    </w:p>
    <w:p w14:paraId="77112181" w14:textId="77777777" w:rsidR="00E64D8B" w:rsidRDefault="00E64D8B" w:rsidP="00E64D8B">
      <w:pPr>
        <w:pStyle w:val="ListParagraph"/>
      </w:pPr>
    </w:p>
    <w:p w14:paraId="673F3F1B"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413" w:name="_Toc49661127"/>
      <w:bookmarkStart w:id="414" w:name="_Toc274049702"/>
      <w:r w:rsidRPr="004248A1">
        <w:rPr>
          <w:rFonts w:ascii="Arial" w:hAnsi="Arial" w:cs="Arial"/>
          <w:b/>
        </w:rPr>
        <w:t>Power Stations with a Bilateral Connection Agreement</w:t>
      </w:r>
      <w:bookmarkEnd w:id="413"/>
      <w:r w:rsidRPr="004248A1">
        <w:rPr>
          <w:rFonts w:ascii="Arial" w:hAnsi="Arial" w:cs="Arial"/>
          <w:b/>
        </w:rPr>
        <w:t xml:space="preserve"> and Licensable Generation with a Bilateral Embedded Generation Agreement</w:t>
      </w:r>
      <w:bookmarkEnd w:id="414"/>
    </w:p>
    <w:p w14:paraId="3E14C05D" w14:textId="0D336F1E" w:rsidR="006661FE" w:rsidRDefault="005D4BD5" w:rsidP="00533333">
      <w:pPr>
        <w:pStyle w:val="1"/>
        <w:numPr>
          <w:ilvl w:val="0"/>
          <w:numId w:val="110"/>
        </w:numPr>
        <w:jc w:val="both"/>
      </w:pPr>
      <w:r>
        <w:lastRenderedPageBreak/>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415" w:name="_Toc49661128"/>
      <w:bookmarkStart w:id="416" w:name="_Toc274049703"/>
      <w:r w:rsidRPr="004248A1">
        <w:rPr>
          <w:rFonts w:ascii="Arial" w:hAnsi="Arial" w:cs="Arial"/>
          <w:b/>
        </w:rPr>
        <w:t>Exemptible Generation and Derogated Distribution Interconnectors with a Bilateral Embedded Generation Agreement</w:t>
      </w:r>
      <w:bookmarkEnd w:id="415"/>
      <w:bookmarkEnd w:id="416"/>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Chargeable </w:t>
      </w:r>
      <w:r w:rsidR="00793AFF">
        <w:t xml:space="preserve"> </w:t>
      </w:r>
      <w:r>
        <w:t>Demand</w:t>
      </w:r>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417" w:name="_Toc32201088"/>
      <w:bookmarkStart w:id="418" w:name="_Toc49661130"/>
    </w:p>
    <w:p w14:paraId="0B6583C1" w14:textId="77777777" w:rsidR="006661FE" w:rsidRDefault="006661FE" w:rsidP="006661FE">
      <w:pPr>
        <w:pStyle w:val="Heading2"/>
      </w:pPr>
      <w:bookmarkStart w:id="419" w:name="_Toc274049704"/>
      <w:r>
        <w:t>Small Generators Tariffs</w:t>
      </w:r>
      <w:bookmarkEnd w:id="419"/>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420" w:name="_Toc274049705"/>
      <w:r>
        <w:t>The Triad</w:t>
      </w:r>
      <w:bookmarkEnd w:id="417"/>
      <w:bookmarkEnd w:id="418"/>
      <w:bookmarkEnd w:id="420"/>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42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lastRenderedPageBreak/>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421"/>
    <w:p w14:paraId="7B33B3B5" w14:textId="77777777" w:rsidR="006661FE" w:rsidRDefault="006661FE" w:rsidP="006661FE">
      <w:pPr>
        <w:pStyle w:val="1"/>
        <w:jc w:val="both"/>
      </w:pPr>
    </w:p>
    <w:bookmarkStart w:id="422"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422"/>
      <w:r>
        <w:fldChar w:fldCharType="begin"/>
      </w:r>
      <w:r>
        <w:instrText xml:space="preserve"> XE "Trading Unit" </w:instrText>
      </w:r>
      <w:r>
        <w:fldChar w:fldCharType="end"/>
      </w:r>
    </w:p>
    <w:bookmarkStart w:id="423"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42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424" w:name="_Hlt497734631"/>
      <w:bookmarkEnd w:id="424"/>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Throughout the year, Users’ monthly demand charges will be based on;</w:t>
      </w:r>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lastRenderedPageBreak/>
        <w:t>non-half hourly metered energy to be supplied over the period 16:00 hrs to 19:00 hrs inclusive every day over the Financial Year for each BM Unit, multiplied by the relevant zonal p/kWh tariff</w:t>
      </w:r>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Demand Forecast</w:t>
      </w:r>
      <w:r w:rsidR="577587B7">
        <w:t xml:space="preserve"> </w:t>
      </w:r>
      <w:r w:rsidR="6B913268">
        <w:t xml:space="preserve"> split evenly over the 12 months of the year</w:t>
      </w:r>
      <w:r w:rsidR="10766D05">
        <w:t xml:space="preserve">. </w:t>
      </w:r>
      <w:r w:rsidR="6B913268">
        <w:t xml:space="preserve">Users </w:t>
      </w:r>
      <w:bookmarkStart w:id="425" w:name="_Int_y5EhEfkb"/>
      <w:r w:rsidR="6B913268">
        <w:t>have the opportunity to</w:t>
      </w:r>
      <w:bookmarkEnd w:id="425"/>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the </w:t>
      </w:r>
      <w:r w:rsidR="07723C81">
        <w:t xml:space="preserve"> above</w:t>
      </w:r>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(i.e.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The sum of the gross demand forecast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426" w:name="_Int_HE9aDoRe"/>
      <w:r w:rsidR="139F9CFE">
        <w:t>export</w:t>
      </w:r>
      <w:bookmarkEnd w:id="426"/>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427" w:name="_Int_lnFqrg5c"/>
      <w:r>
        <w:t>at all times</w:t>
      </w:r>
      <w:bookmarkEnd w:id="427"/>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non half-hourly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lastRenderedPageBreak/>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non half-hourly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428" w:name="_Int_mF9chaq9"/>
      <w:r>
        <w:t>in order to</w:t>
      </w:r>
      <w:bookmarkEnd w:id="428"/>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429" w:name="_Toc32201090"/>
      <w:bookmarkStart w:id="430" w:name="_Toc49661133"/>
      <w:bookmarkStart w:id="431" w:name="_Toc274049707"/>
      <w:r>
        <w:t>Reconciliation of Demand Charges</w:t>
      </w:r>
      <w:bookmarkEnd w:id="429"/>
      <w:bookmarkEnd w:id="430"/>
      <w:bookmarkEnd w:id="431"/>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Due to the Settlements process, reconciliation of demand charges is carried out in two stages;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Year </w:t>
      </w:r>
      <w:r w:rsidR="445B7493" w:rsidRPr="0537B9E0">
        <w:rPr>
          <w:rFonts w:ascii="Arial" w:eastAsia="Arial" w:hAnsi="Arial"/>
          <w:lang w:val="en-US"/>
        </w:rPr>
        <w:t xml:space="preserve"> </w:t>
      </w:r>
      <w:r>
        <w:t xml:space="preserve">not </w:t>
      </w:r>
      <w:bookmarkStart w:id="432" w:name="_Int_coi9uKCi"/>
      <w:r>
        <w:t>being in compliance with</w:t>
      </w:r>
      <w:bookmarkEnd w:id="432"/>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433" w:name="_Toc49661134"/>
      <w:bookmarkStart w:id="434" w:name="_Toc274049708"/>
      <w:r w:rsidRPr="004248A1">
        <w:rPr>
          <w:rFonts w:ascii="Arial" w:hAnsi="Arial" w:cs="Arial"/>
          <w:b/>
        </w:rPr>
        <w:t>Initial Reconciliation of demand charges</w:t>
      </w:r>
      <w:bookmarkEnd w:id="433"/>
      <w:bookmarkEnd w:id="434"/>
    </w:p>
    <w:p w14:paraId="3D03D4AA" w14:textId="334E0059" w:rsidR="006661FE" w:rsidRDefault="4DB720A2" w:rsidP="00AD7A23">
      <w:pPr>
        <w:pStyle w:val="1"/>
        <w:numPr>
          <w:ilvl w:val="0"/>
          <w:numId w:val="128"/>
        </w:numPr>
        <w:jc w:val="both"/>
      </w:pPr>
      <w:bookmarkStart w:id="435"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r w:rsidR="528FAC40" w:rsidRPr="0537B9E0">
        <w:rPr>
          <w:b/>
          <w:bCs/>
        </w:rPr>
        <w:t xml:space="preserve">Forecast </w:t>
      </w:r>
      <w:r w:rsidR="528FAC40">
        <w:t xml:space="preserve"> to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charges</w:t>
      </w:r>
      <w:r w:rsidR="6A00B2D3">
        <w:t xml:space="preserve">, </w:t>
      </w:r>
      <w:r>
        <w:t xml:space="preserve"> Initial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435"/>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436" w:name="_Toc49661135"/>
      <w:bookmarkStart w:id="437" w:name="_Toc274049709"/>
      <w:r w:rsidRPr="004248A1">
        <w:rPr>
          <w:rFonts w:ascii="Arial" w:hAnsi="Arial" w:cs="Arial"/>
          <w:b/>
        </w:rPr>
        <w:t>Initial Reconciliation Part 1– Half-hourly metered demand</w:t>
      </w:r>
      <w:bookmarkEnd w:id="436"/>
      <w:bookmarkEnd w:id="437"/>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lastRenderedPageBreak/>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438"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439" w:name="_Toc49661136"/>
      <w:bookmarkStart w:id="440" w:name="_Toc274049710"/>
      <w:bookmarkEnd w:id="438"/>
      <w:r w:rsidRPr="004248A1">
        <w:rPr>
          <w:rFonts w:ascii="Arial" w:hAnsi="Arial" w:cs="Arial"/>
          <w:b/>
        </w:rPr>
        <w:t>Initial Reconciliation Part 2 – Non-half-hourly metered demand</w:t>
      </w:r>
      <w:bookmarkStart w:id="441" w:name="_Hlt498762075"/>
      <w:bookmarkStart w:id="442" w:name="_Ref491664018"/>
      <w:bookmarkStart w:id="443" w:name="_Ref497734153"/>
      <w:bookmarkStart w:id="444" w:name="_Ref498941166"/>
      <w:bookmarkEnd w:id="439"/>
      <w:bookmarkEnd w:id="440"/>
      <w:bookmarkEnd w:id="441"/>
    </w:p>
    <w:bookmarkEnd w:id="442"/>
    <w:bookmarkEnd w:id="443"/>
    <w:bookmarkEnd w:id="444"/>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(i.e.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445" w:name="_Toc274049711"/>
      <w:bookmarkStart w:id="446"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445"/>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447" w:name="_Int_EKegFb2M"/>
      <w:r w:rsidR="46CF7F90">
        <w:t>exports</w:t>
      </w:r>
      <w:bookmarkEnd w:id="447"/>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448" w:name="_Ref272917776"/>
      <w:r>
        <w:t>Final actual charges will be determined using the final demand reconciliation data taken from the Final Reconciliation Settlement Run or the Final Reconciliation Volume Allocation Run</w:t>
      </w:r>
      <w:r>
        <w:rPr>
          <w:sz w:val="20"/>
        </w:rPr>
        <w:t>.</w:t>
      </w:r>
      <w:bookmarkEnd w:id="448"/>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449" w:name="_Toc274049712"/>
      <w:r w:rsidRPr="004248A1">
        <w:rPr>
          <w:rFonts w:ascii="Arial" w:hAnsi="Arial" w:cs="Arial"/>
          <w:b/>
        </w:rPr>
        <w:t>Reconciliation of manifest errors</w:t>
      </w:r>
      <w:bookmarkEnd w:id="449"/>
    </w:p>
    <w:p w14:paraId="4FAE4DB9" w14:textId="42FBD07D" w:rsidR="006661FE" w:rsidRDefault="4DB720A2" w:rsidP="00AD7A23">
      <w:pPr>
        <w:pStyle w:val="1"/>
        <w:numPr>
          <w:ilvl w:val="0"/>
          <w:numId w:val="128"/>
        </w:numPr>
        <w:jc w:val="both"/>
      </w:pPr>
      <w:bookmarkStart w:id="450" w:name="_Int_X7l5wMDx"/>
      <w:r>
        <w:t>In the event that</w:t>
      </w:r>
      <w:bookmarkEnd w:id="450"/>
      <w:r>
        <w:t xml:space="preserve"> a manifest error, or multiple errors in the calculation of TNUoS tariffs results in a material discrepancy in </w:t>
      </w:r>
      <w:r w:rsidR="1D492FDD">
        <w:t>a</w:t>
      </w:r>
      <w:r w:rsidR="0F70172D">
        <w:t xml:space="preserve"> </w:t>
      </w:r>
      <w:r>
        <w:t>Users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xml:space="preserve">.  The reconciliation process shall be carried </w:t>
      </w:r>
      <w:r>
        <w:lastRenderedPageBreak/>
        <w:t>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451" w:name="_Ref272932916"/>
      <w:r>
        <w:t>A manifest error shall be defined as any of the following:</w:t>
      </w:r>
      <w:bookmarkEnd w:id="451"/>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a) an error in the transfer of relevant data between the Transmission Licensees or Distribution Network Operators;</w:t>
      </w:r>
    </w:p>
    <w:p w14:paraId="20966D45" w14:textId="77777777" w:rsidR="006661FE" w:rsidRDefault="006661FE" w:rsidP="006661FE">
      <w:pPr>
        <w:pStyle w:val="1"/>
        <w:ind w:left="2149" w:hanging="709"/>
        <w:jc w:val="both"/>
      </w:pPr>
      <w:r>
        <w:tab/>
        <w:t>b) an error in the population of the Transport Model with relevant data;</w:t>
      </w:r>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452" w:name="_Ref272931090"/>
      <w:r>
        <w:t xml:space="preserve">A manifest error shall be considered material </w:t>
      </w:r>
      <w:bookmarkStart w:id="453" w:name="_Int_MvdUFyvq"/>
      <w:r>
        <w:t>in the event that</w:t>
      </w:r>
      <w:bookmarkEnd w:id="453"/>
      <w:r>
        <w:t xml:space="preserve"> such an error or, the net effect of multiple errors, has an impact of the lesser of either:</w:t>
      </w:r>
      <w:bookmarkEnd w:id="452"/>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454" w:name="_Int_Jedbxwxn"/>
      <w:r>
        <w:t>in excess of</w:t>
      </w:r>
      <w:bookmarkEnd w:id="454"/>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455"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455"/>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456" w:name="_Int_SelQmNiS"/>
      <w:r w:rsidRPr="0537B9E0">
        <w:rPr>
          <w:rFonts w:ascii="Arial" w:hAnsi="Arial" w:cs="Arial"/>
        </w:rPr>
        <w:t>In the event that</w:t>
      </w:r>
      <w:bookmarkEnd w:id="456"/>
      <w:r w:rsidRPr="0537B9E0">
        <w:rPr>
          <w:rFonts w:ascii="Arial" w:hAnsi="Arial" w:cs="Arial"/>
        </w:rPr>
        <w:t xml:space="preserve"> the annual average transmission charges attributable to Generators exceeds the upper limit established in the Limiting Regulation then an Ex-post Reconciliation will be calculated for Generat</w:t>
      </w:r>
      <w:r w:rsidR="73694C02" w:rsidRPr="0537B9E0">
        <w:rPr>
          <w:rFonts w:ascii="Arial" w:hAnsi="Arial" w:cs="Arial"/>
        </w:rPr>
        <w:t xml:space="preserve">ion </w:t>
      </w:r>
      <w:r w:rsidRPr="0537B9E0">
        <w:rPr>
          <w:rFonts w:ascii="Arial" w:hAnsi="Arial" w:cs="Arial"/>
        </w:rPr>
        <w:t xml:space="preserve"> and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r w:rsidRPr="00612996">
        <w:rPr>
          <w:rFonts w:ascii="Arial" w:hAnsi="Arial" w:cs="Arial"/>
          <w:sz w:val="22"/>
          <w:szCs w:val="22"/>
        </w:rPr>
        <w:t>Dadj = GCharge</w:t>
      </w:r>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r w:rsidRPr="00E4190E">
        <w:rPr>
          <w:rFonts w:cs="Arial"/>
          <w:szCs w:val="22"/>
        </w:rPr>
        <w:t>Dadj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previous </w:t>
      </w:r>
      <w:r w:rsidR="008B2C92">
        <w:rPr>
          <w:rFonts w:ascii="Arial" w:hAnsi="Arial" w:cs="Arial"/>
          <w:b/>
        </w:rPr>
        <w:t xml:space="preserve"> </w:t>
      </w:r>
      <w:r w:rsidR="008B2C92" w:rsidRPr="00AD7A23">
        <w:rPr>
          <w:rFonts w:ascii="Arial" w:hAnsi="Arial" w:cs="Arial"/>
          <w:bCs/>
        </w:rPr>
        <w:t xml:space="preserve">Charging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r w:rsidRPr="00E4190E">
        <w:rPr>
          <w:rFonts w:ascii="Arial" w:hAnsi="Arial" w:cs="Arial"/>
          <w:szCs w:val="22"/>
        </w:rPr>
        <w:t>CapEC =  The upper limit of the Limiting Regulation</w:t>
      </w:r>
    </w:p>
    <w:p w14:paraId="2A2E64C9" w14:textId="745E7E92" w:rsidR="00FE137D" w:rsidRDefault="00CD5FBB"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 xml:space="preserve">harging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r w:rsidRPr="00E4190E">
        <w:rPr>
          <w:rFonts w:ascii="Arial" w:hAnsi="Arial" w:cs="Arial"/>
          <w:szCs w:val="22"/>
        </w:rPr>
        <w:t xml:space="preserve">GCharge (Actual) = Actual charges to Generators in the previous </w:t>
      </w:r>
      <w:r w:rsidR="009B4150">
        <w:rPr>
          <w:rFonts w:ascii="Arial" w:hAnsi="Arial" w:cs="Arial"/>
          <w:b/>
        </w:rPr>
        <w:t xml:space="preserve"> </w:t>
      </w:r>
      <w:r w:rsidR="009B4150" w:rsidRPr="00AD7A23">
        <w:rPr>
          <w:rFonts w:ascii="Arial" w:hAnsi="Arial" w:cs="Arial"/>
          <w:bCs/>
        </w:rPr>
        <w:t xml:space="preserve">Charging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457" w:name="_Int_yzQbGivv"/>
      <w:r w:rsidRPr="0537B9E0">
        <w:rPr>
          <w:rFonts w:ascii="Arial" w:hAnsi="Arial" w:cs="Arial"/>
          <w:sz w:val="22"/>
          <w:szCs w:val="22"/>
        </w:rPr>
        <w:t>in order to</w:t>
      </w:r>
      <w:bookmarkEnd w:id="457"/>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lastRenderedPageBreak/>
        <w:t>Where</w:t>
      </w:r>
    </w:p>
    <w:p w14:paraId="642BA4C0"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DRadj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458" w:name="_Int_2K9jtLxn"/>
      <w:r w:rsidRPr="0537B9E0">
        <w:rPr>
          <w:rFonts w:ascii="Arial" w:hAnsi="Arial" w:cs="Arial"/>
          <w:sz w:val="22"/>
          <w:szCs w:val="22"/>
        </w:rPr>
        <w:t>in order to</w:t>
      </w:r>
      <w:bookmarkEnd w:id="458"/>
      <w:r w:rsidRPr="0537B9E0">
        <w:rPr>
          <w:rFonts w:ascii="Arial" w:hAnsi="Arial" w:cs="Arial"/>
          <w:sz w:val="22"/>
          <w:szCs w:val="22"/>
        </w:rPr>
        <w:t xml:space="preserve"> adjust for compliance with the Limiting Regulation in 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 xml:space="preserve">Charging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r w:rsidRPr="00E42A8C">
        <w:rPr>
          <w:rFonts w:ascii="Arial" w:hAnsi="Arial" w:cs="Arial"/>
          <w:sz w:val="22"/>
          <w:szCs w:val="22"/>
        </w:rPr>
        <w:t>Where</w:t>
      </w:r>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 xml:space="preserve">ANHHC = Total actual annual non-half-hourly metered energy consumption (kWh) for the period 16:00 hrs to 19:00 hrs inclusive (i.e.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r w:rsidRPr="00E4190E">
        <w:rPr>
          <w:rFonts w:cs="Arial"/>
          <w:szCs w:val="22"/>
        </w:rPr>
        <w:t xml:space="preserve">Gadj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r w:rsidRPr="00E91193">
        <w:rPr>
          <w:rFonts w:ascii="Arial" w:hAnsi="Arial" w:cs="Arial"/>
          <w:szCs w:val="22"/>
        </w:rPr>
        <w:t xml:space="preserve">Dadj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r w:rsidRPr="00E91193">
        <w:rPr>
          <w:rFonts w:cs="Arial"/>
          <w:szCs w:val="22"/>
        </w:rPr>
        <w:t xml:space="preserve">Gadj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w:t>
      </w:r>
      <w:bookmarkStart w:id="459" w:name="_Int_2vlleuI4"/>
      <w:r w:rsidRPr="0537B9E0">
        <w:rPr>
          <w:rFonts w:ascii="Arial" w:hAnsi="Arial" w:cs="Arial"/>
          <w:sz w:val="22"/>
          <w:szCs w:val="22"/>
        </w:rPr>
        <w:t>in order to</w:t>
      </w:r>
      <w:bookmarkEnd w:id="459"/>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r w:rsidRPr="00E91193">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r w:rsidRPr="0025180C">
        <w:t xml:space="preserve">GRadj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r w:rsidRPr="00612996">
        <w:rPr>
          <w:rFonts w:ascii="Arial" w:hAnsi="Arial" w:cs="Arial"/>
          <w:sz w:val="22"/>
          <w:szCs w:val="22"/>
        </w:rPr>
        <w:t>Dadj = GCharge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r w:rsidRPr="00612996">
        <w:rPr>
          <w:rFonts w:ascii="Arial" w:hAnsi="Arial" w:cs="Arial"/>
          <w:sz w:val="22"/>
          <w:szCs w:val="22"/>
        </w:rPr>
        <w:t>Dadj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r w:rsidRPr="00E91193">
        <w:rPr>
          <w:rFonts w:ascii="Arial" w:hAnsi="Arial" w:cs="Arial"/>
          <w:szCs w:val="22"/>
        </w:rPr>
        <w:t xml:space="preserve">GCharge (Actual) = Actual charges to Generators in the previous </w:t>
      </w:r>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460" w:name="_Int_HiQP6kuC"/>
      <w:r w:rsidRPr="0537B9E0">
        <w:rPr>
          <w:rFonts w:ascii="Arial" w:hAnsi="Arial" w:cs="Arial"/>
          <w:sz w:val="22"/>
          <w:szCs w:val="22"/>
        </w:rPr>
        <w:t>in order to</w:t>
      </w:r>
      <w:bookmarkEnd w:id="460"/>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07D410C1"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DRadj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461" w:name="_Int_5kbcJKmD"/>
      <w:r w:rsidRPr="0537B9E0">
        <w:rPr>
          <w:rFonts w:ascii="Arial" w:hAnsi="Arial" w:cs="Arial"/>
          <w:sz w:val="22"/>
          <w:szCs w:val="22"/>
        </w:rPr>
        <w:t>in order to</w:t>
      </w:r>
      <w:bookmarkEnd w:id="461"/>
      <w:r w:rsidRPr="0537B9E0">
        <w:rPr>
          <w:rFonts w:ascii="Arial" w:hAnsi="Arial" w:cs="Arial"/>
          <w:sz w:val="22"/>
          <w:szCs w:val="22"/>
        </w:rPr>
        <w:t xml:space="preserve"> adjust for compliance with the Limiting Regulation in the </w:t>
      </w:r>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 xml:space="preserve">emand </w:t>
      </w:r>
    </w:p>
    <w:p w14:paraId="77271D0B" w14:textId="6306C33D"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Ex-post reconciliation for 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The recovery from Generator Users will be</w:t>
      </w:r>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r w:rsidRPr="004359E9">
        <w:rPr>
          <w:rFonts w:cs="Arial"/>
          <w:szCs w:val="22"/>
        </w:rPr>
        <w:t xml:space="preserve">Gadj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r w:rsidRPr="004359E9">
        <w:rPr>
          <w:rFonts w:ascii="Arial" w:hAnsi="Arial" w:cs="Arial"/>
          <w:szCs w:val="22"/>
        </w:rPr>
        <w:t>Dadj =  Revenue to be dispersed to Demand</w:t>
      </w:r>
    </w:p>
    <w:p w14:paraId="11FB32C3" w14:textId="5402DB0D" w:rsidR="00EA032C" w:rsidRPr="004359E9" w:rsidRDefault="00EA032C" w:rsidP="00EA032C">
      <w:pPr>
        <w:pStyle w:val="1"/>
        <w:ind w:left="1440"/>
        <w:rPr>
          <w:rFonts w:ascii="Arial" w:hAnsi="Arial" w:cs="Arial"/>
          <w:szCs w:val="22"/>
        </w:rPr>
      </w:pPr>
      <w:r w:rsidRPr="004359E9">
        <w:rPr>
          <w:rFonts w:cs="Arial"/>
          <w:szCs w:val="22"/>
        </w:rPr>
        <w:t>Gadj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r w:rsidR="00CF3AF5">
        <w:rPr>
          <w:rFonts w:ascii="Arial" w:hAnsi="Arial" w:cs="Arial"/>
          <w:szCs w:val="22"/>
        </w:rPr>
        <w:t xml:space="preserve">year, </w:t>
      </w:r>
      <w:r w:rsidRPr="000E3141">
        <w:rPr>
          <w:rFonts w:ascii="Arial" w:hAnsi="Arial" w:cs="Arial"/>
          <w:szCs w:val="22"/>
        </w:rPr>
        <w:t xml:space="preserve"> in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r w:rsidRPr="004359E9">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r w:rsidRPr="0025180C">
        <w:t xml:space="preserve">GRadj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 xml:space="preserve">BSC modification P272 requires Suppliers to move Profile Classes 5-8 to Measurement Class E - G (i.e. moving from NHH to HH settlement) by April 2016. </w:t>
      </w:r>
      <w:bookmarkStart w:id="462" w:name="_Int_olybBDAo"/>
      <w:r>
        <w:t>The majority of</w:t>
      </w:r>
      <w:bookmarkEnd w:id="462"/>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463" w:name="_Int_FVrteR5Y"/>
      <w:r>
        <w:t>and also</w:t>
      </w:r>
      <w:bookmarkEnd w:id="463"/>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9C222A">
        <w:rPr>
          <w:b/>
          <w:bCs/>
        </w:rPr>
        <w:t>Financial</w:t>
      </w:r>
      <w:r>
        <w:t xml:space="preserve"> </w:t>
      </w:r>
      <w:r w:rsidRPr="006B0CEB">
        <w:rPr>
          <w:b/>
          <w:bCs/>
        </w:rPr>
        <w:t>Year</w:t>
      </w:r>
      <w:r>
        <w:t xml:space="preserve"> 2016/17</w:t>
      </w:r>
      <w:r w:rsidRPr="007E2F78">
        <w:t>). Where the Supplier fails to provide the data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464" w:name="_Int_ajxNUWSl"/>
      <w:r w:rsidR="66E8A699">
        <w:t>and also</w:t>
      </w:r>
      <w:bookmarkEnd w:id="464"/>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i.e.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465" w:name="_Toc274049713"/>
      <w:r>
        <w:t>Further Information</w:t>
      </w:r>
      <w:bookmarkEnd w:id="465"/>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466" w:name="_Int_7stUSqP4"/>
      <w:r w:rsidR="3BB2A63A">
        <w:t>export</w:t>
      </w:r>
      <w:bookmarkEnd w:id="466"/>
      <w:r w:rsidR="3BB2A63A">
        <w:t xml:space="preserve"> </w:t>
      </w:r>
      <w:r>
        <w:t xml:space="preserve">and non-half-hourly metered </w:t>
      </w:r>
      <w:bookmarkStart w:id="467" w:name="_Int_LEj1ZaZ7"/>
      <w:r>
        <w:t>demand</w:t>
      </w:r>
      <w:bookmarkEnd w:id="467"/>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zonal </w:t>
      </w:r>
      <w:r w:rsidR="3BB2A63A">
        <w:t xml:space="preserve"> </w:t>
      </w:r>
      <w:r>
        <w:t>demand</w:t>
      </w:r>
      <w:r w:rsidR="2089E02F">
        <w:t xml:space="preserve"> locational</w:t>
      </w:r>
      <w:r>
        <w:t xml:space="preserve"> tariffs,</w:t>
      </w:r>
      <w:r w:rsidR="3BB2A63A">
        <w:t xml:space="preserve"> the £/kW zonal embedded export tariffs,</w:t>
      </w:r>
      <w:r>
        <w:t xml:space="preserve"> the p/kWh energy consumption </w:t>
      </w:r>
      <w:bookmarkStart w:id="468" w:name="_Int_9yE8yapL"/>
      <w:r>
        <w:t>tariffs</w:t>
      </w:r>
      <w:bookmarkEnd w:id="468"/>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469" w:name="_Toc32201092"/>
      <w:bookmarkStart w:id="470" w:name="_Toc49661139"/>
      <w:bookmarkStart w:id="471" w:name="_Toc274049714"/>
      <w:bookmarkEnd w:id="446"/>
      <w:r w:rsidRPr="00FE40FB">
        <w:rPr>
          <w:color w:val="auto"/>
          <w:sz w:val="28"/>
          <w:szCs w:val="28"/>
        </w:rPr>
        <w:lastRenderedPageBreak/>
        <w:t>14.18 Generation charges</w:t>
      </w:r>
      <w:bookmarkEnd w:id="469"/>
      <w:bookmarkEnd w:id="470"/>
      <w:bookmarkEnd w:id="471"/>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472" w:name="_Toc32201093"/>
      <w:bookmarkStart w:id="473" w:name="_Toc49661140"/>
      <w:bookmarkStart w:id="474" w:name="_Toc274049715"/>
      <w:r>
        <w:t>Parties Liable for Generation Charges</w:t>
      </w:r>
      <w:bookmarkEnd w:id="472"/>
      <w:bookmarkEnd w:id="473"/>
      <w:bookmarkEnd w:id="474"/>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Parties of Licensable Generation that have a Bilateral Embedded Generation Agreement with</w:t>
      </w:r>
      <w:r w:rsidRPr="002F4A25">
        <w:t xml:space="preserve"> </w:t>
      </w:r>
      <w:r w:rsidR="031E2446" w:rsidRPr="002F4A25">
        <w:rPr>
          <w:b/>
          <w:bCs/>
          <w:szCs w:val="22"/>
        </w:rPr>
        <w:t xml:space="preserve"> The</w:t>
      </w:r>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475" w:name="_Toc274049716"/>
      <w:bookmarkStart w:id="476" w:name="_Toc32201094"/>
      <w:bookmarkStart w:id="477" w:name="_Toc49661141"/>
      <w:r>
        <w:t>Structure of Generation Charges</w:t>
      </w:r>
      <w:bookmarkEnd w:id="475"/>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YRNS Tariff  = Wider Year Round Not-Shared Tariff</w:t>
      </w:r>
    </w:p>
    <w:p w14:paraId="4866D405" w14:textId="77777777" w:rsidR="00827678" w:rsidRDefault="00827678" w:rsidP="00827678">
      <w:pPr>
        <w:pStyle w:val="1"/>
        <w:ind w:left="1627"/>
        <w:jc w:val="both"/>
      </w:pPr>
      <w:r w:rsidRPr="000B6C0D">
        <w:t>YRS Tariff = Wider Year Round Shared Tariff</w:t>
      </w:r>
    </w:p>
    <w:p w14:paraId="2BE09E68" w14:textId="77777777" w:rsidR="00827678" w:rsidRDefault="00827678" w:rsidP="00827678">
      <w:pPr>
        <w:pStyle w:val="1"/>
        <w:ind w:left="907" w:firstLine="720"/>
        <w:jc w:val="both"/>
      </w:pPr>
      <w:r>
        <w:t>Adj Tariff = Adjustment Tariff</w:t>
      </w:r>
    </w:p>
    <w:p w14:paraId="35FB72C9" w14:textId="77777777" w:rsidR="00A31CF0" w:rsidRDefault="00A31CF0" w:rsidP="00674102">
      <w:pPr>
        <w:pStyle w:val="1"/>
        <w:ind w:left="1627"/>
        <w:jc w:val="both"/>
      </w:pPr>
    </w:p>
    <w:p w14:paraId="335DC98D" w14:textId="77777777" w:rsidR="00674102" w:rsidRDefault="00674102"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pro rated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tariff changes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will be determined based on the net position of the pro rated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478" w:name="_Toc274049717"/>
      <w:r>
        <w:t>Basis of Wider Generation Charges</w:t>
      </w:r>
      <w:bookmarkEnd w:id="476"/>
      <w:bookmarkEnd w:id="477"/>
      <w:bookmarkEnd w:id="478"/>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79" w:name="_Toc274049718"/>
      <w:r w:rsidRPr="00887323">
        <w:rPr>
          <w:rFonts w:ascii="Arial" w:hAnsi="Arial" w:cs="Arial"/>
          <w:b/>
        </w:rPr>
        <w:t>Generation with positive wider tariffs</w:t>
      </w:r>
      <w:bookmarkEnd w:id="479"/>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(e.g.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480" w:name="_Int_wC5tX78w"/>
      <w:r>
        <w:t>whether or not</w:t>
      </w:r>
      <w:bookmarkEnd w:id="480"/>
      <w:r>
        <w:t xml:space="preserve"> it </w:t>
      </w:r>
      <w:bookmarkStart w:id="481" w:name="_Int_KjmaLCfP"/>
      <w:r>
        <w:t>enters into</w:t>
      </w:r>
      <w:bookmarkEnd w:id="481"/>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482" w:name="_Ref272935596"/>
      <w:r>
        <w:t>The short-term chargeable capacity for Power Stations situated with positive generation tariffs is any approved STTEC or LDTEC applicable to that Power Station during a valid STTEC Period or LDTEC Period, as appropriate.</w:t>
      </w:r>
      <w:bookmarkEnd w:id="482"/>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For Power Stations, the short term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485" w:name="_Int_oyDwGxAv"/>
      <w:r w:rsidRPr="0537B9E0">
        <w:rPr>
          <w:rFonts w:cs="Arial"/>
        </w:rPr>
        <w:t>a number of</w:t>
      </w:r>
      <w:bookmarkEnd w:id="485"/>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86" w:name="_Int_Br7BPDb9"/>
      <w:r w:rsidRPr="0537B9E0">
        <w:rPr>
          <w:rFonts w:cs="Arial"/>
        </w:rPr>
        <w:t>whether or not</w:t>
      </w:r>
      <w:bookmarkEnd w:id="486"/>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487" w:name="_Int_92g3EQw1"/>
      <w:r w:rsidRPr="0537B9E0">
        <w:rPr>
          <w:rFonts w:cs="Arial"/>
        </w:rPr>
        <w:t>in a given</w:t>
      </w:r>
      <w:bookmarkEnd w:id="487"/>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488" w:name="_Toc49661143"/>
      <w:bookmarkStart w:id="489" w:name="_Toc274049719"/>
      <w:r w:rsidRPr="004248A1">
        <w:rPr>
          <w:rFonts w:ascii="Arial" w:hAnsi="Arial" w:cs="Arial"/>
          <w:b/>
        </w:rPr>
        <w:t xml:space="preserve">Generation with negative wider </w:t>
      </w:r>
      <w:bookmarkEnd w:id="488"/>
      <w:r w:rsidRPr="004248A1">
        <w:rPr>
          <w:rFonts w:ascii="Arial" w:hAnsi="Arial" w:cs="Arial"/>
          <w:b/>
        </w:rPr>
        <w:t>tariffs</w:t>
      </w:r>
      <w:bookmarkEnd w:id="489"/>
    </w:p>
    <w:p w14:paraId="79C7DAFE" w14:textId="3021ED47" w:rsidR="006661FE" w:rsidRDefault="4DB720A2" w:rsidP="00533333">
      <w:pPr>
        <w:pStyle w:val="1"/>
        <w:numPr>
          <w:ilvl w:val="0"/>
          <w:numId w:val="76"/>
        </w:numPr>
        <w:jc w:val="both"/>
      </w:pPr>
      <w:bookmarkStart w:id="490"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(i.e.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(e.g.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491" w:name="_Int_XcS4KcVs"/>
      <w:r>
        <w:t>whether or not</w:t>
      </w:r>
      <w:bookmarkEnd w:id="491"/>
      <w:r>
        <w:t xml:space="preserve"> it </w:t>
      </w:r>
      <w:bookmarkStart w:id="492" w:name="_Int_pdGbhQuq"/>
      <w:r>
        <w:t>enters into</w:t>
      </w:r>
      <w:bookmarkEnd w:id="492"/>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49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490"/>
    <w:bookmarkEnd w:id="493"/>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494" w:name="_Int_dXoviqKF"/>
      <w:r w:rsidRPr="0537B9E0">
        <w:rPr>
          <w:rFonts w:cs="Arial"/>
        </w:rPr>
        <w:t>a number of</w:t>
      </w:r>
      <w:bookmarkEnd w:id="494"/>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95" w:name="_Int_j4mtAVcl"/>
      <w:r w:rsidRPr="0537B9E0">
        <w:rPr>
          <w:rFonts w:cs="Arial"/>
        </w:rPr>
        <w:t>whether or not</w:t>
      </w:r>
      <w:bookmarkEnd w:id="495"/>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496" w:name="_Int_4If3jWpa"/>
      <w:r w:rsidRPr="0537B9E0">
        <w:rPr>
          <w:rFonts w:cs="Arial"/>
        </w:rPr>
        <w:t>in a given</w:t>
      </w:r>
      <w:bookmarkEnd w:id="496"/>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r w:rsidRPr="0537B9E0">
        <w:rPr>
          <w:rFonts w:cs="Arial"/>
        </w:rPr>
        <w:t>Accordingly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497" w:name="_Toc274049720"/>
      <w:r>
        <w:t>Basis of Local Generation Charges</w:t>
      </w:r>
      <w:bookmarkEnd w:id="497"/>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498" w:name="_Toc497131273"/>
      <w:bookmarkStart w:id="499" w:name="_Toc32201095"/>
      <w:bookmarkStart w:id="500" w:name="_Toc49661145"/>
      <w:bookmarkStart w:id="501" w:name="_Toc274049722"/>
      <w:bookmarkStart w:id="502" w:name="_Hlt497625183"/>
      <w:r>
        <w:t>Monthly Charges</w:t>
      </w:r>
      <w:bookmarkEnd w:id="498"/>
      <w:bookmarkEnd w:id="499"/>
      <w:bookmarkEnd w:id="500"/>
      <w:bookmarkEnd w:id="501"/>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503" w:name="_Hlt532284319"/>
      <w:bookmarkStart w:id="504" w:name="_Ref272933161"/>
      <w:bookmarkEnd w:id="503"/>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 xml:space="preserve">The charge is </w:t>
      </w:r>
      <w:r>
        <w:lastRenderedPageBreak/>
        <w:t>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504"/>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505" w:name="_Int_OZ9SdXkh"/>
      <w:r>
        <w:t>in a given year</w:t>
      </w:r>
      <w:bookmarkEnd w:id="505"/>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506" w:name="_Toc274049723"/>
      <w:r>
        <w:t>Ad hoc Charges</w:t>
      </w:r>
      <w:bookmarkEnd w:id="506"/>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For Power Stations utilising LDTEC (in any of its forms) the LDTEC Charge for each LDTEC Period is the sum of the charging liabilities associated with each incremental level of short term chargeable capacity provided by LDTEC within the LDTEC Period (assessed on a weekly basis)</w:t>
      </w:r>
      <w:r w:rsidR="60FA3FFC" w:rsidRPr="0537B9E0">
        <w:rPr>
          <w:rFonts w:cs="Arial"/>
        </w:rPr>
        <w:t xml:space="preserve">. </w:t>
      </w:r>
      <w:r w:rsidRPr="0537B9E0">
        <w:rPr>
          <w:rFonts w:cs="Arial"/>
        </w:rPr>
        <w:t>The charging liability for a given incremental level of short term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For each LDTEC Period successfully applied for, the LDTEC Charge will be split evenly over the relevant LDTEC Period and charged on a monthly basis</w:t>
      </w:r>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For the avoidance of doubt, the charging methodology will 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The top diagrams illustrate the capacity purchased, while lower diagrams illustrate the incremental levels of short term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6"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507" w:name="_Toc274049724"/>
      <w:r w:rsidRPr="00FE2E3E">
        <w:t>Embedded Transmission Use of System Charges “ETUoS”</w:t>
      </w:r>
      <w:bookmarkEnd w:id="507"/>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508" w:name="_Ref272933204"/>
      <w:r>
        <w:t>The ETUoS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508"/>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The main purpose of ETUoS charges is to pass through the charges that are levied by the DNO on the NETSO to the offshore generator(s)</w:t>
      </w:r>
      <w:r w:rsidR="2C877920">
        <w:t xml:space="preserve">. </w:t>
      </w:r>
      <w:r>
        <w:t>This charge</w:t>
      </w:r>
      <w:r w:rsidR="23D6003B" w:rsidRPr="0537B9E0">
        <w:rPr>
          <w:rFonts w:ascii="Arial" w:hAnsi="Arial" w:cs="Arial"/>
        </w:rPr>
        <w:t>, known as the ETUoS</w:t>
      </w:r>
      <w:r w:rsidR="23D6003B" w:rsidRPr="0537B9E0">
        <w:rPr>
          <w:rFonts w:ascii="Arial" w:hAnsi="Arial" w:cs="Arial"/>
          <w:vertAlign w:val="subscript"/>
        </w:rPr>
        <w:t>DNO</w:t>
      </w:r>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In the case of some relevant transitional offshore generation projects, ETUoS will also be used to pass through historic DNO capital contributions forming part of the Offshore Transmission Owner tender revenue stream</w:t>
      </w:r>
      <w:r w:rsidR="000E3CD5">
        <w:t>, this is known as the ETUoS</w:t>
      </w:r>
      <w:r w:rsidR="000E3CD5" w:rsidRPr="000E3CD5">
        <w:rPr>
          <w:vertAlign w:val="subscript"/>
        </w:rPr>
        <w:t>OFTO</w:t>
      </w:r>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The ETUoS</w:t>
      </w:r>
      <w:r w:rsidRPr="00BA1E76">
        <w:rPr>
          <w:vertAlign w:val="subscript"/>
        </w:rPr>
        <w:t>OFTO</w:t>
      </w:r>
      <w:r>
        <w:t xml:space="preserve"> tariff shall be the ratio of the Offshore Transmission Owner revenue (£) associated with DNO capital contributions and the </w:t>
      </w:r>
      <w:r>
        <w:lastRenderedPageBreak/>
        <w:t>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In the year of asset transfer to the OFTO, the ETUoS</w:t>
      </w:r>
      <w:r w:rsidRPr="00B40484">
        <w:rPr>
          <w:rFonts w:ascii="Arial" w:hAnsi="Arial" w:cs="Arial"/>
          <w:color w:val="000000" w:themeColor="text1"/>
          <w:vertAlign w:val="subscript"/>
        </w:rPr>
        <w:t>OFTO</w:t>
      </w:r>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CD5FBB"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m:t>
              </m:r>
              <m:r>
                <w:rPr>
                  <w:rFonts w:ascii="Cambria Math" w:hAnsi="Cambria Math" w:cs="Arial"/>
                  <w:color w:val="000000" w:themeColor="text1"/>
                </w:rPr>
                <m:t>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In all subsequent years, the ETUoS</w:t>
      </w:r>
      <w:r w:rsidRPr="00B40484">
        <w:rPr>
          <w:rFonts w:ascii="Arial" w:hAnsi="Arial" w:cs="Arial"/>
          <w:color w:val="000000" w:themeColor="text1"/>
          <w:u w:val="single"/>
          <w:vertAlign w:val="subscript"/>
        </w:rPr>
        <w:t>OFTO</w:t>
      </w:r>
      <w:r w:rsidRPr="00B40484">
        <w:rPr>
          <w:rFonts w:ascii="Arial" w:hAnsi="Arial" w:cs="Arial"/>
          <w:color w:val="000000" w:themeColor="text1"/>
          <w:u w:val="single"/>
        </w:rPr>
        <w:t xml:space="preserve"> tariff would be calculated as follows:</w:t>
      </w:r>
    </w:p>
    <w:p w14:paraId="02366013" w14:textId="77777777" w:rsidR="00027216" w:rsidRPr="00984A6E" w:rsidRDefault="00CD5FBB"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The specific nature of the ETUoS</w:t>
      </w:r>
      <w:r w:rsidR="7C3292F1" w:rsidRPr="0537B9E0">
        <w:rPr>
          <w:vertAlign w:val="subscript"/>
        </w:rPr>
        <w:t>DNO</w:t>
      </w:r>
      <w:r>
        <w:t xml:space="preserve"> charge and the payment profile for these will depend upon the charging arrangements of the relevant DNO and reference should be made to the relevant DNO’s charging statement</w:t>
      </w:r>
      <w:r w:rsidR="2BFA854B">
        <w:t xml:space="preserve">. </w:t>
      </w:r>
      <w:r>
        <w:t>In terms of applicable transitional offshore generation projects the ETUoS</w:t>
      </w:r>
      <w:r w:rsidR="3E2C06E2" w:rsidRPr="0537B9E0">
        <w:rPr>
          <w:vertAlign w:val="subscript"/>
        </w:rPr>
        <w:t>OFTO</w:t>
      </w:r>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Where a DNO’s charge relates to more than one offshore generator, the related ETUoS</w:t>
      </w:r>
      <w:r w:rsidR="06B78714" w:rsidRPr="0537B9E0">
        <w:rPr>
          <w:vertAlign w:val="subscript"/>
        </w:rPr>
        <w:t>DNO</w:t>
      </w:r>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Invoices for ETUoS</w:t>
      </w:r>
      <w:r w:rsidR="06B78714" w:rsidRPr="0537B9E0">
        <w:rPr>
          <w:vertAlign w:val="subscript"/>
        </w:rPr>
        <w:t>DNO</w:t>
      </w:r>
      <w:r>
        <w:t xml:space="preserve"> charges shall be levied by </w:t>
      </w:r>
      <w:r w:rsidR="58867969" w:rsidRPr="0537B9E0">
        <w:rPr>
          <w:b/>
          <w:bCs/>
        </w:rPr>
        <w:t xml:space="preserve">The </w:t>
      </w:r>
      <w:r w:rsidR="745A5616" w:rsidRPr="0537B9E0">
        <w:rPr>
          <w:b/>
          <w:bCs/>
        </w:rPr>
        <w:t xml:space="preserve">Company </w:t>
      </w:r>
      <w:r w:rsidR="745A5616">
        <w:t xml:space="preserve"> </w:t>
      </w:r>
      <w:r>
        <w:t xml:space="preserve">on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can meet its payment 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As the ETUoS</w:t>
      </w:r>
      <w:r w:rsidR="31FE0302" w:rsidRPr="0537B9E0">
        <w:rPr>
          <w:vertAlign w:val="subscript"/>
        </w:rPr>
        <w:t>DNO</w:t>
      </w:r>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 xml:space="preserve">Where the User </w:t>
      </w:r>
      <w:r>
        <w:lastRenderedPageBreak/>
        <w:t>disputes regarding the ETUoS</w:t>
      </w:r>
      <w:r w:rsidR="31FE0302" w:rsidRPr="0537B9E0">
        <w:rPr>
          <w:vertAlign w:val="subscript"/>
        </w:rPr>
        <w:t>DNO</w:t>
      </w:r>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509" w:name="_Toc32201096"/>
      <w:bookmarkStart w:id="510" w:name="_Toc49661146"/>
      <w:bookmarkStart w:id="511" w:name="_Toc274049725"/>
      <w:r>
        <w:t>Reconciliation of Generation Charges</w:t>
      </w:r>
      <w:bookmarkEnd w:id="509"/>
      <w:bookmarkEnd w:id="510"/>
      <w:bookmarkEnd w:id="511"/>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25385931"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4B2E96">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512" w:name="_Toc32201097"/>
      <w:bookmarkStart w:id="513" w:name="_Toc49661147"/>
      <w:bookmarkStart w:id="514" w:name="_Toc274049726"/>
      <w:bookmarkEnd w:id="502"/>
      <w:r>
        <w:t>Further Information</w:t>
      </w:r>
      <w:bookmarkEnd w:id="512"/>
      <w:bookmarkEnd w:id="513"/>
      <w:bookmarkEnd w:id="514"/>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515" w:name="_Toc32201098"/>
      <w:r>
        <w:br w:type="page"/>
      </w:r>
      <w:bookmarkStart w:id="516" w:name="_Toc49661148"/>
      <w:bookmarkStart w:id="517" w:name="_Toc274049727"/>
      <w:r w:rsidRPr="00FE40FB">
        <w:rPr>
          <w:color w:val="auto"/>
          <w:sz w:val="28"/>
          <w:szCs w:val="28"/>
        </w:rPr>
        <w:lastRenderedPageBreak/>
        <w:t>14.19 Data Requirements</w:t>
      </w:r>
      <w:bookmarkEnd w:id="515"/>
      <w:bookmarkEnd w:id="516"/>
      <w:bookmarkEnd w:id="517"/>
    </w:p>
    <w:p w14:paraId="31999FE6" w14:textId="77777777" w:rsidR="006661FE" w:rsidRDefault="006661FE" w:rsidP="006661FE">
      <w:pPr>
        <w:pStyle w:val="Heading2"/>
      </w:pPr>
    </w:p>
    <w:p w14:paraId="6D981032" w14:textId="77777777" w:rsidR="006661FE" w:rsidRDefault="006661FE" w:rsidP="006661FE">
      <w:pPr>
        <w:pStyle w:val="Heading2"/>
      </w:pPr>
      <w:bookmarkStart w:id="518" w:name="_Toc32201099"/>
      <w:bookmarkStart w:id="519" w:name="_Toc49661149"/>
      <w:bookmarkStart w:id="520" w:name="_Toc274049728"/>
      <w:r>
        <w:t>Data Required for Charge Setting</w:t>
      </w:r>
      <w:bookmarkEnd w:id="518"/>
      <w:bookmarkEnd w:id="519"/>
      <w:bookmarkEnd w:id="520"/>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r w:rsidR="37C8F74D">
        <w:t xml:space="preserve">Additionally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 xml:space="preserve">Users who are owners or operators of a User System (e.g.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The BSCCo</w:t>
      </w:r>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521" w:name="_Toc32201100"/>
      <w:bookmarkStart w:id="522" w:name="_Toc49661150"/>
      <w:bookmarkStart w:id="523" w:name="_Toc274049729"/>
      <w:r>
        <w:t>Data Required for Calculating Users’ Charges</w:t>
      </w:r>
      <w:bookmarkEnd w:id="521"/>
      <w:bookmarkEnd w:id="522"/>
      <w:bookmarkEnd w:id="523"/>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524" w:name="_Int_8CGAG6IK"/>
      <w:r>
        <w:t>In order for</w:t>
      </w:r>
      <w:bookmarkEnd w:id="524"/>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525" w:name="_Toc32201101"/>
      <w:r>
        <w:br w:type="page"/>
      </w:r>
      <w:bookmarkStart w:id="526" w:name="_Toc49661151"/>
      <w:bookmarkStart w:id="527" w:name="_Toc274049730"/>
      <w:r w:rsidRPr="00FE40FB">
        <w:rPr>
          <w:color w:val="auto"/>
          <w:sz w:val="28"/>
          <w:szCs w:val="28"/>
        </w:rPr>
        <w:lastRenderedPageBreak/>
        <w:t>14.20 Applications</w:t>
      </w:r>
      <w:bookmarkEnd w:id="525"/>
      <w:bookmarkEnd w:id="526"/>
      <w:bookmarkEnd w:id="527"/>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528" w:name="_Int_FuUZbuVP"/>
      <w:r>
        <w:t>a number of</w:t>
      </w:r>
      <w:bookmarkEnd w:id="528"/>
      <w:r>
        <w:t xml:space="preserve"> components</w:t>
      </w:r>
      <w:r w:rsidR="1E6D9C43">
        <w:t xml:space="preserve">. </w:t>
      </w:r>
      <w:r>
        <w:t xml:space="preserve">For instance, the LDTEC Request Fee is comprised of </w:t>
      </w:r>
      <w:bookmarkStart w:id="529" w:name="_Int_Cr5k7scj"/>
      <w:r>
        <w:t>a number of</w:t>
      </w:r>
      <w:bookmarkEnd w:id="529"/>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 xml:space="preserve">The refund shall be made </w:t>
      </w:r>
      <w:r w:rsidR="4DB720A2">
        <w:lastRenderedPageBreak/>
        <w:t>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530" w:name="_Ref531603538"/>
      <w:bookmarkStart w:id="531" w:name="_Toc32201102"/>
      <w:r>
        <w:br w:type="page"/>
      </w:r>
      <w:bookmarkStart w:id="532" w:name="_Toc49661152"/>
      <w:bookmarkStart w:id="533" w:name="_Toc274049731"/>
      <w:bookmarkEnd w:id="530"/>
      <w:bookmarkEnd w:id="531"/>
      <w:r w:rsidRPr="00FE40FB">
        <w:rPr>
          <w:color w:val="auto"/>
        </w:rPr>
        <w:lastRenderedPageBreak/>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73EC6A4"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AE52B75"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BE27938"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Denotes cable</w:t>
      </w:r>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For both Peak Security and Year Round  generation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sidRPr="00BE1EF5">
        <w:rPr>
          <w:rFonts w:ascii="Arial" w:hAnsi="Arial" w:cs="Arial"/>
        </w:rPr>
        <w:t xml:space="preserve"> </w:t>
      </w:r>
      <w:r>
        <w:rPr>
          <w:rFonts w:ascii="Arial" w:hAnsi="Arial" w:cs="Arial"/>
          <w:sz w:val="22"/>
        </w:rPr>
        <w:t>,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lastRenderedPageBreak/>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r w:rsidRPr="00AD4D4E">
        <w:rPr>
          <w:rFonts w:ascii="Arial" w:hAnsi="Arial" w:cs="Arial"/>
          <w:b/>
          <w:sz w:val="22"/>
        </w:rPr>
        <w:t>Year Round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lastRenderedPageBreak/>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262.5MW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lastRenderedPageBreak/>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Total Peak Security cost = (300 X  6) + (800 X 26) = 22,600MWkm</w:t>
      </w:r>
    </w:p>
    <w:p w14:paraId="412AC9E5" w14:textId="77777777" w:rsidR="00533333" w:rsidRDefault="00533333" w:rsidP="00533333">
      <w:pPr>
        <w:jc w:val="both"/>
        <w:rPr>
          <w:rFonts w:ascii="Arial" w:hAnsi="Arial"/>
          <w:sz w:val="22"/>
        </w:rPr>
      </w:pPr>
      <w:r>
        <w:rPr>
          <w:rFonts w:ascii="Arial" w:hAnsi="Arial"/>
          <w:sz w:val="22"/>
        </w:rPr>
        <w:t>(base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Total Year Round cost = 425 X 10  = 4,250 MWkm</w:t>
      </w:r>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(base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We then ‘inject’ 1MW of generation at each node with a corresponding 1MW offtake (demand) at the reference node and recalculate the total Peak Security MWkm cost and Year Round MWkm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difference  from the base case for Peak Security and Year Round costs is the marginal km or shadow cost for Peak Security and Year Round </w:t>
      </w:r>
      <w:bookmarkStart w:id="534" w:name="_Int_bcaVMCRc"/>
      <w:r w:rsidRPr="0537B9E0">
        <w:rPr>
          <w:rFonts w:ascii="Arial" w:hAnsi="Arial" w:cs="Arial"/>
          <w:i w:val="0"/>
        </w:rPr>
        <w:t>networks</w:t>
      </w:r>
      <w:bookmarkEnd w:id="534"/>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0E551898"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To calculate relevant Peak Security and Year Round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Total Year Round Cost = 424.25 X 10 = 4,242.5 MWkm</w:t>
      </w:r>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94548C"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Marginal Year Round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r>
        <w:rPr>
          <w:rFonts w:ascii="Arial" w:hAnsi="Arial"/>
          <w:sz w:val="22"/>
        </w:rPr>
        <w:t>Thus the overall cost has reduced by .5 for Peak Security (i.e. the marginal km = 5) and by 7.5 for Year Round (i.e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535" w:name="_Toc32201103"/>
      <w:bookmarkEnd w:id="532"/>
      <w:bookmarkEnd w:id="533"/>
      <w:r w:rsidR="006661FE">
        <w:lastRenderedPageBreak/>
        <w:br w:type="page"/>
      </w:r>
      <w:bookmarkStart w:id="536" w:name="_Toc49661153"/>
      <w:bookmarkStart w:id="537" w:name="_Toc274049732"/>
      <w:r w:rsidR="00CD2194" w:rsidRPr="00C5521A">
        <w:rPr>
          <w:color w:val="auto"/>
        </w:rPr>
        <w:lastRenderedPageBreak/>
        <w:t>14.22 Illustrative Calculation of Boundary Sharing Factors (BSFs) and Shared / Not-Shared incremental km</w:t>
      </w:r>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lastRenderedPageBreak/>
        <w:t xml:space="preserve">(a) For Boundary AB (where 50MW of the generation is Low Carbon (LC) and 0MW of the generation is Carbon (C) and Year Round boundary marginal km = 100km)  -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w:t>
      </w:r>
      <w:r w:rsidRPr="0537B9E0">
        <w:rPr>
          <w:rFonts w:ascii="Arial" w:hAnsi="Arial" w:cs="Arial"/>
          <w:sz w:val="22"/>
          <w:szCs w:val="22"/>
          <w:lang w:eastAsia="en-US"/>
        </w:rPr>
        <w:lastRenderedPageBreak/>
        <w:t>centre of the system i.e. zonal MWkm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The not-shared zonal marginal km for each generation charging zone will be the sum of the relevant not-shared boundary marginal km as shown in the table below (assuming the node below D is the centre of the system i.e. zonal MWkm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35"/>
      <w:bookmarkEnd w:id="536"/>
      <w:bookmarkEnd w:id="537"/>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538" w:name="_Int_fmzThBeZ"/>
      <w:r w:rsidRPr="0537B9E0">
        <w:rPr>
          <w:rFonts w:ascii="Arial" w:hAnsi="Arial"/>
          <w:sz w:val="22"/>
          <w:szCs w:val="22"/>
        </w:rPr>
        <w:t>In order to</w:t>
      </w:r>
      <w:bookmarkEnd w:id="538"/>
      <w:r w:rsidRPr="0537B9E0">
        <w:rPr>
          <w:rFonts w:ascii="Arial" w:hAnsi="Arial"/>
          <w:sz w:val="22"/>
          <w:szCs w:val="22"/>
        </w:rPr>
        <w:t xml:space="preserve"> calculate the generation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lastRenderedPageBreak/>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Gen Weighted Wider Nodal Marginal  km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(Year Round)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(Year Round)</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07891A0"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lastRenderedPageBreak/>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dividing  this by the Chargable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lastRenderedPageBreak/>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539" w:name="_Toc32201104"/>
      <w:bookmarkStart w:id="540" w:name="_Toc49661154"/>
      <w:bookmarkStart w:id="541" w:name="_Toc274049733"/>
      <w:r w:rsidRPr="00FE40FB">
        <w:rPr>
          <w:color w:val="auto"/>
          <w:sz w:val="28"/>
          <w:szCs w:val="28"/>
        </w:rPr>
        <w:lastRenderedPageBreak/>
        <w:t>14.2</w:t>
      </w:r>
      <w:r w:rsidR="0070624C">
        <w:rPr>
          <w:color w:val="auto"/>
          <w:sz w:val="28"/>
          <w:szCs w:val="28"/>
        </w:rPr>
        <w:t>4</w:t>
      </w:r>
      <w:r w:rsidRPr="00FE40FB">
        <w:rPr>
          <w:color w:val="auto"/>
          <w:sz w:val="28"/>
          <w:szCs w:val="28"/>
        </w:rPr>
        <w:t xml:space="preserve"> Example: Calculation of Zonal </w:t>
      </w:r>
      <w:r w:rsidR="001860DC">
        <w:rPr>
          <w:color w:val="auto"/>
          <w:sz w:val="28"/>
          <w:szCs w:val="28"/>
        </w:rPr>
        <w:t xml:space="preserve"> </w:t>
      </w:r>
      <w:r w:rsidRPr="00FE40FB">
        <w:rPr>
          <w:color w:val="auto"/>
          <w:sz w:val="28"/>
          <w:szCs w:val="28"/>
        </w:rPr>
        <w:t>Demand</w:t>
      </w:r>
      <w:r w:rsidR="0011565B">
        <w:rPr>
          <w:color w:val="auto"/>
          <w:sz w:val="28"/>
          <w:szCs w:val="28"/>
        </w:rPr>
        <w:t xml:space="preserve"> Locational</w:t>
      </w:r>
      <w:r w:rsidRPr="00FE40FB">
        <w:rPr>
          <w:color w:val="auto"/>
          <w:sz w:val="28"/>
          <w:szCs w:val="28"/>
        </w:rPr>
        <w:t xml:space="preserve"> Tariff</w:t>
      </w:r>
      <w:bookmarkEnd w:id="539"/>
      <w:bookmarkEnd w:id="540"/>
      <w:bookmarkEnd w:id="541"/>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 ,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calculate the demand weighted nodal shadow costs</w:t>
      </w:r>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lastRenderedPageBreak/>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542" w:name="_Ref491664379"/>
      <w:bookmarkStart w:id="543" w:name="_Toc32201105"/>
      <w:r w:rsidRPr="004248A1">
        <w:rPr>
          <w:rFonts w:ascii="Arial" w:hAnsi="Arial" w:cs="Arial"/>
          <w:sz w:val="22"/>
          <w:szCs w:val="22"/>
        </w:rPr>
        <w:br w:type="page"/>
      </w:r>
      <w:bookmarkStart w:id="544" w:name="_Toc49661155"/>
      <w:bookmarkStart w:id="545" w:name="_Toc274049734"/>
      <w:r w:rsidRPr="00FE40FB">
        <w:rPr>
          <w:color w:val="auto"/>
          <w:sz w:val="28"/>
          <w:szCs w:val="28"/>
        </w:rPr>
        <w:lastRenderedPageBreak/>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542"/>
      <w:bookmarkEnd w:id="543"/>
      <w:bookmarkEnd w:id="544"/>
      <w:bookmarkEnd w:id="545"/>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546" w:name="_Hlt479666837"/>
      <w:bookmarkStart w:id="547" w:name="_Hlt506623598"/>
      <w:bookmarkEnd w:id="546"/>
      <w:bookmarkEnd w:id="547"/>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548" w:name="_Int_fSc2ZTnz"/>
      <w:r w:rsidRPr="0537B9E0">
        <w:rPr>
          <w:rFonts w:ascii="Arial" w:hAnsi="Arial" w:cs="Arial"/>
          <w:sz w:val="22"/>
          <w:szCs w:val="22"/>
        </w:rPr>
        <w:t>different stages</w:t>
      </w:r>
      <w:bookmarkEnd w:id="548"/>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549" w:name="_Toc946728"/>
    </w:p>
    <w:p w14:paraId="56A0ADB1" w14:textId="77777777" w:rsidR="006661FE" w:rsidRPr="004248A1" w:rsidRDefault="006661FE" w:rsidP="006661FE">
      <w:pPr>
        <w:pStyle w:val="Heading2"/>
        <w:rPr>
          <w:rFonts w:ascii="Arial" w:hAnsi="Arial" w:cs="Arial"/>
        </w:rPr>
      </w:pPr>
      <w:bookmarkStart w:id="550" w:name="_Toc32201106"/>
      <w:bookmarkStart w:id="551" w:name="_Toc49661156"/>
      <w:bookmarkStart w:id="552" w:name="_Toc274049735"/>
      <w:r w:rsidRPr="004248A1">
        <w:rPr>
          <w:rFonts w:ascii="Arial" w:hAnsi="Arial" w:cs="Arial"/>
        </w:rPr>
        <w:t>Monthly Charges</w:t>
      </w:r>
      <w:bookmarkEnd w:id="549"/>
      <w:bookmarkEnd w:id="550"/>
      <w:bookmarkEnd w:id="551"/>
      <w:bookmarkEnd w:id="552"/>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553" w:name="_Int_Gr5YkeqC"/>
      <w:r w:rsidRPr="0537B9E0">
        <w:rPr>
          <w:rFonts w:ascii="Arial" w:hAnsi="Arial" w:cs="Arial"/>
          <w:sz w:val="22"/>
          <w:szCs w:val="22"/>
        </w:rPr>
        <w:t>January</w:t>
      </w:r>
      <w:bookmarkEnd w:id="553"/>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lastRenderedPageBreak/>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554" w:name="_Int_FQxo6NvX"/>
      <w:r w:rsidRPr="0537B9E0">
        <w:rPr>
          <w:rFonts w:ascii="Arial" w:hAnsi="Arial" w:cs="Arial"/>
          <w:sz w:val="22"/>
          <w:szCs w:val="22"/>
        </w:rPr>
        <w:t>July</w:t>
      </w:r>
      <w:bookmarkEnd w:id="554"/>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555" w:name="_Toc946729"/>
      <w:bookmarkStart w:id="556" w:name="_Toc32201107"/>
      <w:bookmarkStart w:id="557" w:name="_Toc49661157"/>
      <w:bookmarkStart w:id="558" w:name="_Toc274049736"/>
      <w:r>
        <w:t>Initial Reconciliation (Part 1</w:t>
      </w:r>
      <w:r w:rsidR="003A0CB9">
        <w:t>a</w:t>
      </w:r>
      <w:r>
        <w:t>)</w:t>
      </w:r>
      <w:bookmarkEnd w:id="555"/>
      <w:bookmarkEnd w:id="556"/>
      <w:bookmarkEnd w:id="557"/>
      <w:bookmarkEnd w:id="558"/>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559" w:name="_Toc946730"/>
      <w:bookmarkStart w:id="560" w:name="_Toc32201108"/>
      <w:bookmarkStart w:id="561" w:name="_Toc49661158"/>
      <w:bookmarkStart w:id="562" w:name="_Toc274049737"/>
      <w:r w:rsidRPr="008E4447">
        <w:rPr>
          <w:rFonts w:ascii="Arial" w:hAnsi="Arial" w:cs="Arial"/>
          <w:szCs w:val="22"/>
        </w:rPr>
        <w:lastRenderedPageBreak/>
        <w:t>Initial Reconciliation (Part 2)</w:t>
      </w:r>
      <w:bookmarkEnd w:id="559"/>
      <w:bookmarkEnd w:id="560"/>
      <w:bookmarkEnd w:id="561"/>
      <w:bookmarkEnd w:id="562"/>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CD5FBB" w:rsidP="00097CD6">
      <w:pPr>
        <w:pStyle w:val="Header"/>
        <w:tabs>
          <w:tab w:val="left" w:pos="2835"/>
        </w:tabs>
        <w:ind w:left="3402" w:hanging="3402"/>
        <w:jc w:val="center"/>
        <w:rPr>
          <w:rFonts w:ascii="Arial" w:hAnsi="Arial" w:cs="Arial"/>
          <w:b/>
          <w:szCs w:val="22"/>
        </w:rPr>
      </w:pPr>
      <w:hyperlink r:id="rId53" w:anchor="Initial!J104" w:history="1">
        <w:r w:rsidR="006661FE" w:rsidRPr="00E010AE">
          <w:rPr>
            <w:rStyle w:val="Hyperlink"/>
            <w:sz w:val="20"/>
          </w:rPr>
          <w:t>worked example 4.xls - Initial!J104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The Company’s FDSC Forecast and Unmetered Supply Volume Forecast for the Supplier (as described in 14.17.20(b)) was as follows;</w:t>
      </w:r>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lastRenderedPageBreak/>
        <w:t>Transmission Demand Residual charges will be the sum of the charges for each Charging Band, therefore;</w:t>
      </w:r>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563" w:name="_Toc946732"/>
      <w:bookmarkStart w:id="564" w:name="_Toc32201109"/>
      <w:bookmarkStart w:id="565" w:name="_Toc49661159"/>
      <w:bookmarkStart w:id="566" w:name="_Toc274049738"/>
      <w:r w:rsidRPr="008E4447">
        <w:rPr>
          <w:rFonts w:ascii="Arial" w:hAnsi="Arial" w:cs="Arial"/>
          <w:szCs w:val="22"/>
        </w:rPr>
        <w:t>Final Reconciliation</w:t>
      </w:r>
      <w:bookmarkEnd w:id="563"/>
      <w:bookmarkEnd w:id="564"/>
      <w:bookmarkEnd w:id="565"/>
      <w:bookmarkEnd w:id="566"/>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t xml:space="preserve">=  (9,500kW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t>=  -£3,600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lastRenderedPageBreak/>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(i.e.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567" w:name="_Ref531684937"/>
      <w:bookmarkStart w:id="568" w:name="_Toc32201110"/>
      <w:r w:rsidRPr="008E4447">
        <w:rPr>
          <w:rFonts w:ascii="Arial" w:hAnsi="Arial" w:cs="Arial"/>
          <w:sz w:val="22"/>
          <w:szCs w:val="22"/>
        </w:rPr>
        <w:br w:type="page"/>
      </w:r>
      <w:bookmarkStart w:id="569" w:name="_Toc274049739"/>
      <w:bookmarkStart w:id="570"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69"/>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9C1585"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D3DC44C"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866C718"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571" w:name="_Hlt501343668"/>
      <w:bookmarkStart w:id="572" w:name="_Hlt488742812"/>
      <w:bookmarkStart w:id="573" w:name="_Toc32201111"/>
      <w:bookmarkStart w:id="574" w:name="_Toc49661161"/>
      <w:bookmarkStart w:id="575" w:name="_Toc274049740"/>
      <w:bookmarkEnd w:id="567"/>
      <w:bookmarkEnd w:id="568"/>
      <w:bookmarkEnd w:id="570"/>
      <w:bookmarkEnd w:id="571"/>
      <w:bookmarkEnd w:id="572"/>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73"/>
      <w:bookmarkEnd w:id="574"/>
      <w:bookmarkEnd w:id="575"/>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576" w:name="_Toc32201112"/>
      <w:bookmarkStart w:id="577" w:name="_Toc49661162"/>
      <w:bookmarkStart w:id="578" w:name="_Toc274049741"/>
      <w:r>
        <w:t>Demand Charges</w:t>
      </w:r>
      <w:bookmarkEnd w:id="576"/>
      <w:bookmarkEnd w:id="577"/>
      <w:bookmarkEnd w:id="578"/>
    </w:p>
    <w:p w14:paraId="2CF364BE" w14:textId="4AA2B9BC" w:rsidR="00E010AE" w:rsidRDefault="00CD5FBB" w:rsidP="006661FE">
      <w:pPr>
        <w:pStyle w:val="1"/>
        <w:jc w:val="both"/>
      </w:pPr>
      <w:bookmarkStart w:id="579" w:name="_Toc32201113"/>
      <w:bookmarkStart w:id="580" w:name="_Toc49661163"/>
      <w:r>
        <w:rPr>
          <w:noProof/>
          <w:sz w:val="20"/>
        </w:rPr>
        <w:pict w14:anchorId="23FE0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3" type="#_x0000_t75" style="position:absolute;left:0;text-align:left;margin-left:-18pt;margin-top:17.7pt;width:570.95pt;height:585pt;z-index:251658272">
            <v:imagedata r:id="rId54" o:title=""/>
            <w10:wrap type="topAndBottom"/>
          </v:shape>
        </w:pict>
      </w:r>
      <w:r w:rsidR="006661FE">
        <w:t xml:space="preserve"> </w:t>
      </w:r>
      <w:r w:rsidR="006661FE">
        <w:br w:type="page"/>
      </w:r>
      <w:r w:rsidR="006661FE">
        <w:lastRenderedPageBreak/>
        <w:t xml:space="preserve">Generation </w:t>
      </w:r>
    </w:p>
    <w:p w14:paraId="106CA12C" w14:textId="77777777" w:rsidR="00E010AE" w:rsidRDefault="006661FE" w:rsidP="006661FE">
      <w:pPr>
        <w:pStyle w:val="1"/>
        <w:jc w:val="both"/>
      </w:pPr>
      <w:r>
        <w:t>Charges</w:t>
      </w:r>
      <w:bookmarkStart w:id="581" w:name="OLE_LINK9"/>
      <w:bookmarkStart w:id="582" w:name="OLE_LINK12"/>
      <w:bookmarkEnd w:id="579"/>
      <w:bookmarkEnd w:id="580"/>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581"/>
      <w:bookmarkEnd w:id="582"/>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583"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583"/>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8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84"/>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may not have settlement data at a User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585"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585"/>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NHH energy consumption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58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86"/>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587" w:name="_Toc70749747"/>
      <w:bookmarkStart w:id="588"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587"/>
      <w:bookmarkEnd w:id="588"/>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calculates a NHH energy consumption forecast on the above methodology at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589"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589"/>
    </w:p>
    <w:p w14:paraId="5BAC4753" w14:textId="77777777" w:rsidR="006661FE" w:rsidRDefault="006661FE">
      <w:pPr>
        <w:pStyle w:val="1"/>
        <w:jc w:val="both"/>
      </w:pPr>
    </w:p>
    <w:p w14:paraId="7B3918F6" w14:textId="77777777" w:rsidR="006661FE" w:rsidRPr="007B2988" w:rsidRDefault="006661FE" w:rsidP="006661FE">
      <w:pPr>
        <w:pStyle w:val="Heading2"/>
      </w:pPr>
      <w:bookmarkStart w:id="590" w:name="_Toc274049748"/>
      <w:r w:rsidRPr="007B2988">
        <w:t>Stability of tariffs</w:t>
      </w:r>
      <w:bookmarkEnd w:id="590"/>
    </w:p>
    <w:p w14:paraId="587F7F17" w14:textId="77777777" w:rsidR="006661FE" w:rsidRPr="007B2988" w:rsidRDefault="006661FE" w:rsidP="006661FE">
      <w:pPr>
        <w:rPr>
          <w:rFonts w:ascii="Arial" w:hAnsi="Arial" w:cs="Arial"/>
          <w:b/>
          <w:sz w:val="22"/>
          <w:szCs w:val="22"/>
        </w:rPr>
      </w:pPr>
    </w:p>
    <w:p w14:paraId="2E3B7A96" w14:textId="7DC9CC64" w:rsidR="006661FE" w:rsidRDefault="4DB720A2" w:rsidP="006661FE">
      <w:pPr>
        <w:jc w:val="both"/>
        <w:rPr>
          <w:ins w:id="591" w:author="Alex Aristodemou" w:date="2023-10-05T21:36:00Z"/>
          <w:rFonts w:ascii="Arial" w:hAnsi="Arial" w:cs="Arial"/>
          <w:sz w:val="22"/>
          <w:szCs w:val="22"/>
        </w:rPr>
      </w:pPr>
      <w:r w:rsidRPr="0537B9E0">
        <w:rPr>
          <w:rFonts w:ascii="Arial" w:hAnsi="Arial" w:cs="Arial"/>
          <w:sz w:val="22"/>
          <w:szCs w:val="22"/>
        </w:rPr>
        <w:t xml:space="preserve">The Transmission Network Use of System Charging Methodology has </w:t>
      </w:r>
      <w:bookmarkStart w:id="592" w:name="_Int_Y5S7dwoS"/>
      <w:r w:rsidRPr="0537B9E0">
        <w:rPr>
          <w:rFonts w:ascii="Arial" w:hAnsi="Arial" w:cs="Arial"/>
          <w:sz w:val="22"/>
          <w:szCs w:val="22"/>
        </w:rPr>
        <w:t>a number of</w:t>
      </w:r>
      <w:bookmarkEnd w:id="592"/>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73EC1713" w14:textId="77777777" w:rsidR="002413C1" w:rsidRDefault="002413C1" w:rsidP="006661FE">
      <w:pPr>
        <w:jc w:val="both"/>
        <w:rPr>
          <w:ins w:id="593" w:author="Alex Aristodemou" w:date="2023-10-05T21:36:00Z"/>
          <w:rFonts w:ascii="Arial" w:hAnsi="Arial" w:cs="Arial"/>
          <w:sz w:val="22"/>
          <w:szCs w:val="22"/>
        </w:rPr>
      </w:pPr>
    </w:p>
    <w:p w14:paraId="497395D9" w14:textId="77777777" w:rsidR="00B00085" w:rsidRPr="007B2988" w:rsidRDefault="00B00085" w:rsidP="00B00085">
      <w:pPr>
        <w:autoSpaceDE w:val="0"/>
        <w:autoSpaceDN w:val="0"/>
        <w:adjustRightInd w:val="0"/>
        <w:rPr>
          <w:ins w:id="594" w:author="Alex Aristodemou" w:date="2023-11-03T16:21:00Z"/>
          <w:rFonts w:ascii="Arial" w:hAnsi="Arial" w:cs="Arial"/>
          <w:sz w:val="22"/>
          <w:szCs w:val="22"/>
        </w:rPr>
      </w:pPr>
      <w:ins w:id="595" w:author="Alex Aristodemou" w:date="2023-11-03T16:21:00Z">
        <w:r>
          <w:rPr>
            <w:rFonts w:ascii="Arial" w:hAnsi="Arial" w:cs="Arial"/>
            <w:color w:val="FF0000"/>
            <w:sz w:val="22"/>
            <w:szCs w:val="22"/>
            <w:lang w:eastAsia="ja-JP"/>
          </w:rPr>
          <w:t xml:space="preserve">Fixing of </w:t>
        </w:r>
        <w:r w:rsidRPr="00CD5FBB">
          <w:rPr>
            <w:rFonts w:ascii="Arial" w:hAnsi="Arial" w:cs="Arial"/>
            <w:color w:val="FF0000"/>
            <w:sz w:val="22"/>
            <w:szCs w:val="22"/>
            <w:lang w:eastAsia="ja-JP"/>
          </w:rPr>
          <w:t>certain</w:t>
        </w:r>
        <w:r>
          <w:rPr>
            <w:rFonts w:ascii="Arial" w:hAnsi="Arial" w:cs="Arial"/>
            <w:color w:val="FF0000"/>
            <w:sz w:val="22"/>
            <w:szCs w:val="22"/>
            <w:lang w:eastAsia="ja-JP"/>
          </w:rPr>
          <w:t xml:space="preserve"> revenue inputs as per paragraph 14.15.135 provides additional stability and predictability to Demand Users.</w:t>
        </w:r>
      </w:ins>
    </w:p>
    <w:p w14:paraId="432CD0DD" w14:textId="099E795F" w:rsidR="002413C1" w:rsidRPr="007B2988" w:rsidDel="00B00085" w:rsidRDefault="002413C1" w:rsidP="0066503F">
      <w:pPr>
        <w:autoSpaceDE w:val="0"/>
        <w:autoSpaceDN w:val="0"/>
        <w:adjustRightInd w:val="0"/>
        <w:rPr>
          <w:del w:id="596" w:author="Alex Aristodemou" w:date="2023-11-03T16:21:00Z"/>
          <w:rFonts w:ascii="Arial" w:hAnsi="Arial" w:cs="Arial"/>
          <w:sz w:val="22"/>
          <w:szCs w:val="22"/>
        </w:rPr>
      </w:pP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constant, which reflects the annuitised value of capital investment required to transport 1MW over 1km by a 400kV over-</w:t>
      </w:r>
      <w:bookmarkStart w:id="597" w:name="_Int_Mi0Wm7HA"/>
      <w:r w:rsidRPr="0537B9E0">
        <w:rPr>
          <w:rFonts w:ascii="Arial" w:hAnsi="Arial" w:cs="Arial"/>
          <w:sz w:val="22"/>
          <w:szCs w:val="22"/>
        </w:rPr>
        <w:t>head line</w:t>
      </w:r>
      <w:bookmarkEnd w:id="597"/>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598" w:name="_Int_xJZhrpMS"/>
      <w:r w:rsidRPr="0537B9E0">
        <w:rPr>
          <w:rFonts w:ascii="Arial" w:hAnsi="Arial" w:cs="Arial"/>
          <w:sz w:val="22"/>
          <w:szCs w:val="22"/>
        </w:rPr>
        <w:t>period</w:t>
      </w:r>
      <w:bookmarkEnd w:id="598"/>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40B1C3CD" w14:textId="77777777" w:rsidR="006661FE" w:rsidRPr="007B2988" w:rsidRDefault="006661FE" w:rsidP="006661FE">
      <w:pPr>
        <w:pStyle w:val="Heading2"/>
      </w:pPr>
      <w:bookmarkStart w:id="599" w:name="_Toc274049749"/>
      <w:r w:rsidRPr="007B2988">
        <w:t>Predictability of tariffs</w:t>
      </w:r>
      <w:bookmarkEnd w:id="599"/>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600" w:name="_Int_H44y8oOW"/>
      <w:r w:rsidR="4DB720A2" w:rsidRPr="0537B9E0">
        <w:rPr>
          <w:rFonts w:ascii="Arial" w:hAnsi="Arial" w:cs="Arial"/>
          <w:sz w:val="22"/>
          <w:szCs w:val="22"/>
        </w:rPr>
        <w:t>take into account</w:t>
      </w:r>
      <w:bookmarkEnd w:id="600"/>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601" w:name="_Int_4cQ51Zy0"/>
      <w:r w:rsidR="4DB720A2" w:rsidRPr="0537B9E0">
        <w:rPr>
          <w:rFonts w:ascii="Arial" w:hAnsi="Arial" w:cs="Arial"/>
          <w:sz w:val="22"/>
          <w:szCs w:val="22"/>
        </w:rPr>
        <w:t>a number of</w:t>
      </w:r>
      <w:bookmarkEnd w:id="601"/>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is required to give the Authority 150 days notice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an additional </w:t>
      </w:r>
      <w:bookmarkStart w:id="602" w:name="_Int_g0sPTDu2"/>
      <w:r w:rsidR="5C08E621" w:rsidRPr="0537B9E0">
        <w:rPr>
          <w:rFonts w:ascii="Arial" w:hAnsi="Arial" w:cs="Arial"/>
          <w:sz w:val="22"/>
          <w:szCs w:val="22"/>
        </w:rPr>
        <w:t>months notice</w:t>
      </w:r>
      <w:bookmarkEnd w:id="602"/>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lastRenderedPageBreak/>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603" w:name="_Int_s4LfaFA8"/>
      <w:r w:rsidRPr="0537B9E0">
        <w:rPr>
          <w:rFonts w:ascii="Arial" w:hAnsi="Arial" w:cs="Arial"/>
          <w:sz w:val="22"/>
          <w:szCs w:val="22"/>
        </w:rPr>
        <w:t>are able to</w:t>
      </w:r>
      <w:bookmarkEnd w:id="603"/>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604" w:name="_Int_VYIlqAM5"/>
      <w:r w:rsidRPr="0537B9E0">
        <w:rPr>
          <w:rFonts w:ascii="Arial" w:hAnsi="Arial" w:cs="Arial"/>
          <w:sz w:val="22"/>
          <w:szCs w:val="22"/>
        </w:rPr>
        <w:t>as a result of</w:t>
      </w:r>
      <w:bookmarkEnd w:id="604"/>
      <w:r w:rsidRPr="0537B9E0">
        <w:rPr>
          <w:rFonts w:ascii="Arial" w:hAnsi="Arial" w:cs="Arial"/>
          <w:sz w:val="22"/>
          <w:szCs w:val="22"/>
        </w:rPr>
        <w:t xml:space="preserve"> changes in generation and demand at certain points on the network that are not included within the SYS;</w:t>
      </w:r>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These updates are in addition to the Authority 150 days notice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605" w:name="_Toc3598575"/>
      <w:bookmarkStart w:id="606" w:name="_Toc35675434"/>
      <w:bookmarkStart w:id="607" w:name="_Toc274049751"/>
      <w:r w:rsidR="00750515" w:rsidRPr="009A4AC7">
        <w:rPr>
          <w:color w:val="auto"/>
        </w:rPr>
        <w:lastRenderedPageBreak/>
        <w:t>Section 2 – The Statement of the Balancing Services Use of System Charging Methodology</w:t>
      </w:r>
    </w:p>
    <w:p w14:paraId="2B8CE53B" w14:textId="77777777" w:rsidR="00750515" w:rsidRPr="00512312" w:rsidRDefault="00750515" w:rsidP="00750515"/>
    <w:bookmarkEnd w:id="605"/>
    <w:bookmarkEnd w:id="606"/>
    <w:bookmarkEnd w:id="607"/>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08" w:name="_Hlt474031874"/>
      <w:bookmarkEnd w:id="608"/>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r>
        <w:t xml:space="preserve">14.30.1 </w:t>
      </w:r>
      <w:r w:rsidR="5258A730">
        <w:t xml:space="preserve"> </w:t>
      </w:r>
      <w:r w:rsidR="76DC4F11">
        <w:t xml:space="preserve">The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609" w:name="_Int_mnpVBLtJ"/>
      <w:r w:rsidR="76DC4F11">
        <w:t>in order to</w:t>
      </w:r>
      <w:bookmarkEnd w:id="609"/>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r>
        <w:t xml:space="preserve">14.30.2 </w:t>
      </w:r>
      <w:r w:rsidR="00081CA4">
        <w:t xml:space="preserve"> </w:t>
      </w:r>
      <w:r w:rsidR="00750515">
        <w:t xml:space="preserve">The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610"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incentive schemes</w:t>
      </w:r>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610"/>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611" w:name="_Toc3598576"/>
      <w:bookmarkStart w:id="612" w:name="_Toc35675435"/>
      <w:bookmarkStart w:id="613" w:name="_Toc274049752"/>
      <w:r w:rsidRPr="002653AC">
        <w:rPr>
          <w:color w:val="auto"/>
          <w:sz w:val="28"/>
          <w:szCs w:val="28"/>
        </w:rPr>
        <w:lastRenderedPageBreak/>
        <w:t>14.3</w:t>
      </w:r>
      <w:r w:rsidR="00DE438B">
        <w:rPr>
          <w:color w:val="auto"/>
          <w:sz w:val="28"/>
          <w:szCs w:val="28"/>
        </w:rPr>
        <w:t>1</w:t>
      </w:r>
      <w:r w:rsidRPr="002653AC">
        <w:rPr>
          <w:color w:val="auto"/>
          <w:sz w:val="28"/>
          <w:szCs w:val="28"/>
        </w:rPr>
        <w:t xml:space="preserve"> Calculation of the Daily Balancing Services Use of System </w:t>
      </w:r>
      <w:bookmarkEnd w:id="611"/>
      <w:bookmarkEnd w:id="612"/>
      <w:bookmarkEnd w:id="613"/>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r>
        <w:rPr>
          <w:rFonts w:ascii="Arial" w:hAnsi="Arial"/>
          <w:sz w:val="22"/>
          <w:vertAlign w:val="subscript"/>
        </w:rPr>
        <w:t>i</w:t>
      </w:r>
      <w:r>
        <w:rPr>
          <w:rFonts w:ascii="Arial" w:hAnsi="Arial"/>
          <w:sz w:val="22"/>
        </w:rPr>
        <w:t xml:space="preserve">  </w:t>
      </w:r>
      <w:r>
        <w:rPr>
          <w:rFonts w:ascii="Arial" w:hAnsi="Arial"/>
          <w:sz w:val="22"/>
        </w:rPr>
        <w:tab/>
      </w:r>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‘i</w:t>
      </w:r>
      <w:bookmarkStart w:id="614" w:name="_Int_48pjymsz"/>
      <w:r w:rsidR="29182891" w:rsidRPr="0537B9E0">
        <w:rPr>
          <w:rFonts w:ascii="Arial" w:hAnsi="Arial"/>
          <w:sz w:val="22"/>
          <w:szCs w:val="22"/>
        </w:rPr>
        <w:t>’,</w:t>
      </w:r>
      <w:bookmarkEnd w:id="614"/>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over all Settlement Periods ‘j’ on a Settlement Day ‘d’</w:t>
      </w:r>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 xml:space="preserve">for a Fixed Price Period t (fBSUoSTOTt) </w:t>
      </w:r>
      <w:r>
        <w:rPr>
          <w:rFonts w:ascii="Arial (W1)" w:hAnsi="Arial (W1)"/>
          <w:sz w:val="22"/>
          <w:szCs w:val="20"/>
          <w:lang w:eastAsia="en-US"/>
        </w:rPr>
        <w:t>are</w:t>
      </w:r>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CD5FBB"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m:t>
              </m:r>
              <m:r>
                <w:rPr>
                  <w:rFonts w:ascii="Cambria Math" w:hAnsi="Cambria Math"/>
                  <w:sz w:val="22"/>
                  <w:szCs w:val="20"/>
                  <w:lang w:eastAsia="en-US"/>
                </w:rPr>
                <m:t>U</m:t>
              </m:r>
              <m:r>
                <w:rPr>
                  <w:rFonts w:ascii="Cambria Math" w:hAnsi="Cambria Math"/>
                  <w:sz w:val="22"/>
                  <w:szCs w:val="20"/>
                  <w:lang w:eastAsia="en-US"/>
                </w:rPr>
                <m:t>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r>
        <w:t>fBSUoSTOT</w:t>
      </w:r>
      <w:r w:rsidRPr="00DD65DA">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r>
        <w:t>fBSUoSEXT</w:t>
      </w:r>
      <w:r w:rsidRPr="00DD65DA">
        <w:rPr>
          <w:vertAlign w:val="subscript"/>
        </w:rPr>
        <w:t>t</w:t>
      </w:r>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r w:rsidRPr="009F1C91">
        <w:rPr>
          <w:rFonts w:ascii="Arial (W1)" w:hAnsi="Arial (W1)"/>
          <w:sz w:val="22"/>
          <w:szCs w:val="20"/>
          <w:lang w:eastAsia="en-US"/>
        </w:rPr>
        <w:t>fBSUoSINT</w:t>
      </w:r>
      <w:r w:rsidRPr="00DD65DA">
        <w:rPr>
          <w:rFonts w:ascii="Arial (W1)" w:hAnsi="Arial (W1)"/>
          <w:sz w:val="22"/>
          <w:szCs w:val="20"/>
          <w:vertAlign w:val="subscript"/>
          <w:lang w:eastAsia="en-US"/>
        </w:rPr>
        <w:t xml:space="preserve">t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r>
        <w:rPr>
          <w:rFonts w:ascii="Arial (W1)" w:hAnsi="Arial (W1)"/>
          <w:sz w:val="22"/>
          <w:szCs w:val="20"/>
          <w:lang w:eastAsia="en-US"/>
        </w:rPr>
        <w:t>kb</w:t>
      </w:r>
      <w:r>
        <w:rPr>
          <w:rFonts w:ascii="Arial (W1)" w:hAnsi="Arial (W1)"/>
          <w:sz w:val="22"/>
          <w:szCs w:val="20"/>
          <w:vertAlign w:val="subscript"/>
          <w:lang w:eastAsia="en-US"/>
        </w:rPr>
        <w:t xml:space="preserve">t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lastRenderedPageBreak/>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CD5FBB"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r>
        <w:t>FixedBSUoSP</w:t>
      </w:r>
      <w:r w:rsidRPr="00376AE1">
        <w:rPr>
          <w:vertAlign w:val="subscript"/>
        </w:rPr>
        <w:t xml:space="preserve">t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r>
        <w:t>fSGQM</w:t>
      </w:r>
      <w:r w:rsidRPr="00376AE1">
        <w:rPr>
          <w:vertAlign w:val="subscript"/>
        </w:rPr>
        <w:t>t</w:t>
      </w:r>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i,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CD5FBB"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m:t>
              </m:r>
              <m:r>
                <w:rPr>
                  <w:rFonts w:ascii="Cambria Math" w:hAnsi="Cambria Math"/>
                  <w:sz w:val="22"/>
                  <w:szCs w:val="20"/>
                  <w:lang w:eastAsia="en-US"/>
                </w:rPr>
                <m:t>∈</m:t>
              </m:r>
              <m:r>
                <w:rPr>
                  <w:rFonts w:ascii="Cambria Math" w:hAnsi="Cambria Math"/>
                  <w:sz w:val="22"/>
                  <w:szCs w:val="20"/>
                  <w:lang w:eastAsia="en-US"/>
                </w:rPr>
                <m:t>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r>
        <w:rPr>
          <w:rFonts w:ascii="Arial (W1)" w:hAnsi="Arial (W1)"/>
          <w:sz w:val="22"/>
          <w:szCs w:val="20"/>
          <w:lang w:eastAsia="en-US"/>
        </w:rPr>
        <w:t>i,</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FixedBSUoSP</w:t>
      </w:r>
      <w:r w:rsidRPr="00972D70">
        <w:rPr>
          <w:rFonts w:ascii="Arial (W1)" w:hAnsi="Arial (W1)"/>
          <w:sz w:val="22"/>
          <w:szCs w:val="20"/>
          <w:vertAlign w:val="subscript"/>
          <w:lang w:eastAsia="en-US"/>
        </w:rPr>
        <w:t xml:space="preserve">d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i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CD5FBB"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m:t>
              </m:r>
              <m:r>
                <w:rPr>
                  <w:rFonts w:ascii="Cambria Math" w:hAnsi="Cambria Math"/>
                  <w:sz w:val="22"/>
                  <w:szCs w:val="20"/>
                  <w:lang w:eastAsia="en-US"/>
                </w:rPr>
                <m:t>∈</m:t>
              </m:r>
              <m:r>
                <w:rPr>
                  <w:rFonts w:ascii="Cambria Math" w:hAnsi="Cambria Math"/>
                  <w:sz w:val="22"/>
                  <w:szCs w:val="20"/>
                  <w:lang w:eastAsia="en-US"/>
                </w:rPr>
                <m:t>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FixedBSUoSP</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TQM</w:t>
      </w:r>
      <w:r>
        <w:rPr>
          <w:rFonts w:ascii="Arial (W1)" w:hAnsi="Arial (W1)"/>
          <w:sz w:val="22"/>
          <w:szCs w:val="20"/>
          <w:vertAlign w:val="subscript"/>
          <w:lang w:eastAsia="en-US"/>
        </w:rPr>
        <w:t>mj</w:t>
      </w:r>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CD5FBB"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t>
              </m:r>
              <m:r>
                <w:rPr>
                  <w:rFonts w:ascii="Cambria Math" w:hAnsi="Cambria Math"/>
                  <w:sz w:val="22"/>
                  <w:szCs w:val="20"/>
                  <w:lang w:eastAsia="en-US"/>
                </w:rPr>
                <m:t>,</m:t>
              </m:r>
              <m:r>
                <w:rPr>
                  <w:rFonts w:ascii="Cambria Math" w:hAnsi="Cambria Math"/>
                  <w:sz w:val="22"/>
                  <w:szCs w:val="20"/>
                  <w:lang w:eastAsia="en-US"/>
                </w:rPr>
                <m:t>m</m:t>
              </m:r>
              <m:r>
                <w:rPr>
                  <w:rFonts w:ascii="Cambria Math" w:hAnsi="Cambria Math"/>
                  <w:sz w:val="22"/>
                  <w:szCs w:val="20"/>
                  <w:lang w:eastAsia="en-US"/>
                </w:rPr>
                <m:t>∈</m:t>
              </m:r>
              <m:r>
                <w:rPr>
                  <w:rFonts w:ascii="Cambria Math" w:hAnsi="Cambria Math"/>
                  <w:sz w:val="22"/>
                  <w:szCs w:val="20"/>
                  <w:lang w:eastAsia="en-US"/>
                </w:rPr>
                <m:t>c</m:t>
              </m:r>
            </m:sub>
            <m:sup/>
            <m:e>
              <m:sSub>
                <m:sSubPr>
                  <m:ctrlPr>
                    <w:rPr>
                      <w:rFonts w:ascii="Cambria Math" w:hAnsi="Cambria Math"/>
                      <w:i/>
                      <w:sz w:val="22"/>
                      <w:szCs w:val="20"/>
                      <w:lang w:eastAsia="en-US"/>
                    </w:rPr>
                  </m:ctrlPr>
                </m:sSubPr>
                <m:e>
                  <m:r>
                    <w:rPr>
                      <w:rFonts w:ascii="Cambria Math" w:hAnsi="Cambria Math"/>
                      <w:sz w:val="22"/>
                      <w:szCs w:val="20"/>
                      <w:lang w:eastAsia="en-US"/>
                    </w:rPr>
                    <m:t>(</m:t>
                  </m:r>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BSUoSTOT</w:t>
      </w:r>
      <w:r w:rsidRPr="00DD65DA">
        <w:rPr>
          <w:rFonts w:ascii="Arial (W1)" w:hAnsi="Arial (W1)"/>
          <w:sz w:val="22"/>
          <w:szCs w:val="20"/>
          <w:vertAlign w:val="subscript"/>
          <w:lang w:eastAsia="en-US"/>
        </w:rPr>
        <w:t>cd</w:t>
      </w:r>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BM Unit i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w:t>
      </w:r>
      <w:r w:rsidRPr="00411743">
        <w:rPr>
          <w:rFonts w:ascii="Arial (W1)" w:hAnsi="Arial (W1)"/>
          <w:sz w:val="22"/>
          <w:szCs w:val="20"/>
          <w:lang w:eastAsia="en-US"/>
        </w:rPr>
        <w:lastRenderedPageBreak/>
        <w:t xml:space="preserve">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CD5FBB"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615"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615"/>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fBSUoSTOT</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fSGQM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(BSUoSTOT</w:t>
      </w:r>
      <w:r>
        <w:rPr>
          <w:vertAlign w:val="subscript"/>
        </w:rPr>
        <w:t>jd</w:t>
      </w:r>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(BSUoSTOT</w:t>
      </w:r>
      <w:r w:rsidRPr="00DD65DA">
        <w:rPr>
          <w:vertAlign w:val="subscript"/>
        </w:rPr>
        <w:t>d</w:t>
      </w:r>
      <w:r w:rsidRPr="006A2FE1">
        <w:t xml:space="preserve">) are calculated by summing the </w:t>
      </w:r>
      <w:r>
        <w:t>E</w:t>
      </w:r>
      <w:r w:rsidRPr="006A2FE1">
        <w:t xml:space="preserve">xternal BSUoS </w:t>
      </w:r>
      <w:r>
        <w:t>C</w:t>
      </w:r>
      <w:r w:rsidRPr="006A2FE1">
        <w:t>osts (BSUoSEXT</w:t>
      </w:r>
      <w:r w:rsidRPr="00DD65DA">
        <w:rPr>
          <w:vertAlign w:val="subscript"/>
        </w:rPr>
        <w:t>d</w:t>
      </w:r>
      <w:r w:rsidRPr="006A2FE1">
        <w:t xml:space="preserve">) and </w:t>
      </w:r>
      <w:r>
        <w:t>I</w:t>
      </w:r>
      <w:r w:rsidRPr="006A2FE1">
        <w:t xml:space="preserve">nternal BSUoS </w:t>
      </w:r>
      <w:r>
        <w:t>C</w:t>
      </w:r>
      <w:r w:rsidRPr="006A2FE1">
        <w:t>osts (BSUoSINT</w:t>
      </w:r>
      <w:r w:rsidRPr="00DD65DA">
        <w:rPr>
          <w:vertAlign w:val="subscript"/>
        </w:rPr>
        <w:t>d</w:t>
      </w:r>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CD5FBB"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(BSUoSEXT</w:t>
      </w:r>
      <w:r>
        <w:rPr>
          <w:vertAlign w:val="subscript"/>
        </w:rPr>
        <w:t>d</w:t>
      </w:r>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(BSUoSEXT</w:t>
      </w:r>
      <w:r>
        <w:rPr>
          <w:vertAlign w:val="subscript"/>
        </w:rPr>
        <w:t>d</w:t>
      </w:r>
      <w:r>
        <w:t xml:space="preserve">) are calculated by </w:t>
      </w:r>
      <w:r w:rsidR="00A912E1">
        <w:t xml:space="preserve">adding up </w:t>
      </w:r>
      <w:r>
        <w:t>each Settlement Period System Operator BM Cash Flow (CSOBM</w:t>
      </w:r>
      <w:r>
        <w:rPr>
          <w:vertAlign w:val="subscript"/>
        </w:rPr>
        <w:t>j</w:t>
      </w:r>
      <w:r w:rsidR="0081584D">
        <w:rPr>
          <w:vertAlign w:val="subscript"/>
        </w:rPr>
        <w:t>d</w:t>
      </w:r>
      <w:r>
        <w:t>) and Balancing Service Variable Contract Cost (BSCCV</w:t>
      </w:r>
      <w:r>
        <w:rPr>
          <w:vertAlign w:val="subscript"/>
        </w:rPr>
        <w:t>j</w:t>
      </w:r>
      <w:r w:rsidR="00DF0F61">
        <w:rPr>
          <w:vertAlign w:val="subscript"/>
        </w:rPr>
        <w:t>d</w:t>
      </w:r>
      <w:r>
        <w:t>)</w:t>
      </w:r>
      <w:r w:rsidR="00D83025">
        <w:t xml:space="preserve">, </w:t>
      </w:r>
      <w:r w:rsidR="00041697">
        <w:t>for each Settlement Period j</w:t>
      </w:r>
      <w:r w:rsidR="00D83025">
        <w:t xml:space="preserve"> </w:t>
      </w:r>
      <w:r w:rsidR="00D83025" w:rsidRPr="007E0358">
        <w:t>BSUoSCOVID</w:t>
      </w:r>
      <w:r w:rsidR="00D83025" w:rsidRPr="00835F3F">
        <w:rPr>
          <w:vertAlign w:val="subscript"/>
        </w:rPr>
        <w:t>jd</w:t>
      </w:r>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lastRenderedPageBreak/>
        <w:t>Where BSUoSCOVID</w:t>
      </w:r>
      <w:r w:rsidRPr="00835F3F">
        <w:rPr>
          <w:vertAlign w:val="subscript"/>
        </w:rPr>
        <w:t>jd</w:t>
      </w:r>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CD5FBB"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m:t>
                  </m:r>
                  <m:r>
                    <w:rPr>
                      <w:rFonts w:ascii="Cambria Math" w:hAnsi="Cambria Math"/>
                      <w:color w:val="000000" w:themeColor="text1"/>
                      <w:kern w:val="24"/>
                    </w:rPr>
                    <m:t>t</m:t>
                  </m:r>
                  <m:r>
                    <w:rPr>
                      <w:rFonts w:ascii="Cambria Math" w:hAnsi="Cambria Math"/>
                      <w:color w:val="000000" w:themeColor="text1"/>
                      <w:kern w:val="24"/>
                    </w:rPr>
                    <m: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m:t>
              </m:r>
              <m:r>
                <w:rPr>
                  <w:rFonts w:ascii="Cambria Math" w:hAnsi="Cambria Math"/>
                  <w:color w:val="000000" w:themeColor="text1"/>
                  <w:kern w:val="24"/>
                </w:rPr>
                <m:t>∈</m:t>
              </m:r>
              <m:r>
                <w:rPr>
                  <w:rFonts w:ascii="Cambria Math" w:hAnsi="Cambria Math"/>
                  <w:color w:val="000000" w:themeColor="text1"/>
                  <w:kern w:val="24"/>
                </w:rPr>
                <m:t>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(BSUoSINT</w:t>
      </w:r>
      <w:r>
        <w:rPr>
          <w:vertAlign w:val="subscript"/>
        </w:rPr>
        <w:t>d</w:t>
      </w:r>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(BSUoSINT</w:t>
      </w:r>
      <w:r>
        <w:rPr>
          <w:vertAlign w:val="subscript"/>
        </w:rPr>
        <w:t>d</w:t>
      </w:r>
      <w:r>
        <w:t>) for each Settlement Day d are calculated by adding the incentivised and non-incentivised SO Internal Costs (as determined in line with Transmission Licence Special Condition 4.1).</w:t>
      </w:r>
      <w:r w:rsidR="001119E7">
        <w:t xml:space="preserve">. </w:t>
      </w:r>
    </w:p>
    <w:p w14:paraId="1CEBED68" w14:textId="77777777" w:rsidR="001119E7" w:rsidRDefault="001119E7" w:rsidP="001119E7">
      <w:pPr>
        <w:rPr>
          <w:lang w:eastAsia="en-US"/>
        </w:rPr>
      </w:pPr>
    </w:p>
    <w:p w14:paraId="21FF7777" w14:textId="77777777" w:rsidR="001119E7" w:rsidRDefault="00CD5FBB"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58"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CD5FBB"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Covid Costs shall be calculated as;</w:t>
      </w:r>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3CBAF835" w14:textId="77777777" w:rsidR="001119E7" w:rsidRDefault="001119E7" w:rsidP="001119E7">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r>
        <w:t>Where;</w:t>
      </w:r>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COVIDCAPTOT</w:t>
      </w:r>
      <w:r w:rsidRPr="00F56A6A">
        <w:rPr>
          <w:vertAlign w:val="subscript"/>
        </w:rPr>
        <w:t>j</w:t>
      </w:r>
      <w:r>
        <w:t xml:space="preserve"> is calculated as;</w:t>
      </w:r>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The 25th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The 25</w:t>
      </w:r>
      <w:r w:rsidRPr="0061512D">
        <w:rPr>
          <w:rFonts w:ascii="Arial (W1)" w:hAnsi="Arial (W1)"/>
          <w:sz w:val="22"/>
          <w:szCs w:val="20"/>
          <w:vertAlign w:val="superscript"/>
          <w:lang w:eastAsia="en-US"/>
        </w:rPr>
        <w:t>th</w:t>
      </w:r>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 xml:space="preserve">During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(BSUoSCOVIDjd)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r w:rsidRPr="0061512D">
        <w:rPr>
          <w:rFonts w:ascii="Arial" w:hAnsi="Arial" w:cs="Arial"/>
          <w:sz w:val="22"/>
          <w:szCs w:val="22"/>
          <w:lang w:eastAsia="en-US"/>
        </w:rPr>
        <w:t>BSUoSTOTjd = BSUoSEXTjd + BSUoSINTjd + BSUoSCOVIDjd</w:t>
      </w:r>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Where </w:t>
      </w:r>
      <w:r w:rsidR="008B0A42">
        <w:rPr>
          <w:rFonts w:ascii="Arial" w:hAnsi="Arial" w:cs="Arial"/>
          <w:sz w:val="22"/>
          <w:szCs w:val="22"/>
          <w:lang w:eastAsia="en-US"/>
        </w:rPr>
        <w:t>:</w:t>
      </w:r>
      <w:r w:rsidRPr="0061512D">
        <w:rPr>
          <w:rFonts w:ascii="Arial" w:hAnsi="Arial" w:cs="Arial"/>
          <w:sz w:val="22"/>
          <w:szCs w:val="22"/>
          <w:lang w:eastAsia="en-US"/>
        </w:rPr>
        <w:t xml:space="preserve">BSUoSCOVIDjd,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r w:rsidR="001119E7" w:rsidRPr="35F371ED">
        <w:rPr>
          <w:rFonts w:ascii="Arial" w:hAnsi="Arial" w:cs="Arial"/>
        </w:rPr>
        <w:t>BSUoSCOVID</w:t>
      </w:r>
      <w:r w:rsidR="001119E7" w:rsidRPr="35F371ED">
        <w:rPr>
          <w:rFonts w:ascii="Arial" w:hAnsi="Arial" w:cs="Arial"/>
          <w:vertAlign w:val="subscript"/>
        </w:rPr>
        <w:t xml:space="preserve">jd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BSUoSCOVID</w:t>
      </w:r>
      <w:r w:rsidR="001119E7" w:rsidRPr="35F371ED">
        <w:rPr>
          <w:rFonts w:ascii="Arial" w:hAnsi="Arial" w:cs="Arial"/>
          <w:vertAlign w:val="subscript"/>
        </w:rPr>
        <w:t>jd</w:t>
      </w:r>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Business Days</w:t>
      </w:r>
      <w:r w:rsidRPr="006B5382">
        <w:t xml:space="preserve"> notice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lastRenderedPageBreak/>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33182FBA" w14:textId="77777777" w:rsidR="005A256C" w:rsidRDefault="005A256C" w:rsidP="005A256C">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r>
        <w:rPr>
          <w:rFonts w:ascii="Arial" w:hAnsi="Arial" w:cs="Arial"/>
          <w:szCs w:val="22"/>
        </w:rPr>
        <w:t>BSUoSTOT</w:t>
      </w:r>
      <w:r w:rsidRPr="009A6831">
        <w:rPr>
          <w:rFonts w:ascii="Arial" w:hAnsi="Arial" w:cs="Arial"/>
          <w:szCs w:val="22"/>
          <w:vertAlign w:val="subscript"/>
        </w:rPr>
        <w:t>jd</w:t>
      </w:r>
      <w:r>
        <w:rPr>
          <w:rFonts w:ascii="Arial" w:hAnsi="Arial" w:cs="Arial"/>
          <w:szCs w:val="22"/>
        </w:rPr>
        <w:t xml:space="preserve"> = BSUoSEXT</w:t>
      </w:r>
      <w:r w:rsidRPr="009A6831">
        <w:rPr>
          <w:rFonts w:ascii="Arial" w:hAnsi="Arial" w:cs="Arial"/>
          <w:szCs w:val="22"/>
          <w:vertAlign w:val="subscript"/>
        </w:rPr>
        <w:t>jd</w:t>
      </w:r>
      <w:r>
        <w:rPr>
          <w:rFonts w:ascii="Arial" w:hAnsi="Arial" w:cs="Arial"/>
          <w:szCs w:val="22"/>
        </w:rPr>
        <w:t xml:space="preserve"> + BSUoSINT</w:t>
      </w:r>
      <w:r w:rsidRPr="009A6831">
        <w:rPr>
          <w:rFonts w:ascii="Arial" w:hAnsi="Arial" w:cs="Arial"/>
          <w:szCs w:val="22"/>
          <w:vertAlign w:val="subscript"/>
        </w:rPr>
        <w:t>jd</w:t>
      </w:r>
      <w:r>
        <w:rPr>
          <w:rFonts w:ascii="Arial" w:hAnsi="Arial" w:cs="Arial"/>
          <w:szCs w:val="22"/>
        </w:rPr>
        <w:t xml:space="preserve"> + BSUoSCOVID</w:t>
      </w:r>
      <w:r w:rsidRPr="009A6831">
        <w:rPr>
          <w:rFonts w:ascii="Arial" w:hAnsi="Arial" w:cs="Arial"/>
          <w:szCs w:val="22"/>
          <w:vertAlign w:val="subscript"/>
        </w:rPr>
        <w:t>jd</w:t>
      </w:r>
      <w:r>
        <w:rPr>
          <w:rFonts w:ascii="Arial" w:hAnsi="Arial" w:cs="Arial"/>
          <w:szCs w:val="22"/>
          <w:vertAlign w:val="subscript"/>
        </w:rPr>
        <w:t xml:space="preserve"> </w:t>
      </w:r>
      <w:r>
        <w:rPr>
          <w:rFonts w:ascii="Arial" w:hAnsi="Arial" w:cs="Arial"/>
          <w:szCs w:val="22"/>
        </w:rPr>
        <w:t>- BSUoSEXC</w:t>
      </w:r>
      <w:r w:rsidRPr="009A6831">
        <w:rPr>
          <w:rFonts w:ascii="Arial" w:hAnsi="Arial" w:cs="Arial"/>
          <w:szCs w:val="22"/>
          <w:vertAlign w:val="subscript"/>
        </w:rPr>
        <w:t>jd</w:t>
      </w:r>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lastRenderedPageBreak/>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CD5FBB"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r>
        <w:t xml:space="preserve">Where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r w:rsidR="00846881" w:rsidRPr="35F371ED">
        <w:rPr>
          <w:rFonts w:ascii="Arial" w:hAnsi="Arial" w:cs="Arial"/>
        </w:rPr>
        <w:t>BSUoSEXC</w:t>
      </w:r>
      <w:r w:rsidR="00846881" w:rsidRPr="35F371ED">
        <w:rPr>
          <w:rFonts w:ascii="Arial" w:hAnsi="Arial" w:cs="Arial"/>
          <w:vertAlign w:val="subscript"/>
        </w:rPr>
        <w:t xml:space="preserve">d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616" w:name="_Int_NSWWP4Zn"/>
      <w:r w:rsidRPr="00C82D21">
        <w:rPr>
          <w:b/>
          <w:bCs/>
        </w:rPr>
        <w:t>Period</w:t>
      </w:r>
      <w:bookmarkEnd w:id="616"/>
      <w:r>
        <w:t xml:space="preserve"> and value of BSUoSEXC</w:t>
      </w:r>
      <w:r w:rsidRPr="00C82D21">
        <w:rPr>
          <w:vertAlign w:val="subscript"/>
        </w:rPr>
        <w:t>d</w:t>
      </w:r>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(BSUoSFXC</w:t>
      </w:r>
      <w:r w:rsidR="00650EEC" w:rsidRPr="000F2701">
        <w:rPr>
          <w:rFonts w:ascii="Arial" w:hAnsi="Arial" w:cs="Arial"/>
          <w:sz w:val="22"/>
          <w:szCs w:val="22"/>
          <w:vertAlign w:val="subscript"/>
        </w:rPr>
        <w:t>j</w:t>
      </w:r>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BSUoSTOTj &lt;= FXCCAPTOTj, then BSUoSFXCj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BSUoSTOTj &gt; FXCCAPTOTj, then BSUoSFXCj = BSUoSTOTj - </w:t>
      </w:r>
      <w:r w:rsidRPr="000F2701">
        <w:rPr>
          <w:rFonts w:ascii="Arial" w:hAnsi="Arial" w:cs="Arial"/>
          <w:sz w:val="22"/>
          <w:szCs w:val="22"/>
        </w:rPr>
        <w:t xml:space="preserve">   </w:t>
      </w:r>
      <w:r w:rsidR="00650EEC" w:rsidRPr="000F2701">
        <w:rPr>
          <w:rFonts w:ascii="Arial" w:hAnsi="Arial" w:cs="Arial"/>
          <w:sz w:val="22"/>
          <w:szCs w:val="22"/>
        </w:rPr>
        <w:t xml:space="preserve">FXCCAPTOTj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FXCCAPTOTj=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(SGQM</w:t>
      </w:r>
      <w:r w:rsidRPr="006D0A1A">
        <w:rPr>
          <w:rFonts w:ascii="Arial" w:hAnsi="Arial" w:cs="Arial"/>
          <w:sz w:val="22"/>
          <w:szCs w:val="22"/>
          <w:vertAlign w:val="subscript"/>
        </w:rPr>
        <w:t>j</w:t>
      </w:r>
      <w:r w:rsidRPr="006D0A1A">
        <w:rPr>
          <w:rFonts w:ascii="Arial" w:hAnsi="Arial" w:cs="Arial"/>
          <w:sz w:val="22"/>
          <w:szCs w:val="22"/>
        </w:rPr>
        <w:t xml:space="preserve"> + TQM</w:t>
      </w:r>
      <w:r w:rsidRPr="006D0A1A">
        <w:rPr>
          <w:rFonts w:ascii="Arial" w:hAnsi="Arial" w:cs="Arial"/>
          <w:sz w:val="22"/>
          <w:szCs w:val="22"/>
          <w:vertAlign w:val="subscript"/>
        </w:rPr>
        <w:t>j</w:t>
      </w:r>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w:t>
      </w:r>
      <w:r w:rsidR="00650EEC" w:rsidRPr="007A1F7C">
        <w:rPr>
          <w:rFonts w:ascii="Arial" w:hAnsi="Arial" w:cs="Arial"/>
        </w:rPr>
        <w:lastRenderedPageBreak/>
        <w:t>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(BSUoSFXC</w:t>
      </w:r>
      <w:r w:rsidR="00650EEC" w:rsidRPr="000F2701">
        <w:rPr>
          <w:rFonts w:ascii="Arial" w:hAnsi="Arial" w:cs="Arial"/>
          <w:vertAlign w:val="subscript"/>
        </w:rPr>
        <w:t>jd</w:t>
      </w:r>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r w:rsidR="00650EEC" w:rsidRPr="000F2701">
        <w:rPr>
          <w:rFonts w:ascii="Arial" w:hAnsi="Arial" w:cs="Arial"/>
        </w:rPr>
        <w:t>BSUoSTOT</w:t>
      </w:r>
      <w:r w:rsidR="00650EEC" w:rsidRPr="000F2701">
        <w:rPr>
          <w:rFonts w:ascii="Arial" w:hAnsi="Arial" w:cs="Arial"/>
          <w:vertAlign w:val="subscript"/>
        </w:rPr>
        <w:t>jd</w:t>
      </w:r>
      <w:r w:rsidR="00650EEC" w:rsidRPr="000F2701">
        <w:rPr>
          <w:rFonts w:ascii="Arial" w:hAnsi="Arial" w:cs="Arial"/>
        </w:rPr>
        <w:t xml:space="preserve"> = BSUoSEXT</w:t>
      </w:r>
      <w:r w:rsidR="00650EEC" w:rsidRPr="000F2701">
        <w:rPr>
          <w:rFonts w:ascii="Arial" w:hAnsi="Arial" w:cs="Arial"/>
          <w:vertAlign w:val="subscript"/>
        </w:rPr>
        <w:t>jd</w:t>
      </w:r>
      <w:r w:rsidR="00650EEC" w:rsidRPr="000F2701">
        <w:rPr>
          <w:rFonts w:ascii="Arial" w:hAnsi="Arial" w:cs="Arial"/>
        </w:rPr>
        <w:t xml:space="preserve"> + BSUoSINT</w:t>
      </w:r>
      <w:r w:rsidR="00650EEC" w:rsidRPr="000F2701">
        <w:rPr>
          <w:rFonts w:ascii="Arial" w:hAnsi="Arial" w:cs="Arial"/>
          <w:vertAlign w:val="subscript"/>
        </w:rPr>
        <w:t>jd</w:t>
      </w:r>
      <w:r w:rsidR="00650EEC" w:rsidRPr="000F2701">
        <w:rPr>
          <w:rFonts w:ascii="Arial" w:hAnsi="Arial" w:cs="Arial"/>
        </w:rPr>
        <w:t xml:space="preserve"> - BSUoSFXC</w:t>
      </w:r>
      <w:r w:rsidR="00650EEC" w:rsidRPr="000F2701">
        <w:rPr>
          <w:rFonts w:ascii="Arial" w:hAnsi="Arial" w:cs="Arial"/>
          <w:vertAlign w:val="subscript"/>
        </w:rPr>
        <w:t>jd</w:t>
      </w:r>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or,</w:t>
      </w:r>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The necessary licence changes coming into effect to implement recovery of the Further Costs;</w:t>
      </w:r>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(BSUoSFXC</w:t>
      </w:r>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CD5FBB"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r w:rsidRPr="00976E53">
        <w:t xml:space="preserve">Where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r w:rsidRPr="007A1F7C">
        <w:t>BSUoSFXC</w:t>
      </w:r>
      <w:r w:rsidRPr="007A1F7C">
        <w:rPr>
          <w:vertAlign w:val="subscript"/>
        </w:rPr>
        <w:t>d</w:t>
      </w:r>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Authority</w:t>
      </w:r>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generation</w:t>
      </w:r>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recovered  from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The necessary licence changes coming into effect to implement recovery of Further Costs;</w:t>
      </w:r>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CD5FBB"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617" w:name="_Int_mggheBCK"/>
      <w:r w:rsidR="0DD13B8A" w:rsidRPr="0537B9E0">
        <w:rPr>
          <w:rFonts w:ascii="Arial" w:hAnsi="Arial" w:cs="Arial"/>
          <w:b/>
          <w:bCs/>
          <w:sz w:val="22"/>
          <w:szCs w:val="22"/>
        </w:rPr>
        <w:t>Period</w:t>
      </w:r>
      <w:bookmarkEnd w:id="617"/>
      <w:r w:rsidR="0DD13B8A" w:rsidRPr="0537B9E0">
        <w:rPr>
          <w:rFonts w:ascii="Arial" w:hAnsi="Arial" w:cs="Arial"/>
          <w:sz w:val="22"/>
          <w:szCs w:val="22"/>
        </w:rPr>
        <w:t xml:space="preserve"> and value of BSUoSFXC</w:t>
      </w:r>
      <w:r w:rsidR="0DD13B8A" w:rsidRPr="0537B9E0">
        <w:rPr>
          <w:rFonts w:ascii="Arial" w:hAnsi="Arial" w:cs="Arial"/>
          <w:sz w:val="22"/>
          <w:szCs w:val="22"/>
          <w:vertAlign w:val="subscript"/>
        </w:rPr>
        <w:t>d</w:t>
      </w:r>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618" w:name="_Toc3598585"/>
      <w:bookmarkStart w:id="619" w:name="_Toc35675444"/>
      <w:bookmarkStart w:id="620"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618"/>
      <w:bookmarkEnd w:id="619"/>
      <w:bookmarkEnd w:id="620"/>
    </w:p>
    <w:p w14:paraId="1265E846" w14:textId="77777777" w:rsidR="00750515" w:rsidRDefault="00750515" w:rsidP="00750515">
      <w:pPr>
        <w:pStyle w:val="Heading2"/>
      </w:pPr>
    </w:p>
    <w:p w14:paraId="6A8C918E" w14:textId="5452875F" w:rsidR="00750515" w:rsidRDefault="00750515" w:rsidP="00750515">
      <w:pPr>
        <w:pStyle w:val="Heading2"/>
      </w:pPr>
      <w:bookmarkStart w:id="621" w:name="_Toc3598586"/>
      <w:bookmarkStart w:id="622" w:name="_Toc35675445"/>
      <w:bookmarkStart w:id="623" w:name="_Toc274049773"/>
      <w:r>
        <w:t xml:space="preserve">Settlement and Reconciliation of BSUoS </w:t>
      </w:r>
      <w:bookmarkEnd w:id="621"/>
      <w:bookmarkEnd w:id="622"/>
      <w:bookmarkEnd w:id="623"/>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624" w:name="_Toc3598587"/>
      <w:bookmarkStart w:id="625" w:name="_Toc35675446"/>
      <w:bookmarkStart w:id="626" w:name="_Toc274049774"/>
      <w:r>
        <w:t>Initial Settlement of BSUoS</w:t>
      </w:r>
      <w:bookmarkEnd w:id="624"/>
      <w:bookmarkEnd w:id="625"/>
      <w:bookmarkEnd w:id="626"/>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627" w:name="_Toc3598588"/>
      <w:bookmarkStart w:id="628" w:name="_Toc35675447"/>
      <w:bookmarkStart w:id="629" w:name="_Toc274049775"/>
      <w:r>
        <w:t>Reconciliation of BSUoS Charges</w:t>
      </w:r>
      <w:bookmarkEnd w:id="627"/>
      <w:bookmarkEnd w:id="628"/>
      <w:bookmarkEnd w:id="629"/>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630" w:name="_Toc488744923"/>
      <w:bookmarkStart w:id="631" w:name="_Toc497131288"/>
      <w:bookmarkStart w:id="632" w:name="_Toc500909412"/>
      <w:bookmarkStart w:id="633" w:name="_Toc3598590"/>
      <w:bookmarkStart w:id="634" w:name="_Toc35675449"/>
      <w:bookmarkStart w:id="635" w:name="_Toc274049776"/>
      <w:r>
        <w:t>Unavailability of Data</w:t>
      </w:r>
      <w:bookmarkEnd w:id="630"/>
      <w:bookmarkEnd w:id="631"/>
      <w:bookmarkEnd w:id="632"/>
      <w:bookmarkEnd w:id="633"/>
      <w:bookmarkEnd w:id="634"/>
      <w:bookmarkEnd w:id="635"/>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calculations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w:t>
      </w:r>
      <w:r w:rsidRPr="0537B9E0">
        <w:rPr>
          <w:rFonts w:ascii="Arial" w:hAnsi="Arial"/>
          <w:sz w:val="22"/>
          <w:szCs w:val="22"/>
        </w:rPr>
        <w:lastRenderedPageBreak/>
        <w:t>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The Company</w:t>
      </w:r>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636" w:name="_Int_gSKi5dMj"/>
      <w:r w:rsidRPr="0537B9E0">
        <w:rPr>
          <w:rFonts w:ascii="Arial" w:hAnsi="Arial"/>
          <w:sz w:val="22"/>
          <w:szCs w:val="22"/>
        </w:rPr>
        <w:t>on the basis of</w:t>
      </w:r>
      <w:bookmarkEnd w:id="636"/>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637" w:name="_Toc488744924"/>
      <w:bookmarkStart w:id="638" w:name="_Toc497131289"/>
      <w:bookmarkStart w:id="639" w:name="_Toc500909413"/>
      <w:bookmarkStart w:id="640" w:name="_Toc3598591"/>
      <w:bookmarkStart w:id="641" w:name="_Toc35675450"/>
      <w:bookmarkStart w:id="642" w:name="_Toc274049777"/>
      <w:r>
        <w:t>Disputes</w:t>
      </w:r>
      <w:bookmarkEnd w:id="637"/>
      <w:bookmarkEnd w:id="638"/>
      <w:bookmarkEnd w:id="639"/>
      <w:bookmarkEnd w:id="640"/>
      <w:bookmarkEnd w:id="641"/>
      <w:bookmarkEnd w:id="642"/>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Day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643" w:name="_Toc488744926"/>
      <w:bookmarkStart w:id="644" w:name="_Toc500909414"/>
      <w:bookmarkStart w:id="645" w:name="_Toc3598592"/>
      <w:bookmarkStart w:id="646" w:name="_Toc35675451"/>
      <w:bookmarkStart w:id="647" w:name="_Toc274049778"/>
      <w:r>
        <w:br w:type="page"/>
      </w:r>
      <w:r>
        <w:lastRenderedPageBreak/>
        <w:t>Relationship between the Statement of the Use of System Charging Methodology and the Transmission Licence</w:t>
      </w:r>
      <w:bookmarkEnd w:id="643"/>
      <w:bookmarkEnd w:id="644"/>
      <w:bookmarkEnd w:id="645"/>
      <w:bookmarkEnd w:id="646"/>
      <w:bookmarkEnd w:id="647"/>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648" w:name="_Int_B051293U"/>
      <w:r w:rsidR="76DC4F11">
        <w:t>on a daily basis</w:t>
      </w:r>
      <w:bookmarkEnd w:id="648"/>
      <w:r w:rsidR="76DC4F11">
        <w:t xml:space="preserve"> and as such of this Statement sets out the details of the calculation of such charges </w:t>
      </w:r>
      <w:bookmarkStart w:id="649" w:name="_Int_lItY1PWm"/>
      <w:r w:rsidR="76DC4F11">
        <w:t>on a daily basis</w:t>
      </w:r>
      <w:bookmarkEnd w:id="649"/>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650"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650"/>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651" w:name="_Toc35675452"/>
      <w:bookmarkStart w:id="652" w:name="_Toc274049779"/>
      <w:r w:rsidR="00E02C9D">
        <w:lastRenderedPageBreak/>
        <w:t xml:space="preserve">14.32.8 </w:t>
      </w:r>
      <w:r>
        <w:t>Balancing Services Use of System Acronym Definitions</w:t>
      </w:r>
      <w:bookmarkEnd w:id="651"/>
      <w:bookmarkEnd w:id="652"/>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59"/>
          <w:headerReference w:type="default" r:id="rId60"/>
          <w:footerReference w:type="even" r:id="rId61"/>
          <w:footerReference w:type="default" r:id="rId62"/>
          <w:headerReference w:type="first" r:id="rId63"/>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r w:rsidRPr="00D44385">
              <w:t>ADJR</w:t>
            </w:r>
            <w:r w:rsidRPr="00027962">
              <w:rPr>
                <w:vertAlign w:val="subscript"/>
              </w:rPr>
              <w:t>d</w:t>
            </w:r>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r>
              <w:t>BSCCA</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r>
              <w:t xml:space="preserve">Non Settlement Period </w:t>
            </w:r>
            <w:bookmarkStart w:id="657" w:name="_Int_mZbOnxn4"/>
            <w:r>
              <w:t>specific</w:t>
            </w:r>
            <w:bookmarkEnd w:id="657"/>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r>
              <w:t>BSCC</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r>
              <w:t>BSCCV</w:t>
            </w:r>
            <w:r w:rsidRPr="003367D0">
              <w:t>jd</w:t>
            </w:r>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r w:rsidRPr="00724E70">
              <w:t>BSUoSCOVID</w:t>
            </w:r>
            <w:r w:rsidRPr="00310007">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r>
              <w:t>BSUoSEXT</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System </w:t>
            </w:r>
            <w:r w:rsidR="000252C8">
              <w:rPr>
                <w:rFonts w:ascii="Arial" w:hAnsi="Arial"/>
              </w:rPr>
              <w:t xml:space="preserve"> </w:t>
            </w:r>
            <w:r w:rsidR="005555C1">
              <w:rPr>
                <w:rFonts w:ascii="Arial" w:hAnsi="Arial"/>
              </w:rPr>
              <w:t>Costs</w:t>
            </w:r>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r>
              <w:t>BSUoSINT</w:t>
            </w:r>
            <w:r w:rsidRPr="00E04F5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System </w:t>
            </w:r>
            <w:r w:rsidR="000252C8">
              <w:rPr>
                <w:rFonts w:ascii="Arial" w:hAnsi="Arial"/>
              </w:rPr>
              <w:t xml:space="preserve"> </w:t>
            </w:r>
            <w:r w:rsidR="00AE5FE6">
              <w:rPr>
                <w:rFonts w:ascii="Arial" w:hAnsi="Arial"/>
              </w:rPr>
              <w:t>Costs</w:t>
            </w:r>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r>
              <w:t>BSUoStariff</w:t>
            </w:r>
            <w:r w:rsidRPr="00027962">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System </w:t>
            </w:r>
            <w:r w:rsidR="00206D15">
              <w:rPr>
                <w:rFonts w:ascii="Arial" w:hAnsi="Arial"/>
              </w:rPr>
              <w:t xml:space="preserve"> Charges</w:t>
            </w:r>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System </w:t>
            </w:r>
            <w:r w:rsidR="006C799A">
              <w:rPr>
                <w:rFonts w:ascii="Arial" w:hAnsi="Arial"/>
              </w:rPr>
              <w:t xml:space="preserve"> </w:t>
            </w:r>
            <w:r w:rsidR="00AE5FE6">
              <w:rPr>
                <w:rFonts w:ascii="Arial" w:hAnsi="Arial"/>
              </w:rPr>
              <w:t>Costs</w:t>
            </w:r>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r>
              <w:t>BSUoSTOT</w:t>
            </w:r>
            <w:r w:rsidRPr="003367D0">
              <w:t>cd</w:t>
            </w:r>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658" w:name="OLE_LINK6"/>
            <w:bookmarkStart w:id="659" w:name="OLE_LINK7"/>
            <w:r>
              <w:t xml:space="preserve">The sum determined for each customer, c, in accordance with this Statement and payable by that customer in respect of </w:t>
            </w:r>
            <w:r>
              <w:lastRenderedPageBreak/>
              <w:t xml:space="preserve">each Settlement Day d, in accordance with the terms of the Supplemental </w:t>
            </w:r>
            <w:bookmarkEnd w:id="658"/>
            <w:bookmarkEnd w:id="659"/>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lastRenderedPageBreak/>
              <w:t xml:space="preserve">Total Balancing Services Use of System </w:t>
            </w:r>
            <w:r>
              <w:rPr>
                <w:rFonts w:ascii="Arial" w:hAnsi="Arial"/>
              </w:rPr>
              <w:t xml:space="preserve"> Costs</w:t>
            </w:r>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r>
              <w:t>BSUoSTOT</w:t>
            </w:r>
            <w:r w:rsidRPr="00935E9D">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660" w:name="_Hlk70423657"/>
            <w:r>
              <w:t xml:space="preserve">BSUoS 2020/21 </w:t>
            </w:r>
            <w:bookmarkEnd w:id="660"/>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r>
              <w:t xml:space="preserve">The  External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r>
              <w:t>CSOBM</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r>
              <w:t>TotAdj</w:t>
            </w:r>
            <w:r w:rsidRPr="00F862F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Is the contribution on Settlement Day, d, to the value of   TotAdj</w:t>
            </w:r>
            <w:r w:rsidRPr="0537B9E0">
              <w:rPr>
                <w:vertAlign w:val="subscript"/>
              </w:rPr>
              <w:t>t</w:t>
            </w:r>
            <w:r>
              <w:t xml:space="preserve">  where TotAdj</w:t>
            </w:r>
            <w:r w:rsidRPr="0537B9E0">
              <w:rPr>
                <w:vertAlign w:val="subscript"/>
              </w:rPr>
              <w:t>t</w:t>
            </w:r>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r>
              <w:t>FBC</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r>
              <w:t>FixedBSUoSP</w:t>
            </w:r>
            <w:r w:rsidRPr="00E04F52">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r>
              <w:t>FixedBSUoSPrev</w:t>
            </w:r>
            <w:r w:rsidRPr="00E04F52">
              <w:rPr>
                <w:vertAlign w:val="subscript"/>
              </w:rPr>
              <w:t>s</w:t>
            </w:r>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661" w:name="_Int_pCX5BelO"/>
            <w:r>
              <w:t>a number of</w:t>
            </w:r>
            <w:bookmarkEnd w:id="661"/>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r>
              <w:t>kb</w:t>
            </w:r>
            <w:r>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r>
              <w:t>LOCTRUd</w:t>
            </w:r>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As defined in the Transmission Licence, calculated for Settlement Day,d.</w:t>
            </w:r>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lastRenderedPageBreak/>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r>
              <w:t>OM</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Is the contribution on Settlement Day, d, to the value of OM</w:t>
            </w:r>
            <w:r w:rsidRPr="003367D0">
              <w:t>t</w:t>
            </w:r>
            <w:r>
              <w:t xml:space="preserve"> where OM</w:t>
            </w:r>
            <w:r w:rsidRPr="003367D0">
              <w:t>t</w:t>
            </w:r>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r>
              <w:t>QM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r w:rsidR="35B9C510">
              <w:t>)</w:t>
            </w:r>
            <w:r w:rsidR="3F73077A">
              <w:t xml:space="preserve"> </w:t>
            </w:r>
            <w:r>
              <w:t>,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r>
              <w:t>SOLAR</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r w:rsidRPr="00D25F09">
              <w:t>TLM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for </w:t>
            </w:r>
            <w:r w:rsidR="008B091A">
              <w:t xml:space="preserve"> Final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r>
              <w:t>TQEI</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lastRenderedPageBreak/>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662" w:name="BSUoSend"/>
      <w:bookmarkEnd w:id="662"/>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92569" w14:textId="77777777" w:rsidR="00B94D22" w:rsidRDefault="00B94D22" w:rsidP="001046D7">
      <w:pPr>
        <w:pStyle w:val="LogoCaption"/>
      </w:pPr>
      <w:r>
        <w:separator/>
      </w:r>
    </w:p>
  </w:endnote>
  <w:endnote w:type="continuationSeparator" w:id="0">
    <w:p w14:paraId="038146D8" w14:textId="77777777" w:rsidR="00B94D22" w:rsidRDefault="00B94D22" w:rsidP="001046D7">
      <w:pPr>
        <w:pStyle w:val="LogoCaption"/>
      </w:pPr>
      <w:r>
        <w:continuationSeparator/>
      </w:r>
    </w:p>
  </w:endnote>
  <w:endnote w:type="continuationNotice" w:id="1">
    <w:p w14:paraId="16443897" w14:textId="77777777" w:rsidR="00B94D22" w:rsidRDefault="00B94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4762E9C8" w:rsidR="002A2617" w:rsidRDefault="002A2617">
    <w:pPr>
      <w:pStyle w:val="Footer"/>
    </w:pPr>
    <w:r>
      <w:fldChar w:fldCharType="begin"/>
    </w:r>
    <w:r>
      <w:instrText xml:space="preserve"> DOCPROPERTY "DocID" \* MERGEFORMAT </w:instrText>
    </w:r>
    <w:r>
      <w:fldChar w:fldCharType="separate"/>
    </w:r>
    <w:r w:rsidR="004B2E96">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8957F" w14:textId="77777777" w:rsidR="00B94D22" w:rsidRDefault="00B94D22" w:rsidP="001046D7">
      <w:pPr>
        <w:pStyle w:val="LogoCaption"/>
      </w:pPr>
      <w:r>
        <w:separator/>
      </w:r>
    </w:p>
  </w:footnote>
  <w:footnote w:type="continuationSeparator" w:id="0">
    <w:p w14:paraId="061E333C" w14:textId="77777777" w:rsidR="00B94D22" w:rsidRDefault="00B94D22" w:rsidP="001046D7">
      <w:pPr>
        <w:pStyle w:val="LogoCaption"/>
      </w:pPr>
      <w:r>
        <w:continuationSeparator/>
      </w:r>
    </w:p>
  </w:footnote>
  <w:footnote w:type="continuationNotice" w:id="1">
    <w:p w14:paraId="52679269" w14:textId="77777777" w:rsidR="00B94D22" w:rsidRDefault="00B94D22"/>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Del="00095668" w:rsidRDefault="002A2617">
      <w:pPr>
        <w:pStyle w:val="FootnoteText"/>
        <w:rPr>
          <w:del w:id="295" w:author="Author" w:date="2021-03-10T17:34:00Z"/>
        </w:rPr>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83" w:name="OLE_LINK4"/>
      <w:bookmarkStart w:id="484" w:name="OLE_LINK5"/>
      <w:r w:rsidRPr="00222B22">
        <w:rPr>
          <w:rFonts w:cs="Arial"/>
          <w:sz w:val="18"/>
          <w:szCs w:val="18"/>
        </w:rPr>
        <w:t xml:space="preserve">LDTEC Indicative Block Offer </w:t>
      </w:r>
      <w:bookmarkEnd w:id="483"/>
      <w:bookmarkEnd w:id="48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653"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654" w:name="bmkLogoCaptionEven" w:colFirst="0" w:colLast="0"/>
          <w:bookmarkEnd w:id="653"/>
        </w:p>
      </w:tc>
    </w:tr>
    <w:bookmarkEnd w:id="654"/>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77777777" w:rsidR="002A2617" w:rsidRDefault="002A2617">
          <w:pPr>
            <w:pStyle w:val="Header"/>
          </w:pPr>
          <w:bookmarkStart w:id="655"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656" w:name="bmkLogoCaption" w:colFirst="0" w:colLast="0"/>
          <w:bookmarkEnd w:id="655"/>
        </w:p>
      </w:tc>
    </w:tr>
    <w:bookmarkEnd w:id="656"/>
  </w:tbl>
  <w:p w14:paraId="7B88475C" w14:textId="77777777"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HDqHKKdx" int2:invalidationBookmarkName="" int2:hashCode="i9EZG8fYNxkaQF" int2:id="zrQmnCB7">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6MK7GBHw" int2:invalidationBookmarkName="" int2:hashCode="+8EdaGNF1Z5y6u" int2:id="ymLb7C2x">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9B32A3"/>
    <w:multiLevelType w:val="hybridMultilevel"/>
    <w:tmpl w:val="E80EFF94"/>
    <w:lvl w:ilvl="0" w:tplc="FFFFFFFF">
      <w:start w:val="96"/>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1"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3"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3"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8"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1"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2"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3"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9"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1"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4"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5"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6"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7"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8"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9"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1"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2"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4"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5"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12282833">
    <w:abstractNumId w:val="76"/>
  </w:num>
  <w:num w:numId="2" w16cid:durableId="2097362487">
    <w:abstractNumId w:val="9"/>
  </w:num>
  <w:num w:numId="3" w16cid:durableId="730081549">
    <w:abstractNumId w:val="7"/>
  </w:num>
  <w:num w:numId="4" w16cid:durableId="1636716962">
    <w:abstractNumId w:val="6"/>
  </w:num>
  <w:num w:numId="5" w16cid:durableId="386804718">
    <w:abstractNumId w:val="5"/>
  </w:num>
  <w:num w:numId="6" w16cid:durableId="651107244">
    <w:abstractNumId w:val="4"/>
  </w:num>
  <w:num w:numId="7" w16cid:durableId="278337036">
    <w:abstractNumId w:val="8"/>
  </w:num>
  <w:num w:numId="8" w16cid:durableId="1049917480">
    <w:abstractNumId w:val="3"/>
  </w:num>
  <w:num w:numId="9" w16cid:durableId="62338306">
    <w:abstractNumId w:val="2"/>
  </w:num>
  <w:num w:numId="10" w16cid:durableId="1653410561">
    <w:abstractNumId w:val="1"/>
  </w:num>
  <w:num w:numId="11" w16cid:durableId="1197960467">
    <w:abstractNumId w:val="0"/>
  </w:num>
  <w:num w:numId="12" w16cid:durableId="1709182379">
    <w:abstractNumId w:val="40"/>
  </w:num>
  <w:num w:numId="13" w16cid:durableId="1617519111">
    <w:abstractNumId w:val="113"/>
  </w:num>
  <w:num w:numId="14" w16cid:durableId="117915407">
    <w:abstractNumId w:val="71"/>
  </w:num>
  <w:num w:numId="15" w16cid:durableId="802767229">
    <w:abstractNumId w:val="104"/>
  </w:num>
  <w:num w:numId="16" w16cid:durableId="51193869">
    <w:abstractNumId w:val="86"/>
  </w:num>
  <w:num w:numId="17" w16cid:durableId="1973704567">
    <w:abstractNumId w:val="10"/>
  </w:num>
  <w:num w:numId="18" w16cid:durableId="425349948">
    <w:abstractNumId w:val="56"/>
  </w:num>
  <w:num w:numId="19" w16cid:durableId="586578387">
    <w:abstractNumId w:val="94"/>
  </w:num>
  <w:num w:numId="20" w16cid:durableId="232738209">
    <w:abstractNumId w:val="33"/>
  </w:num>
  <w:num w:numId="21" w16cid:durableId="2046059695">
    <w:abstractNumId w:val="46"/>
  </w:num>
  <w:num w:numId="22" w16cid:durableId="636640858">
    <w:abstractNumId w:val="133"/>
  </w:num>
  <w:num w:numId="23" w16cid:durableId="1779762965">
    <w:abstractNumId w:val="126"/>
  </w:num>
  <w:num w:numId="24" w16cid:durableId="1504706955">
    <w:abstractNumId w:val="57"/>
  </w:num>
  <w:num w:numId="25" w16cid:durableId="1234243390">
    <w:abstractNumId w:val="108"/>
  </w:num>
  <w:num w:numId="26" w16cid:durableId="311299390">
    <w:abstractNumId w:val="140"/>
  </w:num>
  <w:num w:numId="27" w16cid:durableId="1574389242">
    <w:abstractNumId w:val="98"/>
  </w:num>
  <w:num w:numId="28" w16cid:durableId="1211652239">
    <w:abstractNumId w:val="115"/>
  </w:num>
  <w:num w:numId="29" w16cid:durableId="166949115">
    <w:abstractNumId w:val="143"/>
  </w:num>
  <w:num w:numId="30" w16cid:durableId="1821770269">
    <w:abstractNumId w:val="55"/>
  </w:num>
  <w:num w:numId="31" w16cid:durableId="907345992">
    <w:abstractNumId w:val="58"/>
  </w:num>
  <w:num w:numId="32" w16cid:durableId="746809951">
    <w:abstractNumId w:val="137"/>
  </w:num>
  <w:num w:numId="33" w16cid:durableId="1560937902">
    <w:abstractNumId w:val="70"/>
  </w:num>
  <w:num w:numId="34" w16cid:durableId="1220898131">
    <w:abstractNumId w:val="139"/>
  </w:num>
  <w:num w:numId="35" w16cid:durableId="1161578691">
    <w:abstractNumId w:val="48"/>
  </w:num>
  <w:num w:numId="36" w16cid:durableId="1303541764">
    <w:abstractNumId w:val="96"/>
  </w:num>
  <w:num w:numId="37" w16cid:durableId="445202211">
    <w:abstractNumId w:val="69"/>
  </w:num>
  <w:num w:numId="38" w16cid:durableId="532379116">
    <w:abstractNumId w:val="106"/>
  </w:num>
  <w:num w:numId="39" w16cid:durableId="213393569">
    <w:abstractNumId w:val="114"/>
  </w:num>
  <w:num w:numId="40" w16cid:durableId="711617588">
    <w:abstractNumId w:val="19"/>
  </w:num>
  <w:num w:numId="41" w16cid:durableId="1714226962">
    <w:abstractNumId w:val="103"/>
  </w:num>
  <w:num w:numId="42" w16cid:durableId="1741950937">
    <w:abstractNumId w:val="64"/>
  </w:num>
  <w:num w:numId="43" w16cid:durableId="549465622">
    <w:abstractNumId w:val="50"/>
  </w:num>
  <w:num w:numId="44" w16cid:durableId="581136646">
    <w:abstractNumId w:val="92"/>
  </w:num>
  <w:num w:numId="45" w16cid:durableId="805927589">
    <w:abstractNumId w:val="125"/>
  </w:num>
  <w:num w:numId="46" w16cid:durableId="1352492008">
    <w:abstractNumId w:val="15"/>
  </w:num>
  <w:num w:numId="47" w16cid:durableId="1276205695">
    <w:abstractNumId w:val="11"/>
  </w:num>
  <w:num w:numId="48" w16cid:durableId="878737354">
    <w:abstractNumId w:val="45"/>
  </w:num>
  <w:num w:numId="49" w16cid:durableId="1932858083">
    <w:abstractNumId w:val="107"/>
  </w:num>
  <w:num w:numId="50" w16cid:durableId="816998578">
    <w:abstractNumId w:val="51"/>
  </w:num>
  <w:num w:numId="51" w16cid:durableId="1530072750">
    <w:abstractNumId w:val="102"/>
  </w:num>
  <w:num w:numId="52" w16cid:durableId="992174079">
    <w:abstractNumId w:val="75"/>
  </w:num>
  <w:num w:numId="53" w16cid:durableId="2001882366">
    <w:abstractNumId w:val="145"/>
  </w:num>
  <w:num w:numId="54" w16cid:durableId="588923782">
    <w:abstractNumId w:val="97"/>
  </w:num>
  <w:num w:numId="55" w16cid:durableId="308754624">
    <w:abstractNumId w:val="90"/>
  </w:num>
  <w:num w:numId="56" w16cid:durableId="909382860">
    <w:abstractNumId w:val="59"/>
  </w:num>
  <w:num w:numId="57" w16cid:durableId="2080210204">
    <w:abstractNumId w:val="30"/>
  </w:num>
  <w:num w:numId="58" w16cid:durableId="938637742">
    <w:abstractNumId w:val="74"/>
  </w:num>
  <w:num w:numId="59" w16cid:durableId="1725521466">
    <w:abstractNumId w:val="122"/>
  </w:num>
  <w:num w:numId="60" w16cid:durableId="571164651">
    <w:abstractNumId w:val="67"/>
  </w:num>
  <w:num w:numId="61" w16cid:durableId="920721215">
    <w:abstractNumId w:val="83"/>
  </w:num>
  <w:num w:numId="62" w16cid:durableId="747314676">
    <w:abstractNumId w:val="18"/>
  </w:num>
  <w:num w:numId="63" w16cid:durableId="1991669435">
    <w:abstractNumId w:val="72"/>
  </w:num>
  <w:num w:numId="64" w16cid:durableId="189413933">
    <w:abstractNumId w:val="24"/>
  </w:num>
  <w:num w:numId="65" w16cid:durableId="294067522">
    <w:abstractNumId w:val="116"/>
  </w:num>
  <w:num w:numId="66" w16cid:durableId="1435054695">
    <w:abstractNumId w:val="84"/>
  </w:num>
  <w:num w:numId="67" w16cid:durableId="1506820964">
    <w:abstractNumId w:val="100"/>
  </w:num>
  <w:num w:numId="68" w16cid:durableId="2001959805">
    <w:abstractNumId w:val="20"/>
  </w:num>
  <w:num w:numId="69" w16cid:durableId="1463112986">
    <w:abstractNumId w:val="29"/>
  </w:num>
  <w:num w:numId="70" w16cid:durableId="1781535407">
    <w:abstractNumId w:val="127"/>
  </w:num>
  <w:num w:numId="71" w16cid:durableId="1566141755">
    <w:abstractNumId w:val="91"/>
  </w:num>
  <w:num w:numId="72" w16cid:durableId="1883979390">
    <w:abstractNumId w:val="62"/>
  </w:num>
  <w:num w:numId="73" w16cid:durableId="757364933">
    <w:abstractNumId w:val="124"/>
  </w:num>
  <w:num w:numId="74" w16cid:durableId="1476409106">
    <w:abstractNumId w:val="109"/>
  </w:num>
  <w:num w:numId="75" w16cid:durableId="1663503818">
    <w:abstractNumId w:val="25"/>
  </w:num>
  <w:num w:numId="76" w16cid:durableId="279383559">
    <w:abstractNumId w:val="31"/>
  </w:num>
  <w:num w:numId="77" w16cid:durableId="1741518947">
    <w:abstractNumId w:val="81"/>
  </w:num>
  <w:num w:numId="78" w16cid:durableId="1352998124">
    <w:abstractNumId w:val="110"/>
  </w:num>
  <w:num w:numId="79" w16cid:durableId="189153335">
    <w:abstractNumId w:val="82"/>
  </w:num>
  <w:num w:numId="80" w16cid:durableId="297682736">
    <w:abstractNumId w:val="42"/>
  </w:num>
  <w:num w:numId="81" w16cid:durableId="1578400389">
    <w:abstractNumId w:val="88"/>
  </w:num>
  <w:num w:numId="82" w16cid:durableId="1468427125">
    <w:abstractNumId w:val="77"/>
  </w:num>
  <w:num w:numId="83" w16cid:durableId="154690850">
    <w:abstractNumId w:val="63"/>
  </w:num>
  <w:num w:numId="84" w16cid:durableId="1483280373">
    <w:abstractNumId w:val="131"/>
  </w:num>
  <w:num w:numId="85" w16cid:durableId="936062098">
    <w:abstractNumId w:val="105"/>
  </w:num>
  <w:num w:numId="86" w16cid:durableId="502404608">
    <w:abstractNumId w:val="80"/>
  </w:num>
  <w:num w:numId="87" w16cid:durableId="1430614126">
    <w:abstractNumId w:val="129"/>
  </w:num>
  <w:num w:numId="88" w16cid:durableId="565989130">
    <w:abstractNumId w:val="65"/>
  </w:num>
  <w:num w:numId="89" w16cid:durableId="1870099166">
    <w:abstractNumId w:val="47"/>
  </w:num>
  <w:num w:numId="90" w16cid:durableId="1803499735">
    <w:abstractNumId w:val="13"/>
  </w:num>
  <w:num w:numId="91" w16cid:durableId="1893349845">
    <w:abstractNumId w:val="14"/>
  </w:num>
  <w:num w:numId="92" w16cid:durableId="107046819">
    <w:abstractNumId w:val="36"/>
  </w:num>
  <w:num w:numId="93" w16cid:durableId="152375823">
    <w:abstractNumId w:val="41"/>
  </w:num>
  <w:num w:numId="94" w16cid:durableId="2044135717">
    <w:abstractNumId w:val="144"/>
  </w:num>
  <w:num w:numId="95" w16cid:durableId="1404639105">
    <w:abstractNumId w:val="89"/>
  </w:num>
  <w:num w:numId="96" w16cid:durableId="2146660134">
    <w:abstractNumId w:val="17"/>
  </w:num>
  <w:num w:numId="97" w16cid:durableId="1135828551">
    <w:abstractNumId w:val="119"/>
  </w:num>
  <w:num w:numId="98" w16cid:durableId="657808158">
    <w:abstractNumId w:val="117"/>
  </w:num>
  <w:num w:numId="99" w16cid:durableId="1411000208">
    <w:abstractNumId w:val="68"/>
  </w:num>
  <w:num w:numId="100" w16cid:durableId="1090083102">
    <w:abstractNumId w:val="135"/>
  </w:num>
  <w:num w:numId="101" w16cid:durableId="1654941752">
    <w:abstractNumId w:val="44"/>
  </w:num>
  <w:num w:numId="102" w16cid:durableId="1700738520">
    <w:abstractNumId w:val="12"/>
  </w:num>
  <w:num w:numId="103" w16cid:durableId="2056352462">
    <w:abstractNumId w:val="121"/>
  </w:num>
  <w:num w:numId="104" w16cid:durableId="1750273872">
    <w:abstractNumId w:val="130"/>
  </w:num>
  <w:num w:numId="105" w16cid:durableId="1822772876">
    <w:abstractNumId w:val="27"/>
  </w:num>
  <w:num w:numId="106" w16cid:durableId="1419329778">
    <w:abstractNumId w:val="87"/>
  </w:num>
  <w:num w:numId="107" w16cid:durableId="750662788">
    <w:abstractNumId w:val="78"/>
  </w:num>
  <w:num w:numId="108" w16cid:durableId="2058701350">
    <w:abstractNumId w:val="112"/>
  </w:num>
  <w:num w:numId="109" w16cid:durableId="1728607539">
    <w:abstractNumId w:val="95"/>
  </w:num>
  <w:num w:numId="110" w16cid:durableId="1971015188">
    <w:abstractNumId w:val="16"/>
  </w:num>
  <w:num w:numId="111" w16cid:durableId="457913998">
    <w:abstractNumId w:val="101"/>
  </w:num>
  <w:num w:numId="112" w16cid:durableId="608508040">
    <w:abstractNumId w:val="26"/>
  </w:num>
  <w:num w:numId="113" w16cid:durableId="7292275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34202040">
    <w:abstractNumId w:val="134"/>
  </w:num>
  <w:num w:numId="115" w16cid:durableId="1226646201">
    <w:abstractNumId w:val="120"/>
  </w:num>
  <w:num w:numId="116" w16cid:durableId="6615873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713231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1306419">
    <w:abstractNumId w:val="134"/>
  </w:num>
  <w:num w:numId="119" w16cid:durableId="1914121656">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8118437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771238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290457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58217045">
    <w:abstractNumId w:val="60"/>
  </w:num>
  <w:num w:numId="124" w16cid:durableId="120463576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71926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89037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92225745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12876231">
    <w:abstractNumId w:val="99"/>
  </w:num>
  <w:num w:numId="129" w16cid:durableId="1712194089">
    <w:abstractNumId w:val="52"/>
  </w:num>
  <w:num w:numId="130" w16cid:durableId="214350285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01569432">
    <w:abstractNumId w:val="21"/>
  </w:num>
  <w:num w:numId="132" w16cid:durableId="1200895184">
    <w:abstractNumId w:val="111"/>
  </w:num>
  <w:num w:numId="133" w16cid:durableId="252667281">
    <w:abstractNumId w:val="123"/>
  </w:num>
  <w:num w:numId="134" w16cid:durableId="1509709049">
    <w:abstractNumId w:val="79"/>
  </w:num>
  <w:num w:numId="135" w16cid:durableId="2114475581">
    <w:abstractNumId w:val="61"/>
  </w:num>
  <w:num w:numId="136" w16cid:durableId="1103299797">
    <w:abstractNumId w:val="53"/>
  </w:num>
  <w:num w:numId="137" w16cid:durableId="1749575598">
    <w:abstractNumId w:val="39"/>
  </w:num>
  <w:num w:numId="138" w16cid:durableId="18091282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740332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63164938">
    <w:abstractNumId w:val="118"/>
  </w:num>
  <w:num w:numId="141" w16cid:durableId="1687947868">
    <w:abstractNumId w:val="32"/>
  </w:num>
  <w:num w:numId="142" w16cid:durableId="168127893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3474531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5811543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2556387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49188074">
    <w:abstractNumId w:val="23"/>
  </w:num>
  <w:num w:numId="147" w16cid:durableId="13026120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93515570">
    <w:abstractNumId w:val="59"/>
  </w:num>
  <w:num w:numId="149" w16cid:durableId="8419704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557161103">
    <w:abstractNumId w:val="142"/>
  </w:num>
  <w:num w:numId="151" w16cid:durableId="1856453657">
    <w:abstractNumId w:val="35"/>
  </w:num>
  <w:num w:numId="152" w16cid:durableId="1884781157">
    <w:abstractNumId w:val="34"/>
  </w:num>
  <w:num w:numId="153" w16cid:durableId="7631076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380413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581572536">
    <w:abstractNumId w:val="127"/>
  </w:num>
  <w:num w:numId="156" w16cid:durableId="936474848">
    <w:abstractNumId w:val="91"/>
  </w:num>
  <w:num w:numId="157" w16cid:durableId="115128810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53389665">
    <w:abstractNumId w:val="73"/>
  </w:num>
  <w:num w:numId="159" w16cid:durableId="759368884">
    <w:abstractNumId w:val="22"/>
  </w:num>
  <w:num w:numId="160" w16cid:durableId="1329359115">
    <w:abstractNumId w:val="66"/>
  </w:num>
  <w:num w:numId="161" w16cid:durableId="1831291552">
    <w:abstractNumId w:val="49"/>
  </w:num>
  <w:num w:numId="162" w16cid:durableId="294219195">
    <w:abstractNumId w:val="54"/>
  </w:num>
  <w:num w:numId="163" w16cid:durableId="2121877191">
    <w:abstractNumId w:val="138"/>
  </w:num>
  <w:num w:numId="164" w16cid:durableId="1473329459">
    <w:abstractNumId w:val="141"/>
  </w:num>
  <w:num w:numId="165" w16cid:durableId="1172793334">
    <w:abstractNumId w:val="93"/>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en Dale (ESO)">
    <w15:presenceInfo w15:providerId="AD" w15:userId="S::Stephen.Dale2@uk.nationalgrid.com::0bfbd485-ba43-4852-ac1e-4feedfc255c4"/>
  </w15:person>
  <w15:person w15:author="Alex Aristodemou">
    <w15:presenceInfo w15:providerId="AD" w15:userId="S::alexander.aristod@uk.nationalgrid.com::0cb1737e-a9d3-4d94-a97f-26f0b782cddb"/>
  </w15:person>
  <w15:person w15:author="Craig Bell">
    <w15:presenceInfo w15:providerId="AD" w15:userId="S::Craig.Bell@uk.nationalgrid.com::457299d4-72da-4198-a04d-4d73a6e67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2C8"/>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239B"/>
    <w:rsid w:val="00042F1F"/>
    <w:rsid w:val="00043D28"/>
    <w:rsid w:val="000443FA"/>
    <w:rsid w:val="00044A37"/>
    <w:rsid w:val="0004506F"/>
    <w:rsid w:val="000471C6"/>
    <w:rsid w:val="00050251"/>
    <w:rsid w:val="00051957"/>
    <w:rsid w:val="00051F30"/>
    <w:rsid w:val="00052684"/>
    <w:rsid w:val="000540A5"/>
    <w:rsid w:val="0005481E"/>
    <w:rsid w:val="00055182"/>
    <w:rsid w:val="00055194"/>
    <w:rsid w:val="00056367"/>
    <w:rsid w:val="0005639D"/>
    <w:rsid w:val="00056A44"/>
    <w:rsid w:val="000577C8"/>
    <w:rsid w:val="000600D9"/>
    <w:rsid w:val="000603CE"/>
    <w:rsid w:val="00061613"/>
    <w:rsid w:val="00061669"/>
    <w:rsid w:val="000619F8"/>
    <w:rsid w:val="000622FF"/>
    <w:rsid w:val="00064BBE"/>
    <w:rsid w:val="000651E2"/>
    <w:rsid w:val="000653DC"/>
    <w:rsid w:val="0006568A"/>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1EE6"/>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32B1"/>
    <w:rsid w:val="000D397F"/>
    <w:rsid w:val="000D39AD"/>
    <w:rsid w:val="000D4471"/>
    <w:rsid w:val="000D5C05"/>
    <w:rsid w:val="000D627A"/>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17E95"/>
    <w:rsid w:val="00120398"/>
    <w:rsid w:val="00121D6E"/>
    <w:rsid w:val="00122674"/>
    <w:rsid w:val="001242FF"/>
    <w:rsid w:val="00125177"/>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87145"/>
    <w:rsid w:val="00190FAE"/>
    <w:rsid w:val="001921D3"/>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3F5"/>
    <w:rsid w:val="001A585C"/>
    <w:rsid w:val="001A5DEF"/>
    <w:rsid w:val="001A6595"/>
    <w:rsid w:val="001A6732"/>
    <w:rsid w:val="001A6F56"/>
    <w:rsid w:val="001B0946"/>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60AC"/>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608"/>
    <w:rsid w:val="001E66E7"/>
    <w:rsid w:val="001F0A7A"/>
    <w:rsid w:val="001F0FA5"/>
    <w:rsid w:val="001F1102"/>
    <w:rsid w:val="001F18F4"/>
    <w:rsid w:val="001F1E69"/>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29B0"/>
    <w:rsid w:val="002031DD"/>
    <w:rsid w:val="00204263"/>
    <w:rsid w:val="002052BD"/>
    <w:rsid w:val="002054C7"/>
    <w:rsid w:val="00206248"/>
    <w:rsid w:val="002064B2"/>
    <w:rsid w:val="00206D15"/>
    <w:rsid w:val="00207883"/>
    <w:rsid w:val="0020792E"/>
    <w:rsid w:val="00210970"/>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5419"/>
    <w:rsid w:val="00225522"/>
    <w:rsid w:val="00226BD7"/>
    <w:rsid w:val="002276FB"/>
    <w:rsid w:val="002277C6"/>
    <w:rsid w:val="002278A0"/>
    <w:rsid w:val="002279B1"/>
    <w:rsid w:val="002315FD"/>
    <w:rsid w:val="00231E51"/>
    <w:rsid w:val="0023355B"/>
    <w:rsid w:val="00233C79"/>
    <w:rsid w:val="0023467C"/>
    <w:rsid w:val="00234716"/>
    <w:rsid w:val="00234735"/>
    <w:rsid w:val="00235FF2"/>
    <w:rsid w:val="0023792A"/>
    <w:rsid w:val="0024046E"/>
    <w:rsid w:val="002405C5"/>
    <w:rsid w:val="00240AC9"/>
    <w:rsid w:val="002412ED"/>
    <w:rsid w:val="002413C1"/>
    <w:rsid w:val="002417E1"/>
    <w:rsid w:val="00241B39"/>
    <w:rsid w:val="00241EE9"/>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A68"/>
    <w:rsid w:val="00275CE2"/>
    <w:rsid w:val="002770D3"/>
    <w:rsid w:val="00277C7B"/>
    <w:rsid w:val="00277DA2"/>
    <w:rsid w:val="00280FDF"/>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1AB"/>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41D0"/>
    <w:rsid w:val="002C4C75"/>
    <w:rsid w:val="002C4D6E"/>
    <w:rsid w:val="002C5306"/>
    <w:rsid w:val="002C56EB"/>
    <w:rsid w:val="002C6107"/>
    <w:rsid w:val="002C6CEF"/>
    <w:rsid w:val="002C76D5"/>
    <w:rsid w:val="002C7719"/>
    <w:rsid w:val="002C7F91"/>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1711"/>
    <w:rsid w:val="00361C06"/>
    <w:rsid w:val="00362396"/>
    <w:rsid w:val="003627DA"/>
    <w:rsid w:val="00362C3F"/>
    <w:rsid w:val="0036345D"/>
    <w:rsid w:val="00363A7D"/>
    <w:rsid w:val="00363C46"/>
    <w:rsid w:val="00363D4E"/>
    <w:rsid w:val="00364581"/>
    <w:rsid w:val="00364974"/>
    <w:rsid w:val="003669C3"/>
    <w:rsid w:val="00367DCF"/>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E7E"/>
    <w:rsid w:val="003A318C"/>
    <w:rsid w:val="003A33D3"/>
    <w:rsid w:val="003A3542"/>
    <w:rsid w:val="003A3A2A"/>
    <w:rsid w:val="003A3CB8"/>
    <w:rsid w:val="003A3EEF"/>
    <w:rsid w:val="003A5D94"/>
    <w:rsid w:val="003A66EC"/>
    <w:rsid w:val="003A6722"/>
    <w:rsid w:val="003A67D5"/>
    <w:rsid w:val="003A6F8F"/>
    <w:rsid w:val="003A7185"/>
    <w:rsid w:val="003A74B8"/>
    <w:rsid w:val="003A7F75"/>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D98"/>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26A4"/>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5BB3"/>
    <w:rsid w:val="004163E2"/>
    <w:rsid w:val="00416502"/>
    <w:rsid w:val="004166CE"/>
    <w:rsid w:val="00417CA8"/>
    <w:rsid w:val="004200AB"/>
    <w:rsid w:val="004208D3"/>
    <w:rsid w:val="0042125C"/>
    <w:rsid w:val="0042163D"/>
    <w:rsid w:val="00423464"/>
    <w:rsid w:val="00423F31"/>
    <w:rsid w:val="00423F50"/>
    <w:rsid w:val="004241F1"/>
    <w:rsid w:val="004248A1"/>
    <w:rsid w:val="004248BD"/>
    <w:rsid w:val="004251D4"/>
    <w:rsid w:val="00426017"/>
    <w:rsid w:val="00427302"/>
    <w:rsid w:val="004301FF"/>
    <w:rsid w:val="0043049E"/>
    <w:rsid w:val="004306BF"/>
    <w:rsid w:val="00431122"/>
    <w:rsid w:val="004325A6"/>
    <w:rsid w:val="004339A2"/>
    <w:rsid w:val="0043581A"/>
    <w:rsid w:val="00436045"/>
    <w:rsid w:val="00436EF5"/>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39B2"/>
    <w:rsid w:val="004A4420"/>
    <w:rsid w:val="004A7AA0"/>
    <w:rsid w:val="004A7B56"/>
    <w:rsid w:val="004A7D6D"/>
    <w:rsid w:val="004A7E8B"/>
    <w:rsid w:val="004A7FF4"/>
    <w:rsid w:val="004B04B2"/>
    <w:rsid w:val="004B05BB"/>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79C"/>
    <w:rsid w:val="004C52B1"/>
    <w:rsid w:val="004C53F2"/>
    <w:rsid w:val="004C6079"/>
    <w:rsid w:val="004C62DF"/>
    <w:rsid w:val="004C76D5"/>
    <w:rsid w:val="004D1492"/>
    <w:rsid w:val="004D226E"/>
    <w:rsid w:val="004D2270"/>
    <w:rsid w:val="004D2CE8"/>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3EE"/>
    <w:rsid w:val="005F3BB3"/>
    <w:rsid w:val="005F4535"/>
    <w:rsid w:val="005F469D"/>
    <w:rsid w:val="005F5C76"/>
    <w:rsid w:val="005F5FC1"/>
    <w:rsid w:val="005F6435"/>
    <w:rsid w:val="005F64F5"/>
    <w:rsid w:val="005F728C"/>
    <w:rsid w:val="006035A3"/>
    <w:rsid w:val="00603755"/>
    <w:rsid w:val="00603A8D"/>
    <w:rsid w:val="006049D5"/>
    <w:rsid w:val="00605D50"/>
    <w:rsid w:val="00606811"/>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3B"/>
    <w:rsid w:val="00620899"/>
    <w:rsid w:val="00620C86"/>
    <w:rsid w:val="00621CFF"/>
    <w:rsid w:val="00621D69"/>
    <w:rsid w:val="006224F9"/>
    <w:rsid w:val="00623586"/>
    <w:rsid w:val="006245C8"/>
    <w:rsid w:val="00624603"/>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399B"/>
    <w:rsid w:val="006442BB"/>
    <w:rsid w:val="00644A65"/>
    <w:rsid w:val="00645168"/>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5AA"/>
    <w:rsid w:val="00657CFF"/>
    <w:rsid w:val="0066042F"/>
    <w:rsid w:val="006605E7"/>
    <w:rsid w:val="00660B78"/>
    <w:rsid w:val="00660E4F"/>
    <w:rsid w:val="00660EF7"/>
    <w:rsid w:val="00660FC8"/>
    <w:rsid w:val="00661394"/>
    <w:rsid w:val="00661691"/>
    <w:rsid w:val="00661A29"/>
    <w:rsid w:val="00661D12"/>
    <w:rsid w:val="0066239D"/>
    <w:rsid w:val="006624D0"/>
    <w:rsid w:val="006625E3"/>
    <w:rsid w:val="00663A21"/>
    <w:rsid w:val="00664987"/>
    <w:rsid w:val="0066503F"/>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521"/>
    <w:rsid w:val="00696740"/>
    <w:rsid w:val="00696812"/>
    <w:rsid w:val="006969DB"/>
    <w:rsid w:val="00696F06"/>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763F"/>
    <w:rsid w:val="006B7800"/>
    <w:rsid w:val="006B7C7E"/>
    <w:rsid w:val="006C0077"/>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43A"/>
    <w:rsid w:val="006E173F"/>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1FF0"/>
    <w:rsid w:val="007823C4"/>
    <w:rsid w:val="007828B7"/>
    <w:rsid w:val="00783BA7"/>
    <w:rsid w:val="00785F3A"/>
    <w:rsid w:val="0078610B"/>
    <w:rsid w:val="0078693D"/>
    <w:rsid w:val="00786AEB"/>
    <w:rsid w:val="0078742E"/>
    <w:rsid w:val="00787645"/>
    <w:rsid w:val="0078776B"/>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506"/>
    <w:rsid w:val="007C2603"/>
    <w:rsid w:val="007C291F"/>
    <w:rsid w:val="007C3144"/>
    <w:rsid w:val="007C44B1"/>
    <w:rsid w:val="007C4E63"/>
    <w:rsid w:val="007C50B8"/>
    <w:rsid w:val="007C5811"/>
    <w:rsid w:val="007C5CE0"/>
    <w:rsid w:val="007C720F"/>
    <w:rsid w:val="007C72D9"/>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3B5"/>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E9F"/>
    <w:rsid w:val="00807039"/>
    <w:rsid w:val="00807525"/>
    <w:rsid w:val="00810079"/>
    <w:rsid w:val="0081263E"/>
    <w:rsid w:val="00812678"/>
    <w:rsid w:val="00812D6C"/>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0EA9"/>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A9A"/>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1"/>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EDD"/>
    <w:rsid w:val="00917B59"/>
    <w:rsid w:val="00920117"/>
    <w:rsid w:val="009211C6"/>
    <w:rsid w:val="0092314F"/>
    <w:rsid w:val="009233EF"/>
    <w:rsid w:val="00923C82"/>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EA"/>
    <w:rsid w:val="0095469F"/>
    <w:rsid w:val="009559A2"/>
    <w:rsid w:val="009562C9"/>
    <w:rsid w:val="009566C8"/>
    <w:rsid w:val="00956938"/>
    <w:rsid w:val="009573B6"/>
    <w:rsid w:val="009573E1"/>
    <w:rsid w:val="00961C62"/>
    <w:rsid w:val="00961D29"/>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E87"/>
    <w:rsid w:val="009B125F"/>
    <w:rsid w:val="009B126C"/>
    <w:rsid w:val="009B12EC"/>
    <w:rsid w:val="009B18E2"/>
    <w:rsid w:val="009B20D6"/>
    <w:rsid w:val="009B2BC9"/>
    <w:rsid w:val="009B30D5"/>
    <w:rsid w:val="009B35AF"/>
    <w:rsid w:val="009B4150"/>
    <w:rsid w:val="009B42DA"/>
    <w:rsid w:val="009B4836"/>
    <w:rsid w:val="009B4B15"/>
    <w:rsid w:val="009B52DA"/>
    <w:rsid w:val="009B58DA"/>
    <w:rsid w:val="009B6379"/>
    <w:rsid w:val="009C02D4"/>
    <w:rsid w:val="009C155B"/>
    <w:rsid w:val="009C222A"/>
    <w:rsid w:val="009C2A94"/>
    <w:rsid w:val="009C2DCD"/>
    <w:rsid w:val="009C34F8"/>
    <w:rsid w:val="009C3D34"/>
    <w:rsid w:val="009C44B5"/>
    <w:rsid w:val="009C4672"/>
    <w:rsid w:val="009C48A5"/>
    <w:rsid w:val="009C51AA"/>
    <w:rsid w:val="009C5308"/>
    <w:rsid w:val="009C5FF4"/>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480A"/>
    <w:rsid w:val="00A04F2E"/>
    <w:rsid w:val="00A053F6"/>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544B"/>
    <w:rsid w:val="00A554B4"/>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00EA"/>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A38"/>
    <w:rsid w:val="00AB6E08"/>
    <w:rsid w:val="00AB7B1D"/>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748A"/>
    <w:rsid w:val="00AF7A03"/>
    <w:rsid w:val="00B00085"/>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56A"/>
    <w:rsid w:val="00B34B3E"/>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F3E"/>
    <w:rsid w:val="00B82445"/>
    <w:rsid w:val="00B82C43"/>
    <w:rsid w:val="00B83090"/>
    <w:rsid w:val="00B84041"/>
    <w:rsid w:val="00B84266"/>
    <w:rsid w:val="00B84A56"/>
    <w:rsid w:val="00B84E4B"/>
    <w:rsid w:val="00B8568C"/>
    <w:rsid w:val="00B86220"/>
    <w:rsid w:val="00B8683E"/>
    <w:rsid w:val="00B875AE"/>
    <w:rsid w:val="00B90109"/>
    <w:rsid w:val="00B907D5"/>
    <w:rsid w:val="00B91015"/>
    <w:rsid w:val="00B9211E"/>
    <w:rsid w:val="00B925FE"/>
    <w:rsid w:val="00B9291E"/>
    <w:rsid w:val="00B92AEF"/>
    <w:rsid w:val="00B92D94"/>
    <w:rsid w:val="00B94D22"/>
    <w:rsid w:val="00B95645"/>
    <w:rsid w:val="00B9593E"/>
    <w:rsid w:val="00B95AA9"/>
    <w:rsid w:val="00B95F46"/>
    <w:rsid w:val="00B96021"/>
    <w:rsid w:val="00B967A4"/>
    <w:rsid w:val="00B96FB1"/>
    <w:rsid w:val="00B97F3A"/>
    <w:rsid w:val="00BA0BA2"/>
    <w:rsid w:val="00BA0F30"/>
    <w:rsid w:val="00BA1DA9"/>
    <w:rsid w:val="00BA1E76"/>
    <w:rsid w:val="00BA475E"/>
    <w:rsid w:val="00BA51CC"/>
    <w:rsid w:val="00BA7E0B"/>
    <w:rsid w:val="00BB0D06"/>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A56"/>
    <w:rsid w:val="00BF7FFC"/>
    <w:rsid w:val="00C00045"/>
    <w:rsid w:val="00C0064C"/>
    <w:rsid w:val="00C011FA"/>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90CEB"/>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112"/>
    <w:rsid w:val="00CC2221"/>
    <w:rsid w:val="00CC320E"/>
    <w:rsid w:val="00CC36BC"/>
    <w:rsid w:val="00CC3A5E"/>
    <w:rsid w:val="00CC434B"/>
    <w:rsid w:val="00CC504D"/>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FB1"/>
    <w:rsid w:val="00CD4C1A"/>
    <w:rsid w:val="00CD4FF3"/>
    <w:rsid w:val="00CD51DF"/>
    <w:rsid w:val="00CD59F2"/>
    <w:rsid w:val="00CD5BA9"/>
    <w:rsid w:val="00CD5FBB"/>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05"/>
    <w:rsid w:val="00CF3AF5"/>
    <w:rsid w:val="00CF3F44"/>
    <w:rsid w:val="00CF4FA2"/>
    <w:rsid w:val="00CF5583"/>
    <w:rsid w:val="00CF7137"/>
    <w:rsid w:val="00D00ABB"/>
    <w:rsid w:val="00D012F8"/>
    <w:rsid w:val="00D01A7B"/>
    <w:rsid w:val="00D02D5D"/>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5856"/>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FD2"/>
    <w:rsid w:val="00D945BA"/>
    <w:rsid w:val="00D947D7"/>
    <w:rsid w:val="00D94ECD"/>
    <w:rsid w:val="00D95016"/>
    <w:rsid w:val="00D96BFD"/>
    <w:rsid w:val="00DA069B"/>
    <w:rsid w:val="00DA127A"/>
    <w:rsid w:val="00DA13D9"/>
    <w:rsid w:val="00DA1951"/>
    <w:rsid w:val="00DA19F8"/>
    <w:rsid w:val="00DA4289"/>
    <w:rsid w:val="00DA471A"/>
    <w:rsid w:val="00DA4E3D"/>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3E"/>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641E"/>
    <w:rsid w:val="00DE7258"/>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21125"/>
    <w:rsid w:val="00E211CA"/>
    <w:rsid w:val="00E21A8B"/>
    <w:rsid w:val="00E21D07"/>
    <w:rsid w:val="00E225B5"/>
    <w:rsid w:val="00E2286D"/>
    <w:rsid w:val="00E22F8E"/>
    <w:rsid w:val="00E23646"/>
    <w:rsid w:val="00E2368E"/>
    <w:rsid w:val="00E23D68"/>
    <w:rsid w:val="00E23DB4"/>
    <w:rsid w:val="00E248C1"/>
    <w:rsid w:val="00E24C7E"/>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5D27"/>
    <w:rsid w:val="00E4611D"/>
    <w:rsid w:val="00E47442"/>
    <w:rsid w:val="00E47487"/>
    <w:rsid w:val="00E5067D"/>
    <w:rsid w:val="00E50D5E"/>
    <w:rsid w:val="00E52EB5"/>
    <w:rsid w:val="00E54B26"/>
    <w:rsid w:val="00E554C1"/>
    <w:rsid w:val="00E557DF"/>
    <w:rsid w:val="00E56586"/>
    <w:rsid w:val="00E56819"/>
    <w:rsid w:val="00E571C2"/>
    <w:rsid w:val="00E57FE0"/>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467"/>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908"/>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CC6"/>
    <w:rsid w:val="00F37355"/>
    <w:rsid w:val="00F37895"/>
    <w:rsid w:val="00F37A0E"/>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33DF"/>
    <w:rsid w:val="00F53A23"/>
    <w:rsid w:val="00F54956"/>
    <w:rsid w:val="00F552D5"/>
    <w:rsid w:val="00F552FC"/>
    <w:rsid w:val="00F55994"/>
    <w:rsid w:val="00F567F6"/>
    <w:rsid w:val="00F571CE"/>
    <w:rsid w:val="00F57435"/>
    <w:rsid w:val="00F60387"/>
    <w:rsid w:val="00F60A5B"/>
    <w:rsid w:val="00F611AB"/>
    <w:rsid w:val="00F6145E"/>
    <w:rsid w:val="00F617E3"/>
    <w:rsid w:val="00F61A2D"/>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A06B4"/>
    <w:rsid w:val="00FA0C0F"/>
    <w:rsid w:val="00FA2CB3"/>
    <w:rsid w:val="00FA3BB0"/>
    <w:rsid w:val="00FA4C1B"/>
    <w:rsid w:val="00FA50CA"/>
    <w:rsid w:val="00FA664A"/>
    <w:rsid w:val="00FA700B"/>
    <w:rsid w:val="00FB06A6"/>
    <w:rsid w:val="00FB0912"/>
    <w:rsid w:val="00FB199F"/>
    <w:rsid w:val="00FB3088"/>
    <w:rsid w:val="00FB50F1"/>
    <w:rsid w:val="00FB596B"/>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1F73"/>
    <w:rsid w:val="00FD2FA7"/>
    <w:rsid w:val="00FD46F4"/>
    <w:rsid w:val="00FD5D06"/>
    <w:rsid w:val="00FD5F7F"/>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5E58584E-1BF0-43D8-B735-7B9C369A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wmf"/><Relationship Id="rId34" Type="http://schemas.openxmlformats.org/officeDocument/2006/relationships/image" Target="media/image23.png"/><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image" Target="media/image43.png"/><Relationship Id="rId63"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png"/><Relationship Id="rId53"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58" Type="http://schemas.openxmlformats.org/officeDocument/2006/relationships/image" Target="media/image46.wmf"/><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12.wmf"/><Relationship Id="rId28" Type="http://schemas.openxmlformats.org/officeDocument/2006/relationships/image" Target="media/image17.png"/><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5.wmf"/><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33.png"/><Relationship Id="rId52" Type="http://schemas.openxmlformats.org/officeDocument/2006/relationships/image" Target="media/image41.wmf"/><Relationship Id="rId60" Type="http://schemas.openxmlformats.org/officeDocument/2006/relationships/header" Target="header2.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png"/><Relationship Id="rId35" Type="http://schemas.openxmlformats.org/officeDocument/2006/relationships/image" Target="media/image24.wmf"/><Relationship Id="rId43" Type="http://schemas.openxmlformats.org/officeDocument/2006/relationships/image" Target="media/image32.png"/><Relationship Id="rId48" Type="http://schemas.openxmlformats.org/officeDocument/2006/relationships/image" Target="media/image37.wmf"/><Relationship Id="rId56" Type="http://schemas.openxmlformats.org/officeDocument/2006/relationships/image" Target="media/image44.wmf"/><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40.w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header" Target="header1.xml"/><Relationship Id="rId67" Type="http://schemas.microsoft.com/office/2020/10/relationships/intelligence" Target="intelligence2.xml"/><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2.wmf"/><Relationship Id="rId6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Joseph Henry (ESO)</DisplayName>
        <AccountId>20</AccountId>
        <AccountType/>
      </UserInfo>
      <UserInfo>
        <DisplayName>Alice Taylor (ESO)</DisplayName>
        <AccountId>725</AccountId>
        <AccountType/>
      </UserInfo>
      <UserInfo>
        <DisplayName>Paul Mullen (ESO)</DisplayName>
        <AccountId>22</AccountId>
        <AccountType/>
      </UserInfo>
      <UserInfo>
        <DisplayName>SharingLinks.57ec9a5b-28f0-43ab-a6a6-814a6d415dfd.OrganizationEdit.403b8ff9-9a5c-457f-9d28-6c2b45987fda</DisplayName>
        <AccountId>69</AccountId>
        <AccountType/>
      </UserInfo>
      <UserInfo>
        <DisplayName>Alison Price (ESO)</DisplayName>
        <AccountId>589</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68D51-8D9D-4D13-A413-BDE06A005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4.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153</Pages>
  <Words>45807</Words>
  <Characters>250573</Characters>
  <Application>Microsoft Office Word</Application>
  <DocSecurity>4</DocSecurity>
  <Lines>2088</Lines>
  <Paragraphs>591</Paragraphs>
  <ScaleCrop>false</ScaleCrop>
  <Company/>
  <LinksUpToDate>false</LinksUpToDate>
  <CharactersWithSpaces>295789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Henry</dc:creator>
  <cp:keywords/>
  <cp:lastModifiedBy>Catia Gomes (ESO)</cp:lastModifiedBy>
  <cp:revision>2</cp:revision>
  <cp:lastPrinted>2023-06-27T10:06:00Z</cp:lastPrinted>
  <dcterms:created xsi:type="dcterms:W3CDTF">2023-11-23T10:04:00Z</dcterms:created>
  <dcterms:modified xsi:type="dcterms:W3CDTF">2023-11-23T10:04:00Z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