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69F60"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55F5CA83"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5166E85E" w14:textId="77777777" w:rsidR="00AB6E08" w:rsidRPr="00F457CA" w:rsidRDefault="00AB6E08" w:rsidP="00AB6E08">
      <w:pPr>
        <w:jc w:val="center"/>
        <w:rPr>
          <w:rFonts w:ascii="Arial" w:hAnsi="Arial" w:cs="Arial"/>
          <w:b/>
        </w:rPr>
      </w:pPr>
    </w:p>
    <w:p w14:paraId="73ED43C0"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704D0246" w14:textId="77777777" w:rsidR="00FC681D" w:rsidRPr="00F457CA" w:rsidRDefault="00FC681D" w:rsidP="00AB6E08">
      <w:pPr>
        <w:rPr>
          <w:rFonts w:ascii="Arial" w:hAnsi="Arial" w:cs="Arial"/>
        </w:rPr>
      </w:pPr>
    </w:p>
    <w:p w14:paraId="555D3C6D"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4E40B52" w14:textId="77777777" w:rsidR="0030347C" w:rsidRDefault="0030347C" w:rsidP="00AB6E08">
      <w:pPr>
        <w:rPr>
          <w:rFonts w:ascii="Arial" w:hAnsi="Arial" w:cs="Arial"/>
        </w:rPr>
      </w:pPr>
    </w:p>
    <w:p w14:paraId="6B932DF1"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085658C9" w14:textId="77777777" w:rsidR="0030347C" w:rsidRDefault="0030347C" w:rsidP="00AB6E08">
      <w:pPr>
        <w:rPr>
          <w:rFonts w:ascii="Arial" w:hAnsi="Arial" w:cs="Arial"/>
        </w:rPr>
      </w:pPr>
    </w:p>
    <w:p w14:paraId="7398CF96"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4860B304" w14:textId="77777777" w:rsidR="007F3346" w:rsidRPr="007F3346" w:rsidRDefault="007F3346" w:rsidP="00AB6E08">
      <w:pPr>
        <w:rPr>
          <w:rFonts w:ascii="Arial" w:hAnsi="Arial" w:cs="Arial"/>
        </w:rPr>
      </w:pPr>
    </w:p>
    <w:p w14:paraId="40C06E4E"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3154759C" w14:textId="77777777" w:rsidR="00D444F4" w:rsidRPr="007F3346" w:rsidRDefault="00D444F4" w:rsidP="00AB6E08">
      <w:pPr>
        <w:rPr>
          <w:rFonts w:ascii="Arial" w:hAnsi="Arial" w:cs="Arial"/>
        </w:rPr>
      </w:pPr>
    </w:p>
    <w:p w14:paraId="1030C242"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399916A0" w14:textId="77777777" w:rsidR="0058733E" w:rsidRDefault="0058733E" w:rsidP="00AB6E08">
      <w:pPr>
        <w:rPr>
          <w:rFonts w:ascii="Arial" w:hAnsi="Arial" w:cs="Arial"/>
        </w:rPr>
      </w:pPr>
    </w:p>
    <w:p w14:paraId="4105B7E4"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136C6F69" w14:textId="77777777" w:rsidR="005E6A84" w:rsidRDefault="005E6A84" w:rsidP="00AB6E08">
      <w:pPr>
        <w:rPr>
          <w:rFonts w:ascii="Arial" w:hAnsi="Arial" w:cs="Arial"/>
        </w:rPr>
      </w:pPr>
    </w:p>
    <w:p w14:paraId="41FAD0DB"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4E2B46DC" w14:textId="77777777" w:rsidR="005E6A84" w:rsidRDefault="005E6A84" w:rsidP="00AB6E08">
      <w:pPr>
        <w:rPr>
          <w:rFonts w:ascii="Arial" w:hAnsi="Arial" w:cs="Arial"/>
        </w:rPr>
      </w:pPr>
    </w:p>
    <w:p w14:paraId="6D4A55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7CFC73B" w14:textId="77777777" w:rsidR="005E6A84" w:rsidRDefault="005E6A84" w:rsidP="00AB6E08">
      <w:pPr>
        <w:rPr>
          <w:rFonts w:ascii="Arial" w:hAnsi="Arial" w:cs="Arial"/>
        </w:rPr>
      </w:pPr>
    </w:p>
    <w:p w14:paraId="591B03C4"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C6C4E2A" w14:textId="77777777" w:rsidR="005E6A84" w:rsidRDefault="005E6A84" w:rsidP="00AB6E08">
      <w:pPr>
        <w:rPr>
          <w:rFonts w:ascii="Arial" w:hAnsi="Arial" w:cs="Arial"/>
        </w:rPr>
      </w:pPr>
    </w:p>
    <w:p w14:paraId="61FFAAE6"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284C2D52" w14:textId="77777777" w:rsidR="005E6A84" w:rsidRDefault="005E6A84" w:rsidP="00AB6E08">
      <w:pPr>
        <w:rPr>
          <w:rFonts w:ascii="Arial" w:hAnsi="Arial" w:cs="Arial"/>
        </w:rPr>
      </w:pPr>
    </w:p>
    <w:p w14:paraId="0D736E9F"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20677659" w14:textId="77777777" w:rsidR="005E6A84" w:rsidRDefault="005E6A84" w:rsidP="00AB6E08">
      <w:pPr>
        <w:rPr>
          <w:rFonts w:ascii="Arial" w:hAnsi="Arial" w:cs="Arial"/>
        </w:rPr>
      </w:pPr>
    </w:p>
    <w:p w14:paraId="3C33EABB"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2EC0DCD4" w14:textId="77777777" w:rsidR="005E6A84" w:rsidRDefault="005E6A84" w:rsidP="00AB6E08">
      <w:pPr>
        <w:rPr>
          <w:rFonts w:ascii="Arial" w:hAnsi="Arial" w:cs="Arial"/>
        </w:rPr>
      </w:pPr>
    </w:p>
    <w:p w14:paraId="37E48323"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5487B28D" w14:textId="77777777" w:rsidR="005E6A84" w:rsidRDefault="005E6A84" w:rsidP="00AB6E08">
      <w:pPr>
        <w:rPr>
          <w:rFonts w:ascii="Arial" w:hAnsi="Arial" w:cs="Arial"/>
        </w:rPr>
      </w:pPr>
    </w:p>
    <w:p w14:paraId="74D9A715" w14:textId="77777777" w:rsidR="00AB6E08" w:rsidRPr="00F457CA" w:rsidRDefault="00AB6E08" w:rsidP="00AB6E08">
      <w:pPr>
        <w:rPr>
          <w:rFonts w:ascii="Arial" w:hAnsi="Arial" w:cs="Arial"/>
        </w:rPr>
      </w:pPr>
    </w:p>
    <w:p w14:paraId="5CEBC4FE"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BF1218F"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CA14A42"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62AAA19D"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4706E37E"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6E524258"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4C8278C" w14:textId="77777777" w:rsidR="003D20FC" w:rsidRDefault="003D20FC" w:rsidP="00AB6E08">
      <w:pPr>
        <w:pStyle w:val="BodyText"/>
        <w:rPr>
          <w:rFonts w:ascii="Arial" w:hAnsi="Arial" w:cs="Arial"/>
        </w:rPr>
      </w:pPr>
      <w:r>
        <w:rPr>
          <w:rFonts w:ascii="Arial" w:hAnsi="Arial" w:cs="Arial"/>
        </w:rPr>
        <w:lastRenderedPageBreak/>
        <w:t>14.18</w:t>
      </w:r>
      <w:r>
        <w:rPr>
          <w:rFonts w:ascii="Arial" w:hAnsi="Arial" w:cs="Arial"/>
        </w:rPr>
        <w:tab/>
        <w:t>Generation Charges</w:t>
      </w:r>
    </w:p>
    <w:p w14:paraId="6DA2102E"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7D53AB3E"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0DDD7784"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043EBE86"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761FDDAA"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F87AB6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52C891B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738B3C3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3F9244A1"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695F99F2" w14:textId="66C38E5F"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1CE92958" w:rsidRPr="00741921">
        <w:rPr>
          <w:rFonts w:ascii="Arial" w:hAnsi="Arial" w:cs="Arial"/>
        </w:rPr>
        <w:t xml:space="preserve">The </w:t>
      </w:r>
      <w:r w:rsidRPr="00741921">
        <w:rPr>
          <w:rFonts w:ascii="Arial" w:hAnsi="Arial" w:cs="Arial"/>
        </w:rPr>
        <w:t>Company</w:t>
      </w:r>
      <w:r w:rsidRPr="008D4C73">
        <w:rPr>
          <w:rFonts w:ascii="Arial" w:hAnsi="Arial" w:cs="Arial"/>
        </w:rPr>
        <w:t>’s</w:t>
      </w:r>
      <w:r w:rsidRPr="000C4E5B">
        <w:rPr>
          <w:rFonts w:ascii="Arial" w:hAnsi="Arial" w:cs="Arial"/>
        </w:rPr>
        <w:t xml:space="preserve"> Forecast for Demand Charge Purposes</w:t>
      </w:r>
    </w:p>
    <w:p w14:paraId="13A1C15E" w14:textId="31673193" w:rsidR="000C4E5B" w:rsidRDefault="000C4E5B" w:rsidP="00AB6E08">
      <w:pPr>
        <w:pStyle w:val="BodyText"/>
        <w:rPr>
          <w:rFonts w:ascii="Arial" w:hAnsi="Arial" w:cs="Arial"/>
        </w:rPr>
      </w:pPr>
      <w:r>
        <w:rPr>
          <w:rFonts w:ascii="Arial" w:hAnsi="Arial" w:cs="Arial"/>
        </w:rPr>
        <w:t>14.2</w:t>
      </w:r>
      <w:r w:rsidR="002A6A12">
        <w:rPr>
          <w:rFonts w:ascii="Arial" w:hAnsi="Arial" w:cs="Arial"/>
        </w:rPr>
        <w:t>9</w:t>
      </w:r>
      <w:r w:rsidR="000B0796">
        <w:rPr>
          <w:rFonts w:ascii="Arial" w:hAnsi="Arial" w:cs="Arial"/>
        </w:rPr>
        <w:t xml:space="preserve"> </w:t>
      </w:r>
      <w:r>
        <w:rPr>
          <w:rFonts w:ascii="Arial" w:hAnsi="Arial" w:cs="Arial"/>
        </w:rPr>
        <w:t>Stability &amp; Predictability of TNUoS tariffs</w:t>
      </w:r>
    </w:p>
    <w:p w14:paraId="3F83EE91" w14:textId="7739AD9F" w:rsidR="002537D9" w:rsidRDefault="002537D9" w:rsidP="00AB6E08">
      <w:pPr>
        <w:pStyle w:val="BodyText"/>
        <w:rPr>
          <w:rFonts w:ascii="Arial" w:hAnsi="Arial" w:cs="Arial"/>
        </w:rPr>
      </w:pPr>
      <w:r>
        <w:rPr>
          <w:rFonts w:ascii="Arial" w:hAnsi="Arial" w:cs="Arial"/>
        </w:rPr>
        <w:t xml:space="preserve">Section 2 – The Statement of the Balancing Services Use of System Charging </w:t>
      </w:r>
      <w:r>
        <w:rPr>
          <w:rFonts w:ascii="Arial" w:hAnsi="Arial" w:cs="Arial"/>
        </w:rPr>
        <w:tab/>
        <w:t>Methodology</w:t>
      </w:r>
    </w:p>
    <w:p w14:paraId="43640C1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703098E8" w14:textId="1838F6EC"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050251">
        <w:rPr>
          <w:rFonts w:ascii="Arial" w:hAnsi="Arial" w:cs="Arial"/>
        </w:rPr>
        <w:t>Charges</w:t>
      </w:r>
    </w:p>
    <w:p w14:paraId="1366F239" w14:textId="2475AA33"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62F36AF4" w14:textId="77777777" w:rsidR="008B7A92" w:rsidRPr="00F457CA" w:rsidRDefault="008B7A92" w:rsidP="00AB6E08">
      <w:pPr>
        <w:pStyle w:val="BodyText"/>
        <w:rPr>
          <w:rFonts w:ascii="Arial" w:hAnsi="Arial" w:cs="Arial"/>
        </w:rPr>
      </w:pPr>
    </w:p>
    <w:p w14:paraId="2F5AF22D" w14:textId="77777777" w:rsidR="00AB6E08" w:rsidRPr="00F457CA" w:rsidRDefault="00AB6E08" w:rsidP="00AB6E08">
      <w:pPr>
        <w:pStyle w:val="BodyText"/>
        <w:rPr>
          <w:rFonts w:ascii="Arial" w:hAnsi="Arial" w:cs="Arial"/>
        </w:rPr>
      </w:pPr>
    </w:p>
    <w:p w14:paraId="4F097287" w14:textId="77777777" w:rsidR="00AB6E08" w:rsidRPr="00F457CA" w:rsidRDefault="00AB6E08" w:rsidP="00AB6E08">
      <w:pPr>
        <w:pStyle w:val="BodyText"/>
        <w:rPr>
          <w:rFonts w:ascii="Arial" w:hAnsi="Arial" w:cs="Arial"/>
        </w:rPr>
      </w:pPr>
    </w:p>
    <w:p w14:paraId="387B7824" w14:textId="77777777" w:rsidR="00AB6E08" w:rsidRPr="00F457CA" w:rsidRDefault="00AB6E08" w:rsidP="00AB6E08">
      <w:pPr>
        <w:pStyle w:val="BodyText"/>
        <w:rPr>
          <w:rFonts w:ascii="Arial" w:hAnsi="Arial" w:cs="Arial"/>
        </w:rPr>
      </w:pPr>
    </w:p>
    <w:p w14:paraId="73BCC169" w14:textId="77777777" w:rsidR="00AB6E08" w:rsidRPr="00F457CA" w:rsidRDefault="00AB6E08" w:rsidP="00AB6E08">
      <w:pPr>
        <w:pStyle w:val="BodyText"/>
        <w:rPr>
          <w:rFonts w:ascii="Arial" w:hAnsi="Arial" w:cs="Arial"/>
        </w:rPr>
      </w:pPr>
    </w:p>
    <w:p w14:paraId="2B54CC29" w14:textId="77777777" w:rsidR="00AB6E08" w:rsidRPr="00F457CA" w:rsidRDefault="00AB6E08" w:rsidP="00AB6E08">
      <w:pPr>
        <w:pStyle w:val="BodyText"/>
        <w:rPr>
          <w:rFonts w:ascii="Arial" w:hAnsi="Arial" w:cs="Arial"/>
        </w:rPr>
      </w:pPr>
    </w:p>
    <w:p w14:paraId="6F2913D6" w14:textId="77777777" w:rsidR="00AB6E08" w:rsidRPr="00F457CA" w:rsidRDefault="00AB6E08" w:rsidP="00AB6E08">
      <w:pPr>
        <w:pStyle w:val="BodyText"/>
        <w:rPr>
          <w:rFonts w:ascii="Arial" w:hAnsi="Arial" w:cs="Arial"/>
        </w:rPr>
      </w:pPr>
    </w:p>
    <w:p w14:paraId="15EAFBDF" w14:textId="77777777"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p>
    <w:p w14:paraId="72CD48B0" w14:textId="77777777" w:rsidR="00312ECD" w:rsidRPr="00F457CA" w:rsidRDefault="00312ECD" w:rsidP="00312ECD">
      <w:pPr>
        <w:jc w:val="center"/>
        <w:rPr>
          <w:rFonts w:ascii="Arial" w:hAnsi="Arial" w:cs="Arial"/>
          <w:b/>
          <w:sz w:val="28"/>
          <w:u w:val="single"/>
        </w:rPr>
      </w:pPr>
    </w:p>
    <w:p w14:paraId="486A8E5C"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3AE4342B" w14:textId="77777777" w:rsidR="00312ECD" w:rsidRDefault="00312ECD" w:rsidP="00FC681D">
      <w:pPr>
        <w:pStyle w:val="Heading3"/>
        <w:rPr>
          <w:rFonts w:ascii="Arial" w:hAnsi="Arial" w:cs="Arial"/>
        </w:rPr>
      </w:pPr>
    </w:p>
    <w:p w14:paraId="5FB219CE" w14:textId="77777777" w:rsidR="00312ECD" w:rsidRDefault="00312ECD" w:rsidP="00FC681D">
      <w:pPr>
        <w:pStyle w:val="Heading3"/>
        <w:rPr>
          <w:rFonts w:ascii="Arial" w:hAnsi="Arial" w:cs="Arial"/>
        </w:rPr>
      </w:pPr>
    </w:p>
    <w:p w14:paraId="4E94D8EA" w14:textId="77777777" w:rsidR="00FC681D" w:rsidRPr="00312ECD" w:rsidRDefault="00FC681D" w:rsidP="00312ECD">
      <w:pPr>
        <w:pStyle w:val="CMSHeadL4"/>
        <w:rPr>
          <w:rFonts w:ascii="Arial" w:hAnsi="Arial" w:cs="Arial"/>
        </w:rPr>
      </w:pPr>
      <w:r w:rsidRPr="00312ECD">
        <w:rPr>
          <w:rFonts w:ascii="Arial" w:hAnsi="Arial" w:cs="Arial"/>
        </w:rPr>
        <w:t>Introduction</w:t>
      </w:r>
    </w:p>
    <w:p w14:paraId="3F52641F"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56D7CE4E" w14:textId="77777777" w:rsidR="00AB6E08" w:rsidRPr="00FC681D" w:rsidRDefault="00673260" w:rsidP="000B6426">
      <w:pPr>
        <w:pStyle w:val="CMSHeadL5"/>
        <w:numPr>
          <w:ilvl w:val="0"/>
          <w:numId w:val="0"/>
        </w:numPr>
        <w:ind w:left="850"/>
        <w:rPr>
          <w:rFonts w:ascii="Arial Bold" w:hAnsi="Arial Bold"/>
        </w:rPr>
      </w:pPr>
      <w:r>
        <w:br w:type="page"/>
      </w:r>
    </w:p>
    <w:p w14:paraId="30126665"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4CEF0549" w14:textId="77777777" w:rsidR="00225419" w:rsidRDefault="00225419">
      <w:pPr>
        <w:pStyle w:val="Heading1"/>
        <w:rPr>
          <w:strike/>
        </w:rPr>
      </w:pPr>
    </w:p>
    <w:p w14:paraId="08AA9E22"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4814550" w14:textId="77777777" w:rsidR="00225419" w:rsidRPr="00922CDA" w:rsidRDefault="00225419">
      <w:pPr>
        <w:rPr>
          <w:color w:val="008080"/>
        </w:rPr>
      </w:pPr>
    </w:p>
    <w:p w14:paraId="3E4CC210" w14:textId="77777777" w:rsidR="00225419" w:rsidRPr="00922CDA" w:rsidRDefault="00225419">
      <w:pPr>
        <w:pStyle w:val="Heading2"/>
      </w:pPr>
      <w:bookmarkStart w:id="5" w:name="_Toc220918005"/>
      <w:bookmarkEnd w:id="3"/>
      <w:bookmarkEnd w:id="4"/>
      <w:r w:rsidRPr="00922CDA">
        <w:t>Costs and their Allocation</w:t>
      </w:r>
      <w:bookmarkEnd w:id="5"/>
    </w:p>
    <w:p w14:paraId="21BDBBE7" w14:textId="77777777" w:rsidR="00225419" w:rsidRPr="00922CDA" w:rsidRDefault="00225419">
      <w:pPr>
        <w:jc w:val="both"/>
      </w:pPr>
    </w:p>
    <w:p w14:paraId="06DE4977" w14:textId="2B29E594" w:rsidR="00225419" w:rsidRPr="00922CDA" w:rsidRDefault="00225419" w:rsidP="35F371ED">
      <w:pPr>
        <w:pStyle w:val="1"/>
        <w:numPr>
          <w:ilvl w:val="0"/>
          <w:numId w:val="13"/>
        </w:numPr>
        <w:jc w:val="both"/>
      </w:pPr>
      <w:r>
        <w:t xml:space="preserve">   </w:t>
      </w:r>
      <w:r w:rsidRPr="00922CDA">
        <w:t xml:space="preserve">Connection charges enable </w:t>
      </w:r>
      <w:r w:rsidR="1CE92958" w:rsidRPr="00C94D4B">
        <w:rPr>
          <w:b/>
          <w:bCs/>
        </w:rPr>
        <w:t>The Company</w:t>
      </w:r>
      <w:r>
        <w:t xml:space="preserve"> </w:t>
      </w:r>
      <w:r w:rsidRPr="00922CDA">
        <w:t xml:space="preserve">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18B504B8" w14:textId="77777777" w:rsidR="00225419" w:rsidRPr="00922CDA" w:rsidRDefault="00225419">
      <w:pPr>
        <w:pStyle w:val="1"/>
        <w:tabs>
          <w:tab w:val="left" w:pos="-1440"/>
        </w:tabs>
        <w:jc w:val="both"/>
      </w:pPr>
    </w:p>
    <w:p w14:paraId="7382B9F1" w14:textId="6267D853" w:rsidR="00225419" w:rsidRPr="00922CDA" w:rsidRDefault="18569871" w:rsidP="0537B9E0">
      <w:pPr>
        <w:pStyle w:val="1"/>
        <w:numPr>
          <w:ilvl w:val="0"/>
          <w:numId w:val="13"/>
        </w:numPr>
        <w:jc w:val="both"/>
      </w:pPr>
      <w:r>
        <w:t xml:space="preserve">   Connection charges relate to the costs of assets installed solely for and only capable of use by an individual User</w:t>
      </w:r>
      <w:r w:rsidR="79743AFD">
        <w:t xml:space="preserve">. </w:t>
      </w:r>
      <w:r>
        <w:t>These costs may include civil costs, engineering costs, and land clearance and preparation costs associated with the connection assets, but for the avoidance of doubt no land purchase costs will be included.</w:t>
      </w:r>
    </w:p>
    <w:p w14:paraId="79244E1B" w14:textId="77777777" w:rsidR="00225419" w:rsidRPr="00922CDA" w:rsidRDefault="00225419">
      <w:pPr>
        <w:pStyle w:val="1"/>
        <w:tabs>
          <w:tab w:val="left" w:pos="-1440"/>
        </w:tabs>
        <w:jc w:val="both"/>
      </w:pPr>
    </w:p>
    <w:p w14:paraId="00D54FE2" w14:textId="1D8B2069" w:rsidR="00225419" w:rsidRPr="00922CDA" w:rsidRDefault="18569871" w:rsidP="0537B9E0">
      <w:pPr>
        <w:pStyle w:val="1"/>
        <w:numPr>
          <w:ilvl w:val="0"/>
          <w:numId w:val="13"/>
        </w:numPr>
        <w:jc w:val="both"/>
      </w:pPr>
      <w:r>
        <w:t>Connection charges are designed not to discriminate between Users or classes of User</w:t>
      </w:r>
      <w:r w:rsidR="4AF609FB">
        <w:t xml:space="preserve">. </w:t>
      </w:r>
      <w:r>
        <w:t>The methodology is applied to both connections that were in existence at Vesting (30 March 1990) and those that have been provided since.</w:t>
      </w:r>
    </w:p>
    <w:p w14:paraId="12663E23" w14:textId="77777777" w:rsidR="00225419" w:rsidRPr="00922CDA" w:rsidRDefault="00225419">
      <w:pPr>
        <w:pStyle w:val="1"/>
        <w:jc w:val="both"/>
      </w:pPr>
    </w:p>
    <w:p w14:paraId="776A7E8F"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4B8621FB"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73D27D5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6D1E4BD0" w14:textId="77777777" w:rsidR="00225419" w:rsidRPr="00922CDA" w:rsidRDefault="00225419">
      <w:pPr>
        <w:pStyle w:val="1"/>
        <w:jc w:val="both"/>
      </w:pPr>
    </w:p>
    <w:p w14:paraId="3E4F5E2D" w14:textId="4A7E3F6B" w:rsidR="00225419" w:rsidRPr="00922CDA" w:rsidRDefault="18569871" w:rsidP="7370B587">
      <w:pPr>
        <w:pStyle w:val="1"/>
        <w:numPr>
          <w:ilvl w:val="0"/>
          <w:numId w:val="13"/>
        </w:numPr>
        <w:jc w:val="both"/>
      </w:pPr>
      <w:r>
        <w:t xml:space="preserve">   In general, connection assets are defined as those assets solely required to connect an individual User to the National Electricity Transmission System, which are not and would not normally be used by any other connected party (i.e.“single user assets”)</w:t>
      </w:r>
      <w:r w:rsidR="3F8F864B">
        <w:t xml:space="preserve">. </w:t>
      </w:r>
      <w:r>
        <w:t>For the purposes of this Statement, all connection assets at a given location shall together form a connection site.</w:t>
      </w:r>
    </w:p>
    <w:p w14:paraId="05DCC8AE" w14:textId="77777777" w:rsidR="00225419" w:rsidRPr="00922CDA" w:rsidRDefault="00225419">
      <w:pPr>
        <w:pStyle w:val="1"/>
        <w:tabs>
          <w:tab w:val="left" w:pos="-1440"/>
        </w:tabs>
        <w:jc w:val="both"/>
      </w:pPr>
    </w:p>
    <w:p w14:paraId="020B7702"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0CE13942" w14:textId="77777777" w:rsidR="00225419" w:rsidRPr="00922CDA" w:rsidRDefault="00225419">
      <w:pPr>
        <w:pStyle w:val="Style"/>
        <w:tabs>
          <w:tab w:val="left" w:pos="810"/>
          <w:tab w:val="left" w:pos="1620"/>
          <w:tab w:val="left" w:pos="4680"/>
        </w:tabs>
        <w:ind w:left="0" w:firstLine="0"/>
        <w:jc w:val="both"/>
      </w:pPr>
    </w:p>
    <w:p w14:paraId="375E4EEE" w14:textId="1F3E6B85" w:rsidR="00225419" w:rsidRPr="00922CDA" w:rsidRDefault="00225419">
      <w:pPr>
        <w:pStyle w:val="Style"/>
        <w:numPr>
          <w:ilvl w:val="0"/>
          <w:numId w:val="14"/>
        </w:numPr>
        <w:jc w:val="both"/>
      </w:pPr>
      <w:r>
        <w:t xml:space="preserve">for Double Busbar type connections, are those single user assets connecting the User’s assets and the </w:t>
      </w:r>
      <w:r w:rsidR="55B80952">
        <w:t>first transmission</w:t>
      </w:r>
      <w:r>
        <w:t xml:space="preserve"> licensee owned substation, up to and including the Double Busbar Bay;</w:t>
      </w:r>
    </w:p>
    <w:p w14:paraId="3806C28A" w14:textId="77777777" w:rsidR="00225419" w:rsidRPr="00922CDA" w:rsidRDefault="00225419">
      <w:pPr>
        <w:pStyle w:val="Style"/>
        <w:ind w:left="720" w:firstLine="0"/>
        <w:jc w:val="both"/>
      </w:pPr>
    </w:p>
    <w:p w14:paraId="7661FAA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27D8CBCE" w14:textId="77777777" w:rsidR="00225419" w:rsidRPr="00922CDA" w:rsidRDefault="00225419">
      <w:pPr>
        <w:pStyle w:val="Style"/>
        <w:tabs>
          <w:tab w:val="left" w:pos="1620"/>
          <w:tab w:val="left" w:pos="4680"/>
        </w:tabs>
        <w:ind w:left="0" w:firstLine="0"/>
        <w:jc w:val="both"/>
      </w:pPr>
    </w:p>
    <w:p w14:paraId="430F6518"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40A61998" w14:textId="77777777" w:rsidR="00225419" w:rsidRPr="00922CDA" w:rsidRDefault="00225419">
      <w:pPr>
        <w:pStyle w:val="Style"/>
        <w:tabs>
          <w:tab w:val="left" w:pos="1620"/>
          <w:tab w:val="left" w:pos="4680"/>
        </w:tabs>
        <w:ind w:left="0" w:firstLine="0"/>
        <w:jc w:val="both"/>
      </w:pPr>
    </w:p>
    <w:p w14:paraId="3F30A7D2"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48A307B1" w14:textId="77777777" w:rsidR="00225419" w:rsidRPr="00922CDA" w:rsidRDefault="00225419">
      <w:pPr>
        <w:pStyle w:val="Style"/>
        <w:tabs>
          <w:tab w:val="left" w:pos="810"/>
          <w:tab w:val="left" w:pos="1620"/>
          <w:tab w:val="left" w:pos="4680"/>
        </w:tabs>
        <w:ind w:left="0" w:firstLine="0"/>
        <w:jc w:val="both"/>
      </w:pPr>
    </w:p>
    <w:p w14:paraId="316AFA6D" w14:textId="633A1FA2" w:rsidR="00225419" w:rsidRPr="00922CDA" w:rsidRDefault="18569871" w:rsidP="006661FE">
      <w:pPr>
        <w:pStyle w:val="Style"/>
        <w:numPr>
          <w:ilvl w:val="0"/>
          <w:numId w:val="13"/>
        </w:numPr>
        <w:tabs>
          <w:tab w:val="left" w:pos="810"/>
          <w:tab w:val="left" w:pos="1620"/>
          <w:tab w:val="left" w:pos="4680"/>
        </w:tabs>
        <w:jc w:val="both"/>
      </w:pPr>
      <w:r>
        <w:t xml:space="preserve"> Where customer choice influences the application of standard rules to the connection boundary, affected assets will be classed as connection assets</w:t>
      </w:r>
      <w:r w:rsidR="49F8F8BC">
        <w:t xml:space="preserve">. </w:t>
      </w:r>
      <w:r>
        <w:t xml:space="preserve">For example, in England &amp; Wales </w:t>
      </w:r>
      <w:r w:rsidR="1833BC0C">
        <w:t xml:space="preserve">NGET </w:t>
      </w:r>
      <w:r>
        <w:t xml:space="preserve">does not normally own busbars below 275kV, where </w:t>
      </w:r>
      <w:r w:rsidR="58867969" w:rsidRPr="0537B9E0">
        <w:rPr>
          <w:b/>
          <w:bCs/>
        </w:rPr>
        <w:t>The Company</w:t>
      </w:r>
      <w:r>
        <w:t xml:space="preserve"> and the customer agree that </w:t>
      </w:r>
      <w:r w:rsidR="1833BC0C">
        <w:t xml:space="preserve">NGET </w:t>
      </w:r>
      <w:r>
        <w:t>will own the busbars at a low voltage substation, the assets at that substation will be classed as connection assets and will not automatically be transferred into infrastructure.</w:t>
      </w:r>
    </w:p>
    <w:p w14:paraId="7015FB5D" w14:textId="77777777" w:rsidR="00225419" w:rsidRPr="00922CDA" w:rsidRDefault="00225419">
      <w:pPr>
        <w:pStyle w:val="1"/>
        <w:tabs>
          <w:tab w:val="left" w:pos="-1440"/>
        </w:tabs>
        <w:ind w:left="709" w:hanging="709"/>
        <w:jc w:val="both"/>
      </w:pPr>
    </w:p>
    <w:p w14:paraId="165921D6" w14:textId="6D8029B1" w:rsidR="00225419" w:rsidRPr="00922CDA" w:rsidRDefault="18569871" w:rsidP="0537B9E0">
      <w:pPr>
        <w:pStyle w:val="1"/>
        <w:numPr>
          <w:ilvl w:val="0"/>
          <w:numId w:val="13"/>
        </w:numPr>
        <w:jc w:val="both"/>
      </w:pPr>
      <w:r>
        <w:t xml:space="preserve">  The design of some connection sites may not be compatible with the basic boundary definitions in 14.2.6 above</w:t>
      </w:r>
      <w:r w:rsidR="1522EFA4">
        <w:t xml:space="preserve">. </w:t>
      </w:r>
      <w:r>
        <w:t>In these instances, a connection boundary consistent with the principles described above will be applied.</w:t>
      </w:r>
    </w:p>
    <w:p w14:paraId="7473DCBD" w14:textId="77777777" w:rsidR="00225419" w:rsidRPr="00922CDA" w:rsidRDefault="00225419">
      <w:pPr>
        <w:pStyle w:val="1"/>
        <w:tabs>
          <w:tab w:val="left" w:pos="-1440"/>
        </w:tabs>
        <w:ind w:left="709" w:hanging="709"/>
        <w:jc w:val="both"/>
      </w:pPr>
    </w:p>
    <w:p w14:paraId="1BE8423D"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3841D023" w14:textId="77777777" w:rsidR="00225419" w:rsidRDefault="00225419">
      <w:pPr>
        <w:pStyle w:val="1"/>
        <w:tabs>
          <w:tab w:val="left" w:pos="-1440"/>
        </w:tabs>
        <w:jc w:val="both"/>
      </w:pPr>
    </w:p>
    <w:p w14:paraId="4FDAAE79" w14:textId="77777777" w:rsidR="00225419" w:rsidRDefault="00225419">
      <w:pPr>
        <w:pStyle w:val="Heading2"/>
      </w:pPr>
      <w:bookmarkStart w:id="14" w:name="_Toc220918008"/>
      <w:r>
        <w:t>Pre and Post Vesting Connections</w:t>
      </w:r>
      <w:bookmarkEnd w:id="14"/>
    </w:p>
    <w:p w14:paraId="1364370B" w14:textId="77777777" w:rsidR="00225419" w:rsidRDefault="00225419">
      <w:pPr>
        <w:pStyle w:val="1"/>
        <w:tabs>
          <w:tab w:val="left" w:pos="-1440"/>
        </w:tabs>
        <w:jc w:val="both"/>
      </w:pPr>
    </w:p>
    <w:p w14:paraId="06A067BB" w14:textId="341E9E69" w:rsidR="00225419" w:rsidRDefault="18569871" w:rsidP="0537B9E0">
      <w:pPr>
        <w:pStyle w:val="1"/>
        <w:numPr>
          <w:ilvl w:val="0"/>
          <w:numId w:val="37"/>
        </w:numPr>
        <w:jc w:val="both"/>
      </w:pPr>
      <w:r>
        <w:t xml:space="preserve">   Post Vesting connection assets are those connection assets that have been commissioned since 30 March 1990</w:t>
      </w:r>
      <w:r w:rsidR="5601E773">
        <w:t xml:space="preserve">. </w:t>
      </w:r>
      <w:r>
        <w:t>Pre Vesting connection assets are those that were commissioned on or before the 30 March 1990.</w:t>
      </w:r>
    </w:p>
    <w:p w14:paraId="52B83664" w14:textId="77777777" w:rsidR="00225419" w:rsidRDefault="00225419">
      <w:pPr>
        <w:pStyle w:val="1"/>
        <w:tabs>
          <w:tab w:val="left" w:pos="-1440"/>
        </w:tabs>
        <w:jc w:val="both"/>
      </w:pPr>
    </w:p>
    <w:p w14:paraId="000B82C8" w14:textId="445360A8" w:rsidR="00225419" w:rsidRDefault="18569871" w:rsidP="0537B9E0">
      <w:pPr>
        <w:pStyle w:val="1"/>
        <w:numPr>
          <w:ilvl w:val="0"/>
          <w:numId w:val="37"/>
        </w:numPr>
        <w:jc w:val="both"/>
      </w:pPr>
      <w:r>
        <w:t xml:space="preserve">  The basic connection charge has two components</w:t>
      </w:r>
      <w:r w:rsidR="52C3DFA6">
        <w:t xml:space="preserve">. </w:t>
      </w:r>
      <w:r>
        <w:t>A non-capital component, for which both pre and post vesting assets are treated in the same way and a capital component for which there are slightly different options available for pre and post vesting assets</w:t>
      </w:r>
      <w:r w:rsidR="469D441D">
        <w:t xml:space="preserve">. </w:t>
      </w:r>
      <w:r>
        <w:t>These are detailed below.</w:t>
      </w:r>
    </w:p>
    <w:p w14:paraId="54A4EE13" w14:textId="77777777" w:rsidR="00225419" w:rsidRDefault="00225419">
      <w:pPr>
        <w:pStyle w:val="1"/>
        <w:jc w:val="both"/>
      </w:pPr>
    </w:p>
    <w:p w14:paraId="564E2A51" w14:textId="77777777" w:rsidR="00225419" w:rsidRDefault="00225419">
      <w:pPr>
        <w:pStyle w:val="1"/>
        <w:jc w:val="both"/>
      </w:pPr>
    </w:p>
    <w:p w14:paraId="0FBA3D9F"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76DAA838"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3D7453AC" w14:textId="41272F7A" w:rsidR="00225419" w:rsidRDefault="18569871" w:rsidP="0537B9E0">
      <w:pPr>
        <w:pStyle w:val="1"/>
        <w:numPr>
          <w:ilvl w:val="0"/>
          <w:numId w:val="37"/>
        </w:numPr>
        <w:jc w:val="both"/>
      </w:pPr>
      <w:bookmarkStart w:id="18" w:name="_Ref492175443"/>
      <w:r>
        <w:t xml:space="preserve">  The </w:t>
      </w:r>
      <w:bookmarkStart w:id="19" w:name="Para_2_2"/>
      <w:bookmarkEnd w:id="19"/>
      <w:r>
        <w:t>GAV represents the initial total cost of an asset to the transmission licensee</w:t>
      </w:r>
      <w:r w:rsidR="2E28839D">
        <w:t xml:space="preserve">. </w:t>
      </w:r>
      <w:r>
        <w:t>For a new asset it will be the costs incurred by the transmission licensee in the provision of that asset</w:t>
      </w:r>
      <w:r w:rsidR="121CD89F">
        <w:t xml:space="preserve">. </w:t>
      </w:r>
      <w:r>
        <w:t>Typically, the GAV is made up of the following components:</w:t>
      </w:r>
      <w:bookmarkEnd w:id="18"/>
    </w:p>
    <w:p w14:paraId="32BAB38B" w14:textId="77777777" w:rsidR="00225419" w:rsidRPr="000D2008" w:rsidRDefault="00225419">
      <w:pPr>
        <w:jc w:val="both"/>
        <w:rPr>
          <w:sz w:val="22"/>
          <w:szCs w:val="22"/>
        </w:rPr>
      </w:pPr>
    </w:p>
    <w:p w14:paraId="3F86AEF7"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2CF320E9"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64242B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3705550C"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629C718B" w14:textId="77777777" w:rsidR="00225419" w:rsidRPr="000D2008" w:rsidRDefault="00225419">
      <w:pPr>
        <w:ind w:left="454"/>
        <w:jc w:val="both"/>
        <w:rPr>
          <w:rFonts w:ascii="Arial" w:hAnsi="Arial" w:cs="Arial"/>
          <w:sz w:val="22"/>
          <w:szCs w:val="22"/>
        </w:rPr>
      </w:pPr>
    </w:p>
    <w:p w14:paraId="26BCC69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331AD084" w14:textId="77777777" w:rsidR="00225419" w:rsidRPr="000D2008" w:rsidRDefault="00225419">
      <w:pPr>
        <w:pStyle w:val="1"/>
        <w:jc w:val="both"/>
        <w:rPr>
          <w:szCs w:val="22"/>
        </w:rPr>
      </w:pPr>
    </w:p>
    <w:p w14:paraId="26BE2D00" w14:textId="7B99B03F" w:rsidR="00225419" w:rsidRDefault="18569871" w:rsidP="0537B9E0">
      <w:pPr>
        <w:pStyle w:val="1"/>
        <w:numPr>
          <w:ilvl w:val="0"/>
          <w:numId w:val="37"/>
        </w:numPr>
        <w:jc w:val="both"/>
      </w:pPr>
      <w:r>
        <w:t xml:space="preserve">   The GAV of an asset is re-valued each year normally using one of two methods</w:t>
      </w:r>
      <w:r w:rsidR="5F74690D">
        <w:t xml:space="preserve">. </w:t>
      </w:r>
      <w:r>
        <w:t>For ease of calculation, April is used as the base month.</w:t>
      </w:r>
    </w:p>
    <w:p w14:paraId="68D112B1" w14:textId="77777777" w:rsidR="00225419" w:rsidRDefault="00225419">
      <w:pPr>
        <w:pStyle w:val="Style"/>
        <w:tabs>
          <w:tab w:val="left" w:pos="810"/>
          <w:tab w:val="left" w:pos="1620"/>
          <w:tab w:val="left" w:pos="4680"/>
        </w:tabs>
        <w:ind w:left="0" w:firstLine="0"/>
        <w:jc w:val="both"/>
      </w:pPr>
    </w:p>
    <w:p w14:paraId="37C70B42"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6A07BF96" w14:textId="77777777" w:rsidR="00225419" w:rsidRDefault="00225419">
      <w:pPr>
        <w:pStyle w:val="Style"/>
        <w:tabs>
          <w:tab w:val="left" w:pos="810"/>
          <w:tab w:val="left" w:pos="1620"/>
          <w:tab w:val="left" w:pos="4680"/>
        </w:tabs>
        <w:ind w:left="454" w:firstLine="0"/>
        <w:jc w:val="both"/>
      </w:pPr>
    </w:p>
    <w:p w14:paraId="464DCAD0" w14:textId="450A33D5" w:rsidR="00225419" w:rsidRDefault="18569871" w:rsidP="006661FE">
      <w:pPr>
        <w:pStyle w:val="Style"/>
        <w:numPr>
          <w:ilvl w:val="0"/>
          <w:numId w:val="15"/>
        </w:numPr>
        <w:tabs>
          <w:tab w:val="left" w:pos="1134"/>
          <w:tab w:val="left" w:pos="4680"/>
        </w:tabs>
        <w:ind w:left="1080"/>
        <w:jc w:val="both"/>
      </w:pPr>
      <w:r>
        <w:t xml:space="preserve">In the </w:t>
      </w:r>
      <w:r w:rsidR="63B27CA0">
        <w:t xml:space="preserve">Transmission Owner Price Index (TOPI) </w:t>
      </w:r>
      <w:r>
        <w:t xml:space="preserve">revaluation method, the original cost of an asset is indexed each year by the </w:t>
      </w:r>
      <w:r w:rsidR="63B27CA0">
        <w:t xml:space="preserve">TOPI </w:t>
      </w:r>
      <w:r>
        <w:t>formula set out in paragraph 14.3.6.  For Pre Vesting connection assets commissioned on or before 30 March 1990, the original cost is the 1996/97 charging GAV (MEA re-valued from vesting)</w:t>
      </w:r>
      <w:r w:rsidR="4F4C9B4B">
        <w:t xml:space="preserve">. </w:t>
      </w:r>
      <w:r>
        <w:t>The original costs of Post Vesting assets are calculated based on historical cost information provided by the transmission licensee’s.</w:t>
      </w:r>
    </w:p>
    <w:p w14:paraId="316A67ED" w14:textId="77777777" w:rsidR="00225419" w:rsidRDefault="00225419">
      <w:pPr>
        <w:tabs>
          <w:tab w:val="left" w:pos="810"/>
          <w:tab w:val="left" w:pos="1620"/>
          <w:tab w:val="left" w:pos="4680"/>
        </w:tabs>
        <w:jc w:val="both"/>
      </w:pPr>
    </w:p>
    <w:p w14:paraId="5A21CB2F" w14:textId="1AEFAB75" w:rsidR="00225419" w:rsidRDefault="18569871" w:rsidP="0537B9E0">
      <w:pPr>
        <w:pStyle w:val="1"/>
        <w:numPr>
          <w:ilvl w:val="0"/>
          <w:numId w:val="37"/>
        </w:numPr>
        <w:jc w:val="both"/>
      </w:pPr>
      <w:r>
        <w:t xml:space="preserve">   In the MEA revaluation method, the MEA value is based on a typical asset</w:t>
      </w:r>
      <w:r w:rsidR="5B2147F0">
        <w:t xml:space="preserve">. </w:t>
      </w:r>
      <w:r>
        <w:t>An MEA ratio is calculated to account for specific site conditions, as follows:</w:t>
      </w:r>
    </w:p>
    <w:p w14:paraId="5D7CACFA" w14:textId="77777777" w:rsidR="00225419" w:rsidRDefault="00225419">
      <w:pPr>
        <w:pStyle w:val="Style"/>
        <w:tabs>
          <w:tab w:val="left" w:pos="810"/>
          <w:tab w:val="left" w:pos="1620"/>
          <w:tab w:val="left" w:pos="4680"/>
        </w:tabs>
        <w:ind w:left="0" w:firstLine="0"/>
        <w:jc w:val="both"/>
      </w:pPr>
    </w:p>
    <w:p w14:paraId="1304EA09" w14:textId="409D0B9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C83E01">
        <w:t>TOPI</w:t>
      </w:r>
      <w:r w:rsidR="003176E3">
        <w:t xml:space="preserve"> </w:t>
      </w:r>
      <w:r>
        <w:t xml:space="preserve">to the April of the </w:t>
      </w:r>
      <w:r w:rsidRPr="00AD4509">
        <w:rPr>
          <w:b/>
          <w:bCs/>
        </w:rPr>
        <w:t>Financial Year</w:t>
      </w:r>
      <w:r>
        <w:t xml:space="preserve"> the Charging Date falls within;</w:t>
      </w:r>
    </w:p>
    <w:p w14:paraId="3E930E5F" w14:textId="77777777" w:rsidR="00225419" w:rsidRDefault="00225419">
      <w:pPr>
        <w:pStyle w:val="Style"/>
        <w:tabs>
          <w:tab w:val="left" w:pos="810"/>
          <w:tab w:val="left" w:pos="1620"/>
          <w:tab w:val="left" w:pos="4680"/>
        </w:tabs>
        <w:ind w:left="454" w:firstLine="0"/>
        <w:jc w:val="both"/>
      </w:pPr>
    </w:p>
    <w:p w14:paraId="2A9B27B5"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Pr="00AD4509">
        <w:rPr>
          <w:b/>
          <w:bCs/>
        </w:rPr>
        <w:t>Financial Year</w:t>
      </w:r>
      <w:r>
        <w:t xml:space="preserve"> the Charging Date falls within and a ratio calculated;</w:t>
      </w:r>
    </w:p>
    <w:p w14:paraId="1D4F1263" w14:textId="77777777" w:rsidR="00225419" w:rsidRDefault="00225419">
      <w:pPr>
        <w:pStyle w:val="Style"/>
        <w:tabs>
          <w:tab w:val="left" w:pos="810"/>
          <w:tab w:val="left" w:pos="1620"/>
          <w:tab w:val="left" w:pos="4680"/>
        </w:tabs>
        <w:ind w:left="454" w:firstLine="0"/>
        <w:jc w:val="both"/>
      </w:pPr>
    </w:p>
    <w:p w14:paraId="7D812C50" w14:textId="32DC41CB" w:rsidR="00225419" w:rsidRDefault="18569871" w:rsidP="006661FE">
      <w:pPr>
        <w:pStyle w:val="Style"/>
        <w:numPr>
          <w:ilvl w:val="0"/>
          <w:numId w:val="16"/>
        </w:numPr>
        <w:tabs>
          <w:tab w:val="num" w:pos="1080"/>
          <w:tab w:val="left" w:pos="1620"/>
          <w:tab w:val="left" w:pos="4680"/>
        </w:tabs>
        <w:ind w:left="1080"/>
        <w:jc w:val="both"/>
      </w:pPr>
      <w:r>
        <w:t xml:space="preserve">If the asset </w:t>
      </w:r>
      <w:r w:rsidR="337D148B">
        <w:t>were</w:t>
      </w:r>
      <w:r>
        <w:t xml:space="preserve">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5F8DFCC9" w14:textId="77777777" w:rsidR="00225419" w:rsidRDefault="00225419">
      <w:pPr>
        <w:pStyle w:val="Style"/>
        <w:tabs>
          <w:tab w:val="left" w:pos="810"/>
          <w:tab w:val="left" w:pos="1620"/>
          <w:tab w:val="left" w:pos="4680"/>
        </w:tabs>
        <w:ind w:left="454" w:firstLine="0"/>
        <w:jc w:val="both"/>
      </w:pPr>
    </w:p>
    <w:p w14:paraId="65279172" w14:textId="609E9BDE" w:rsidR="00225419" w:rsidRDefault="18569871" w:rsidP="006661FE">
      <w:pPr>
        <w:pStyle w:val="Style"/>
        <w:numPr>
          <w:ilvl w:val="0"/>
          <w:numId w:val="16"/>
        </w:numPr>
        <w:tabs>
          <w:tab w:val="num" w:pos="1080"/>
          <w:tab w:val="left" w:pos="1620"/>
          <w:tab w:val="left" w:pos="4680"/>
        </w:tabs>
        <w:ind w:left="1080"/>
        <w:jc w:val="both"/>
      </w:pPr>
      <w:r>
        <w:t>The MEA ratio is then used in all future revaluations of the asset</w:t>
      </w:r>
      <w:r w:rsidR="3296938F">
        <w:t xml:space="preserve">. </w:t>
      </w:r>
      <w:r>
        <w:t xml:space="preserve">The April GAV of the asset in any year is thus the current MEA value of the asset multiplied by the ratio calculated for the </w:t>
      </w:r>
      <w:r w:rsidRPr="0537B9E0">
        <w:rPr>
          <w:b/>
          <w:bCs/>
        </w:rPr>
        <w:t>Financial Year</w:t>
      </w:r>
      <w:r>
        <w:t xml:space="preserve"> the Charging Date falls within.</w:t>
      </w:r>
    </w:p>
    <w:p w14:paraId="3A03A7DE" w14:textId="77777777" w:rsidR="00225419" w:rsidRDefault="00225419">
      <w:pPr>
        <w:tabs>
          <w:tab w:val="left" w:pos="810"/>
          <w:tab w:val="left" w:pos="1620"/>
          <w:tab w:val="left" w:pos="4680"/>
        </w:tabs>
        <w:jc w:val="both"/>
      </w:pPr>
    </w:p>
    <w:p w14:paraId="394BC73E" w14:textId="302E246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C83E01">
        <w:t xml:space="preserve">TOPI </w:t>
      </w:r>
      <w:r>
        <w:t>revaluation method is as follows:</w:t>
      </w:r>
      <w:bookmarkEnd w:id="20"/>
      <w:r>
        <w:t xml:space="preserve"> </w:t>
      </w:r>
    </w:p>
    <w:p w14:paraId="2B2755F7" w14:textId="77777777" w:rsidR="00225419" w:rsidRDefault="00225419">
      <w:pPr>
        <w:pStyle w:val="Style"/>
        <w:tabs>
          <w:tab w:val="left" w:pos="810"/>
          <w:tab w:val="left" w:pos="1620"/>
          <w:tab w:val="left" w:pos="4680"/>
        </w:tabs>
        <w:ind w:left="0" w:firstLine="0"/>
        <w:jc w:val="both"/>
      </w:pPr>
    </w:p>
    <w:p w14:paraId="1F19A04D" w14:textId="75374966"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C83E01">
        <w:t xml:space="preserve">TOPI </w:t>
      </w:r>
      <w:r>
        <w:t xml:space="preserve">to the April of the </w:t>
      </w:r>
      <w:r w:rsidRPr="00AD4509">
        <w:rPr>
          <w:b/>
          <w:bCs/>
        </w:rPr>
        <w:t>Financial Year</w:t>
      </w:r>
      <w:r>
        <w:t xml:space="preserve"> the Charging Date falls within. This April GAV is thus known as the Base Amount;</w:t>
      </w:r>
    </w:p>
    <w:p w14:paraId="35276CF6" w14:textId="77777777" w:rsidR="00225419" w:rsidRDefault="00225419">
      <w:pPr>
        <w:pStyle w:val="Style"/>
        <w:tabs>
          <w:tab w:val="left" w:pos="810"/>
          <w:tab w:val="left" w:pos="1620"/>
          <w:tab w:val="left" w:pos="4680"/>
        </w:tabs>
        <w:ind w:left="454" w:firstLine="0"/>
        <w:jc w:val="both"/>
      </w:pPr>
    </w:p>
    <w:p w14:paraId="448BDBAE" w14:textId="4A87E07D" w:rsidR="00225419" w:rsidRDefault="18569871"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63B27CA0">
        <w:t xml:space="preserve">TOPI </w:t>
      </w:r>
      <w:r>
        <w:t xml:space="preserve">formula used in </w:t>
      </w:r>
      <w:r w:rsidR="63B27CA0">
        <w:t>the Tran</w:t>
      </w:r>
      <w:r w:rsidR="3B12B579">
        <w:t>s</w:t>
      </w:r>
      <w:r w:rsidR="63B27CA0">
        <w:t>mission Owner’s</w:t>
      </w:r>
      <w:r w:rsidR="3B12B579">
        <w:t xml:space="preserve"> </w:t>
      </w:r>
      <w:r>
        <w:t>Price Control</w:t>
      </w:r>
      <w:r w:rsidR="73B78C30">
        <w:t xml:space="preserve">. </w:t>
      </w:r>
      <w:r>
        <w:t xml:space="preserve">April GAVs for subsequent </w:t>
      </w:r>
      <w:r w:rsidR="17E170F1" w:rsidRPr="0537B9E0">
        <w:rPr>
          <w:b/>
          <w:bCs/>
        </w:rPr>
        <w:t>Financial Years</w:t>
      </w:r>
      <w:r>
        <w:t xml:space="preserve"> are found using the same process of indexing by</w:t>
      </w:r>
      <w:r w:rsidR="7D0E7314">
        <w:t xml:space="preserve"> </w:t>
      </w:r>
      <w:r w:rsidR="63B27CA0">
        <w:t>TOPI</w:t>
      </w:r>
      <w:r>
        <w:t>.</w:t>
      </w:r>
    </w:p>
    <w:p w14:paraId="44777289" w14:textId="77777777" w:rsidR="00225419" w:rsidRDefault="00225419">
      <w:pPr>
        <w:pStyle w:val="Style"/>
        <w:tabs>
          <w:tab w:val="left" w:pos="810"/>
          <w:tab w:val="left" w:pos="1620"/>
          <w:tab w:val="left" w:pos="4680"/>
        </w:tabs>
        <w:ind w:left="454" w:firstLine="0"/>
        <w:jc w:val="both"/>
      </w:pPr>
    </w:p>
    <w:p w14:paraId="3571C0D2" w14:textId="7045806D"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C83E01">
        <w:t>TOPI</w:t>
      </w:r>
      <w:r>
        <w:rPr>
          <w:vertAlign w:val="subscript"/>
        </w:rPr>
        <w:t>n</w:t>
      </w:r>
    </w:p>
    <w:p w14:paraId="67FF03F7" w14:textId="77777777" w:rsidR="00225419" w:rsidRDefault="00225419">
      <w:pPr>
        <w:pStyle w:val="Style"/>
        <w:tabs>
          <w:tab w:val="left" w:pos="810"/>
          <w:tab w:val="left" w:pos="1620"/>
          <w:tab w:val="left" w:pos="4680"/>
        </w:tabs>
        <w:ind w:left="454" w:firstLine="0"/>
        <w:jc w:val="both"/>
      </w:pPr>
    </w:p>
    <w:p w14:paraId="3D48061A" w14:textId="355CC145" w:rsidR="00225419" w:rsidRDefault="00225419" w:rsidP="006661FE">
      <w:pPr>
        <w:pStyle w:val="Style"/>
        <w:numPr>
          <w:ilvl w:val="0"/>
          <w:numId w:val="19"/>
        </w:numPr>
        <w:tabs>
          <w:tab w:val="num" w:pos="1080"/>
          <w:tab w:val="left" w:pos="1620"/>
          <w:tab w:val="left" w:pos="4680"/>
        </w:tabs>
        <w:ind w:left="1080"/>
        <w:jc w:val="both"/>
      </w:pPr>
      <w:r>
        <w:t xml:space="preserve">The </w:t>
      </w:r>
      <w:r w:rsidR="00C83E01">
        <w:t xml:space="preserve">TOPI </w:t>
      </w:r>
      <w:r>
        <w:t>calculation for year n is as follows:</w:t>
      </w:r>
    </w:p>
    <w:p w14:paraId="0F1EF874" w14:textId="77777777" w:rsidR="00225419" w:rsidRDefault="00225419">
      <w:pPr>
        <w:pStyle w:val="Style"/>
        <w:tabs>
          <w:tab w:val="left" w:pos="810"/>
          <w:tab w:val="left" w:pos="1620"/>
          <w:tab w:val="left" w:pos="4680"/>
        </w:tabs>
        <w:ind w:left="0" w:firstLine="0"/>
        <w:jc w:val="both"/>
      </w:pPr>
    </w:p>
    <w:p w14:paraId="322E27EC" w14:textId="15774C9D" w:rsidR="00225419" w:rsidRDefault="00225419">
      <w:pPr>
        <w:ind w:left="360" w:firstLine="720"/>
        <w:jc w:val="both"/>
      </w:pPr>
    </w:p>
    <w:p w14:paraId="2FBE61E6" w14:textId="3BDF5A75" w:rsidR="00225419" w:rsidRDefault="009E7467" w:rsidP="00D5087D">
      <w:pPr>
        <w:tabs>
          <w:tab w:val="left" w:pos="810"/>
          <w:tab w:val="left" w:pos="1620"/>
          <w:tab w:val="left" w:pos="4680"/>
        </w:tabs>
        <w:ind w:firstLine="1134"/>
        <w:jc w:val="both"/>
      </w:pPr>
      <w:r>
        <w:rPr>
          <w:noProof/>
        </w:rPr>
        <w:drawing>
          <wp:inline distT="0" distB="0" distL="0" distR="0" wp14:anchorId="029DFDB8" wp14:editId="021B2CB3">
            <wp:extent cx="2590800" cy="342900"/>
            <wp:effectExtent l="0" t="0" r="0" b="0"/>
            <wp:docPr id="86505599" name="Picture 86505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590800" cy="342900"/>
                    </a:xfrm>
                    <a:prstGeom prst="rect">
                      <a:avLst/>
                    </a:prstGeom>
                  </pic:spPr>
                </pic:pic>
              </a:graphicData>
            </a:graphic>
          </wp:inline>
        </w:drawing>
      </w:r>
    </w:p>
    <w:p w14:paraId="1B820951" w14:textId="1692E04A" w:rsidR="00D5087D" w:rsidRDefault="00D5087D">
      <w:pPr>
        <w:tabs>
          <w:tab w:val="left" w:pos="810"/>
          <w:tab w:val="left" w:pos="1620"/>
          <w:tab w:val="left" w:pos="4680"/>
        </w:tabs>
        <w:jc w:val="both"/>
      </w:pPr>
    </w:p>
    <w:p w14:paraId="35BE943D" w14:textId="77777777" w:rsidR="00225419" w:rsidRDefault="00225419">
      <w:pPr>
        <w:tabs>
          <w:tab w:val="left" w:pos="810"/>
          <w:tab w:val="left" w:pos="1620"/>
          <w:tab w:val="left" w:pos="4680"/>
        </w:tabs>
        <w:jc w:val="both"/>
      </w:pPr>
    </w:p>
    <w:p w14:paraId="6B49C046" w14:textId="77777777" w:rsidR="00225419" w:rsidRDefault="00225419">
      <w:pPr>
        <w:pStyle w:val="Heading2"/>
      </w:pPr>
      <w:bookmarkStart w:id="22" w:name="_Toc220918010"/>
      <w:r>
        <w:t>Calculation of Net Asset Value</w:t>
      </w:r>
      <w:bookmarkEnd w:id="22"/>
    </w:p>
    <w:p w14:paraId="07622EA6"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5CA45B76" w14:textId="294307FA" w:rsidR="00225419" w:rsidRDefault="18569871" w:rsidP="0537B9E0">
      <w:pPr>
        <w:pStyle w:val="1"/>
        <w:numPr>
          <w:ilvl w:val="0"/>
          <w:numId w:val="37"/>
        </w:numPr>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w:t>
      </w:r>
      <w:r w:rsidR="123FD033">
        <w:t xml:space="preserve">. </w:t>
      </w:r>
      <w:r>
        <w:t>The following formula calculates the NAV of an asset, where A</w:t>
      </w:r>
      <w:r w:rsidRPr="0537B9E0">
        <w:rPr>
          <w:vertAlign w:val="subscript"/>
        </w:rPr>
        <w:t>n</w:t>
      </w:r>
      <w:r>
        <w:t xml:space="preserve"> is the age of the asset (number of completed </w:t>
      </w:r>
      <w:r w:rsidR="17E170F1" w:rsidRPr="0537B9E0">
        <w:rPr>
          <w:b/>
          <w:bCs/>
        </w:rPr>
        <w:t>Financial Years</w:t>
      </w:r>
      <w:r w:rsidRPr="0537B9E0">
        <w:rPr>
          <w:b/>
          <w:bCs/>
        </w:rPr>
        <w:t xml:space="preserve"> </w:t>
      </w:r>
      <w:r>
        <w:t>old) in year n:</w:t>
      </w:r>
      <w:bookmarkEnd w:id="24"/>
    </w:p>
    <w:p w14:paraId="2855B0CF" w14:textId="77777777" w:rsidR="00225419" w:rsidRDefault="00225419">
      <w:pPr>
        <w:pStyle w:val="1"/>
        <w:jc w:val="both"/>
      </w:pPr>
    </w:p>
    <w:p w14:paraId="7A6CC119" w14:textId="66B6E1BF" w:rsidR="00225419" w:rsidRDefault="00225419">
      <w:pPr>
        <w:ind w:firstLine="720"/>
        <w:jc w:val="both"/>
      </w:pPr>
    </w:p>
    <w:p w14:paraId="3938DC5C" w14:textId="77777777" w:rsidR="00225419" w:rsidRDefault="00225419">
      <w:pPr>
        <w:tabs>
          <w:tab w:val="left" w:pos="810"/>
          <w:tab w:val="left" w:pos="1620"/>
          <w:tab w:val="left" w:pos="4680"/>
        </w:tabs>
        <w:jc w:val="both"/>
      </w:pPr>
    </w:p>
    <w:p w14:paraId="556A8E10" w14:textId="57150A10" w:rsidR="00225419" w:rsidRDefault="18569871" w:rsidP="0537B9E0">
      <w:pPr>
        <w:pStyle w:val="1"/>
        <w:numPr>
          <w:ilvl w:val="0"/>
          <w:numId w:val="37"/>
        </w:numPr>
        <w:jc w:val="both"/>
        <w:rPr>
          <w:b/>
          <w:bCs/>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rsidR="00225419">
        <w:fldChar w:fldCharType="begin"/>
      </w:r>
      <w:r w:rsidR="00225419">
        <w:instrText xml:space="preserve"> XE "Depreciation Period" </w:instrText>
      </w:r>
      <w:r w:rsidR="00225419">
        <w:fldChar w:fldCharType="end"/>
      </w:r>
      <w:r>
        <w:t xml:space="preserve"> of 40 years will normally have a NAV in the year of its commissioning of £0.9875m (i.e. a reduction of 1.25%) and in its second year of £0.9625m (i.e. a further reduction of 2.5% or one fortieth of the initial GAV)</w:t>
      </w:r>
      <w:r w:rsidR="4DBF599A">
        <w:t xml:space="preserve">. </w:t>
      </w:r>
      <w:r>
        <w:t>This process will continue with an annual reduction of 2.5% for each year of the asset's life.</w:t>
      </w:r>
      <w:bookmarkStart w:id="29" w:name="_Toc32208926"/>
      <w:bookmarkStart w:id="30" w:name="_Toc44315387"/>
      <w:bookmarkEnd w:id="27"/>
    </w:p>
    <w:p w14:paraId="73D8D114" w14:textId="77777777" w:rsidR="00225419" w:rsidRDefault="00225419">
      <w:pPr>
        <w:pStyle w:val="1"/>
        <w:tabs>
          <w:tab w:val="left" w:pos="-1440"/>
        </w:tabs>
        <w:jc w:val="both"/>
        <w:rPr>
          <w:color w:val="008080"/>
        </w:rPr>
      </w:pPr>
    </w:p>
    <w:p w14:paraId="5FD9E13A" w14:textId="77777777" w:rsidR="00225419" w:rsidRDefault="00225419">
      <w:pPr>
        <w:pStyle w:val="1"/>
        <w:tabs>
          <w:tab w:val="left" w:pos="-1440"/>
        </w:tabs>
        <w:jc w:val="both"/>
        <w:rPr>
          <w:color w:val="008080"/>
        </w:rPr>
      </w:pPr>
    </w:p>
    <w:p w14:paraId="44A25CBD"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3CCA35E"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7CA4056B"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3B70C385" w14:textId="77777777" w:rsidR="00225419" w:rsidRDefault="00225419">
      <w:pPr>
        <w:pStyle w:val="Style"/>
        <w:tabs>
          <w:tab w:val="left" w:pos="810"/>
          <w:tab w:val="left" w:pos="1620"/>
          <w:tab w:val="left" w:pos="4680"/>
        </w:tabs>
        <w:ind w:left="0" w:firstLine="0"/>
        <w:jc w:val="both"/>
      </w:pPr>
    </w:p>
    <w:p w14:paraId="7009A3A6"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3CD80B72" w14:textId="77777777" w:rsidR="00225419" w:rsidRDefault="00225419">
      <w:pPr>
        <w:pStyle w:val="Style"/>
        <w:tabs>
          <w:tab w:val="left" w:pos="810"/>
        </w:tabs>
        <w:ind w:left="720" w:firstLine="0"/>
        <w:jc w:val="both"/>
      </w:pPr>
    </w:p>
    <w:p w14:paraId="473BDCDF" w14:textId="53024EAD" w:rsidR="00225419" w:rsidRDefault="00C92202" w:rsidP="006661FE">
      <w:pPr>
        <w:pStyle w:val="Style"/>
        <w:numPr>
          <w:ilvl w:val="0"/>
          <w:numId w:val="20"/>
        </w:numPr>
        <w:tabs>
          <w:tab w:val="clear" w:pos="360"/>
          <w:tab w:val="num" w:pos="1080"/>
        </w:tabs>
        <w:ind w:left="1080"/>
        <w:jc w:val="both"/>
      </w:pPr>
      <w:r>
        <w:t xml:space="preserve">TOPI </w:t>
      </w:r>
      <w:r w:rsidR="00225419">
        <w:t xml:space="preserve">indexation </w:t>
      </w:r>
    </w:p>
    <w:p w14:paraId="5E95234A" w14:textId="77777777" w:rsidR="00225419" w:rsidRDefault="00225419">
      <w:pPr>
        <w:pStyle w:val="Style"/>
        <w:ind w:left="0" w:firstLine="0"/>
        <w:jc w:val="both"/>
      </w:pPr>
    </w:p>
    <w:p w14:paraId="1A77A447" w14:textId="77777777" w:rsidR="00225419" w:rsidRDefault="18569871" w:rsidP="0537B9E0">
      <w:pPr>
        <w:pStyle w:val="1"/>
        <w:numPr>
          <w:ilvl w:val="0"/>
          <w:numId w:val="37"/>
        </w:numPr>
        <w:jc w:val="both"/>
      </w:pPr>
      <w:bookmarkStart w:id="33" w:name="_Ref469456967"/>
      <w:r>
        <w:t xml:space="preserve">In </w:t>
      </w:r>
      <w:bookmarkStart w:id="34" w:name="Para_2_9"/>
      <w:bookmarkEnd w:id="34"/>
      <w:r>
        <w:t xml:space="preserve">addition </w:t>
      </w:r>
      <w:bookmarkStart w:id="35" w:name="_Int_WyeoAQ2L"/>
      <w:r>
        <w:t>a number of</w:t>
      </w:r>
      <w:bookmarkEnd w:id="35"/>
      <w:r>
        <w:t xml:space="preserve"> options exist:</w:t>
      </w:r>
      <w:bookmarkEnd w:id="33"/>
    </w:p>
    <w:p w14:paraId="7AE5FBD3" w14:textId="77777777" w:rsidR="00225419" w:rsidRDefault="00225419">
      <w:pPr>
        <w:pStyle w:val="Style"/>
        <w:tabs>
          <w:tab w:val="left" w:pos="810"/>
          <w:tab w:val="left" w:pos="1620"/>
          <w:tab w:val="left" w:pos="4680"/>
        </w:tabs>
        <w:ind w:left="0" w:firstLine="0"/>
        <w:jc w:val="both"/>
      </w:pPr>
    </w:p>
    <w:p w14:paraId="63FACB28"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2750A0F7" w14:textId="77777777" w:rsidR="00225419" w:rsidRDefault="00225419">
      <w:pPr>
        <w:pStyle w:val="Style"/>
        <w:tabs>
          <w:tab w:val="left" w:pos="810"/>
          <w:tab w:val="left" w:pos="1620"/>
          <w:tab w:val="left" w:pos="4680"/>
        </w:tabs>
        <w:ind w:firstLine="0"/>
        <w:jc w:val="both"/>
      </w:pPr>
    </w:p>
    <w:p w14:paraId="5B3BD8A1"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21F27B79"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6E778268"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79D2CB7C"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26D5500E"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606CF43D" w14:textId="77777777" w:rsidR="00225419" w:rsidRDefault="00225419">
      <w:pPr>
        <w:pStyle w:val="Style"/>
        <w:tabs>
          <w:tab w:val="left" w:pos="810"/>
          <w:tab w:val="left" w:pos="1620"/>
          <w:tab w:val="left" w:pos="4680"/>
        </w:tabs>
        <w:ind w:left="720" w:firstLine="0"/>
        <w:jc w:val="both"/>
      </w:pPr>
    </w:p>
    <w:p w14:paraId="4EE2A91E" w14:textId="77777777" w:rsidR="00225419" w:rsidRDefault="00225419">
      <w:pPr>
        <w:pStyle w:val="Style"/>
        <w:tabs>
          <w:tab w:val="left" w:pos="810"/>
          <w:tab w:val="left" w:pos="1620"/>
          <w:tab w:val="left" w:pos="4680"/>
        </w:tabs>
        <w:ind w:left="720" w:firstLine="0"/>
        <w:jc w:val="both"/>
      </w:pPr>
      <w:r>
        <w:t>General Formula:</w:t>
      </w:r>
    </w:p>
    <w:p w14:paraId="687EBF62" w14:textId="77777777" w:rsidR="00225419" w:rsidRPr="000D2008" w:rsidRDefault="00225419">
      <w:pPr>
        <w:pStyle w:val="Style"/>
        <w:jc w:val="both"/>
        <w:rPr>
          <w:rFonts w:cs="Arial"/>
          <w:szCs w:val="22"/>
        </w:rPr>
      </w:pPr>
    </w:p>
    <w:p w14:paraId="61810A7C"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2E7C28DD" w14:textId="77777777" w:rsidR="00225419" w:rsidRDefault="00225419">
      <w:pPr>
        <w:pStyle w:val="Style"/>
        <w:ind w:left="0" w:firstLine="0"/>
        <w:jc w:val="both"/>
      </w:pPr>
    </w:p>
    <w:p w14:paraId="6C387CC0" w14:textId="5EA6FE6E" w:rsidR="00225419" w:rsidRDefault="00C92202"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w:t>
      </w:r>
      <w:r>
        <w:t xml:space="preserve"> methods are described further in 14.3.21. As an example, we will assume MEA</w:t>
      </w:r>
      <w:r w:rsidR="00A253D3">
        <w:t xml:space="preserve"> revaluation</w:t>
      </w:r>
      <w:r>
        <w:t xml:space="preserve"> is</w:t>
      </w:r>
      <w:r w:rsidR="00225419">
        <w:t xml:space="preserve"> a 7.5% rate of return, </w:t>
      </w:r>
      <w:r>
        <w:t>and</w:t>
      </w:r>
      <w:r w:rsidR="00225419">
        <w:t xml:space="preserve"> 6% on the </w:t>
      </w:r>
      <w:r>
        <w:t>TOPI revaluation</w:t>
      </w:r>
      <w:r w:rsidR="00225419">
        <w:t xml:space="preserve"> basis;</w:t>
      </w:r>
    </w:p>
    <w:p w14:paraId="4E16C31E" w14:textId="77777777" w:rsidR="00225419" w:rsidRDefault="00225419">
      <w:pPr>
        <w:pStyle w:val="Style"/>
        <w:ind w:left="360" w:firstLine="0"/>
        <w:jc w:val="both"/>
      </w:pPr>
    </w:p>
    <w:p w14:paraId="5A4828FE"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1D5982F9" w14:textId="77777777" w:rsidR="00225419" w:rsidRDefault="00225419">
      <w:pPr>
        <w:pStyle w:val="Style"/>
        <w:ind w:left="360" w:firstLine="0"/>
        <w:jc w:val="both"/>
      </w:pPr>
    </w:p>
    <w:p w14:paraId="0E02571D" w14:textId="77777777" w:rsidR="00225419" w:rsidRDefault="00225419" w:rsidP="006661FE">
      <w:pPr>
        <w:pStyle w:val="Style"/>
        <w:numPr>
          <w:ilvl w:val="0"/>
          <w:numId w:val="25"/>
        </w:numPr>
        <w:tabs>
          <w:tab w:val="clear" w:pos="360"/>
        </w:tabs>
        <w:ind w:left="1080"/>
        <w:jc w:val="both"/>
      </w:pPr>
      <w:r>
        <w:t>annuity based charging;</w:t>
      </w:r>
    </w:p>
    <w:p w14:paraId="0AD4A00C" w14:textId="77777777" w:rsidR="00225419" w:rsidRDefault="00225419">
      <w:pPr>
        <w:pStyle w:val="Style"/>
        <w:ind w:left="720" w:firstLine="0"/>
        <w:jc w:val="both"/>
      </w:pPr>
    </w:p>
    <w:p w14:paraId="1A0C9BCB" w14:textId="67C0A96D" w:rsidR="00225419" w:rsidRDefault="18569871" w:rsidP="006661FE">
      <w:pPr>
        <w:pStyle w:val="Style"/>
        <w:numPr>
          <w:ilvl w:val="0"/>
          <w:numId w:val="26"/>
        </w:numPr>
        <w:tabs>
          <w:tab w:val="clear" w:pos="360"/>
        </w:tabs>
        <w:ind w:left="1080"/>
        <w:jc w:val="both"/>
      </w:pPr>
      <w:r>
        <w:t xml:space="preserve">indexation of GAVs based on principles other than MEA revaluation and </w:t>
      </w:r>
      <w:r w:rsidR="2C8ACCBD">
        <w:t xml:space="preserve">TOPI </w:t>
      </w:r>
      <w:r>
        <w:t>indexation</w:t>
      </w:r>
      <w:r w:rsidR="2B4E8D1E">
        <w:t xml:space="preserve">. </w:t>
      </w:r>
      <w:r>
        <w:t>No alternative forms of indexation have been employed to date.</w:t>
      </w:r>
    </w:p>
    <w:p w14:paraId="70C16D65" w14:textId="77777777" w:rsidR="00225419" w:rsidRDefault="00225419">
      <w:pPr>
        <w:pStyle w:val="1"/>
        <w:tabs>
          <w:tab w:val="left" w:pos="810"/>
        </w:tabs>
        <w:jc w:val="both"/>
      </w:pPr>
    </w:p>
    <w:p w14:paraId="478EB3CD" w14:textId="63235156" w:rsidR="00225419" w:rsidRPr="001F0FA5" w:rsidRDefault="18569871" w:rsidP="0537B9E0">
      <w:pPr>
        <w:pStyle w:val="1"/>
        <w:numPr>
          <w:ilvl w:val="0"/>
          <w:numId w:val="37"/>
        </w:numPr>
        <w:jc w:val="both"/>
        <w:rPr>
          <w:b/>
          <w:bCs/>
        </w:rPr>
      </w:pPr>
      <w:r>
        <w:t>For new connection assets, should a User wish to agree to one or more of the options detailed above, instead of the standard connection terms, the return elements charged by the transmission licensee may also vary to reflect the rebalancing of risk between the transmission licensee and the User</w:t>
      </w:r>
      <w:r w:rsidR="16A6DF90">
        <w:t xml:space="preserve">. </w:t>
      </w:r>
      <w:r>
        <w:t>For example, if Users choose a different indexation method, an appropriate rate of return for such indexation method will be derived.</w:t>
      </w:r>
      <w:bookmarkStart w:id="36" w:name="_Toc32208927"/>
      <w:bookmarkStart w:id="37" w:name="_Toc44315388"/>
    </w:p>
    <w:p w14:paraId="48949FE8" w14:textId="77777777" w:rsidR="001F0FA5" w:rsidRPr="001F0FA5" w:rsidRDefault="001F0FA5" w:rsidP="001F0FA5">
      <w:pPr>
        <w:pStyle w:val="1"/>
        <w:tabs>
          <w:tab w:val="left" w:pos="-1440"/>
        </w:tabs>
        <w:ind w:left="907"/>
        <w:jc w:val="both"/>
        <w:rPr>
          <w:b/>
        </w:rPr>
      </w:pPr>
    </w:p>
    <w:p w14:paraId="08C7585B" w14:textId="78D38935" w:rsidR="001F0FA5" w:rsidRPr="001F0FA5" w:rsidRDefault="23EC42AE" w:rsidP="35F371ED">
      <w:pPr>
        <w:pStyle w:val="1"/>
        <w:numPr>
          <w:ilvl w:val="0"/>
          <w:numId w:val="37"/>
        </w:numPr>
        <w:jc w:val="both"/>
      </w:pPr>
      <w:r>
        <w:t xml:space="preserve">A User can choose to make a capital contribution based on the allocated and depreciated NAV of a commissioned asset. For a capital contribution to take account at the start of </w:t>
      </w:r>
      <w:r w:rsidR="17E170F1" w:rsidRPr="0537B9E0">
        <w:rPr>
          <w:b/>
          <w:bCs/>
        </w:rPr>
        <w:t xml:space="preserve">Financial Year </w:t>
      </w:r>
      <w:r>
        <w:t xml:space="preserve">n, the User may, at most once per year, make a full or partial capital contribution of at least 10% of the NAV prevailing as of 31st March in year n-1. The User shall notify </w:t>
      </w:r>
      <w:r w:rsidR="58867969" w:rsidRPr="0537B9E0">
        <w:rPr>
          <w:b/>
          <w:bCs/>
        </w:rPr>
        <w:t>The</w:t>
      </w:r>
      <w:r w:rsidRPr="0537B9E0">
        <w:rPr>
          <w:b/>
          <w:bCs/>
        </w:rPr>
        <w:t xml:space="preserve"> Company</w:t>
      </w:r>
      <w:r>
        <w:t xml:space="preserve"> of the capital contribution amount no later than 1st September in year n-1, and pay the capital contribution 45 days prior to the start of </w:t>
      </w:r>
      <w:bookmarkStart w:id="38" w:name="_Hlk100667361"/>
      <w:r w:rsidR="17E170F1" w:rsidRPr="0537B9E0">
        <w:rPr>
          <w:b/>
          <w:bCs/>
        </w:rPr>
        <w:t xml:space="preserve">Financial Year </w:t>
      </w:r>
      <w:bookmarkEnd w:id="38"/>
      <w:r>
        <w:t xml:space="preserve">n which will be applied to the NAV prevailing at the start of year n. As the capital component of the connection charge for year n will reduce </w:t>
      </w:r>
      <w:bookmarkStart w:id="39" w:name="_Int_Ow93oxCn"/>
      <w:r>
        <w:t>as a result of</w:t>
      </w:r>
      <w:bookmarkEnd w:id="39"/>
      <w:r>
        <w:t xml:space="preserve"> the capital contribution, a reduced rate of return element will be payable and a lower security requirement will be required in </w:t>
      </w:r>
      <w:r w:rsidR="17E170F1" w:rsidRPr="0537B9E0">
        <w:rPr>
          <w:b/>
          <w:bCs/>
        </w:rPr>
        <w:t xml:space="preserve">Financial Year </w:t>
      </w:r>
      <w:r>
        <w:t>n and subsequent years.</w:t>
      </w:r>
    </w:p>
    <w:p w14:paraId="62956310" w14:textId="77777777" w:rsidR="00225419" w:rsidRDefault="00225419">
      <w:pPr>
        <w:pStyle w:val="1"/>
        <w:tabs>
          <w:tab w:val="left" w:pos="-1440"/>
        </w:tabs>
        <w:jc w:val="both"/>
        <w:rPr>
          <w:b/>
          <w:color w:val="008080"/>
        </w:rPr>
      </w:pPr>
    </w:p>
    <w:p w14:paraId="18064C02" w14:textId="77777777" w:rsidR="00225419" w:rsidRDefault="00225419">
      <w:pPr>
        <w:pStyle w:val="1"/>
        <w:tabs>
          <w:tab w:val="left" w:pos="-1440"/>
        </w:tabs>
        <w:jc w:val="both"/>
        <w:rPr>
          <w:b/>
          <w:color w:val="008080"/>
        </w:rPr>
      </w:pPr>
    </w:p>
    <w:p w14:paraId="449EB17B" w14:textId="77777777" w:rsidR="00225419" w:rsidRDefault="00225419">
      <w:pPr>
        <w:pStyle w:val="Heading2"/>
      </w:pPr>
      <w:bookmarkStart w:id="40" w:name="_Toc220918012"/>
      <w:r>
        <w:t>Capital Components of the Connection charge for Pre Vesting Connection Assets</w:t>
      </w:r>
      <w:bookmarkEnd w:id="36"/>
      <w:bookmarkEnd w:id="37"/>
      <w:bookmarkEnd w:id="40"/>
    </w:p>
    <w:p w14:paraId="170BA3D6" w14:textId="77777777" w:rsidR="00225419" w:rsidRDefault="00225419">
      <w:pPr>
        <w:tabs>
          <w:tab w:val="left" w:pos="810"/>
          <w:tab w:val="left" w:pos="1620"/>
          <w:tab w:val="left" w:pos="4680"/>
        </w:tabs>
        <w:jc w:val="both"/>
      </w:pPr>
    </w:p>
    <w:p w14:paraId="34990EA7" w14:textId="45A271AA" w:rsidR="00225419" w:rsidRDefault="18569871" w:rsidP="0537B9E0">
      <w:pPr>
        <w:pStyle w:val="1"/>
        <w:numPr>
          <w:ilvl w:val="0"/>
          <w:numId w:val="37"/>
        </w:numPr>
        <w:jc w:val="both"/>
      </w:pPr>
      <w:r>
        <w:t>The basis of connection charges for GB assets commissioned on or before 30 March 1990 is broadly the same as the standard terms for connections made since 30 March 1990</w:t>
      </w:r>
      <w:r w:rsidR="1ABFD80F">
        <w:t xml:space="preserve">. </w:t>
      </w:r>
      <w:r>
        <w:t>Specifically charges for pre vesting connection assets are based on the following principles:</w:t>
      </w:r>
    </w:p>
    <w:p w14:paraId="6ED3E233" w14:textId="77777777" w:rsidR="00225419" w:rsidRDefault="00225419">
      <w:pPr>
        <w:pStyle w:val="1"/>
        <w:jc w:val="both"/>
      </w:pPr>
    </w:p>
    <w:p w14:paraId="5199ADF2" w14:textId="4CD995AC"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C92202">
        <w:t xml:space="preserve">TOPI </w:t>
      </w:r>
      <w:r>
        <w:t xml:space="preserve">as used in </w:t>
      </w:r>
      <w:r w:rsidR="00C92202">
        <w:t>the Transmission Owner’s</w:t>
      </w:r>
      <w:r>
        <w:t xml:space="preserve"> Price Control;</w:t>
      </w:r>
    </w:p>
    <w:p w14:paraId="0FB2FAA7" w14:textId="77777777" w:rsidR="00225419" w:rsidRDefault="00225419">
      <w:pPr>
        <w:pStyle w:val="1"/>
        <w:ind w:left="720"/>
        <w:jc w:val="both"/>
      </w:pPr>
    </w:p>
    <w:p w14:paraId="6046950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0ED149BA" w14:textId="77777777" w:rsidR="00225419" w:rsidRDefault="00225419">
      <w:pPr>
        <w:pStyle w:val="1"/>
        <w:ind w:left="720"/>
        <w:jc w:val="both"/>
      </w:pPr>
    </w:p>
    <w:p w14:paraId="0E061FEB" w14:textId="77777777" w:rsidR="00225419" w:rsidRDefault="00225419" w:rsidP="006661FE">
      <w:pPr>
        <w:pStyle w:val="1"/>
        <w:numPr>
          <w:ilvl w:val="0"/>
          <w:numId w:val="21"/>
        </w:numPr>
        <w:tabs>
          <w:tab w:val="clear" w:pos="360"/>
          <w:tab w:val="num" w:pos="1080"/>
        </w:tabs>
        <w:ind w:left="1080"/>
        <w:jc w:val="both"/>
      </w:pPr>
      <w:r>
        <w:t>6% rate of return</w:t>
      </w:r>
    </w:p>
    <w:p w14:paraId="1C032874" w14:textId="77777777" w:rsidR="00225419" w:rsidRDefault="00225419">
      <w:pPr>
        <w:pStyle w:val="1"/>
        <w:jc w:val="both"/>
      </w:pPr>
    </w:p>
    <w:p w14:paraId="4033B8D1" w14:textId="6643BDF2" w:rsidR="00225419" w:rsidRDefault="00225419" w:rsidP="35F371ED">
      <w:pPr>
        <w:pStyle w:val="1"/>
        <w:numPr>
          <w:ilvl w:val="0"/>
          <w:numId w:val="37"/>
        </w:numPr>
        <w:jc w:val="both"/>
      </w:pPr>
      <w:r>
        <w:lastRenderedPageBreak/>
        <w:t xml:space="preserve">Pre-vesting 1996 MEA GAVs for Users’ connection sites are available from </w:t>
      </w:r>
      <w:r w:rsidR="1CE92958" w:rsidRPr="00EC52BD">
        <w:rPr>
          <w:b/>
        </w:rPr>
        <w:t>The Company</w:t>
      </w:r>
      <w:r>
        <w:t xml:space="preserve"> on request from the </w:t>
      </w:r>
      <w:r>
        <w:rPr>
          <w:b/>
        </w:rPr>
        <w:t>Charging Team</w:t>
      </w:r>
      <w:r>
        <w:t>.</w:t>
      </w:r>
    </w:p>
    <w:p w14:paraId="1B45F921" w14:textId="77777777" w:rsidR="00225419" w:rsidRDefault="00225419">
      <w:pPr>
        <w:pStyle w:val="i"/>
        <w:numPr>
          <w:ilvl w:val="0"/>
          <w:numId w:val="0"/>
        </w:numPr>
        <w:jc w:val="both"/>
        <w:rPr>
          <w:color w:val="008080"/>
        </w:rPr>
      </w:pPr>
    </w:p>
    <w:p w14:paraId="66731A3D" w14:textId="77777777" w:rsidR="00225419" w:rsidRDefault="00225419">
      <w:pPr>
        <w:pStyle w:val="Heading2"/>
      </w:pPr>
      <w:bookmarkStart w:id="41" w:name="_Toc32208928"/>
      <w:bookmarkStart w:id="42" w:name="_Toc44315389"/>
      <w:bookmarkStart w:id="43" w:name="_Toc220918013"/>
      <w:r>
        <w:t>Non-Capital Components - Charging for Maintenance</w:t>
      </w:r>
      <w:r>
        <w:fldChar w:fldCharType="begin"/>
      </w:r>
      <w:r>
        <w:instrText xml:space="preserve"> XE "Maintenance" </w:instrText>
      </w:r>
      <w:r>
        <w:fldChar w:fldCharType="end"/>
      </w:r>
      <w:r>
        <w:t xml:space="preserve"> and Transmission Running Costs</w:t>
      </w:r>
      <w:bookmarkEnd w:id="41"/>
      <w:bookmarkEnd w:id="42"/>
      <w:bookmarkEnd w:id="43"/>
    </w:p>
    <w:p w14:paraId="68C2794A"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7B3F1A4" w14:textId="65EA1EC3" w:rsidR="00225419" w:rsidRDefault="18569871" w:rsidP="0537B9E0">
      <w:pPr>
        <w:pStyle w:val="1"/>
        <w:numPr>
          <w:ilvl w:val="0"/>
          <w:numId w:val="37"/>
        </w:numPr>
        <w:jc w:val="both"/>
      </w:pPr>
      <w:r>
        <w:t>The non-capital component of the connection charge is divided into two parts, as set out below</w:t>
      </w:r>
      <w:r w:rsidR="247124D0">
        <w:t xml:space="preserve">. </w:t>
      </w:r>
      <w:bookmarkStart w:id="44" w:name="_Int_7DEsm87N"/>
      <w:r>
        <w:t>Both of these</w:t>
      </w:r>
      <w:bookmarkEnd w:id="44"/>
      <w:r>
        <w:t xml:space="preserve"> non-capital elements will normally be identified in the charging appendices of relevant Bilateral Agreements.</w:t>
      </w:r>
    </w:p>
    <w:p w14:paraId="1D49C752" w14:textId="77777777" w:rsidR="00225419" w:rsidRDefault="00225419">
      <w:pPr>
        <w:pStyle w:val="Style"/>
        <w:tabs>
          <w:tab w:val="left" w:pos="810"/>
          <w:tab w:val="left" w:pos="1620"/>
          <w:tab w:val="left" w:pos="4680"/>
        </w:tabs>
        <w:ind w:left="0" w:firstLine="0"/>
        <w:jc w:val="both"/>
      </w:pPr>
    </w:p>
    <w:p w14:paraId="327044BF" w14:textId="77777777" w:rsidR="00225419" w:rsidRDefault="00225419">
      <w:pPr>
        <w:pStyle w:val="Style"/>
        <w:tabs>
          <w:tab w:val="left" w:pos="810"/>
          <w:tab w:val="left" w:pos="1620"/>
          <w:tab w:val="left" w:pos="4680"/>
        </w:tabs>
        <w:ind w:left="0" w:firstLine="0"/>
        <w:jc w:val="both"/>
      </w:pPr>
    </w:p>
    <w:p w14:paraId="180A1075" w14:textId="77777777" w:rsidR="00225419" w:rsidRDefault="00225419">
      <w:pPr>
        <w:pStyle w:val="Heading2"/>
      </w:pPr>
      <w:bookmarkStart w:id="45" w:name="_Toc220918014"/>
      <w:r>
        <w:t>Part A: Site Specific Maintenance Charges</w:t>
      </w:r>
      <w:bookmarkEnd w:id="45"/>
    </w:p>
    <w:p w14:paraId="55260D67" w14:textId="77777777" w:rsidR="00225419" w:rsidRDefault="00225419">
      <w:pPr>
        <w:pStyle w:val="Style"/>
        <w:tabs>
          <w:tab w:val="left" w:pos="810"/>
          <w:tab w:val="left" w:pos="1620"/>
          <w:tab w:val="left" w:pos="4680"/>
        </w:tabs>
        <w:ind w:left="0" w:firstLine="0"/>
        <w:jc w:val="both"/>
      </w:pPr>
    </w:p>
    <w:p w14:paraId="2FDD0B66"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4E0B1FDF" w14:textId="77777777" w:rsidR="00225419" w:rsidRDefault="00225419">
      <w:pPr>
        <w:pStyle w:val="1"/>
        <w:tabs>
          <w:tab w:val="left" w:pos="-1440"/>
        </w:tabs>
        <w:jc w:val="both"/>
      </w:pPr>
    </w:p>
    <w:p w14:paraId="1BD2835C" w14:textId="1225BA77" w:rsidR="00225419" w:rsidRDefault="18569871" w:rsidP="0537B9E0">
      <w:pPr>
        <w:pStyle w:val="1"/>
        <w:numPr>
          <w:ilvl w:val="0"/>
          <w:numId w:val="37"/>
        </w:numPr>
        <w:jc w:val="both"/>
      </w:pPr>
      <w:r>
        <w:t>Site-specific maintenance charges will be calculated each year based on the forecast total site specific maintenance for NETS divided by the total GAV of the transmission licensees NETS connection assets, to arrive at a percentage of total GAV</w:t>
      </w:r>
      <w:r w:rsidR="50B3C73F">
        <w:t xml:space="preserve">. </w:t>
      </w:r>
      <w:r>
        <w:t>For 2010/11 this will be 0.52%</w:t>
      </w:r>
      <w:r w:rsidR="002CD93B">
        <w:t xml:space="preserve">. </w:t>
      </w:r>
      <w:r>
        <w:t xml:space="preserve">For the avoidance of doubt, there will be no reconciliation of the site-specific maintenance charge. </w:t>
      </w:r>
    </w:p>
    <w:p w14:paraId="76060FA0" w14:textId="77777777" w:rsidR="00225419" w:rsidRDefault="00225419">
      <w:pPr>
        <w:jc w:val="both"/>
        <w:rPr>
          <w:i/>
          <w:color w:val="008080"/>
        </w:rPr>
      </w:pPr>
    </w:p>
    <w:p w14:paraId="61925799" w14:textId="77777777" w:rsidR="00225419" w:rsidRDefault="00225419">
      <w:pPr>
        <w:jc w:val="both"/>
        <w:rPr>
          <w:i/>
          <w:color w:val="008080"/>
        </w:rPr>
      </w:pPr>
    </w:p>
    <w:p w14:paraId="463766C4" w14:textId="77777777" w:rsidR="00225419" w:rsidRDefault="00225419">
      <w:pPr>
        <w:pStyle w:val="Heading2"/>
      </w:pPr>
      <w:bookmarkStart w:id="46" w:name="_Toc220918015"/>
      <w:r>
        <w:t>Part B: Transmission Running Costs</w:t>
      </w:r>
      <w:bookmarkEnd w:id="46"/>
    </w:p>
    <w:p w14:paraId="566E5367" w14:textId="77777777" w:rsidR="00225419" w:rsidRDefault="00225419">
      <w:pPr>
        <w:jc w:val="both"/>
        <w:rPr>
          <w:i/>
        </w:rPr>
      </w:pPr>
      <w:r>
        <w:rPr>
          <w:i/>
        </w:rPr>
        <w:t xml:space="preserve"> </w:t>
      </w:r>
    </w:p>
    <w:p w14:paraId="61828D54" w14:textId="7A914EFE" w:rsidR="00225419" w:rsidRPr="00094C68" w:rsidRDefault="18569871" w:rsidP="006661FE">
      <w:pPr>
        <w:numPr>
          <w:ilvl w:val="0"/>
          <w:numId w:val="37"/>
        </w:numPr>
        <w:jc w:val="both"/>
        <w:rPr>
          <w:rFonts w:ascii="Arial" w:hAnsi="Arial" w:cs="Arial"/>
          <w:sz w:val="22"/>
          <w:szCs w:val="22"/>
        </w:rPr>
      </w:pPr>
      <w:r w:rsidRPr="0537B9E0">
        <w:rPr>
          <w:rFonts w:ascii="Arial" w:hAnsi="Arial" w:cs="Arial"/>
          <w:sz w:val="22"/>
          <w:szCs w:val="22"/>
        </w:rPr>
        <w:t>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w:t>
      </w:r>
      <w:r w:rsidR="71F6C447" w:rsidRPr="0537B9E0">
        <w:rPr>
          <w:rFonts w:ascii="Arial" w:hAnsi="Arial" w:cs="Arial"/>
          <w:sz w:val="22"/>
          <w:szCs w:val="22"/>
        </w:rPr>
        <w:t xml:space="preserve">. </w:t>
      </w:r>
    </w:p>
    <w:p w14:paraId="6874B378" w14:textId="77777777" w:rsidR="00225419" w:rsidRPr="00094C68" w:rsidRDefault="00225419">
      <w:pPr>
        <w:jc w:val="both"/>
        <w:rPr>
          <w:rFonts w:ascii="Arial" w:hAnsi="Arial" w:cs="Arial"/>
          <w:sz w:val="22"/>
          <w:szCs w:val="22"/>
        </w:rPr>
      </w:pPr>
    </w:p>
    <w:p w14:paraId="6015E845" w14:textId="07FEC72A" w:rsidR="00225419" w:rsidRPr="00094C68" w:rsidRDefault="18569871" w:rsidP="006661FE">
      <w:pPr>
        <w:numPr>
          <w:ilvl w:val="0"/>
          <w:numId w:val="37"/>
        </w:numPr>
        <w:jc w:val="both"/>
        <w:rPr>
          <w:rFonts w:ascii="Arial" w:hAnsi="Arial" w:cs="Arial"/>
          <w:sz w:val="22"/>
          <w:szCs w:val="22"/>
        </w:rPr>
      </w:pPr>
      <w:r w:rsidRPr="00094C68">
        <w:rPr>
          <w:rFonts w:ascii="Arial" w:hAnsi="Arial" w:cs="Arial"/>
          <w:sz w:val="22"/>
          <w:szCs w:val="22"/>
        </w:rPr>
        <w:t>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w:t>
      </w:r>
      <w:r w:rsidR="3C3E08BA" w:rsidRPr="00094C68">
        <w:rPr>
          <w:rFonts w:ascii="Arial" w:hAnsi="Arial" w:cs="Arial"/>
          <w:sz w:val="22"/>
          <w:szCs w:val="22"/>
        </w:rPr>
        <w:t xml:space="preserve">. </w:t>
      </w:r>
      <w:r w:rsidRPr="00094C68">
        <w:rPr>
          <w:rFonts w:ascii="Arial" w:hAnsi="Arial" w:cs="Arial"/>
          <w:sz w:val="22"/>
          <w:szCs w:val="22"/>
        </w:rPr>
        <w:t>This cost factor is therefore expressed as a percentage of an asset's GAV and will be fixed for the entirety of the price control period</w:t>
      </w:r>
      <w:r w:rsidR="01AF5648" w:rsidRPr="00094C68">
        <w:rPr>
          <w:rFonts w:ascii="Arial" w:hAnsi="Arial" w:cs="Arial"/>
          <w:sz w:val="22"/>
          <w:szCs w:val="22"/>
        </w:rPr>
        <w:t xml:space="preserve">. </w:t>
      </w:r>
      <w:r w:rsidR="55FACC57" w:rsidRPr="00B626A3">
        <w:rPr>
          <w:rFonts w:ascii="Arial" w:hAnsi="Arial" w:cs="Arial"/>
          <w:color w:val="000000" w:themeColor="text1"/>
          <w:sz w:val="22"/>
          <w:szCs w:val="22"/>
        </w:rPr>
        <w:t xml:space="preserve">The currently applicable TRC factor, calculated as above, is detailed in </w:t>
      </w:r>
      <w:r w:rsidR="58867969" w:rsidRPr="35F371ED">
        <w:rPr>
          <w:rFonts w:ascii="Arial" w:hAnsi="Arial" w:cs="Arial"/>
          <w:b/>
          <w:bCs/>
          <w:color w:val="000000" w:themeColor="text1"/>
          <w:sz w:val="22"/>
          <w:szCs w:val="22"/>
        </w:rPr>
        <w:t xml:space="preserve">The </w:t>
      </w:r>
      <w:r w:rsidR="55FACC57" w:rsidRPr="0537B9E0">
        <w:rPr>
          <w:rFonts w:ascii="Arial" w:hAnsi="Arial" w:cs="Arial"/>
          <w:b/>
          <w:bCs/>
          <w:color w:val="000000" w:themeColor="text1"/>
          <w:sz w:val="22"/>
          <w:szCs w:val="22"/>
        </w:rPr>
        <w:t>Company's Statement of Use of System Charges</w:t>
      </w:r>
      <w:r w:rsidR="55FACC57" w:rsidRPr="00B626A3">
        <w:rPr>
          <w:rFonts w:ascii="Arial" w:hAnsi="Arial" w:cs="Arial"/>
          <w:color w:val="000000" w:themeColor="text1"/>
          <w:sz w:val="22"/>
          <w:szCs w:val="22"/>
        </w:rPr>
        <w:t xml:space="preserve"> which is available from the </w:t>
      </w:r>
      <w:r w:rsidR="55FACC57" w:rsidRPr="0537B9E0">
        <w:rPr>
          <w:rFonts w:ascii="Arial" w:hAnsi="Arial" w:cs="Arial"/>
          <w:b/>
          <w:bCs/>
          <w:color w:val="000000" w:themeColor="text1"/>
          <w:sz w:val="22"/>
          <w:szCs w:val="22"/>
        </w:rPr>
        <w:t>Charging website</w:t>
      </w:r>
      <w:r w:rsidR="00B626A3" w:rsidRPr="0537B9E0">
        <w:rPr>
          <w:rStyle w:val="FootnoteReference"/>
          <w:rFonts w:ascii="Arial (W1)" w:hAnsi="Arial (W1)"/>
          <w:b/>
          <w:bCs/>
          <w:sz w:val="22"/>
          <w:szCs w:val="22"/>
          <w:vertAlign w:val="superscript"/>
          <w:lang w:eastAsia="en-US"/>
        </w:rPr>
        <w:footnoteReference w:id="2"/>
      </w:r>
      <w:r w:rsidR="55FACC57" w:rsidRPr="0537B9E0">
        <w:rPr>
          <w:b/>
          <w:bCs/>
        </w:rPr>
        <w:t>.</w:t>
      </w:r>
      <w:r w:rsidR="55FACC57" w:rsidRPr="00094C68" w:rsidDel="00B626A3">
        <w:rPr>
          <w:rFonts w:ascii="Arial" w:hAnsi="Arial" w:cs="Arial"/>
          <w:sz w:val="22"/>
          <w:szCs w:val="22"/>
        </w:rPr>
        <w:t xml:space="preserve"> </w:t>
      </w:r>
    </w:p>
    <w:p w14:paraId="437C8B90" w14:textId="77777777" w:rsidR="00225419" w:rsidRPr="00094C68" w:rsidRDefault="00225419">
      <w:pPr>
        <w:jc w:val="both"/>
        <w:rPr>
          <w:rFonts w:ascii="Arial" w:hAnsi="Arial" w:cs="Arial"/>
          <w:sz w:val="22"/>
          <w:szCs w:val="22"/>
        </w:rPr>
      </w:pPr>
    </w:p>
    <w:p w14:paraId="1C02EDC1" w14:textId="1BC2103F"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3341EE" w:rsidRPr="00460B1E">
        <w:rPr>
          <w:rFonts w:ascii="Arial" w:hAnsi="Arial" w:cs="Arial"/>
          <w:color w:val="000000" w:themeColor="text1"/>
          <w:sz w:val="22"/>
          <w:szCs w:val="22"/>
        </w:rPr>
        <w:t xml:space="preserve">the 2010/11 </w:t>
      </w:r>
      <w:r w:rsidRPr="00094C68">
        <w:rPr>
          <w:rFonts w:ascii="Arial" w:hAnsi="Arial" w:cs="Arial"/>
          <w:sz w:val="22"/>
          <w:szCs w:val="22"/>
        </w:rPr>
        <w:t xml:space="preserve">GB TRC </w:t>
      </w:r>
      <w:r w:rsidR="00460B1E" w:rsidRPr="00460B1E">
        <w:rPr>
          <w:rFonts w:ascii="Arial" w:hAnsi="Arial" w:cs="Arial"/>
          <w:color w:val="000000" w:themeColor="text1"/>
          <w:sz w:val="22"/>
          <w:szCs w:val="22"/>
        </w:rPr>
        <w:t xml:space="preserve">value </w:t>
      </w:r>
      <w:r w:rsidRPr="00094C68">
        <w:rPr>
          <w:rFonts w:ascii="Arial" w:hAnsi="Arial" w:cs="Arial"/>
          <w:sz w:val="22"/>
          <w:szCs w:val="22"/>
        </w:rPr>
        <w:t>of 1.45%:</w:t>
      </w:r>
    </w:p>
    <w:p w14:paraId="3767C1CE" w14:textId="77777777" w:rsidR="00225419" w:rsidRPr="00094C68" w:rsidRDefault="00225419">
      <w:pPr>
        <w:jc w:val="both"/>
        <w:rPr>
          <w:rFonts w:ascii="Arial" w:hAnsi="Arial" w:cs="Arial"/>
          <w:sz w:val="22"/>
          <w:szCs w:val="22"/>
        </w:rPr>
      </w:pPr>
    </w:p>
    <w:p w14:paraId="2282DA9F"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1109D6FD" w14:textId="77777777" w:rsidR="00225419" w:rsidRPr="00094C68" w:rsidRDefault="00225419" w:rsidP="006661FE">
      <w:pPr>
        <w:ind w:left="187"/>
        <w:jc w:val="both"/>
        <w:rPr>
          <w:rFonts w:ascii="Arial" w:hAnsi="Arial" w:cs="Arial"/>
          <w:sz w:val="22"/>
          <w:szCs w:val="22"/>
        </w:rPr>
      </w:pPr>
    </w:p>
    <w:p w14:paraId="4189577D"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4CEE3D5C"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72710055" w14:textId="77777777" w:rsidTr="006661FE">
        <w:tc>
          <w:tcPr>
            <w:tcW w:w="3753" w:type="dxa"/>
          </w:tcPr>
          <w:p w14:paraId="6AB4E24A"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85A11FE"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6ABED957" w14:textId="77777777" w:rsidTr="006661FE">
        <w:tc>
          <w:tcPr>
            <w:tcW w:w="3753" w:type="dxa"/>
          </w:tcPr>
          <w:p w14:paraId="7426AC85"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0AB55D09"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41A0AA10" w14:textId="77777777" w:rsidTr="006661FE">
        <w:tc>
          <w:tcPr>
            <w:tcW w:w="3753" w:type="dxa"/>
          </w:tcPr>
          <w:p w14:paraId="36A4CBDA"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6B2D3D97"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4BA90A58" w14:textId="77777777" w:rsidR="00225419" w:rsidRPr="00094C68" w:rsidRDefault="00225419" w:rsidP="006661FE">
      <w:pPr>
        <w:ind w:left="187"/>
        <w:jc w:val="both"/>
        <w:rPr>
          <w:rFonts w:ascii="Arial" w:hAnsi="Arial" w:cs="Arial"/>
          <w:sz w:val="22"/>
          <w:szCs w:val="22"/>
        </w:rPr>
      </w:pPr>
    </w:p>
    <w:p w14:paraId="2EFEA657"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7A401F4F"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5AE171C2" w14:textId="77777777" w:rsidTr="006661FE">
        <w:tc>
          <w:tcPr>
            <w:tcW w:w="3753" w:type="dxa"/>
          </w:tcPr>
          <w:p w14:paraId="08FE136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163A6FD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72E0D6FF" w14:textId="77777777" w:rsidTr="006661FE">
        <w:tc>
          <w:tcPr>
            <w:tcW w:w="3753" w:type="dxa"/>
          </w:tcPr>
          <w:p w14:paraId="15D5F379"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Hydro Transmission Ltd</w:t>
            </w:r>
          </w:p>
        </w:tc>
        <w:tc>
          <w:tcPr>
            <w:tcW w:w="840" w:type="dxa"/>
          </w:tcPr>
          <w:p w14:paraId="4BEA342F"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2E769E09" w14:textId="77777777" w:rsidTr="006661FE">
        <w:tc>
          <w:tcPr>
            <w:tcW w:w="3753" w:type="dxa"/>
          </w:tcPr>
          <w:p w14:paraId="36A4F25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70F2D231"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1799790B" w14:textId="77777777" w:rsidR="00225419" w:rsidRPr="00094C68" w:rsidRDefault="00225419" w:rsidP="006661FE">
      <w:pPr>
        <w:ind w:left="187" w:firstLine="720"/>
        <w:jc w:val="both"/>
        <w:rPr>
          <w:rFonts w:ascii="Arial" w:hAnsi="Arial" w:cs="Arial"/>
          <w:sz w:val="22"/>
          <w:szCs w:val="22"/>
        </w:rPr>
      </w:pPr>
    </w:p>
    <w:p w14:paraId="75C55031" w14:textId="77777777" w:rsidR="00225419" w:rsidRPr="00094C68" w:rsidRDefault="00225419" w:rsidP="006661FE">
      <w:pPr>
        <w:ind w:left="187" w:firstLine="720"/>
        <w:jc w:val="both"/>
        <w:rPr>
          <w:rFonts w:ascii="Arial" w:hAnsi="Arial" w:cs="Arial"/>
          <w:sz w:val="22"/>
          <w:szCs w:val="22"/>
        </w:rPr>
      </w:pPr>
    </w:p>
    <w:p w14:paraId="2DA266A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4A490270" w14:textId="77777777" w:rsidR="00225419" w:rsidRPr="00094C68" w:rsidRDefault="00225419" w:rsidP="006661FE">
      <w:pPr>
        <w:ind w:left="187" w:firstLine="720"/>
        <w:jc w:val="both"/>
        <w:rPr>
          <w:rFonts w:ascii="Arial" w:hAnsi="Arial" w:cs="Arial"/>
          <w:sz w:val="22"/>
          <w:szCs w:val="22"/>
        </w:rPr>
      </w:pPr>
    </w:p>
    <w:p w14:paraId="6DEF607F"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1355D1DD" w14:textId="77777777" w:rsidR="00225419" w:rsidRPr="00094C68" w:rsidRDefault="00225419" w:rsidP="006661FE">
      <w:pPr>
        <w:ind w:left="187" w:firstLine="720"/>
        <w:jc w:val="both"/>
        <w:rPr>
          <w:rFonts w:ascii="Arial" w:hAnsi="Arial" w:cs="Arial"/>
          <w:sz w:val="22"/>
          <w:szCs w:val="22"/>
        </w:rPr>
      </w:pPr>
    </w:p>
    <w:p w14:paraId="5E60CA26"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4237FCDB" w14:textId="77777777" w:rsidR="00225419" w:rsidRPr="00094C68" w:rsidRDefault="00225419" w:rsidP="006661FE">
      <w:pPr>
        <w:ind w:left="187" w:firstLine="720"/>
        <w:jc w:val="both"/>
        <w:rPr>
          <w:rFonts w:ascii="Arial" w:hAnsi="Arial" w:cs="Arial"/>
          <w:sz w:val="22"/>
          <w:szCs w:val="22"/>
        </w:rPr>
      </w:pPr>
    </w:p>
    <w:p w14:paraId="78EC2A5B"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721EC3B" w14:textId="77777777" w:rsidR="00225419" w:rsidRPr="00094C68" w:rsidRDefault="00225419" w:rsidP="006661FE">
      <w:pPr>
        <w:ind w:left="187" w:firstLine="720"/>
        <w:jc w:val="both"/>
        <w:rPr>
          <w:rFonts w:ascii="Arial" w:hAnsi="Arial" w:cs="Arial"/>
          <w:sz w:val="22"/>
          <w:szCs w:val="22"/>
        </w:rPr>
      </w:pPr>
    </w:p>
    <w:p w14:paraId="0B7060FD"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71457D4F" w14:textId="77777777" w:rsidR="00225419" w:rsidRPr="00094C68" w:rsidRDefault="00225419" w:rsidP="006661FE">
      <w:pPr>
        <w:ind w:left="187" w:firstLine="720"/>
        <w:jc w:val="both"/>
        <w:rPr>
          <w:rFonts w:ascii="Arial" w:hAnsi="Arial" w:cs="Arial"/>
          <w:sz w:val="22"/>
          <w:szCs w:val="22"/>
        </w:rPr>
      </w:pPr>
    </w:p>
    <w:p w14:paraId="11E530C5"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208CACCA" w14:textId="77777777" w:rsidR="00225419" w:rsidRPr="00094C68" w:rsidRDefault="00225419" w:rsidP="006661FE">
      <w:pPr>
        <w:rPr>
          <w:rFonts w:ascii="Arial" w:hAnsi="Arial" w:cs="Arial"/>
          <w:sz w:val="22"/>
          <w:szCs w:val="22"/>
        </w:rPr>
      </w:pPr>
    </w:p>
    <w:p w14:paraId="4FCD9633" w14:textId="77777777" w:rsidR="00225419" w:rsidRPr="00094C68" w:rsidRDefault="00225419" w:rsidP="006661FE">
      <w:pPr>
        <w:rPr>
          <w:rFonts w:ascii="Arial" w:hAnsi="Arial" w:cs="Arial"/>
          <w:sz w:val="22"/>
          <w:szCs w:val="22"/>
        </w:rPr>
      </w:pPr>
    </w:p>
    <w:p w14:paraId="1D08140C" w14:textId="77777777" w:rsidR="00225419" w:rsidRPr="00094C68" w:rsidRDefault="00225419">
      <w:pPr>
        <w:pStyle w:val="Heading2"/>
        <w:rPr>
          <w:rFonts w:ascii="Arial" w:hAnsi="Arial" w:cs="Arial"/>
          <w:szCs w:val="22"/>
        </w:rPr>
      </w:pPr>
      <w:bookmarkStart w:id="47" w:name="_Toc220918016"/>
      <w:r w:rsidRPr="00094C68">
        <w:rPr>
          <w:rFonts w:ascii="Arial" w:hAnsi="Arial" w:cs="Arial"/>
          <w:szCs w:val="22"/>
        </w:rPr>
        <w:t>The Basic Annual Connection Charge Formula</w:t>
      </w:r>
      <w:bookmarkEnd w:id="47"/>
    </w:p>
    <w:p w14:paraId="59F5CAF4" w14:textId="77777777" w:rsidR="00225419" w:rsidRPr="00094C68" w:rsidRDefault="00225419">
      <w:pPr>
        <w:pStyle w:val="1"/>
        <w:tabs>
          <w:tab w:val="left" w:pos="-1440"/>
        </w:tabs>
        <w:jc w:val="both"/>
        <w:rPr>
          <w:rFonts w:ascii="Arial" w:hAnsi="Arial" w:cs="Arial"/>
          <w:szCs w:val="22"/>
        </w:rPr>
      </w:pPr>
    </w:p>
    <w:p w14:paraId="4577CE21" w14:textId="372680E2" w:rsidR="00225419" w:rsidRPr="00094C68" w:rsidRDefault="00225419" w:rsidP="006661FE">
      <w:pPr>
        <w:pStyle w:val="1"/>
        <w:numPr>
          <w:ilvl w:val="0"/>
          <w:numId w:val="37"/>
        </w:numPr>
        <w:tabs>
          <w:tab w:val="left" w:pos="-1440"/>
        </w:tabs>
        <w:jc w:val="both"/>
        <w:rPr>
          <w:rFonts w:ascii="Arial" w:hAnsi="Arial" w:cs="Arial"/>
          <w:szCs w:val="22"/>
        </w:rPr>
      </w:pPr>
      <w:bookmarkStart w:id="48" w:name="_Hlt32209703"/>
      <w:bookmarkStart w:id="49" w:name="_Ref500843438"/>
      <w:bookmarkEnd w:id="48"/>
      <w:r w:rsidRPr="00094C68">
        <w:rPr>
          <w:rFonts w:ascii="Arial" w:hAnsi="Arial" w:cs="Arial"/>
          <w:szCs w:val="22"/>
        </w:rPr>
        <w:t xml:space="preserve">The </w:t>
      </w:r>
      <w:bookmarkStart w:id="50" w:name="Para_2_22"/>
      <w:bookmarkEnd w:id="50"/>
      <w:r w:rsidRPr="00094C68">
        <w:rPr>
          <w:rFonts w:ascii="Arial" w:hAnsi="Arial" w:cs="Arial"/>
          <w:szCs w:val="22"/>
        </w:rPr>
        <w:t xml:space="preserve">charge for each connection asset </w:t>
      </w:r>
      <w:r w:rsidR="00AD4509" w:rsidRPr="00AD4509">
        <w:rPr>
          <w:b/>
          <w:bCs/>
        </w:rPr>
        <w:t xml:space="preserve">Financial Year </w:t>
      </w:r>
      <w:r w:rsidRPr="00094C68">
        <w:rPr>
          <w:rFonts w:ascii="Arial" w:hAnsi="Arial" w:cs="Arial"/>
          <w:szCs w:val="22"/>
        </w:rPr>
        <w:t>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9"/>
    </w:p>
    <w:p w14:paraId="202B9983" w14:textId="77777777" w:rsidR="00225419" w:rsidRPr="00094C68" w:rsidRDefault="00225419">
      <w:pPr>
        <w:tabs>
          <w:tab w:val="left" w:pos="810"/>
          <w:tab w:val="left" w:pos="1620"/>
          <w:tab w:val="left" w:pos="4680"/>
        </w:tabs>
        <w:jc w:val="both"/>
        <w:rPr>
          <w:rFonts w:ascii="Arial" w:hAnsi="Arial" w:cs="Arial"/>
          <w:sz w:val="22"/>
          <w:szCs w:val="22"/>
        </w:rPr>
      </w:pPr>
    </w:p>
    <w:p w14:paraId="43AD020B" w14:textId="689A935B"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D56886">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5F343676"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711A3E3B"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16D256D2"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1E5973A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68B6C4CD" w14:textId="77777777" w:rsidR="00225419" w:rsidRPr="00094C68" w:rsidRDefault="00225419" w:rsidP="006661FE">
      <w:pPr>
        <w:tabs>
          <w:tab w:val="left" w:pos="1843"/>
          <w:tab w:val="left" w:pos="2552"/>
        </w:tabs>
        <w:ind w:left="1418"/>
        <w:jc w:val="both"/>
        <w:rPr>
          <w:rFonts w:ascii="Arial" w:hAnsi="Arial" w:cs="Arial"/>
          <w:sz w:val="22"/>
          <w:szCs w:val="22"/>
        </w:rPr>
      </w:pPr>
    </w:p>
    <w:p w14:paraId="46A8E55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5872C731"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4650906C" w14:textId="298B57C2" w:rsidR="00225419" w:rsidRPr="00094C68" w:rsidRDefault="00D56886"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Pr="00094C68">
        <w:rPr>
          <w:rFonts w:ascii="Arial" w:hAnsi="Arial" w:cs="Arial"/>
          <w:sz w:val="22"/>
          <w:szCs w:val="22"/>
        </w:rPr>
        <w:t xml:space="preserve"> </w:t>
      </w:r>
      <w:r w:rsidR="00225419" w:rsidRPr="00094C68">
        <w:rPr>
          <w:rFonts w:ascii="Arial" w:hAnsi="Arial" w:cs="Arial"/>
          <w:sz w:val="22"/>
          <w:szCs w:val="22"/>
        </w:rPr>
        <w:t>indexation</w:t>
      </w:r>
    </w:p>
    <w:p w14:paraId="1BC14F1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6204B0C6"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68FE8055" w14:textId="77354CDB" w:rsidR="0038021A"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9C7FAF">
        <w:rPr>
          <w:rFonts w:ascii="Arial" w:hAnsi="Arial" w:cs="Arial"/>
          <w:sz w:val="22"/>
          <w:szCs w:val="22"/>
        </w:rPr>
        <w:t xml:space="preserve"> </w:t>
      </w:r>
    </w:p>
    <w:p w14:paraId="068E2602" w14:textId="17ECEC63" w:rsidR="00225419" w:rsidRDefault="009C7FAF" w:rsidP="00A64767">
      <w:pPr>
        <w:tabs>
          <w:tab w:val="left" w:pos="1843"/>
        </w:tabs>
        <w:ind w:left="1418"/>
        <w:jc w:val="both"/>
        <w:rPr>
          <w:rFonts w:ascii="Arial" w:hAnsi="Arial" w:cs="Arial"/>
          <w:sz w:val="22"/>
          <w:szCs w:val="22"/>
        </w:rPr>
      </w:pPr>
      <w:r>
        <w:rPr>
          <w:rFonts w:ascii="Arial" w:hAnsi="Arial" w:cs="Arial"/>
          <w:sz w:val="22"/>
          <w:szCs w:val="22"/>
        </w:rPr>
        <w:t xml:space="preserve">For assets subject to </w:t>
      </w:r>
      <w:r w:rsidR="00D56886">
        <w:rPr>
          <w:rFonts w:ascii="Arial" w:hAnsi="Arial" w:cs="Arial"/>
          <w:sz w:val="22"/>
          <w:szCs w:val="22"/>
        </w:rPr>
        <w:t>TOPI</w:t>
      </w:r>
      <w:r>
        <w:rPr>
          <w:rFonts w:ascii="Arial" w:hAnsi="Arial" w:cs="Arial"/>
          <w:sz w:val="22"/>
          <w:szCs w:val="22"/>
        </w:rPr>
        <w:t xml:space="preserve"> indexation, the real pre-tax Weighted Average Cost of Cap</w:t>
      </w:r>
      <w:r w:rsidR="0038021A">
        <w:rPr>
          <w:rFonts w:ascii="Arial" w:hAnsi="Arial" w:cs="Arial"/>
          <w:sz w:val="22"/>
          <w:szCs w:val="22"/>
        </w:rPr>
        <w:t>ital for the Relevant Transmission Licensee for year n (WACCn).</w:t>
      </w:r>
    </w:p>
    <w:p w14:paraId="1654C823" w14:textId="77777777" w:rsidR="0038021A" w:rsidRDefault="0038021A" w:rsidP="0038021A">
      <w:pPr>
        <w:tabs>
          <w:tab w:val="left" w:pos="1843"/>
        </w:tabs>
        <w:ind w:left="1418"/>
        <w:jc w:val="both"/>
        <w:rPr>
          <w:rFonts w:ascii="Arial" w:hAnsi="Arial" w:cs="Arial"/>
          <w:sz w:val="22"/>
          <w:szCs w:val="22"/>
        </w:rPr>
      </w:pPr>
    </w:p>
    <w:p w14:paraId="4D8E9D0A" w14:textId="77777777" w:rsidR="0038021A" w:rsidRDefault="0038021A" w:rsidP="00A64767">
      <w:pPr>
        <w:tabs>
          <w:tab w:val="left" w:pos="1843"/>
          <w:tab w:val="left" w:pos="2552"/>
        </w:tabs>
        <w:ind w:left="1418"/>
        <w:jc w:val="both"/>
        <w:rPr>
          <w:rFonts w:ascii="Arial" w:hAnsi="Arial" w:cs="Arial"/>
          <w:sz w:val="22"/>
          <w:szCs w:val="22"/>
        </w:rPr>
      </w:pPr>
      <w:r>
        <w:rPr>
          <w:rFonts w:ascii="Arial" w:hAnsi="Arial" w:cs="Arial"/>
          <w:sz w:val="22"/>
          <w:szCs w:val="22"/>
        </w:rPr>
        <w:t xml:space="preserve">For asset subject to MEA indexation, the real pre-tax Weighted Average Cost of Capital for the Relevant Transmission Licensee for year n (WACCn0 plus 1.5 percentage points. </w:t>
      </w:r>
    </w:p>
    <w:p w14:paraId="732B568E" w14:textId="77777777" w:rsidR="0038021A" w:rsidRDefault="0038021A" w:rsidP="0038021A">
      <w:pPr>
        <w:tabs>
          <w:tab w:val="left" w:pos="1843"/>
          <w:tab w:val="left" w:pos="2552"/>
        </w:tabs>
        <w:ind w:left="1418"/>
        <w:jc w:val="both"/>
        <w:rPr>
          <w:rFonts w:ascii="Arial" w:hAnsi="Arial" w:cs="Arial"/>
          <w:sz w:val="22"/>
          <w:szCs w:val="22"/>
        </w:rPr>
      </w:pPr>
    </w:p>
    <w:p w14:paraId="60A48231" w14:textId="77777777" w:rsidR="0038021A" w:rsidRDefault="0038021A" w:rsidP="006661FE">
      <w:pPr>
        <w:tabs>
          <w:tab w:val="left" w:pos="1843"/>
          <w:tab w:val="left" w:pos="2552"/>
        </w:tabs>
        <w:ind w:left="3261" w:hanging="1843"/>
        <w:jc w:val="both"/>
        <w:rPr>
          <w:rFonts w:ascii="Arial" w:hAnsi="Arial" w:cs="Arial"/>
          <w:sz w:val="22"/>
          <w:szCs w:val="22"/>
        </w:rPr>
      </w:pPr>
      <w:r>
        <w:rPr>
          <w:rFonts w:ascii="Arial" w:hAnsi="Arial" w:cs="Arial"/>
          <w:sz w:val="22"/>
          <w:szCs w:val="22"/>
        </w:rPr>
        <w:t xml:space="preserve">Where for the year n: </w:t>
      </w:r>
    </w:p>
    <w:p w14:paraId="22236E57" w14:textId="77777777" w:rsidR="00374D63" w:rsidRDefault="00374D63" w:rsidP="006661FE">
      <w:pPr>
        <w:tabs>
          <w:tab w:val="left" w:pos="1843"/>
          <w:tab w:val="left" w:pos="2552"/>
        </w:tabs>
        <w:ind w:left="3261" w:hanging="1843"/>
        <w:jc w:val="both"/>
        <w:rPr>
          <w:rFonts w:ascii="Arial" w:hAnsi="Arial" w:cs="Arial"/>
          <w:sz w:val="22"/>
          <w:szCs w:val="22"/>
        </w:rPr>
      </w:pPr>
    </w:p>
    <w:p w14:paraId="444CBF98" w14:textId="7D018579" w:rsidR="00A64767" w:rsidRPr="00A64767" w:rsidRDefault="00575BBD" w:rsidP="00A64767">
      <w:pPr>
        <w:spacing w:before="120" w:after="120" w:line="300" w:lineRule="atLeast"/>
        <w:ind w:firstLine="1276"/>
        <w:rPr>
          <w:rFonts w:ascii="Arial" w:hAnsi="Arial"/>
        </w:rPr>
      </w:pPr>
      <m:oMathPara>
        <m:oMath>
          <m:r>
            <w:rPr>
              <w:rFonts w:ascii="Cambria Math" w:hAnsi="Cambria Math"/>
            </w:rPr>
            <m:t>WACCn=</m:t>
          </m:r>
          <m:d>
            <m:dPr>
              <m:ctrlPr>
                <w:rPr>
                  <w:rFonts w:ascii="Cambria Math" w:hAnsi="Cambria Math" w:cs="Arial"/>
                  <w:i/>
                </w:rPr>
              </m:ctrlPr>
            </m:dPr>
            <m:e>
              <m:d>
                <m:dPr>
                  <m:ctrlPr>
                    <w:rPr>
                      <w:rFonts w:ascii="Cambria Math" w:hAnsi="Cambria Math" w:cs="Arial"/>
                      <w:i/>
                    </w:rPr>
                  </m:ctrlPr>
                </m:dPr>
                <m:e>
                  <m:f>
                    <m:fPr>
                      <m:ctrlPr>
                        <w:rPr>
                          <w:rFonts w:ascii="Cambria Math" w:hAnsi="Cambria Math" w:cs="Arial"/>
                          <w:i/>
                        </w:rPr>
                      </m:ctrlPr>
                    </m:fPr>
                    <m:num>
                      <m:r>
                        <w:rPr>
                          <w:rFonts w:ascii="Cambria Math" w:hAnsi="Cambria Math" w:cs="Arial"/>
                        </w:rPr>
                        <m:t>real post tax cost of equity</m:t>
                      </m:r>
                    </m:num>
                    <m:den>
                      <m:r>
                        <w:rPr>
                          <w:rFonts w:ascii="Cambria Math" w:hAnsi="Cambria Math" w:cs="Arial"/>
                        </w:rPr>
                        <m:t>1-corporation tax rate</m:t>
                      </m:r>
                    </m:den>
                  </m:f>
                </m:e>
              </m:d>
              <m:r>
                <w:rPr>
                  <w:rFonts w:ascii="Cambria Math" w:hAnsi="Cambria Math" w:cs="Arial"/>
                </w:rPr>
                <m:t xml:space="preserve"> × </m:t>
              </m:r>
              <m:d>
                <m:dPr>
                  <m:ctrlPr>
                    <w:rPr>
                      <w:rFonts w:ascii="Cambria Math" w:hAnsi="Cambria Math" w:cs="Arial"/>
                      <w:i/>
                    </w:rPr>
                  </m:ctrlPr>
                </m:dPr>
                <m:e>
                  <m:r>
                    <w:rPr>
                      <w:rFonts w:ascii="Cambria Math" w:hAnsi="Cambria Math" w:cs="Arial"/>
                    </w:rPr>
                    <m:t>1-notional gearing %</m:t>
                  </m:r>
                </m:e>
              </m:d>
            </m:e>
          </m:d>
          <m:r>
            <w:rPr>
              <w:rFonts w:ascii="Cambria Math" w:hAnsi="Cambria Math" w:cs="Arial"/>
            </w:rPr>
            <m:t xml:space="preserve"> + </m:t>
          </m:r>
          <m:d>
            <m:dPr>
              <m:ctrlPr>
                <w:rPr>
                  <w:rFonts w:ascii="Cambria Math" w:hAnsi="Cambria Math" w:cs="Arial"/>
                  <w:i/>
                </w:rPr>
              </m:ctrlPr>
            </m:dPr>
            <m:e>
              <m:r>
                <w:rPr>
                  <w:rFonts w:ascii="Cambria Math" w:hAnsi="Cambria Math" w:cs="Arial"/>
                </w:rPr>
                <m:t>real cost of debt ×notional gearing %</m:t>
              </m:r>
            </m:e>
          </m:d>
        </m:oMath>
      </m:oMathPara>
    </w:p>
    <w:p w14:paraId="4F5F08B4" w14:textId="77777777" w:rsidR="00A64767" w:rsidRDefault="00A64767" w:rsidP="00A64767">
      <w:pPr>
        <w:tabs>
          <w:tab w:val="left" w:pos="1843"/>
          <w:tab w:val="left" w:pos="2552"/>
        </w:tabs>
        <w:ind w:left="3261" w:hanging="2835"/>
        <w:jc w:val="both"/>
        <w:rPr>
          <w:rFonts w:ascii="Arial" w:hAnsi="Arial" w:cs="Arial"/>
          <w:sz w:val="22"/>
          <w:szCs w:val="22"/>
        </w:rPr>
      </w:pPr>
    </w:p>
    <w:p w14:paraId="54AC74DF" w14:textId="77777777" w:rsidR="00A64767" w:rsidRDefault="00A64767" w:rsidP="00A64767">
      <w:pPr>
        <w:tabs>
          <w:tab w:val="left" w:pos="1843"/>
        </w:tabs>
        <w:ind w:firstLine="1276"/>
        <w:jc w:val="both"/>
        <w:rPr>
          <w:rFonts w:ascii="Arial" w:hAnsi="Arial" w:cs="Arial"/>
          <w:sz w:val="22"/>
          <w:szCs w:val="22"/>
        </w:rPr>
      </w:pPr>
    </w:p>
    <w:p w14:paraId="770C7476" w14:textId="77777777" w:rsidR="00A64767" w:rsidRDefault="00D56886" w:rsidP="00A64767">
      <w:pPr>
        <w:tabs>
          <w:tab w:val="left" w:pos="1843"/>
        </w:tabs>
        <w:ind w:left="1276"/>
        <w:jc w:val="both"/>
        <w:rPr>
          <w:rFonts w:ascii="Arial" w:hAnsi="Arial" w:cs="Arial"/>
          <w:sz w:val="22"/>
          <w:szCs w:val="22"/>
        </w:rPr>
      </w:pPr>
      <w:r>
        <w:rPr>
          <w:rFonts w:ascii="Arial" w:hAnsi="Arial" w:cs="Arial"/>
          <w:sz w:val="22"/>
          <w:szCs w:val="22"/>
        </w:rPr>
        <w:lastRenderedPageBreak/>
        <w:t xml:space="preserve">And where for the calculation of WACCn: </w:t>
      </w:r>
      <w:r w:rsidR="00A64767">
        <w:rPr>
          <w:rFonts w:ascii="Arial" w:hAnsi="Arial" w:cs="Arial"/>
          <w:sz w:val="22"/>
          <w:szCs w:val="22"/>
        </w:rPr>
        <w:t>The real post-tax cost of equity, notional gearing %, real cost of debt and the corporation tax rate, are as specified in the latest published Ofgem Price Control Financial Model (PCFM) relating to year n, or should Ofgem fail to publish or cease to publish a PCFM,</w:t>
      </w:r>
      <w:r>
        <w:rPr>
          <w:rFonts w:ascii="Arial" w:hAnsi="Arial" w:cs="Arial"/>
          <w:sz w:val="22"/>
          <w:szCs w:val="22"/>
        </w:rPr>
        <w:t xml:space="preserve"> those specified in</w:t>
      </w:r>
      <w:r w:rsidR="00A64767">
        <w:rPr>
          <w:rFonts w:ascii="Arial" w:hAnsi="Arial" w:cs="Arial"/>
          <w:sz w:val="22"/>
          <w:szCs w:val="22"/>
        </w:rPr>
        <w:t xml:space="preserve"> the latest public regulatory determination(s) or decision(s) should be used. </w:t>
      </w:r>
    </w:p>
    <w:p w14:paraId="33DCD0D3" w14:textId="77777777" w:rsidR="00A64767" w:rsidRDefault="00A64767" w:rsidP="006661FE">
      <w:pPr>
        <w:tabs>
          <w:tab w:val="left" w:pos="1843"/>
          <w:tab w:val="left" w:pos="2552"/>
        </w:tabs>
        <w:ind w:left="3261" w:hanging="1843"/>
        <w:jc w:val="both"/>
        <w:rPr>
          <w:rFonts w:ascii="Arial" w:hAnsi="Arial" w:cs="Arial"/>
          <w:sz w:val="22"/>
          <w:szCs w:val="22"/>
        </w:rPr>
      </w:pPr>
    </w:p>
    <w:p w14:paraId="3943EF2B" w14:textId="77777777" w:rsidR="00A64767" w:rsidRDefault="00A64767" w:rsidP="006661FE">
      <w:pPr>
        <w:tabs>
          <w:tab w:val="left" w:pos="1843"/>
          <w:tab w:val="left" w:pos="2552"/>
        </w:tabs>
        <w:ind w:left="3261" w:hanging="1843"/>
        <w:jc w:val="both"/>
        <w:rPr>
          <w:rFonts w:ascii="Arial" w:hAnsi="Arial" w:cs="Arial"/>
          <w:sz w:val="22"/>
          <w:szCs w:val="22"/>
        </w:rPr>
      </w:pPr>
    </w:p>
    <w:p w14:paraId="7E3B0727" w14:textId="77777777" w:rsidR="00A64767" w:rsidRDefault="00A64767" w:rsidP="006661FE">
      <w:pPr>
        <w:tabs>
          <w:tab w:val="left" w:pos="1843"/>
          <w:tab w:val="left" w:pos="2552"/>
        </w:tabs>
        <w:ind w:left="3261" w:hanging="1843"/>
        <w:jc w:val="both"/>
        <w:rPr>
          <w:rFonts w:ascii="Arial" w:hAnsi="Arial" w:cs="Arial"/>
          <w:sz w:val="22"/>
          <w:szCs w:val="22"/>
        </w:rPr>
      </w:pPr>
    </w:p>
    <w:p w14:paraId="398E6EC3" w14:textId="77777777" w:rsidR="00A64767" w:rsidRPr="00094C68" w:rsidRDefault="00A64767" w:rsidP="006661FE">
      <w:pPr>
        <w:tabs>
          <w:tab w:val="left" w:pos="1843"/>
          <w:tab w:val="left" w:pos="2552"/>
        </w:tabs>
        <w:ind w:left="3261" w:hanging="1843"/>
        <w:jc w:val="both"/>
        <w:rPr>
          <w:rFonts w:ascii="Arial" w:hAnsi="Arial" w:cs="Arial"/>
          <w:sz w:val="22"/>
          <w:szCs w:val="22"/>
        </w:rPr>
      </w:pPr>
    </w:p>
    <w:p w14:paraId="283BF19A"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1EB074B8"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27A6D2A" w14:textId="77777777" w:rsidR="00225419" w:rsidRPr="00094C68" w:rsidRDefault="00225419" w:rsidP="006661FE">
      <w:pPr>
        <w:tabs>
          <w:tab w:val="left" w:pos="1843"/>
          <w:tab w:val="left" w:pos="2552"/>
        </w:tabs>
        <w:ind w:left="1418"/>
        <w:jc w:val="both"/>
        <w:rPr>
          <w:rFonts w:ascii="Arial" w:hAnsi="Arial" w:cs="Arial"/>
          <w:sz w:val="22"/>
          <w:szCs w:val="22"/>
        </w:rPr>
      </w:pPr>
    </w:p>
    <w:p w14:paraId="5DBAD88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6412491A" w14:textId="77777777" w:rsidR="00225419" w:rsidRPr="00094C68" w:rsidRDefault="00225419" w:rsidP="006661FE">
      <w:pPr>
        <w:tabs>
          <w:tab w:val="left" w:pos="1843"/>
          <w:tab w:val="left" w:pos="2552"/>
        </w:tabs>
        <w:ind w:left="1418"/>
        <w:jc w:val="both"/>
        <w:rPr>
          <w:rFonts w:ascii="Arial" w:hAnsi="Arial" w:cs="Arial"/>
          <w:sz w:val="22"/>
          <w:szCs w:val="22"/>
        </w:rPr>
      </w:pPr>
    </w:p>
    <w:p w14:paraId="2C8B46E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62C11A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13AE895E" w14:textId="3EDAA6B5" w:rsidR="00225419" w:rsidRPr="00094C68" w:rsidRDefault="00D56886"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 xml:space="preserve">TOPI </w:t>
      </w:r>
      <w:r w:rsidR="00225419" w:rsidRPr="00094C68">
        <w:rPr>
          <w:rFonts w:ascii="Arial" w:hAnsi="Arial" w:cs="Arial"/>
          <w:sz w:val="22"/>
          <w:szCs w:val="22"/>
        </w:rPr>
        <w:t>indexation</w:t>
      </w:r>
    </w:p>
    <w:p w14:paraId="29D890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41DDF3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3908EE50" w14:textId="1FF71949"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F03A1D">
        <w:rPr>
          <w:rFonts w:ascii="Arial" w:hAnsi="Arial" w:cs="Arial"/>
          <w:sz w:val="22"/>
          <w:szCs w:val="22"/>
        </w:rPr>
        <w:t>0</w:t>
      </w:r>
    </w:p>
    <w:p w14:paraId="26AB48D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1416D294"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A992326"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6FE64929" w14:textId="78877198" w:rsidR="00225419" w:rsidRDefault="18569871" w:rsidP="0537B9E0">
      <w:pPr>
        <w:pStyle w:val="1"/>
        <w:numPr>
          <w:ilvl w:val="0"/>
          <w:numId w:val="37"/>
        </w:numPr>
        <w:jc w:val="both"/>
      </w:pPr>
      <w:r w:rsidRPr="0537B9E0">
        <w:rPr>
          <w:rFonts w:ascii="Arial" w:hAnsi="Arial" w:cs="Arial"/>
        </w:rPr>
        <w:t xml:space="preserve">Note that, for the purposes of deriving asset specific charges for site-specific maintenance, the </w:t>
      </w:r>
      <w:r w:rsidR="0AEC0661" w:rsidRPr="0537B9E0">
        <w:rPr>
          <w:rFonts w:ascii="Arial" w:hAnsi="Arial" w:cs="Arial"/>
        </w:rPr>
        <w:t xml:space="preserve">TOPI </w:t>
      </w:r>
      <w:r w:rsidRPr="0537B9E0">
        <w:rPr>
          <w:rFonts w:ascii="Arial" w:hAnsi="Arial" w:cs="Arial"/>
        </w:rPr>
        <w:t>re-valued GAV is used</w:t>
      </w:r>
      <w:r w:rsidR="6E735E09" w:rsidRPr="0537B9E0">
        <w:rPr>
          <w:rFonts w:ascii="Arial" w:hAnsi="Arial" w:cs="Arial"/>
        </w:rPr>
        <w:t xml:space="preserve">. </w:t>
      </w:r>
      <w:r w:rsidRPr="0537B9E0">
        <w:rPr>
          <w:rFonts w:ascii="Arial" w:hAnsi="Arial" w:cs="Arial"/>
        </w:rPr>
        <w:t>This is to ensure that the exact site charges are recovered from the assets at the site</w:t>
      </w:r>
      <w:r w:rsidR="15E51EBB" w:rsidRPr="0537B9E0">
        <w:rPr>
          <w:rFonts w:ascii="Arial" w:hAnsi="Arial" w:cs="Arial"/>
        </w:rPr>
        <w:t xml:space="preserve">. </w:t>
      </w:r>
      <w:r w:rsidRPr="0537B9E0">
        <w:rPr>
          <w:rFonts w:ascii="Arial" w:hAnsi="Arial" w:cs="Arial"/>
        </w:rPr>
        <w:t xml:space="preserve">The site costs are apportioned to the assets </w:t>
      </w:r>
      <w:bookmarkStart w:id="51" w:name="_Int_MJye7UUl"/>
      <w:r w:rsidRPr="0537B9E0">
        <w:rPr>
          <w:rFonts w:ascii="Arial" w:hAnsi="Arial" w:cs="Arial"/>
        </w:rPr>
        <w:t>on the basis of</w:t>
      </w:r>
      <w:bookmarkEnd w:id="51"/>
      <w:r w:rsidRPr="0537B9E0">
        <w:rPr>
          <w:rFonts w:ascii="Arial" w:hAnsi="Arial" w:cs="Arial"/>
        </w:rPr>
        <w:t xml:space="preserve"> the ratio of the asset GAV to total Site GAV</w:t>
      </w:r>
      <w:r w:rsidR="66B24A0C">
        <w:t xml:space="preserve">. </w:t>
      </w:r>
    </w:p>
    <w:p w14:paraId="70919A5C" w14:textId="77777777" w:rsidR="00225419" w:rsidRDefault="00225419">
      <w:pPr>
        <w:pStyle w:val="Heading2"/>
      </w:pPr>
      <w:bookmarkStart w:id="52" w:name="_Toc32208932"/>
      <w:bookmarkStart w:id="53" w:name="_Toc44315393"/>
    </w:p>
    <w:p w14:paraId="1CDBADFD" w14:textId="77777777" w:rsidR="00225419" w:rsidRDefault="00225419">
      <w:pPr>
        <w:pStyle w:val="Heading2"/>
      </w:pPr>
    </w:p>
    <w:p w14:paraId="32AE9269" w14:textId="77777777" w:rsidR="00225419" w:rsidRDefault="00225419">
      <w:pPr>
        <w:pStyle w:val="Heading2"/>
      </w:pPr>
      <w:bookmarkStart w:id="54" w:name="_Toc220918017"/>
      <w:r>
        <w:t>Adjustment for Capital Contributions</w:t>
      </w:r>
      <w:bookmarkEnd w:id="52"/>
      <w:bookmarkEnd w:id="53"/>
      <w:bookmarkEnd w:id="54"/>
      <w:r>
        <w:fldChar w:fldCharType="begin"/>
      </w:r>
      <w:r>
        <w:instrText xml:space="preserve"> XE " Capital Contributions" </w:instrText>
      </w:r>
      <w:r>
        <w:fldChar w:fldCharType="end"/>
      </w:r>
    </w:p>
    <w:p w14:paraId="6E339544" w14:textId="77777777" w:rsidR="00225419" w:rsidRDefault="00225419">
      <w:pPr>
        <w:pStyle w:val="1"/>
        <w:keepNext/>
        <w:jc w:val="both"/>
      </w:pPr>
    </w:p>
    <w:p w14:paraId="4BF24AB6" w14:textId="528FF20D" w:rsidR="00225419" w:rsidRDefault="00225419" w:rsidP="35F371ED">
      <w:pPr>
        <w:pStyle w:val="1"/>
        <w:numPr>
          <w:ilvl w:val="0"/>
          <w:numId w:val="37"/>
        </w:numPr>
        <w:jc w:val="both"/>
      </w:pPr>
      <w:r>
        <w:t>If a User chooses to make a 100% capital contribution</w:t>
      </w:r>
      <w:r w:rsidR="002432B3">
        <w:t xml:space="preserve"> </w:t>
      </w:r>
      <w:r w:rsidR="002432B3" w:rsidRPr="002432B3">
        <w:t>(either pre-commissioning or post-commissioning)</w:t>
      </w:r>
      <w:r>
        <w:t xml:space="preserve"> to </w:t>
      </w:r>
      <w:r w:rsidR="1CE92958" w:rsidRPr="00EC52BD">
        <w:rPr>
          <w:b/>
        </w:rPr>
        <w:t>The Company</w:t>
      </w:r>
      <w:r>
        <w:t xml:space="preserve"> towards their allocation of a connection asset then no capital charges will be payable and hence the connection charges for that asset would be calculated as follows:</w:t>
      </w:r>
    </w:p>
    <w:p w14:paraId="29290F72" w14:textId="77777777" w:rsidR="00225419" w:rsidRDefault="00225419">
      <w:pPr>
        <w:pStyle w:val="1"/>
        <w:jc w:val="both"/>
      </w:pPr>
    </w:p>
    <w:p w14:paraId="27424E66" w14:textId="0B7D085A"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D56886">
        <w:t>TOPI</w:t>
      </w:r>
      <w:r>
        <w:t>GAV</w:t>
      </w:r>
      <w:r>
        <w:rPr>
          <w:vertAlign w:val="subscript"/>
        </w:rPr>
        <w:t>n</w:t>
      </w:r>
      <w:r>
        <w:t>) + TC</w:t>
      </w:r>
      <w:r>
        <w:rPr>
          <w:vertAlign w:val="subscript"/>
        </w:rPr>
        <w:t>n</w:t>
      </w:r>
      <w:r>
        <w:t xml:space="preserve"> (GAV</w:t>
      </w:r>
      <w:r>
        <w:rPr>
          <w:vertAlign w:val="subscript"/>
        </w:rPr>
        <w:t>n</w:t>
      </w:r>
      <w:r>
        <w:t>)</w:t>
      </w:r>
    </w:p>
    <w:p w14:paraId="35C66B8F" w14:textId="77777777" w:rsidR="00225419" w:rsidRDefault="00225419">
      <w:pPr>
        <w:pStyle w:val="1"/>
        <w:jc w:val="both"/>
      </w:pPr>
    </w:p>
    <w:p w14:paraId="181911E3" w14:textId="7745C851" w:rsidR="00225419" w:rsidRDefault="00225419" w:rsidP="35F371ED">
      <w:pPr>
        <w:pStyle w:val="1"/>
        <w:keepNext/>
        <w:numPr>
          <w:ilvl w:val="0"/>
          <w:numId w:val="37"/>
        </w:numPr>
        <w:jc w:val="both"/>
      </w:pPr>
      <w:bookmarkStart w:id="55" w:name="_Ref501761199"/>
      <w:r>
        <w:t xml:space="preserve">If a </w:t>
      </w:r>
      <w:bookmarkStart w:id="56" w:name="Para_2_25"/>
      <w:bookmarkEnd w:id="56"/>
      <w:r>
        <w:t>User chooses to make a partial capital contribution</w:t>
      </w:r>
      <w:r w:rsidR="002432B3">
        <w:t>(</w:t>
      </w:r>
      <w:r w:rsidR="002432B3" w:rsidRPr="002432B3">
        <w:t>s) (either pre-commissioning or post-commissioning)</w:t>
      </w:r>
      <w:r>
        <w:t xml:space="preserve"> to </w:t>
      </w:r>
      <w:r w:rsidR="1CE92958" w:rsidRPr="00EC52BD">
        <w:rPr>
          <w:b/>
        </w:rPr>
        <w:t>The Company</w:t>
      </w:r>
      <w:r w:rsidRPr="00EC52BD">
        <w:rPr>
          <w:b/>
        </w:rPr>
        <w:t xml:space="preserve"> </w:t>
      </w:r>
      <w:r>
        <w:t>towards their allocation of a connection asset, for example PCCF = 50%, then the connection charges for that asset would be calculated as follows:</w:t>
      </w:r>
      <w:bookmarkEnd w:id="55"/>
    </w:p>
    <w:p w14:paraId="14CFE924" w14:textId="77777777" w:rsidR="00225419" w:rsidRDefault="00225419">
      <w:pPr>
        <w:pStyle w:val="1"/>
        <w:keepNext/>
        <w:jc w:val="both"/>
      </w:pPr>
    </w:p>
    <w:p w14:paraId="072FBBFC" w14:textId="56B61998"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D56886">
        <w:t>TOPI</w:t>
      </w:r>
      <w:r>
        <w:t>GAV</w:t>
      </w:r>
      <w:r>
        <w:rPr>
          <w:vertAlign w:val="subscript"/>
        </w:rPr>
        <w:t>n</w:t>
      </w:r>
      <w:r>
        <w:t>) + TC</w:t>
      </w:r>
      <w:r>
        <w:rPr>
          <w:vertAlign w:val="subscript"/>
        </w:rPr>
        <w:t>n</w:t>
      </w:r>
      <w:r>
        <w:t xml:space="preserve"> (GAV</w:t>
      </w:r>
      <w:r>
        <w:rPr>
          <w:vertAlign w:val="subscript"/>
        </w:rPr>
        <w:t>n</w:t>
      </w:r>
      <w:r>
        <w:t>)</w:t>
      </w:r>
    </w:p>
    <w:p w14:paraId="4D4B64F9" w14:textId="77777777" w:rsidR="00225419" w:rsidRDefault="00225419" w:rsidP="006661FE">
      <w:pPr>
        <w:pStyle w:val="1"/>
        <w:ind w:left="187"/>
        <w:jc w:val="both"/>
      </w:pPr>
    </w:p>
    <w:p w14:paraId="606D87A9" w14:textId="77777777" w:rsidR="00225419" w:rsidRDefault="18569871" w:rsidP="002432B3">
      <w:pPr>
        <w:pStyle w:val="1"/>
        <w:ind w:left="1440"/>
        <w:jc w:val="both"/>
      </w:pPr>
      <w:r>
        <w:t>PCC</w:t>
      </w:r>
      <w:bookmarkStart w:id="57" w:name="_Toc32208933"/>
      <w:r w:rsidR="2E44F857">
        <w:t xml:space="preserve">F = Partial Capital Contribution Factor </w:t>
      </w:r>
      <w:bookmarkStart w:id="58" w:name="_Int_upMrwqo0"/>
      <w:r w:rsidR="2E44F857">
        <w:t>taking into account</w:t>
      </w:r>
      <w:bookmarkEnd w:id="58"/>
      <w:r w:rsidR="2E44F857">
        <w:t xml:space="preserve"> a capital contribution made pre-commissioning compared to the GAV (as outlined in 14.3.10), and any capital contributions made post-commissioning compared to the appropriate NAV (as outlined in 14.3.12) as appropriate.</w:t>
      </w:r>
    </w:p>
    <w:p w14:paraId="64FA4B1D" w14:textId="77777777" w:rsidR="00225419" w:rsidRDefault="00225419">
      <w:pPr>
        <w:pStyle w:val="1"/>
        <w:tabs>
          <w:tab w:val="left" w:pos="-1440"/>
        </w:tabs>
        <w:jc w:val="both"/>
      </w:pPr>
      <w:bookmarkStart w:id="59" w:name="_Hlt499019949"/>
      <w:bookmarkStart w:id="60" w:name="_Hlt499019955"/>
      <w:bookmarkEnd w:id="57"/>
      <w:bookmarkEnd w:id="59"/>
      <w:bookmarkEnd w:id="60"/>
    </w:p>
    <w:p w14:paraId="712086E0" w14:textId="77777777" w:rsidR="00225419" w:rsidRDefault="00225419">
      <w:pPr>
        <w:pStyle w:val="1"/>
        <w:tabs>
          <w:tab w:val="left" w:pos="-1440"/>
        </w:tabs>
        <w:jc w:val="both"/>
      </w:pPr>
    </w:p>
    <w:p w14:paraId="07E33C6F" w14:textId="77777777" w:rsidR="00225419" w:rsidRDefault="00225419">
      <w:pPr>
        <w:pStyle w:val="1"/>
        <w:tabs>
          <w:tab w:val="left" w:pos="-1440"/>
        </w:tabs>
        <w:jc w:val="both"/>
        <w:rPr>
          <w:b/>
          <w:color w:val="008080"/>
        </w:rPr>
      </w:pPr>
      <w:r>
        <w:rPr>
          <w:b/>
          <w:color w:val="008080"/>
        </w:rPr>
        <w:t>Modification of Connection Assets</w:t>
      </w:r>
    </w:p>
    <w:p w14:paraId="339227F2" w14:textId="77777777" w:rsidR="00225419" w:rsidRDefault="00225419">
      <w:pPr>
        <w:pStyle w:val="1"/>
        <w:tabs>
          <w:tab w:val="left" w:pos="-1440"/>
        </w:tabs>
        <w:jc w:val="both"/>
      </w:pPr>
    </w:p>
    <w:p w14:paraId="09133C8B" w14:textId="4F6A2F28" w:rsidR="00225419" w:rsidRDefault="18569871" w:rsidP="0537B9E0">
      <w:pPr>
        <w:pStyle w:val="1"/>
        <w:numPr>
          <w:ilvl w:val="0"/>
          <w:numId w:val="37"/>
        </w:numPr>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w:t>
      </w:r>
      <w:r w:rsidR="228BB647">
        <w:t xml:space="preserve">. </w:t>
      </w:r>
      <w:r>
        <w:t>Termination</w:t>
      </w:r>
      <w:r w:rsidR="00225419">
        <w:fldChar w:fldCharType="begin"/>
      </w:r>
      <w:r w:rsidR="00225419">
        <w:instrText xml:space="preserve"> XE "Termination" </w:instrText>
      </w:r>
      <w:r w:rsidR="00225419">
        <w:fldChar w:fldCharType="end"/>
      </w:r>
      <w:r>
        <w:t xml:space="preserve"> charges as described in </w:t>
      </w:r>
      <w:r w:rsidRPr="0537B9E0">
        <w:rPr>
          <w:b/>
          <w:bCs/>
        </w:rPr>
        <w:t xml:space="preserve">Chapter 5 </w:t>
      </w:r>
      <w:r>
        <w:t xml:space="preserve">below will be charged for any existing connection assets made redundant </w:t>
      </w:r>
      <w:bookmarkStart w:id="61" w:name="_Int_kwYYKJjB"/>
      <w:r>
        <w:t>as a result of</w:t>
      </w:r>
      <w:bookmarkEnd w:id="61"/>
      <w:r>
        <w:t xml:space="preserve"> the modification.</w:t>
      </w:r>
    </w:p>
    <w:p w14:paraId="42065ADE" w14:textId="77777777" w:rsidR="00225419" w:rsidRDefault="00225419">
      <w:pPr>
        <w:pStyle w:val="Heading1"/>
      </w:pPr>
      <w:bookmarkStart w:id="62" w:name="_Toc44315396"/>
    </w:p>
    <w:p w14:paraId="08D8BD3C" w14:textId="77777777" w:rsidR="00225419" w:rsidRDefault="00225419">
      <w:pPr>
        <w:pStyle w:val="Heading1"/>
      </w:pPr>
    </w:p>
    <w:p w14:paraId="7DE05E51" w14:textId="77777777" w:rsidR="00225419" w:rsidRPr="00415339" w:rsidRDefault="00225419">
      <w:pPr>
        <w:pStyle w:val="Heading1"/>
        <w:rPr>
          <w:color w:val="auto"/>
          <w:sz w:val="28"/>
          <w:szCs w:val="28"/>
        </w:rPr>
      </w:pPr>
      <w:r>
        <w:br w:type="page"/>
      </w:r>
      <w:bookmarkStart w:id="63" w:name="_Toc220918018"/>
      <w:r w:rsidRPr="00415339">
        <w:rPr>
          <w:color w:val="auto"/>
          <w:sz w:val="28"/>
          <w:szCs w:val="28"/>
        </w:rPr>
        <w:lastRenderedPageBreak/>
        <w:t>14.4 Other Charges</w:t>
      </w:r>
      <w:bookmarkEnd w:id="62"/>
      <w:bookmarkEnd w:id="63"/>
    </w:p>
    <w:p w14:paraId="238F3A1F" w14:textId="77777777" w:rsidR="00225419" w:rsidRDefault="00225419">
      <w:pPr>
        <w:keepNext/>
        <w:jc w:val="both"/>
      </w:pPr>
      <w:r>
        <w:rPr>
          <w:b/>
        </w:rPr>
        <w:fldChar w:fldCharType="begin"/>
      </w:r>
      <w:r>
        <w:rPr>
          <w:b/>
        </w:rPr>
        <w:instrText>tc \l2 "Other Charges</w:instrText>
      </w:r>
      <w:r>
        <w:rPr>
          <w:b/>
        </w:rPr>
        <w:fldChar w:fldCharType="end"/>
      </w:r>
    </w:p>
    <w:p w14:paraId="48B571EE" w14:textId="571A34D7" w:rsidR="00225419" w:rsidRDefault="18569871" w:rsidP="35F371ED">
      <w:pPr>
        <w:pStyle w:val="1"/>
        <w:numPr>
          <w:ilvl w:val="0"/>
          <w:numId w:val="38"/>
        </w:numPr>
        <w:jc w:val="both"/>
      </w:pPr>
      <w:bookmarkStart w:id="64" w:name="_Hlt490987527"/>
      <w:bookmarkStart w:id="65" w:name="_Ref477681385"/>
      <w:bookmarkEnd w:id="64"/>
      <w:r>
        <w:t xml:space="preserve">   In addition to the basic annual connection charges set out above, the User may pay </w:t>
      </w:r>
      <w:r w:rsidR="58867969" w:rsidRPr="0537B9E0">
        <w:rPr>
          <w:b/>
          <w:bCs/>
        </w:rPr>
        <w:t>The Company</w:t>
      </w:r>
      <w:r w:rsidRPr="0537B9E0">
        <w:rPr>
          <w:b/>
          <w:bCs/>
        </w:rPr>
        <w:t xml:space="preserve"> </w:t>
      </w:r>
      <w:r>
        <w:t>for certain other costs related to their connection</w:t>
      </w:r>
      <w:r w:rsidR="10AAB55F">
        <w:t xml:space="preserve">. </w:t>
      </w:r>
      <w:r>
        <w:t>These will be set out in the Bilateral and Construction Agreements where appropriate and are described below.</w:t>
      </w:r>
      <w:bookmarkEnd w:id="65"/>
    </w:p>
    <w:p w14:paraId="73E099EA" w14:textId="77777777" w:rsidR="00225419" w:rsidRDefault="00225419">
      <w:pPr>
        <w:jc w:val="both"/>
      </w:pPr>
    </w:p>
    <w:p w14:paraId="0A7D99C7" w14:textId="77777777" w:rsidR="00225419" w:rsidRDefault="00225419">
      <w:pPr>
        <w:jc w:val="both"/>
      </w:pPr>
    </w:p>
    <w:p w14:paraId="0F810CD6" w14:textId="77777777" w:rsidR="00225419" w:rsidRDefault="00225419">
      <w:pPr>
        <w:pStyle w:val="Heading2"/>
      </w:pPr>
      <w:bookmarkStart w:id="66" w:name="_Toc32208936"/>
      <w:bookmarkStart w:id="67" w:name="_Toc44315397"/>
      <w:bookmarkStart w:id="68" w:name="_Toc220918019"/>
      <w:r>
        <w:t>One</w:t>
      </w:r>
      <w:r>
        <w:noBreakHyphen/>
        <w:t>off Works</w:t>
      </w:r>
      <w:bookmarkEnd w:id="66"/>
      <w:bookmarkEnd w:id="67"/>
      <w:bookmarkEnd w:id="68"/>
      <w:r>
        <w:fldChar w:fldCharType="begin"/>
      </w:r>
      <w:r>
        <w:instrText xml:space="preserve"> XE "One</w:instrText>
      </w:r>
      <w:r>
        <w:noBreakHyphen/>
        <w:instrText xml:space="preserve">off Works" </w:instrText>
      </w:r>
      <w:r>
        <w:fldChar w:fldCharType="end"/>
      </w:r>
    </w:p>
    <w:p w14:paraId="64D6214A"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5C812E4" w14:textId="07D2A83E" w:rsidR="00225419" w:rsidRDefault="18569871" w:rsidP="0537B9E0">
      <w:pPr>
        <w:pStyle w:val="1"/>
        <w:numPr>
          <w:ilvl w:val="0"/>
          <w:numId w:val="38"/>
        </w:numPr>
        <w:jc w:val="both"/>
      </w:pPr>
      <w:r>
        <w:t>To provide or modify a connection, the transmission licensee may be required to carry out works on the transmission system that, although directly attributable to the connection, may not give rise to additional connection assets</w:t>
      </w:r>
      <w:r w:rsidR="36F8BD62">
        <w:t xml:space="preserve">. </w:t>
      </w:r>
      <w:r>
        <w:t>These works are defined as “one-offs</w:t>
      </w:r>
      <w:bookmarkStart w:id="69" w:name="_Int_xAjLx2ng"/>
      <w:r>
        <w:t>”.</w:t>
      </w:r>
      <w:bookmarkEnd w:id="69"/>
      <w:r>
        <w:t xml:space="preserve">  Liability for one-off charges is established with reference to the principles laid out below:</w:t>
      </w:r>
    </w:p>
    <w:p w14:paraId="678963BB" w14:textId="77777777" w:rsidR="00225419" w:rsidRPr="000D2008" w:rsidRDefault="00225419">
      <w:pPr>
        <w:pStyle w:val="1"/>
        <w:tabs>
          <w:tab w:val="left" w:pos="-1440"/>
        </w:tabs>
        <w:jc w:val="both"/>
        <w:rPr>
          <w:rFonts w:ascii="Arial" w:hAnsi="Arial" w:cs="Arial"/>
          <w:szCs w:val="22"/>
        </w:rPr>
      </w:pPr>
    </w:p>
    <w:p w14:paraId="1CC3F1E6"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2423CCCA" w14:textId="77777777" w:rsidR="00225419" w:rsidRPr="000D2008" w:rsidRDefault="00225419">
      <w:pPr>
        <w:jc w:val="both"/>
        <w:rPr>
          <w:rFonts w:ascii="Arial" w:hAnsi="Arial" w:cs="Arial"/>
          <w:sz w:val="22"/>
          <w:szCs w:val="22"/>
        </w:rPr>
      </w:pPr>
    </w:p>
    <w:p w14:paraId="0C7418C2" w14:textId="77777777" w:rsidR="00225419" w:rsidRPr="000D2008" w:rsidRDefault="18569871" w:rsidP="006661FE">
      <w:pPr>
        <w:numPr>
          <w:ilvl w:val="0"/>
          <w:numId w:val="35"/>
        </w:numPr>
        <w:tabs>
          <w:tab w:val="clear" w:pos="360"/>
          <w:tab w:val="num" w:pos="1080"/>
        </w:tabs>
        <w:ind w:left="1080"/>
        <w:jc w:val="both"/>
        <w:rPr>
          <w:rFonts w:ascii="Arial" w:hAnsi="Arial" w:cs="Arial"/>
          <w:sz w:val="22"/>
          <w:szCs w:val="22"/>
        </w:rPr>
      </w:pPr>
      <w:r w:rsidRPr="0537B9E0">
        <w:rPr>
          <w:rFonts w:ascii="Arial" w:hAnsi="Arial" w:cs="Arial"/>
          <w:sz w:val="22"/>
          <w:szCs w:val="22"/>
        </w:rPr>
        <w:t xml:space="preserve">Where a non-standard incremental cost is incurred </w:t>
      </w:r>
      <w:bookmarkStart w:id="70" w:name="_Int_LC7vflZw"/>
      <w:r w:rsidRPr="0537B9E0">
        <w:rPr>
          <w:rFonts w:ascii="Arial" w:hAnsi="Arial" w:cs="Arial"/>
          <w:sz w:val="22"/>
          <w:szCs w:val="22"/>
        </w:rPr>
        <w:t>as a result of</w:t>
      </w:r>
      <w:bookmarkEnd w:id="70"/>
      <w:r w:rsidRPr="0537B9E0">
        <w:rPr>
          <w:rFonts w:ascii="Arial" w:hAnsi="Arial" w:cs="Arial"/>
          <w:sz w:val="22"/>
          <w:szCs w:val="22"/>
        </w:rPr>
        <w:t xml:space="preserve"> a User's request, irrespective of whether the cost can be capitalised</w:t>
      </w:r>
    </w:p>
    <w:p w14:paraId="5CE686DE" w14:textId="77777777" w:rsidR="00225419" w:rsidRPr="000D2008" w:rsidRDefault="00225419">
      <w:pPr>
        <w:jc w:val="both"/>
        <w:rPr>
          <w:rFonts w:ascii="Arial" w:hAnsi="Arial" w:cs="Arial"/>
          <w:sz w:val="22"/>
          <w:szCs w:val="22"/>
        </w:rPr>
      </w:pPr>
    </w:p>
    <w:p w14:paraId="12D0DBED"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191CE70" w14:textId="77777777" w:rsidR="00225419" w:rsidRDefault="00225419">
      <w:pPr>
        <w:pStyle w:val="1"/>
        <w:tabs>
          <w:tab w:val="left" w:pos="-1440"/>
        </w:tabs>
        <w:jc w:val="both"/>
      </w:pPr>
    </w:p>
    <w:p w14:paraId="01A99980" w14:textId="71177D30" w:rsidR="00225419" w:rsidRDefault="18569871" w:rsidP="0537B9E0">
      <w:pPr>
        <w:pStyle w:val="1"/>
        <w:ind w:left="720"/>
        <w:jc w:val="both"/>
      </w:pPr>
      <w:r>
        <w:t xml:space="preserve">Consistent with these principles and in accordance with Connection Charging Methodology modification GB ECM-01, which was implemented on 1 December 2005, a one-off charge will be levied for a </w:t>
      </w:r>
      <w:r w:rsidRPr="0537B9E0">
        <w:rPr>
          <w:b/>
          <w:bCs/>
        </w:rPr>
        <w:t>Category 1 Intertripping Scheme</w:t>
      </w:r>
      <w:r>
        <w:t xml:space="preserve"> or a </w:t>
      </w:r>
      <w:r w:rsidRPr="0537B9E0">
        <w:rPr>
          <w:b/>
          <w:bCs/>
        </w:rPr>
        <w:t>Category 3 Intertripping Scheme</w:t>
      </w:r>
      <w:r w:rsidR="7E0E633A">
        <w:t xml:space="preserve">. </w:t>
      </w:r>
      <w:r>
        <w:t xml:space="preserve">A one-off charge will </w:t>
      </w:r>
      <w:r w:rsidRPr="0537B9E0">
        <w:rPr>
          <w:b/>
          <w:bCs/>
          <w:u w:val="single"/>
        </w:rPr>
        <w:t>not</w:t>
      </w:r>
      <w:r>
        <w:t xml:space="preserve"> be levied for a </w:t>
      </w:r>
      <w:r w:rsidRPr="0537B9E0">
        <w:rPr>
          <w:b/>
          <w:bCs/>
        </w:rPr>
        <w:t>Category 2 Intertripping Scheme</w:t>
      </w:r>
      <w:r>
        <w:t xml:space="preserve"> or a </w:t>
      </w:r>
      <w:r w:rsidRPr="0537B9E0">
        <w:rPr>
          <w:b/>
          <w:bCs/>
        </w:rPr>
        <w:t>Category 4 Intertripping Scheme</w:t>
      </w:r>
      <w:r>
        <w:t>.</w:t>
      </w:r>
    </w:p>
    <w:p w14:paraId="62726BE2" w14:textId="77777777" w:rsidR="00225419" w:rsidRDefault="00225419">
      <w:pPr>
        <w:pStyle w:val="1"/>
        <w:tabs>
          <w:tab w:val="left" w:pos="-1440"/>
        </w:tabs>
        <w:jc w:val="both"/>
      </w:pPr>
    </w:p>
    <w:p w14:paraId="5AA1B9A2" w14:textId="77777777" w:rsidR="00225419" w:rsidRDefault="00225419">
      <w:pPr>
        <w:pStyle w:val="1"/>
        <w:numPr>
          <w:ilvl w:val="0"/>
          <w:numId w:val="38"/>
        </w:numPr>
        <w:tabs>
          <w:tab w:val="left" w:pos="-1440"/>
        </w:tabs>
        <w:jc w:val="both"/>
      </w:pPr>
      <w:r>
        <w:t xml:space="preserve"> The one-off charge is a charge equal to the cost of the works involved, together with a reasonable return, as shown in 14.4.4 below.</w:t>
      </w:r>
    </w:p>
    <w:p w14:paraId="095B5CD0" w14:textId="77777777" w:rsidR="00225419" w:rsidRDefault="00225419">
      <w:pPr>
        <w:pStyle w:val="1"/>
        <w:tabs>
          <w:tab w:val="left" w:pos="-1440"/>
        </w:tabs>
        <w:jc w:val="both"/>
      </w:pPr>
    </w:p>
    <w:p w14:paraId="11044CB1"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1" w:name="_Ref2138694"/>
      <w:r>
        <w:t>For information, the general formula for the calculation of the one-off charge for works is outlined below</w:t>
      </w:r>
      <w:bookmarkEnd w:id="71"/>
      <w:r>
        <w:t>.</w:t>
      </w:r>
    </w:p>
    <w:p w14:paraId="6CFECD75" w14:textId="77777777" w:rsidR="00225419" w:rsidRDefault="00225419">
      <w:pPr>
        <w:jc w:val="both"/>
      </w:pPr>
    </w:p>
    <w:p w14:paraId="061CF353"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1FAF6755"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271BF9DA" w14:textId="77777777" w:rsidR="00225419" w:rsidRPr="00094C68" w:rsidRDefault="00225419">
      <w:pPr>
        <w:jc w:val="both"/>
        <w:rPr>
          <w:rFonts w:ascii="Arial" w:hAnsi="Arial" w:cs="Arial"/>
          <w:sz w:val="22"/>
          <w:szCs w:val="22"/>
        </w:rPr>
      </w:pPr>
    </w:p>
    <w:p w14:paraId="774CEF17"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5D7D4FD2"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2B6C1EE8"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6DEA682B" w14:textId="0FF93C1A"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1CE92958" w:rsidRPr="00EC52BD">
        <w:rPr>
          <w:rFonts w:ascii="Arial" w:hAnsi="Arial" w:cs="Arial"/>
          <w:b/>
          <w:sz w:val="22"/>
          <w:szCs w:val="22"/>
        </w:rPr>
        <w:t>The Company</w:t>
      </w:r>
      <w:r w:rsidRPr="00094C68">
        <w:rPr>
          <w:rFonts w:ascii="Arial" w:hAnsi="Arial" w:cs="Arial"/>
          <w:sz w:val="22"/>
          <w:szCs w:val="22"/>
        </w:rPr>
        <w:t xml:space="preserve"> Liquidated Damages Premium (if applicable)</w:t>
      </w:r>
    </w:p>
    <w:p w14:paraId="54AB3B2C" w14:textId="77777777" w:rsidR="00225419" w:rsidRDefault="00225419">
      <w:pPr>
        <w:pStyle w:val="1"/>
        <w:tabs>
          <w:tab w:val="left" w:pos="-1440"/>
        </w:tabs>
        <w:jc w:val="both"/>
      </w:pPr>
    </w:p>
    <w:p w14:paraId="4809E312" w14:textId="77777777" w:rsidR="00225419" w:rsidRDefault="00225419">
      <w:pPr>
        <w:pStyle w:val="1"/>
        <w:numPr>
          <w:ilvl w:val="0"/>
          <w:numId w:val="38"/>
        </w:numPr>
        <w:tabs>
          <w:tab w:val="left" w:pos="-1440"/>
        </w:tabs>
        <w:jc w:val="both"/>
      </w:pPr>
      <w:r>
        <w:t>The calculation of the one-off charge for write-off of assets is outlined below:</w:t>
      </w:r>
    </w:p>
    <w:p w14:paraId="3E590C72" w14:textId="77777777" w:rsidR="00225419" w:rsidRDefault="00225419">
      <w:pPr>
        <w:pStyle w:val="1"/>
        <w:jc w:val="both"/>
      </w:pPr>
    </w:p>
    <w:p w14:paraId="793F4242" w14:textId="77777777" w:rsidR="00225419" w:rsidRDefault="00225419">
      <w:pPr>
        <w:pStyle w:val="1"/>
        <w:jc w:val="both"/>
      </w:pPr>
      <w:r>
        <w:tab/>
        <w:t>Write-off Charge = 100% of remaining NAV of redundant assets</w:t>
      </w:r>
    </w:p>
    <w:p w14:paraId="0ADDDDCF" w14:textId="77777777" w:rsidR="00225419" w:rsidRDefault="00225419">
      <w:pPr>
        <w:pStyle w:val="1"/>
        <w:jc w:val="both"/>
      </w:pPr>
    </w:p>
    <w:p w14:paraId="7C92FD2D" w14:textId="7A75162F" w:rsidR="00225419" w:rsidRDefault="18569871" w:rsidP="0537B9E0">
      <w:pPr>
        <w:pStyle w:val="1"/>
        <w:numPr>
          <w:ilvl w:val="0"/>
          <w:numId w:val="38"/>
        </w:numPr>
        <w:jc w:val="both"/>
      </w:pPr>
      <w:bookmarkStart w:id="72" w:name="_Ref1554412"/>
      <w:r>
        <w:t xml:space="preserve">  One-offs are normally paid on an agreed date, which is usually upon completion of the works</w:t>
      </w:r>
      <w:r w:rsidR="56FE7D23">
        <w:t xml:space="preserve">. </w:t>
      </w:r>
      <w:r>
        <w:t>However, arrangements may be agreed between the transmission licensee and the User to pay the charge over a longer period</w:t>
      </w:r>
      <w:r w:rsidR="7AA71D29">
        <w:t xml:space="preserve">. </w:t>
      </w:r>
      <w:r>
        <w:t xml:space="preserve">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w:t>
      </w:r>
      <w:r>
        <w:lastRenderedPageBreak/>
        <w:t>period</w:t>
      </w:r>
      <w:r w:rsidR="70390458">
        <w:t xml:space="preserve">. </w:t>
      </w:r>
      <w:r>
        <w:t xml:space="preserve">The charge is usually inflated annually by the same </w:t>
      </w:r>
      <w:r w:rsidR="0AEC0661">
        <w:t xml:space="preserve">TOPI </w:t>
      </w:r>
      <w:r>
        <w:t>figure that is used to inflate GAVs, though Users can request alternative indexation methods</w:t>
      </w:r>
      <w:bookmarkEnd w:id="72"/>
      <w:r w:rsidR="29F6C952">
        <w:t xml:space="preserve">. </w:t>
      </w:r>
    </w:p>
    <w:p w14:paraId="2E07A348" w14:textId="77777777" w:rsidR="00FA4C1B" w:rsidRDefault="00FA4C1B" w:rsidP="00FA4C1B">
      <w:pPr>
        <w:pStyle w:val="1"/>
        <w:tabs>
          <w:tab w:val="left" w:pos="-1440"/>
        </w:tabs>
        <w:jc w:val="both"/>
      </w:pPr>
    </w:p>
    <w:p w14:paraId="760FC56A" w14:textId="67836C56" w:rsidR="009400D7" w:rsidRDefault="009400D7" w:rsidP="35F371ED">
      <w:pPr>
        <w:pStyle w:val="1"/>
        <w:numPr>
          <w:ilvl w:val="0"/>
          <w:numId w:val="38"/>
        </w:numPr>
        <w:jc w:val="both"/>
      </w:pPr>
      <w:r>
        <w:tab/>
        <w:t xml:space="preserve">Where an infrastructure asset has been subject to One-off Works, and a User has paid a relating charge calculated in accordance with paragraph 14.4.4, </w:t>
      </w:r>
      <w:r w:rsidR="1CE92958" w:rsidRPr="00EC52BD">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56155F8E" w14:textId="77777777" w:rsidR="00FA4C1B" w:rsidRDefault="00FA4C1B" w:rsidP="009400D7">
      <w:pPr>
        <w:pStyle w:val="1"/>
        <w:tabs>
          <w:tab w:val="left" w:pos="-1440"/>
        </w:tabs>
        <w:jc w:val="both"/>
      </w:pPr>
    </w:p>
    <w:p w14:paraId="0CFFA1BB" w14:textId="77777777" w:rsidR="00225419" w:rsidRDefault="00225419">
      <w:pPr>
        <w:pStyle w:val="1"/>
        <w:tabs>
          <w:tab w:val="left" w:pos="-1440"/>
        </w:tabs>
        <w:jc w:val="both"/>
        <w:rPr>
          <w:color w:val="008080"/>
        </w:rPr>
      </w:pPr>
    </w:p>
    <w:p w14:paraId="45EC3FED" w14:textId="77777777" w:rsidR="00225419" w:rsidRDefault="00225419">
      <w:pPr>
        <w:pStyle w:val="Heading2"/>
      </w:pPr>
      <w:bookmarkStart w:id="73" w:name="_Toc220918020"/>
      <w:r>
        <w:t>Miscellaneous Charges</w:t>
      </w:r>
      <w:bookmarkEnd w:id="73"/>
    </w:p>
    <w:p w14:paraId="135D3B65" w14:textId="77777777" w:rsidR="00225419" w:rsidRDefault="00225419">
      <w:pPr>
        <w:keepNext/>
        <w:jc w:val="both"/>
      </w:pPr>
    </w:p>
    <w:p w14:paraId="7ABC526D" w14:textId="77777777" w:rsidR="00225419" w:rsidRDefault="00225419">
      <w:pPr>
        <w:pStyle w:val="1"/>
        <w:keepNext/>
        <w:numPr>
          <w:ilvl w:val="0"/>
          <w:numId w:val="38"/>
        </w:numPr>
        <w:tabs>
          <w:tab w:val="left" w:pos="-1440"/>
        </w:tabs>
        <w:jc w:val="both"/>
      </w:pPr>
      <w:bookmarkStart w:id="74" w:name="_Hlt1554299"/>
      <w:bookmarkStart w:id="75" w:name="_Ref1554289"/>
      <w:bookmarkEnd w:id="74"/>
      <w:r>
        <w:t xml:space="preserve">  Other contract specific charges may be payable by the User, these will be set out in the Bilateral and Construction Agreements where appropriate.</w:t>
      </w:r>
      <w:bookmarkEnd w:id="75"/>
    </w:p>
    <w:p w14:paraId="25B31D67" w14:textId="77777777" w:rsidR="00225419" w:rsidRDefault="00225419">
      <w:pPr>
        <w:jc w:val="both"/>
      </w:pPr>
    </w:p>
    <w:p w14:paraId="637BD15B" w14:textId="77777777" w:rsidR="00225419" w:rsidRDefault="00225419">
      <w:pPr>
        <w:jc w:val="both"/>
      </w:pPr>
    </w:p>
    <w:p w14:paraId="201B8134" w14:textId="77777777" w:rsidR="00225419" w:rsidRDefault="00225419">
      <w:pPr>
        <w:pStyle w:val="Heading2"/>
      </w:pPr>
      <w:bookmarkStart w:id="76" w:name="_Toc32208939"/>
      <w:bookmarkStart w:id="77" w:name="_Toc44315400"/>
      <w:bookmarkStart w:id="78" w:name="_Toc220918021"/>
      <w:r>
        <w:t>Rental sites</w:t>
      </w:r>
      <w:bookmarkEnd w:id="76"/>
      <w:bookmarkEnd w:id="77"/>
      <w:bookmarkEnd w:id="78"/>
      <w:r>
        <w:fldChar w:fldCharType="begin"/>
      </w:r>
      <w:r>
        <w:instrText xml:space="preserve"> XE "Rental sites" </w:instrText>
      </w:r>
      <w:r>
        <w:fldChar w:fldCharType="end"/>
      </w:r>
    </w:p>
    <w:p w14:paraId="5A386601" w14:textId="77777777" w:rsidR="00225419" w:rsidRDefault="00225419">
      <w:pPr>
        <w:jc w:val="both"/>
      </w:pPr>
    </w:p>
    <w:p w14:paraId="40AE2475" w14:textId="37E0169B" w:rsidR="00225419" w:rsidRDefault="00225419" w:rsidP="35F371ED">
      <w:pPr>
        <w:pStyle w:val="1"/>
        <w:keepNext/>
        <w:numPr>
          <w:ilvl w:val="0"/>
          <w:numId w:val="38"/>
        </w:numPr>
        <w:jc w:val="both"/>
      </w:pPr>
      <w:r>
        <w:t xml:space="preserve">  Where </w:t>
      </w:r>
      <w:r w:rsidR="1CE92958" w:rsidRPr="00EC52BD">
        <w:rPr>
          <w:b/>
        </w:rPr>
        <w:t>The Company</w:t>
      </w:r>
      <w:r>
        <w:t xml:space="preserve"> owns a site that is embedded within a distribution network, the connection charge to the User is based on the capital costs and overheads but does not include maintenance charges.</w:t>
      </w:r>
    </w:p>
    <w:p w14:paraId="73B96C26" w14:textId="77777777" w:rsidR="00225419" w:rsidRDefault="00225419">
      <w:pPr>
        <w:keepNext/>
        <w:jc w:val="both"/>
      </w:pPr>
    </w:p>
    <w:p w14:paraId="2B76F13B" w14:textId="77777777" w:rsidR="00225419" w:rsidRDefault="00225419">
      <w:pPr>
        <w:keepNext/>
        <w:jc w:val="both"/>
      </w:pPr>
    </w:p>
    <w:p w14:paraId="0D112EFE" w14:textId="77777777" w:rsidR="00225419" w:rsidRDefault="00225419">
      <w:pPr>
        <w:pStyle w:val="Heading2"/>
      </w:pPr>
      <w:bookmarkStart w:id="79" w:name="_Toc220918022"/>
      <w:r>
        <w:t>Final Metering Scheme (FMS)/Energy Metering Systems</w:t>
      </w:r>
      <w:bookmarkEnd w:id="79"/>
    </w:p>
    <w:p w14:paraId="67446F7B" w14:textId="77777777" w:rsidR="00225419" w:rsidRDefault="00225419">
      <w:pPr>
        <w:keepNext/>
        <w:jc w:val="both"/>
      </w:pPr>
    </w:p>
    <w:p w14:paraId="4775BE24" w14:textId="593CAF48" w:rsidR="00225419" w:rsidRDefault="18569871" w:rsidP="0537B9E0">
      <w:pPr>
        <w:pStyle w:val="1"/>
        <w:numPr>
          <w:ilvl w:val="0"/>
          <w:numId w:val="38"/>
        </w:numPr>
        <w:jc w:val="both"/>
      </w:pPr>
      <w:r>
        <w:t xml:space="preserve">   Charges for FMS metering are paid by the registrant of the FMS metering at the connection site</w:t>
      </w:r>
      <w:r w:rsidR="50FE6AC3">
        <w:t xml:space="preserve">. </w:t>
      </w:r>
      <w:r>
        <w:t>It is charged on a similar basis as other Connection Assets</w:t>
      </w:r>
      <w:r w:rsidR="34BE9BA4">
        <w:t xml:space="preserve">. </w:t>
      </w:r>
      <w:r>
        <w:t>The electronic components of the FMS metering have a replacement and depreciation period</w:t>
      </w:r>
      <w:r w:rsidR="00225419">
        <w:fldChar w:fldCharType="begin"/>
      </w:r>
      <w:r w:rsidR="00225419">
        <w:instrText xml:space="preserve"> XE "Depreciation Period" </w:instrText>
      </w:r>
      <w:r w:rsidR="00225419">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0B0C399B" w14:textId="77777777" w:rsidR="00225419" w:rsidRPr="00395682" w:rsidRDefault="00225419">
      <w:pPr>
        <w:pStyle w:val="Heading1"/>
        <w:rPr>
          <w:sz w:val="28"/>
          <w:szCs w:val="28"/>
        </w:rPr>
      </w:pPr>
      <w:r>
        <w:br w:type="page"/>
      </w:r>
      <w:bookmarkStart w:id="80" w:name="_Toc44315402"/>
      <w:bookmarkStart w:id="81" w:name="_Toc220918023"/>
      <w:r>
        <w:rPr>
          <w:sz w:val="28"/>
          <w:szCs w:val="28"/>
        </w:rPr>
        <w:lastRenderedPageBreak/>
        <w:t>14.5</w:t>
      </w:r>
      <w:r w:rsidRPr="00395682">
        <w:rPr>
          <w:sz w:val="28"/>
          <w:szCs w:val="28"/>
        </w:rPr>
        <w:t xml:space="preserve"> Connection Agreements</w:t>
      </w:r>
      <w:bookmarkEnd w:id="80"/>
      <w:bookmarkEnd w:id="81"/>
    </w:p>
    <w:p w14:paraId="6F0AB092" w14:textId="77777777" w:rsidR="00225419" w:rsidRDefault="00225419">
      <w:pPr>
        <w:tabs>
          <w:tab w:val="left" w:pos="810"/>
          <w:tab w:val="left" w:pos="1620"/>
          <w:tab w:val="left" w:pos="4680"/>
        </w:tabs>
        <w:jc w:val="both"/>
      </w:pPr>
    </w:p>
    <w:p w14:paraId="0824B2E6" w14:textId="77777777" w:rsidR="00225419" w:rsidRDefault="00225419">
      <w:pPr>
        <w:pStyle w:val="Heading2"/>
      </w:pPr>
      <w:bookmarkStart w:id="82" w:name="_Toc220918024"/>
      <w:r>
        <w:t>Indicative Agreement</w:t>
      </w:r>
      <w:bookmarkEnd w:id="82"/>
    </w:p>
    <w:p w14:paraId="02EFDDBA" w14:textId="77777777" w:rsidR="00225419" w:rsidRDefault="00225419">
      <w:pPr>
        <w:tabs>
          <w:tab w:val="left" w:pos="810"/>
          <w:tab w:val="left" w:pos="1620"/>
          <w:tab w:val="left" w:pos="4680"/>
        </w:tabs>
        <w:jc w:val="both"/>
      </w:pPr>
    </w:p>
    <w:p w14:paraId="4719D694" w14:textId="0F9ED9B4" w:rsidR="00225419" w:rsidRDefault="18569871" w:rsidP="0537B9E0">
      <w:pPr>
        <w:pStyle w:val="1"/>
        <w:numPr>
          <w:ilvl w:val="0"/>
          <w:numId w:val="39"/>
        </w:numPr>
        <w:jc w:val="both"/>
        <w:rPr>
          <w:b/>
          <w:bCs/>
          <w:color w:val="008080"/>
        </w:rPr>
      </w:pPr>
      <w:r>
        <w:t xml:space="preserve">  </w:t>
      </w:r>
      <w:r w:rsidR="00225419">
        <w:fldChar w:fldCharType="begin"/>
      </w:r>
      <w:r w:rsidR="00225419">
        <w:instrText>tc \l2 "Indicative Agreement</w:instrText>
      </w:r>
      <w:r w:rsidR="00225419">
        <w:fldChar w:fldCharType="end"/>
      </w:r>
      <w:r>
        <w:t xml:space="preserve">The standard connection agreement offered by </w:t>
      </w:r>
      <w:r w:rsidR="58867969" w:rsidRPr="0537B9E0">
        <w:rPr>
          <w:b/>
          <w:bCs/>
        </w:rPr>
        <w:t xml:space="preserve">The </w:t>
      </w:r>
      <w:r w:rsidRPr="0537B9E0">
        <w:rPr>
          <w:b/>
          <w:bCs/>
        </w:rPr>
        <w:t xml:space="preserve">Company </w:t>
      </w:r>
      <w:r>
        <w:t>is an indicative price agreement</w:t>
      </w:r>
      <w:r w:rsidR="34D4B5DA">
        <w:t xml:space="preserve">. </w:t>
      </w:r>
      <w:r>
        <w:t xml:space="preserve">From the Charging Date as set out in the User's Bilateral Connection Agreement, the User's initial connection charge is based on a fair and reasonable estimate of the expected costs of the connection. </w:t>
      </w:r>
      <w:bookmarkStart w:id="83" w:name="_Toc493589034"/>
      <w:bookmarkStart w:id="84" w:name="_Toc32208943"/>
      <w:bookmarkStart w:id="85" w:name="_Toc44315404"/>
    </w:p>
    <w:p w14:paraId="4549B379" w14:textId="77777777" w:rsidR="00225419" w:rsidRDefault="00225419">
      <w:pPr>
        <w:pStyle w:val="1"/>
        <w:tabs>
          <w:tab w:val="left" w:pos="-1440"/>
        </w:tabs>
        <w:jc w:val="both"/>
        <w:rPr>
          <w:b/>
          <w:color w:val="008080"/>
        </w:rPr>
      </w:pPr>
    </w:p>
    <w:p w14:paraId="37771348" w14:textId="77777777" w:rsidR="00225419" w:rsidRDefault="00225419">
      <w:pPr>
        <w:pStyle w:val="1"/>
        <w:tabs>
          <w:tab w:val="left" w:pos="-1440"/>
        </w:tabs>
        <w:jc w:val="both"/>
        <w:rPr>
          <w:b/>
          <w:color w:val="008080"/>
        </w:rPr>
      </w:pPr>
    </w:p>
    <w:p w14:paraId="6E2B8154" w14:textId="77777777" w:rsidR="00225419" w:rsidRDefault="00225419">
      <w:pPr>
        <w:pStyle w:val="Heading2"/>
      </w:pPr>
      <w:bookmarkStart w:id="86" w:name="_Toc220918025"/>
      <w:r>
        <w:t>Outturning the Indicative Agreement</w:t>
      </w:r>
      <w:bookmarkEnd w:id="83"/>
      <w:bookmarkEnd w:id="84"/>
      <w:bookmarkEnd w:id="85"/>
      <w:bookmarkEnd w:id="86"/>
    </w:p>
    <w:p w14:paraId="160D5AFF" w14:textId="77777777" w:rsidR="00225419" w:rsidRDefault="00225419">
      <w:pPr>
        <w:pStyle w:val="1"/>
        <w:keepNext/>
        <w:jc w:val="both"/>
      </w:pPr>
    </w:p>
    <w:p w14:paraId="19689645" w14:textId="4059BFDC" w:rsidR="00225419" w:rsidRDefault="18569871" w:rsidP="35F371ED">
      <w:pPr>
        <w:pStyle w:val="1"/>
        <w:numPr>
          <w:ilvl w:val="0"/>
          <w:numId w:val="39"/>
        </w:numPr>
        <w:jc w:val="both"/>
      </w:pPr>
      <w:r>
        <w:t xml:space="preserve">   Once the works required to provide a new or modified connection are completed and the costs finalised, the connection scheme is "outturned"</w:t>
      </w:r>
      <w:r w:rsidR="41653330">
        <w:t xml:space="preserve">. </w:t>
      </w:r>
      <w:r w:rsidR="58867969" w:rsidRPr="0537B9E0">
        <w:rPr>
          <w:b/>
          <w:bCs/>
        </w:rPr>
        <w:t>The</w:t>
      </w:r>
      <w:r w:rsidRPr="0537B9E0">
        <w:rPr>
          <w:b/>
          <w:bCs/>
        </w:rPr>
        <w:t xml:space="preserve"> Company</w:t>
      </w:r>
      <w:r>
        <w:t xml:space="preserve"> reconciles the monies paid by the User on the indicative charge basis against the charges that would have been payable based on the actual costs incurred in delivering the project together with any relevant interest</w:t>
      </w:r>
      <w:r w:rsidR="405F395F">
        <w:t xml:space="preserve">. </w:t>
      </w:r>
      <w:r>
        <w:t xml:space="preserve">This process involves agreeing a new charging GAV (The Base Amount) with the User in line with the elements stated in paragraph </w:t>
      </w:r>
      <w:bookmarkStart w:id="87" w:name="_Hlt534790580"/>
      <w:r w:rsidR="00225419">
        <w:fldChar w:fldCharType="begin"/>
      </w:r>
      <w:r w:rsidR="00225419">
        <w:instrText xml:space="preserve"> REF Para_2_2 \r \h  \* MERGEFORMAT </w:instrText>
      </w:r>
      <w:r w:rsidR="00225419">
        <w:fldChar w:fldCharType="separate"/>
      </w:r>
      <w:r w:rsidR="004B2E96">
        <w:t>14.3.3</w:t>
      </w:r>
      <w:r w:rsidR="00225419">
        <w:fldChar w:fldCharType="end"/>
      </w:r>
      <w:bookmarkEnd w:id="87"/>
      <w:r>
        <w:t xml:space="preserve"> and then calculating connection charges with this GAV</w:t>
      </w:r>
      <w:r w:rsidR="15A2886D">
        <w:t xml:space="preserve">. </w:t>
      </w:r>
    </w:p>
    <w:p w14:paraId="5C59A04B" w14:textId="77777777" w:rsidR="00225419" w:rsidRDefault="00225419">
      <w:pPr>
        <w:pStyle w:val="1"/>
        <w:jc w:val="both"/>
      </w:pPr>
    </w:p>
    <w:p w14:paraId="7567452B"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15D5805B" w14:textId="77777777" w:rsidR="00225419" w:rsidRDefault="00225419">
      <w:pPr>
        <w:pStyle w:val="1"/>
        <w:jc w:val="both"/>
      </w:pPr>
    </w:p>
    <w:p w14:paraId="3AA9CEB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1F6D24E5" w14:textId="77777777" w:rsidR="00225419" w:rsidRDefault="00225419">
      <w:pPr>
        <w:pStyle w:val="1"/>
        <w:jc w:val="both"/>
      </w:pPr>
      <w:r>
        <w:t xml:space="preserve"> </w:t>
      </w:r>
    </w:p>
    <w:p w14:paraId="392D1ED0" w14:textId="77777777" w:rsidR="00225419" w:rsidRDefault="00225419">
      <w:pPr>
        <w:pStyle w:val="1"/>
        <w:jc w:val="both"/>
      </w:pPr>
    </w:p>
    <w:p w14:paraId="1303DF31" w14:textId="77777777" w:rsidR="00225419" w:rsidRDefault="00225419">
      <w:pPr>
        <w:pStyle w:val="Heading2"/>
      </w:pPr>
      <w:bookmarkStart w:id="88" w:name="_Toc32208944"/>
      <w:bookmarkStart w:id="89" w:name="_Toc44315405"/>
      <w:bookmarkStart w:id="90" w:name="_Toc220918026"/>
      <w:r>
        <w:t>Firm Price Agreement</w:t>
      </w:r>
      <w:bookmarkEnd w:id="88"/>
      <w:bookmarkEnd w:id="89"/>
      <w:bookmarkEnd w:id="90"/>
      <w:r>
        <w:fldChar w:fldCharType="begin"/>
      </w:r>
      <w:r>
        <w:instrText xml:space="preserve"> XE "Firm Price Agreement" </w:instrText>
      </w:r>
      <w:r>
        <w:fldChar w:fldCharType="end"/>
      </w:r>
    </w:p>
    <w:p w14:paraId="1696152C"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16B6FF92" w14:textId="3CA09971" w:rsidR="00225419" w:rsidRDefault="18569871" w:rsidP="35F371ED">
      <w:pPr>
        <w:pStyle w:val="1"/>
        <w:numPr>
          <w:ilvl w:val="0"/>
          <w:numId w:val="39"/>
        </w:numPr>
        <w:jc w:val="both"/>
      </w:pPr>
      <w:r>
        <w:t xml:space="preserve">   In addition to the options stated in paragraph </w:t>
      </w:r>
      <w:r w:rsidR="00225419">
        <w:fldChar w:fldCharType="begin"/>
      </w:r>
      <w:r w:rsidR="00225419">
        <w:instrText xml:space="preserve"> REF Para_2_9 \r \h  \* MERGEFORMAT </w:instrText>
      </w:r>
      <w:r w:rsidR="00225419">
        <w:fldChar w:fldCharType="separate"/>
      </w:r>
      <w:r w:rsidR="004B2E96">
        <w:t>14.3.10</w:t>
      </w:r>
      <w:r w:rsidR="00225419">
        <w:fldChar w:fldCharType="end"/>
      </w:r>
      <w:r>
        <w:t xml:space="preserve"> above, firm price agreements are also available</w:t>
      </w:r>
      <w:r w:rsidR="79925639">
        <w:t xml:space="preserve">. </w:t>
      </w:r>
      <w:r>
        <w:t xml:space="preserve">Typically with this option the charges to be incurred, and any indexation, are agreed between </w:t>
      </w:r>
      <w:r w:rsidR="58867969" w:rsidRPr="0537B9E0">
        <w:rPr>
          <w:b/>
          <w:bCs/>
        </w:rPr>
        <w:t xml:space="preserve">The </w:t>
      </w:r>
      <w:r w:rsidRPr="0537B9E0">
        <w:rPr>
          <w:b/>
          <w:bCs/>
        </w:rPr>
        <w:t xml:space="preserve">Company </w:t>
      </w:r>
      <w:r>
        <w:t>and the User and connection charges are not recalculated once outturn costs are known</w:t>
      </w:r>
      <w:r w:rsidR="03D322AB">
        <w:t xml:space="preserve">. </w:t>
      </w:r>
      <w:r>
        <w:t>A typical example of a firm price agreement is:</w:t>
      </w:r>
    </w:p>
    <w:p w14:paraId="05773B91" w14:textId="77777777" w:rsidR="00225419" w:rsidRDefault="00225419">
      <w:pPr>
        <w:pStyle w:val="1"/>
        <w:tabs>
          <w:tab w:val="left" w:pos="-1440"/>
        </w:tabs>
        <w:jc w:val="both"/>
      </w:pPr>
    </w:p>
    <w:p w14:paraId="4A34CDA4" w14:textId="77777777" w:rsidR="00225419" w:rsidRDefault="00225419" w:rsidP="006661FE">
      <w:pPr>
        <w:pStyle w:val="1"/>
        <w:numPr>
          <w:ilvl w:val="0"/>
          <w:numId w:val="27"/>
        </w:numPr>
        <w:ind w:left="1080"/>
        <w:jc w:val="both"/>
      </w:pPr>
      <w:r>
        <w:t>Capital Contribution</w:t>
      </w:r>
    </w:p>
    <w:p w14:paraId="66C1ED9C" w14:textId="77777777" w:rsidR="00225419" w:rsidRDefault="00225419" w:rsidP="006661FE">
      <w:pPr>
        <w:pStyle w:val="1"/>
        <w:numPr>
          <w:ilvl w:val="0"/>
          <w:numId w:val="27"/>
        </w:numPr>
        <w:ind w:left="1080"/>
        <w:jc w:val="both"/>
      </w:pPr>
      <w:r>
        <w:t>Firm Price GAV</w:t>
      </w:r>
    </w:p>
    <w:p w14:paraId="38C55C21" w14:textId="77777777" w:rsidR="00225419" w:rsidRDefault="00225419" w:rsidP="006661FE">
      <w:pPr>
        <w:pStyle w:val="1"/>
        <w:numPr>
          <w:ilvl w:val="0"/>
          <w:numId w:val="27"/>
        </w:numPr>
        <w:ind w:left="1080"/>
        <w:jc w:val="both"/>
      </w:pPr>
      <w:r>
        <w:t>Running Costs (based on a firm price GAV)</w:t>
      </w:r>
    </w:p>
    <w:p w14:paraId="066C2B65"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7EC96727" w14:textId="77777777" w:rsidR="00225419" w:rsidRDefault="00225419">
      <w:pPr>
        <w:pStyle w:val="1"/>
        <w:ind w:left="454" w:hanging="454"/>
        <w:jc w:val="both"/>
      </w:pPr>
    </w:p>
    <w:p w14:paraId="0F873C7B" w14:textId="77777777" w:rsidR="00225419" w:rsidRDefault="18569871" w:rsidP="0537B9E0">
      <w:pPr>
        <w:pStyle w:val="1"/>
        <w:numPr>
          <w:ilvl w:val="0"/>
          <w:numId w:val="39"/>
        </w:numPr>
        <w:jc w:val="both"/>
      </w:pPr>
      <w:r>
        <w:t xml:space="preserve">  When a User selects a firm price agreement some or </w:t>
      </w:r>
      <w:bookmarkStart w:id="91" w:name="_Int_7WJFOc0N"/>
      <w:r>
        <w:t>all of</w:t>
      </w:r>
      <w:bookmarkEnd w:id="91"/>
      <w:r>
        <w:t xml:space="preserve"> the above elements can be made firm. Any elements of the agreement that have not been made firm will be charged on an indicative basis in accordance with this statement.</w:t>
      </w:r>
    </w:p>
    <w:p w14:paraId="5227F128" w14:textId="77777777" w:rsidR="00225419" w:rsidRDefault="00225419">
      <w:pPr>
        <w:pStyle w:val="1"/>
        <w:tabs>
          <w:tab w:val="left" w:pos="-1440"/>
        </w:tabs>
        <w:jc w:val="both"/>
      </w:pPr>
    </w:p>
    <w:p w14:paraId="615B6764" w14:textId="070FBB95" w:rsidR="00225419" w:rsidRDefault="18569871" w:rsidP="0537B9E0">
      <w:pPr>
        <w:pStyle w:val="1"/>
        <w:numPr>
          <w:ilvl w:val="0"/>
          <w:numId w:val="39"/>
        </w:numPr>
        <w:jc w:val="both"/>
      </w:pPr>
      <w:r>
        <w:t xml:space="preserve">   Final Sums and Consents costs are never made firm in a Firm Price Agreement</w:t>
      </w:r>
      <w:r w:rsidR="5FD7185C">
        <w:t xml:space="preserve">. </w:t>
      </w:r>
      <w:r>
        <w:t>Details of both are set out in the Construction Agreement.</w:t>
      </w:r>
    </w:p>
    <w:p w14:paraId="0A9A5BB2" w14:textId="77777777" w:rsidR="00225419" w:rsidRDefault="00225419">
      <w:pPr>
        <w:jc w:val="both"/>
      </w:pPr>
    </w:p>
    <w:p w14:paraId="5EBC7283" w14:textId="77777777" w:rsidR="00225419" w:rsidRDefault="00225419">
      <w:pPr>
        <w:pStyle w:val="Heading2"/>
      </w:pPr>
    </w:p>
    <w:p w14:paraId="7E81E3ED" w14:textId="77777777" w:rsidR="00225419" w:rsidRDefault="00225419">
      <w:pPr>
        <w:pStyle w:val="Heading2"/>
      </w:pPr>
      <w:r>
        <w:br w:type="page"/>
      </w:r>
      <w:bookmarkStart w:id="92" w:name="_Toc220918027"/>
      <w:r>
        <w:lastRenderedPageBreak/>
        <w:t>Monthly Connection Charges</w:t>
      </w:r>
      <w:bookmarkEnd w:id="92"/>
    </w:p>
    <w:p w14:paraId="58120138" w14:textId="77777777" w:rsidR="00225419" w:rsidRDefault="00225419"/>
    <w:p w14:paraId="45C5A094"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49AE226F" w14:textId="77777777" w:rsidR="00225419" w:rsidRDefault="00225419"/>
    <w:p w14:paraId="386BDFE8" w14:textId="7059533B" w:rsidR="00225419" w:rsidRDefault="00225419">
      <w:pPr>
        <w:pStyle w:val="1"/>
        <w:numPr>
          <w:ilvl w:val="0"/>
          <w:numId w:val="39"/>
        </w:numPr>
        <w:tabs>
          <w:tab w:val="left" w:pos="-1440"/>
        </w:tabs>
        <w:jc w:val="both"/>
      </w:pPr>
      <w:r>
        <w:t xml:space="preserve">  If the initial Charging Date does not fall within the current </w:t>
      </w:r>
      <w:r w:rsidR="00AD4509" w:rsidRPr="00AD4509">
        <w:rPr>
          <w:b/>
          <w:bCs/>
        </w:rPr>
        <w:t xml:space="preserve">Financial Year </w:t>
      </w:r>
      <w:r>
        <w:t>being charged for and there are no revisions to charges during the year, the monthly connection charge will equal the annual connection charge divided by twelve.</w:t>
      </w:r>
    </w:p>
    <w:p w14:paraId="1D798A1F" w14:textId="77777777" w:rsidR="00225419" w:rsidRDefault="00225419">
      <w:pPr>
        <w:pStyle w:val="1"/>
        <w:tabs>
          <w:tab w:val="left" w:pos="-1440"/>
        </w:tabs>
        <w:jc w:val="both"/>
      </w:pPr>
    </w:p>
    <w:p w14:paraId="5AB47BA3" w14:textId="1DC8F4C0" w:rsidR="00225419" w:rsidRDefault="00225419" w:rsidP="006661FE">
      <w:pPr>
        <w:pStyle w:val="1"/>
        <w:numPr>
          <w:ilvl w:val="0"/>
          <w:numId w:val="39"/>
        </w:numPr>
        <w:tabs>
          <w:tab w:val="left" w:pos="-1440"/>
        </w:tabs>
        <w:jc w:val="both"/>
      </w:pPr>
      <w:r>
        <w:t xml:space="preserve">For the </w:t>
      </w:r>
      <w:r w:rsidR="00AD4509" w:rsidRPr="00AD4509">
        <w:rPr>
          <w:b/>
          <w:bCs/>
        </w:rPr>
        <w:t>Financial Year</w:t>
      </w:r>
      <w:r w:rsidR="00AD4509">
        <w:t xml:space="preserve"> </w:t>
      </w:r>
      <w:r>
        <w:t xml:space="preserve">in which the Charging Date occurs (as set out in the User's Bilateral Agreement) or for any </w:t>
      </w:r>
      <w:r w:rsidR="00AD4509" w:rsidRPr="00AD4509">
        <w:rPr>
          <w:b/>
          <w:bCs/>
        </w:rPr>
        <w:t>Financial Year</w:t>
      </w:r>
      <w:r>
        <w:t xml:space="preserve"> in which a revision to charges has occurred during the </w:t>
      </w:r>
      <w:r w:rsidR="00AD4509" w:rsidRPr="00AD4509">
        <w:rPr>
          <w:b/>
          <w:bCs/>
        </w:rPr>
        <w:t>Financial Year</w:t>
      </w:r>
      <w:r>
        <w:t xml:space="preserve">, for each complete calendar month from the Charging Date (or effective date of any charge revision) to the end of the </w:t>
      </w:r>
      <w:r w:rsidR="00AD4509" w:rsidRPr="00AD4509">
        <w:rPr>
          <w:b/>
          <w:bCs/>
        </w:rPr>
        <w:t>Financial Year</w:t>
      </w:r>
      <w:r w:rsidR="00AD4509">
        <w:t xml:space="preserve"> </w:t>
      </w:r>
      <w:r>
        <w:t>in which the Charging Date (or charge revision) occurs, the monthly connection charge shall be equal to the annual connection charge divided by twelve.</w:t>
      </w:r>
    </w:p>
    <w:p w14:paraId="58F7F4C7" w14:textId="77777777" w:rsidR="00225419" w:rsidRDefault="00225419">
      <w:pPr>
        <w:pStyle w:val="1"/>
        <w:tabs>
          <w:tab w:val="left" w:pos="-1440"/>
        </w:tabs>
        <w:jc w:val="both"/>
      </w:pPr>
    </w:p>
    <w:p w14:paraId="3B766AF5"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48F20BB9" w14:textId="77777777" w:rsidR="00225419" w:rsidRDefault="00225419">
      <w:pPr>
        <w:pStyle w:val="1"/>
        <w:tabs>
          <w:tab w:val="left" w:pos="-1440"/>
        </w:tabs>
        <w:jc w:val="both"/>
      </w:pPr>
    </w:p>
    <w:p w14:paraId="08B8A66E" w14:textId="77777777" w:rsidR="00225419" w:rsidRDefault="00225419">
      <w:pPr>
        <w:pStyle w:val="1"/>
        <w:numPr>
          <w:ilvl w:val="0"/>
          <w:numId w:val="39"/>
        </w:numPr>
        <w:tabs>
          <w:tab w:val="left" w:pos="-1440"/>
        </w:tabs>
        <w:jc w:val="both"/>
      </w:pPr>
      <w:r>
        <w:t xml:space="preserve">For example, say the annual connection charge for </w:t>
      </w:r>
      <w:r w:rsidRPr="00AD4509">
        <w:rPr>
          <w:b/>
          <w:bCs/>
        </w:rPr>
        <w:t>Financial Year</w:t>
      </w:r>
      <w:r>
        <w:t xml:space="preserve"> 2010/11 is £1.2m and the Charging Date falls on the 15</w:t>
      </w:r>
      <w:r>
        <w:rPr>
          <w:vertAlign w:val="superscript"/>
        </w:rPr>
        <w:t>th</w:t>
      </w:r>
      <w:r>
        <w:t xml:space="preserve"> November 2010, the monthly charges for the </w:t>
      </w:r>
      <w:r w:rsidRPr="00AD4509">
        <w:rPr>
          <w:b/>
          <w:bCs/>
        </w:rPr>
        <w:t>Financial Year</w:t>
      </w:r>
      <w:r>
        <w:t xml:space="preserve"> 2010/11 would be as follows:</w:t>
      </w:r>
    </w:p>
    <w:p w14:paraId="2ED584DB" w14:textId="77777777" w:rsidR="00225419" w:rsidRDefault="00225419">
      <w:pPr>
        <w:pStyle w:val="1"/>
        <w:tabs>
          <w:tab w:val="left" w:pos="-1440"/>
        </w:tabs>
        <w:jc w:val="both"/>
      </w:pPr>
    </w:p>
    <w:p w14:paraId="5056968E"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24DAACFD"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742B32DC"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84B10AB" w14:textId="77777777" w:rsidR="00225419" w:rsidRDefault="00225419">
      <w:pPr>
        <w:pStyle w:val="1"/>
        <w:tabs>
          <w:tab w:val="left" w:pos="-1440"/>
        </w:tabs>
        <w:ind w:firstLine="1620"/>
        <w:jc w:val="both"/>
      </w:pPr>
    </w:p>
    <w:p w14:paraId="32CB3595" w14:textId="3DB4726B" w:rsidR="00225419" w:rsidRDefault="18569871" w:rsidP="0537B9E0">
      <w:pPr>
        <w:pStyle w:val="1"/>
        <w:numPr>
          <w:ilvl w:val="0"/>
          <w:numId w:val="39"/>
        </w:numPr>
        <w:jc w:val="both"/>
      </w:pPr>
      <w:r>
        <w:t xml:space="preserve">The above treatment does not apply to elements such as Miscellaneous Charges (as defined in </w:t>
      </w:r>
      <w:r w:rsidR="00225419">
        <w:fldChar w:fldCharType="begin"/>
      </w:r>
      <w:r w:rsidR="00225419">
        <w:instrText xml:space="preserve"> REF _Ref1554289 \r \h  \* MERGEFORMAT </w:instrText>
      </w:r>
      <w:r w:rsidR="00225419">
        <w:fldChar w:fldCharType="separate"/>
      </w:r>
      <w:r w:rsidR="004B2E96">
        <w:t>14.4.8</w:t>
      </w:r>
      <w:r w:rsidR="00225419">
        <w:fldChar w:fldCharType="end"/>
      </w:r>
      <w:r>
        <w:t xml:space="preserve">) and Transmission Charges (annuitised one-offs, as defined in </w:t>
      </w:r>
      <w:r w:rsidR="00225419">
        <w:fldChar w:fldCharType="begin"/>
      </w:r>
      <w:r w:rsidR="00225419">
        <w:instrText xml:space="preserve"> REF _Ref1554412 \r \h  \* MERGEFORMAT </w:instrText>
      </w:r>
      <w:r w:rsidR="00225419">
        <w:fldChar w:fldCharType="separate"/>
      </w:r>
      <w:r w:rsidR="004B2E96">
        <w:t>14.4.6</w:t>
      </w:r>
      <w:r w:rsidR="00225419">
        <w:fldChar w:fldCharType="end"/>
      </w:r>
      <w:r>
        <w:t>)</w:t>
      </w:r>
      <w:r w:rsidR="7C7A41E1">
        <w:t xml:space="preserve">. </w:t>
      </w:r>
      <w:r>
        <w:t xml:space="preserve">If the Charging Date falls within a </w:t>
      </w:r>
      <w:r w:rsidRPr="0537B9E0">
        <w:rPr>
          <w:b/>
          <w:bCs/>
        </w:rPr>
        <w:t>Financial Year</w:t>
      </w:r>
      <w:r>
        <w:t>, then the full annual charge will remain payable and will be spread evenly over the remaining months</w:t>
      </w:r>
      <w:r w:rsidR="7C7A41E1">
        <w:t xml:space="preserve">. </w:t>
      </w:r>
      <w:r>
        <w:t>This is because these payments are an annuitisation of charges that would normally be paid up-front as one-off payments.</w:t>
      </w:r>
    </w:p>
    <w:p w14:paraId="38D35737" w14:textId="77777777" w:rsidR="00225419" w:rsidRDefault="00225419">
      <w:pPr>
        <w:pStyle w:val="Heading1"/>
        <w:rPr>
          <w:b w:val="0"/>
        </w:rPr>
      </w:pPr>
    </w:p>
    <w:p w14:paraId="1EC5BAC4" w14:textId="77777777" w:rsidR="00225419" w:rsidRPr="00415339" w:rsidRDefault="00225419">
      <w:pPr>
        <w:pStyle w:val="Heading1"/>
        <w:rPr>
          <w:color w:val="auto"/>
          <w:sz w:val="28"/>
          <w:szCs w:val="28"/>
        </w:rPr>
      </w:pPr>
      <w:r>
        <w:br w:type="page"/>
      </w:r>
      <w:bookmarkStart w:id="93" w:name="_Toc44315407"/>
      <w:bookmarkStart w:id="94"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3"/>
      <w:bookmarkEnd w:id="94"/>
    </w:p>
    <w:p w14:paraId="229AA641" w14:textId="77777777" w:rsidR="00225419" w:rsidRDefault="00225419">
      <w:pPr>
        <w:keepNext/>
        <w:tabs>
          <w:tab w:val="left" w:pos="810"/>
          <w:tab w:val="left" w:pos="1620"/>
          <w:tab w:val="left" w:pos="4680"/>
        </w:tabs>
        <w:jc w:val="both"/>
        <w:rPr>
          <w:b/>
        </w:rPr>
      </w:pPr>
    </w:p>
    <w:p w14:paraId="21E8D62B" w14:textId="77777777" w:rsidR="00225419" w:rsidRDefault="00225419">
      <w:pPr>
        <w:pStyle w:val="Heading2"/>
      </w:pPr>
      <w:bookmarkStart w:id="95" w:name="_Toc220918029"/>
      <w:r>
        <w:t>Charges Liable</w:t>
      </w:r>
      <w:bookmarkEnd w:id="95"/>
    </w:p>
    <w:p w14:paraId="7C6CFF31"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7C86F741" w14:textId="0D51DEDF" w:rsidR="00225419" w:rsidRDefault="18569871" w:rsidP="0537B9E0">
      <w:pPr>
        <w:pStyle w:val="1"/>
        <w:numPr>
          <w:ilvl w:val="0"/>
          <w:numId w:val="40"/>
        </w:numPr>
        <w:jc w:val="both"/>
      </w:pPr>
      <w:r>
        <w:t xml:space="preserve">  Where a User wholly or partially disconnects from the transmission system they will pay a termination charge</w:t>
      </w:r>
      <w:r w:rsidR="6BCB6186">
        <w:t xml:space="preserve">. </w:t>
      </w:r>
      <w:r>
        <w:t>The termination charge will be calculated as follows:</w:t>
      </w:r>
    </w:p>
    <w:p w14:paraId="60C86D93" w14:textId="77777777" w:rsidR="00225419" w:rsidRDefault="00225419">
      <w:pPr>
        <w:pStyle w:val="Style"/>
        <w:tabs>
          <w:tab w:val="left" w:pos="810"/>
          <w:tab w:val="left" w:pos="1620"/>
          <w:tab w:val="left" w:pos="4680"/>
        </w:tabs>
        <w:ind w:left="0" w:firstLine="0"/>
        <w:jc w:val="both"/>
      </w:pPr>
    </w:p>
    <w:p w14:paraId="04208F13" w14:textId="000673BF" w:rsidR="00225419" w:rsidRDefault="18569871" w:rsidP="006661FE">
      <w:pPr>
        <w:pStyle w:val="Style"/>
        <w:numPr>
          <w:ilvl w:val="0"/>
          <w:numId w:val="30"/>
        </w:numPr>
        <w:tabs>
          <w:tab w:val="left" w:pos="810"/>
        </w:tabs>
        <w:ind w:left="1080"/>
        <w:jc w:val="both"/>
      </w:pPr>
      <w:r>
        <w:t xml:space="preserve">Where the connection assets are made redundant </w:t>
      </w:r>
      <w:bookmarkStart w:id="96" w:name="_Int_QJyBx4QP"/>
      <w:r>
        <w:t>as a result of</w:t>
      </w:r>
      <w:bookmarkEnd w:id="96"/>
      <w:r>
        <w:t xml:space="preserve"> the termination or modification of a Bilateral Connection Agreement, the User will be liable to pay an amount equal to the NAV of such assets as at the end of the </w:t>
      </w:r>
      <w:r w:rsidR="17E170F1" w:rsidRPr="0537B9E0">
        <w:rPr>
          <w:b/>
          <w:bCs/>
        </w:rPr>
        <w:t>Financial Year</w:t>
      </w:r>
      <w:r>
        <w:t xml:space="preserve"> in which termination or modification occurs, plus:</w:t>
      </w:r>
    </w:p>
    <w:p w14:paraId="701D8A3D" w14:textId="77777777" w:rsidR="00225419" w:rsidRDefault="00225419">
      <w:pPr>
        <w:pStyle w:val="Style"/>
        <w:tabs>
          <w:tab w:val="left" w:pos="810"/>
          <w:tab w:val="left" w:pos="1620"/>
          <w:tab w:val="left" w:pos="4680"/>
        </w:tabs>
        <w:ind w:left="720" w:firstLine="0"/>
        <w:jc w:val="both"/>
      </w:pPr>
    </w:p>
    <w:p w14:paraId="384D4B29" w14:textId="3675D8D6" w:rsidR="00225419" w:rsidRDefault="18569871" w:rsidP="006661FE">
      <w:pPr>
        <w:pStyle w:val="Style"/>
        <w:numPr>
          <w:ilvl w:val="0"/>
          <w:numId w:val="30"/>
        </w:numPr>
        <w:tabs>
          <w:tab w:val="left" w:pos="810"/>
        </w:tabs>
        <w:ind w:left="1080"/>
        <w:jc w:val="both"/>
      </w:pPr>
      <w:r>
        <w:t>The reasonable costs of removing such assets</w:t>
      </w:r>
      <w:r w:rsidR="326F2DB0">
        <w:t xml:space="preserve">. </w:t>
      </w:r>
      <w:r>
        <w:t>These costs being inclusive of the costs of making good the condition of the connection site</w:t>
      </w:r>
    </w:p>
    <w:p w14:paraId="08492742" w14:textId="77777777" w:rsidR="00225419" w:rsidRDefault="00225419">
      <w:pPr>
        <w:pStyle w:val="Style"/>
        <w:tabs>
          <w:tab w:val="left" w:pos="810"/>
          <w:tab w:val="left" w:pos="1620"/>
          <w:tab w:val="left" w:pos="4680"/>
        </w:tabs>
        <w:ind w:left="0" w:firstLine="0"/>
        <w:jc w:val="both"/>
      </w:pPr>
    </w:p>
    <w:p w14:paraId="7973CDC3"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Pr="00AD4509">
        <w:rPr>
          <w:b/>
          <w:bCs/>
        </w:rPr>
        <w:t>Financial Year</w:t>
      </w:r>
      <w:r>
        <w:t>, the connection charge for the full year remains payable. Any remaining Use of System Charges (TNUoS and BSUoS) also remain payable</w:t>
      </w:r>
    </w:p>
    <w:p w14:paraId="6AA9BA48" w14:textId="77777777" w:rsidR="00225419" w:rsidRDefault="00225419">
      <w:pPr>
        <w:pStyle w:val="Style"/>
        <w:tabs>
          <w:tab w:val="left" w:pos="810"/>
        </w:tabs>
        <w:ind w:left="0" w:firstLine="0"/>
        <w:jc w:val="both"/>
      </w:pPr>
    </w:p>
    <w:p w14:paraId="0C5C5385"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4CFCD65B" w14:textId="77777777" w:rsidR="00225419" w:rsidRDefault="00225419">
      <w:pPr>
        <w:pStyle w:val="Style"/>
        <w:tabs>
          <w:tab w:val="left" w:pos="810"/>
        </w:tabs>
        <w:ind w:left="0" w:firstLine="0"/>
        <w:jc w:val="both"/>
      </w:pPr>
    </w:p>
    <w:p w14:paraId="1AB82E03" w14:textId="3411933A" w:rsidR="00225419" w:rsidRDefault="18569871" w:rsidP="006661FE">
      <w:pPr>
        <w:pStyle w:val="Style"/>
        <w:numPr>
          <w:ilvl w:val="0"/>
          <w:numId w:val="30"/>
        </w:numPr>
        <w:tabs>
          <w:tab w:val="left" w:pos="810"/>
        </w:tabs>
        <w:ind w:left="1080"/>
        <w:jc w:val="both"/>
      </w:pPr>
      <w:r>
        <w:t xml:space="preserve">Previous capital contributions paid to </w:t>
      </w:r>
      <w:r w:rsidR="58867969" w:rsidRPr="0537B9E0">
        <w:rPr>
          <w:b/>
          <w:bCs/>
        </w:rPr>
        <w:t>The Company</w:t>
      </w:r>
      <w:r>
        <w:t xml:space="preserve"> will be </w:t>
      </w:r>
      <w:bookmarkStart w:id="97" w:name="_Int_sUlNnocS"/>
      <w:r>
        <w:t>taken into account</w:t>
      </w:r>
      <w:bookmarkEnd w:id="97"/>
    </w:p>
    <w:p w14:paraId="26C9F179" w14:textId="77777777" w:rsidR="00225419" w:rsidRDefault="00225419">
      <w:pPr>
        <w:pStyle w:val="Style"/>
        <w:tabs>
          <w:tab w:val="left" w:pos="810"/>
          <w:tab w:val="left" w:pos="1620"/>
          <w:tab w:val="left" w:pos="4680"/>
        </w:tabs>
        <w:ind w:left="810" w:firstLine="0"/>
        <w:jc w:val="both"/>
      </w:pPr>
    </w:p>
    <w:p w14:paraId="2C417444" w14:textId="6BF7DE7D"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D4509" w:rsidRPr="00AD4509">
        <w:rPr>
          <w:b/>
          <w:bCs/>
        </w:rPr>
        <w:t>Financial Year</w:t>
      </w:r>
      <w:r>
        <w:t xml:space="preserve"> n is as follows:</w:t>
      </w:r>
    </w:p>
    <w:p w14:paraId="66162F37" w14:textId="77777777" w:rsidR="00225419" w:rsidRDefault="00225419">
      <w:pPr>
        <w:pStyle w:val="1"/>
        <w:tabs>
          <w:tab w:val="left" w:pos="-1440"/>
        </w:tabs>
        <w:jc w:val="both"/>
      </w:pPr>
    </w:p>
    <w:p w14:paraId="7C1E3B00"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2ECA7007"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27388E4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3FB78D3E"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7FB24DA0"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7658E59D" w14:textId="1555F4AD"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D4509" w:rsidRPr="00AD4509">
        <w:rPr>
          <w:rFonts w:ascii="Arial" w:hAnsi="Arial" w:cs="Arial"/>
          <w:b/>
          <w:bCs/>
          <w:sz w:val="22"/>
          <w:szCs w:val="22"/>
        </w:rPr>
        <w:t>Financial Year</w:t>
      </w:r>
      <w:r w:rsidRPr="00094C68">
        <w:rPr>
          <w:rFonts w:ascii="Arial" w:hAnsi="Arial" w:cs="Arial"/>
          <w:sz w:val="22"/>
          <w:szCs w:val="22"/>
        </w:rPr>
        <w:t xml:space="preserve"> n</w:t>
      </w:r>
    </w:p>
    <w:p w14:paraId="4B6DA6D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8A6EBE9"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46B52701" w14:textId="77777777" w:rsidR="00225419" w:rsidRDefault="00225419">
      <w:pPr>
        <w:tabs>
          <w:tab w:val="left" w:pos="810"/>
          <w:tab w:val="left" w:pos="1620"/>
          <w:tab w:val="left" w:pos="4680"/>
        </w:tabs>
        <w:jc w:val="both"/>
      </w:pPr>
    </w:p>
    <w:p w14:paraId="2EA637A4"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39B16618" w14:textId="77777777" w:rsidR="00225419" w:rsidRDefault="00225419">
      <w:pPr>
        <w:pStyle w:val="1"/>
        <w:tabs>
          <w:tab w:val="left" w:pos="-1440"/>
        </w:tabs>
        <w:jc w:val="both"/>
      </w:pPr>
    </w:p>
    <w:p w14:paraId="65A6868D" w14:textId="77777777" w:rsidR="00225419" w:rsidRDefault="18569871" w:rsidP="006661FE">
      <w:pPr>
        <w:pStyle w:val="Style"/>
        <w:numPr>
          <w:ilvl w:val="0"/>
          <w:numId w:val="31"/>
        </w:numPr>
        <w:ind w:left="1080"/>
        <w:jc w:val="both"/>
      </w:pPr>
      <w:r>
        <w:t xml:space="preserve">If a circuit breaker is terminated </w:t>
      </w:r>
      <w:bookmarkStart w:id="98" w:name="_Int_VVjbrjoj"/>
      <w:r>
        <w:t>as a result of</w:t>
      </w:r>
      <w:bookmarkEnd w:id="98"/>
      <w:r>
        <w:t xml:space="preserve"> a User leaving a site, this may require modifications to the protection systems.</w:t>
      </w:r>
    </w:p>
    <w:p w14:paraId="4084B546" w14:textId="77777777" w:rsidR="00225419" w:rsidRDefault="00225419">
      <w:pPr>
        <w:pStyle w:val="Style"/>
        <w:tabs>
          <w:tab w:val="left" w:pos="810"/>
        </w:tabs>
        <w:ind w:left="720" w:firstLine="0"/>
        <w:jc w:val="both"/>
      </w:pPr>
    </w:p>
    <w:p w14:paraId="3E2B2768" w14:textId="4BEFA75D" w:rsidR="00225419" w:rsidRDefault="18569871" w:rsidP="006661FE">
      <w:pPr>
        <w:pStyle w:val="Style"/>
        <w:numPr>
          <w:ilvl w:val="0"/>
          <w:numId w:val="31"/>
        </w:numPr>
        <w:ind w:left="1080"/>
        <w:jc w:val="both"/>
      </w:pPr>
      <w:r>
        <w:t>If an asset were terminated and its associated civils had been removed to 1m below ground then the levels would have to be made up</w:t>
      </w:r>
      <w:r w:rsidR="1B77A08F">
        <w:t xml:space="preserve">. </w:t>
      </w:r>
      <w:r>
        <w:t xml:space="preserve">This is a common condition of planning consent. </w:t>
      </w:r>
    </w:p>
    <w:p w14:paraId="1893869E" w14:textId="77777777" w:rsidR="00225419" w:rsidRDefault="00225419">
      <w:pPr>
        <w:pStyle w:val="Style"/>
        <w:tabs>
          <w:tab w:val="left" w:pos="810"/>
          <w:tab w:val="left" w:pos="1620"/>
          <w:tab w:val="left" w:pos="4680"/>
        </w:tabs>
        <w:ind w:left="0" w:firstLine="0"/>
        <w:jc w:val="both"/>
      </w:pPr>
    </w:p>
    <w:p w14:paraId="6EA019F6" w14:textId="77777777" w:rsidR="00225419" w:rsidRDefault="00225419">
      <w:pPr>
        <w:pStyle w:val="Heading2"/>
      </w:pPr>
      <w:r>
        <w:br w:type="page"/>
      </w:r>
      <w:bookmarkStart w:id="99" w:name="_Toc220918030"/>
      <w:r>
        <w:lastRenderedPageBreak/>
        <w:t>Repayment on Re-Use of Assets</w:t>
      </w:r>
      <w:bookmarkEnd w:id="99"/>
    </w:p>
    <w:p w14:paraId="0F10E5E9" w14:textId="77777777" w:rsidR="00225419" w:rsidRDefault="00225419">
      <w:pPr>
        <w:pStyle w:val="Style"/>
        <w:tabs>
          <w:tab w:val="left" w:pos="810"/>
          <w:tab w:val="left" w:pos="1620"/>
          <w:tab w:val="left" w:pos="4680"/>
        </w:tabs>
        <w:ind w:left="0" w:firstLine="0"/>
        <w:jc w:val="both"/>
      </w:pPr>
    </w:p>
    <w:p w14:paraId="1650D2B8" w14:textId="79E17237" w:rsidR="00225419" w:rsidRDefault="18569871" w:rsidP="35F371ED">
      <w:pPr>
        <w:pStyle w:val="1"/>
        <w:numPr>
          <w:ilvl w:val="0"/>
          <w:numId w:val="40"/>
        </w:numPr>
        <w:jc w:val="both"/>
      </w:pPr>
      <w:r>
        <w:t xml:space="preserve">   If any assets in respect of which a termination charge was made to </w:t>
      </w:r>
      <w:r w:rsidR="58867969" w:rsidRPr="0537B9E0">
        <w:rPr>
          <w:b/>
          <w:bCs/>
        </w:rPr>
        <w:t>The Company</w:t>
      </w:r>
      <w:r>
        <w:t xml:space="preserve"> are reused at the same site or elsewhere on the system, including use as infrastructure assets, </w:t>
      </w:r>
      <w:r w:rsidR="58867969" w:rsidRPr="0537B9E0">
        <w:rPr>
          <w:b/>
          <w:bCs/>
        </w:rPr>
        <w:t>The Company</w:t>
      </w:r>
      <w:r>
        <w:t xml:space="preserve"> will make a payment to the original terminating User to reflect the fact that the assets are being reused</w:t>
      </w:r>
      <w:r w:rsidR="15765611">
        <w:t xml:space="preserve">. </w:t>
      </w:r>
    </w:p>
    <w:p w14:paraId="35B0A3BA" w14:textId="77777777" w:rsidR="00225419" w:rsidRDefault="00225419">
      <w:pPr>
        <w:pStyle w:val="1"/>
        <w:jc w:val="both"/>
      </w:pPr>
    </w:p>
    <w:p w14:paraId="5485E9F7" w14:textId="7ACD3AD4" w:rsidR="00225419" w:rsidRDefault="00225419" w:rsidP="35F371ED">
      <w:pPr>
        <w:pStyle w:val="1"/>
        <w:numPr>
          <w:ilvl w:val="0"/>
          <w:numId w:val="40"/>
        </w:numPr>
        <w:jc w:val="both"/>
      </w:pPr>
      <w:r>
        <w:t xml:space="preserve">  The arrangements for such repayments for re-use of Assets are that </w:t>
      </w:r>
      <w:r w:rsidR="1CE92958" w:rsidRPr="00EC52BD">
        <w:rPr>
          <w:b/>
        </w:rPr>
        <w:t>The Company</w:t>
      </w:r>
      <w:r w:rsidRPr="00EC52BD">
        <w:rPr>
          <w:b/>
        </w:rPr>
        <w:t xml:space="preserve"> </w:t>
      </w:r>
      <w:r>
        <w:t>will pay the User a sum equal to the lower of:</w:t>
      </w:r>
    </w:p>
    <w:p w14:paraId="306D88F1" w14:textId="77777777" w:rsidR="00225419" w:rsidRDefault="00225419">
      <w:pPr>
        <w:pStyle w:val="1"/>
        <w:jc w:val="both"/>
      </w:pPr>
    </w:p>
    <w:p w14:paraId="752B41B7" w14:textId="77777777" w:rsidR="00225419" w:rsidRDefault="00225419" w:rsidP="006661FE">
      <w:pPr>
        <w:pStyle w:val="1"/>
        <w:numPr>
          <w:ilvl w:val="0"/>
          <w:numId w:val="29"/>
        </w:numPr>
        <w:tabs>
          <w:tab w:val="num" w:pos="1440"/>
        </w:tabs>
        <w:ind w:left="720"/>
        <w:jc w:val="both"/>
      </w:pPr>
      <w:r>
        <w:t>the Termination</w:t>
      </w:r>
      <w:r>
        <w:fldChar w:fldCharType="begin"/>
      </w:r>
      <w:r>
        <w:instrText xml:space="preserve"> XE "Termination" </w:instrText>
      </w:r>
      <w:r>
        <w:fldChar w:fldCharType="end"/>
      </w:r>
      <w:r>
        <w:t xml:space="preserve"> Amount paid in respect of such  Assets; or</w:t>
      </w:r>
    </w:p>
    <w:p w14:paraId="17850437" w14:textId="77777777" w:rsidR="00225419" w:rsidRDefault="00225419">
      <w:pPr>
        <w:pStyle w:val="1"/>
        <w:ind w:left="720"/>
        <w:jc w:val="both"/>
      </w:pPr>
    </w:p>
    <w:p w14:paraId="64FF79D6" w14:textId="77777777" w:rsidR="00225419" w:rsidRDefault="00225419" w:rsidP="006661FE">
      <w:pPr>
        <w:pStyle w:val="1"/>
        <w:numPr>
          <w:ilvl w:val="0"/>
          <w:numId w:val="29"/>
        </w:numPr>
        <w:tabs>
          <w:tab w:val="num" w:pos="1429"/>
        </w:tabs>
        <w:ind w:left="1429" w:hanging="720"/>
        <w:jc w:val="both"/>
      </w:pPr>
      <w:r>
        <w:t>the NAV attributed to such  Assets for charging purposes upon their re-use</w:t>
      </w:r>
    </w:p>
    <w:p w14:paraId="37F1E800" w14:textId="77777777" w:rsidR="00225419" w:rsidRDefault="00225419">
      <w:pPr>
        <w:pStyle w:val="1"/>
        <w:tabs>
          <w:tab w:val="left" w:pos="1418"/>
        </w:tabs>
        <w:ind w:left="1418"/>
        <w:jc w:val="both"/>
      </w:pPr>
    </w:p>
    <w:p w14:paraId="565E18FF" w14:textId="77777777" w:rsidR="00225419" w:rsidRDefault="00225419">
      <w:pPr>
        <w:pStyle w:val="1"/>
        <w:tabs>
          <w:tab w:val="left" w:pos="709"/>
        </w:tabs>
        <w:ind w:left="709"/>
        <w:jc w:val="both"/>
      </w:pPr>
      <w:r>
        <w:t>less any reasonable costs incurred  in respect of the storage of those assets.</w:t>
      </w:r>
    </w:p>
    <w:p w14:paraId="72F1D609" w14:textId="77777777" w:rsidR="00225419" w:rsidRDefault="00225419">
      <w:pPr>
        <w:pStyle w:val="1"/>
        <w:jc w:val="both"/>
      </w:pPr>
      <w:r>
        <w:t xml:space="preserve"> </w:t>
      </w:r>
    </w:p>
    <w:p w14:paraId="42AD0A96" w14:textId="4C375CDB" w:rsidR="00225419" w:rsidRDefault="18569871" w:rsidP="35F371ED">
      <w:pPr>
        <w:pStyle w:val="1"/>
        <w:numPr>
          <w:ilvl w:val="0"/>
          <w:numId w:val="40"/>
        </w:numPr>
        <w:jc w:val="both"/>
      </w:pPr>
      <w:r>
        <w:t xml:space="preserve">  The definition of re-use is set out in the CUSC</w:t>
      </w:r>
      <w:r w:rsidR="38954A6A">
        <w:t xml:space="preserve">. </w:t>
      </w:r>
      <w:r>
        <w:t xml:space="preserve">Where </w:t>
      </w:r>
      <w:r w:rsidR="58867969" w:rsidRPr="0537B9E0">
        <w:rPr>
          <w:b/>
          <w:bCs/>
        </w:rPr>
        <w:t>The Company</w:t>
      </w:r>
      <w:r>
        <w:t xml:space="preserve"> decides to dispose of a terminated asset where it is capable of re-use, </w:t>
      </w:r>
      <w:r w:rsidR="58867969" w:rsidRPr="0537B9E0">
        <w:rPr>
          <w:b/>
          <w:bCs/>
        </w:rPr>
        <w:t>The Company</w:t>
      </w:r>
      <w:r w:rsidRPr="0537B9E0">
        <w:rPr>
          <w:b/>
          <w:bCs/>
        </w:rPr>
        <w:t xml:space="preserve"> </w:t>
      </w:r>
      <w:r>
        <w:t>shall pay the User an appropriate proportion of the sale proceeds received.</w:t>
      </w:r>
    </w:p>
    <w:p w14:paraId="037BE4F4" w14:textId="77777777" w:rsidR="00225419" w:rsidRDefault="00225419"/>
    <w:p w14:paraId="430B0A8E" w14:textId="77777777" w:rsidR="00225419" w:rsidRDefault="00225419"/>
    <w:p w14:paraId="19A0BFFB" w14:textId="77777777" w:rsidR="00225419" w:rsidRDefault="00225419">
      <w:pPr>
        <w:pStyle w:val="Heading2"/>
      </w:pPr>
      <w:bookmarkStart w:id="100" w:name="_Toc220918031"/>
      <w:r>
        <w:t>Valuation of Assets that are re-used as connection assets or existing infrastructure assets re-allocated to connection</w:t>
      </w:r>
      <w:bookmarkEnd w:id="100"/>
    </w:p>
    <w:p w14:paraId="46F1C438" w14:textId="77777777" w:rsidR="00225419" w:rsidRDefault="00225419"/>
    <w:p w14:paraId="44016F7C" w14:textId="712C60C4" w:rsidR="00225419" w:rsidRDefault="18569871" w:rsidP="35F371ED">
      <w:pPr>
        <w:pStyle w:val="1"/>
        <w:numPr>
          <w:ilvl w:val="0"/>
          <w:numId w:val="40"/>
        </w:numPr>
        <w:jc w:val="both"/>
      </w:pPr>
      <w:r>
        <w:t>If an asset is reused following termination or allocated to connection when it has previously been allocated to TNUoS, a value needs to be determined for the purposes of connection charges</w:t>
      </w:r>
      <w:r w:rsidR="6CE109F1">
        <w:t xml:space="preserve">. </w:t>
      </w:r>
      <w:r>
        <w:t>In both instances the connection charge will be based on the standard formula set out in paragraph 14.3.2</w:t>
      </w:r>
      <w:r w:rsidR="61A7D262">
        <w:t>1</w:t>
      </w:r>
      <w:r>
        <w:t xml:space="preserve">. The Gross Asset Value will be based on the original construction costs and indexed by </w:t>
      </w:r>
      <w:r w:rsidR="0AEC0661">
        <w:t>TOPI</w:t>
      </w:r>
      <w:r>
        <w:t xml:space="preserve">. Where original costs are not known a reasonable value will be agreed between </w:t>
      </w:r>
      <w:r w:rsidR="58867969" w:rsidRPr="0537B9E0">
        <w:rPr>
          <w:b/>
          <w:bCs/>
        </w:rPr>
        <w:t xml:space="preserve">The </w:t>
      </w:r>
      <w:r w:rsidRPr="0537B9E0">
        <w:rPr>
          <w:b/>
          <w:bCs/>
        </w:rPr>
        <w:t>Company</w:t>
      </w:r>
      <w:r>
        <w:t xml:space="preserve"> and the User based on similar types of asset in use. The Net Asset Value will be calculated as if the asset had been in continuous service as a connection asset from its original commissioning date </w:t>
      </w:r>
      <w:bookmarkStart w:id="101" w:name="_Int_7u62nsg4"/>
      <w:r>
        <w:t>taking into account</w:t>
      </w:r>
      <w:bookmarkEnd w:id="101"/>
      <w:r>
        <w:t xml:space="preserve"> the depreciation period</w:t>
      </w:r>
      <w:r w:rsidR="00225419">
        <w:fldChar w:fldCharType="begin"/>
      </w:r>
      <w:r w:rsidR="00225419">
        <w:instrText xml:space="preserve"> XE "Depreciation Period" </w:instrText>
      </w:r>
      <w:r w:rsidR="00225419">
        <w:fldChar w:fldCharType="end"/>
      </w:r>
      <w:r>
        <w:t>.</w:t>
      </w:r>
    </w:p>
    <w:p w14:paraId="061ECB68" w14:textId="77777777" w:rsidR="00225419" w:rsidRDefault="00225419">
      <w:pPr>
        <w:pStyle w:val="1"/>
        <w:tabs>
          <w:tab w:val="left" w:pos="-1440"/>
        </w:tabs>
        <w:jc w:val="both"/>
      </w:pPr>
    </w:p>
    <w:p w14:paraId="666E02B6" w14:textId="53015107" w:rsidR="00225419" w:rsidRDefault="00225419" w:rsidP="35F371ED">
      <w:pPr>
        <w:pStyle w:val="1"/>
        <w:numPr>
          <w:ilvl w:val="0"/>
          <w:numId w:val="40"/>
        </w:numPr>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1CE92958" w:rsidRPr="00EC52BD">
        <w:rPr>
          <w:b/>
        </w:rPr>
        <w:t xml:space="preserve">The </w:t>
      </w:r>
      <w:r w:rsidRPr="00EC52BD">
        <w:rPr>
          <w:b/>
        </w:rPr>
        <w:t>Company</w:t>
      </w:r>
      <w:r>
        <w:t xml:space="preserve"> and the User. This will be based on the value of similar types of asset in service and the costs of the refurbishment.</w:t>
      </w:r>
    </w:p>
    <w:p w14:paraId="256AE738" w14:textId="77777777" w:rsidR="00225419" w:rsidRDefault="00225419">
      <w:pPr>
        <w:jc w:val="both"/>
      </w:pPr>
    </w:p>
    <w:p w14:paraId="113526CA" w14:textId="77777777" w:rsidR="00225419" w:rsidRPr="007F69E9" w:rsidRDefault="00225419">
      <w:pPr>
        <w:pStyle w:val="Heading1"/>
        <w:rPr>
          <w:rFonts w:ascii="Arial" w:hAnsi="Arial"/>
          <w:color w:val="auto"/>
          <w:sz w:val="22"/>
        </w:rPr>
      </w:pPr>
      <w:r>
        <w:br w:type="page"/>
      </w:r>
      <w:bookmarkStart w:id="102" w:name="_Toc44315413"/>
      <w:bookmarkStart w:id="103" w:name="_Toc220918032"/>
      <w:r w:rsidRPr="007F69E9">
        <w:rPr>
          <w:color w:val="auto"/>
          <w:sz w:val="28"/>
          <w:szCs w:val="28"/>
        </w:rPr>
        <w:lastRenderedPageBreak/>
        <w:t>14.7 Contestability</w:t>
      </w:r>
      <w:bookmarkEnd w:id="102"/>
      <w:bookmarkEnd w:id="103"/>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3F1DC5E3"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743D5946" w14:textId="6B3C4567" w:rsidR="00225419" w:rsidRDefault="18569871" w:rsidP="0537B9E0">
      <w:pPr>
        <w:pStyle w:val="1"/>
        <w:numPr>
          <w:ilvl w:val="0"/>
          <w:numId w:val="41"/>
        </w:numPr>
        <w:ind w:left="720" w:hanging="720"/>
        <w:jc w:val="both"/>
      </w:pPr>
      <w:r>
        <w:t>Some connection activities may be undertaken by the User</w:t>
      </w:r>
      <w:r w:rsidR="5E5D01BF">
        <w:t xml:space="preserve">. </w:t>
      </w:r>
      <w:r>
        <w:t>The activities are the provision, or construction, of connection assets, the financing of connection assets and the ongoing maintenance of those assets</w:t>
      </w:r>
      <w:r w:rsidR="3AE86F65">
        <w:t xml:space="preserve">. </w:t>
      </w:r>
      <w:r>
        <w:t xml:space="preserve">While some Users have been keen to see contestability wherever possible, contestability should not prejudice system integrity, </w:t>
      </w:r>
      <w:bookmarkStart w:id="104" w:name="_Int_kZ7Tly89"/>
      <w:r>
        <w:t>security</w:t>
      </w:r>
      <w:bookmarkEnd w:id="104"/>
      <w:r>
        <w:t xml:space="preserve"> and safety</w:t>
      </w:r>
      <w:r w:rsidR="37AC9241">
        <w:t xml:space="preserve">. </w:t>
      </w:r>
      <w:r>
        <w:t>These concerns have shaped the terms that are offered for contestability in construction and maintenance.</w:t>
      </w:r>
    </w:p>
    <w:p w14:paraId="7096BB07" w14:textId="77777777" w:rsidR="00225419" w:rsidRDefault="00225419">
      <w:pPr>
        <w:pStyle w:val="Heading2"/>
      </w:pPr>
      <w:bookmarkStart w:id="105" w:name="_Toc32208953"/>
      <w:bookmarkStart w:id="106" w:name="_Toc44315414"/>
    </w:p>
    <w:p w14:paraId="6191EB42" w14:textId="77777777" w:rsidR="00225419" w:rsidRDefault="00225419"/>
    <w:p w14:paraId="35FB3C96" w14:textId="77777777" w:rsidR="00225419" w:rsidRDefault="00225419">
      <w:pPr>
        <w:pStyle w:val="Heading2"/>
      </w:pPr>
      <w:bookmarkStart w:id="107" w:name="_Toc220918033"/>
      <w:bookmarkEnd w:id="105"/>
      <w:bookmarkEnd w:id="106"/>
      <w:r>
        <w:t>Contestability in Construction</w:t>
      </w:r>
      <w:bookmarkEnd w:id="107"/>
    </w:p>
    <w:p w14:paraId="025018C4"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55D2DB9D" w14:textId="023F61C1" w:rsidR="00225419" w:rsidRDefault="18569871" w:rsidP="0537B9E0">
      <w:pPr>
        <w:pStyle w:val="1"/>
        <w:numPr>
          <w:ilvl w:val="0"/>
          <w:numId w:val="41"/>
        </w:numPr>
        <w:ind w:left="720" w:hanging="720"/>
        <w:jc w:val="both"/>
        <w:rPr>
          <w:b/>
          <w:bCs/>
        </w:rPr>
      </w:pPr>
      <w:r>
        <w:t>Users have the option to provide (construct) connection assets if they wish</w:t>
      </w:r>
      <w:r w:rsidR="0BCC641D">
        <w:t xml:space="preserve">. </w:t>
      </w:r>
      <w:r>
        <w:t>Formal arrangements for Users exercising this choice are available and further information on User choice in construction can be obtained from</w:t>
      </w:r>
      <w:r w:rsidR="28636CA0">
        <w:t xml:space="preserve"> </w:t>
      </w:r>
      <w:r w:rsidR="58867969" w:rsidRPr="0537B9E0">
        <w:rPr>
          <w:b/>
          <w:bCs/>
        </w:rPr>
        <w:t>The Company</w:t>
      </w:r>
      <w:r w:rsidR="28636CA0" w:rsidRPr="0537B9E0">
        <w:rPr>
          <w:b/>
          <w:bCs/>
        </w:rPr>
        <w:t>.</w:t>
      </w:r>
    </w:p>
    <w:p w14:paraId="153FE9A9" w14:textId="77777777" w:rsidR="00225419" w:rsidRDefault="00225419">
      <w:pPr>
        <w:pStyle w:val="1"/>
        <w:tabs>
          <w:tab w:val="left" w:pos="-1440"/>
        </w:tabs>
        <w:jc w:val="both"/>
      </w:pPr>
    </w:p>
    <w:p w14:paraId="4FF3B7C9" w14:textId="77777777" w:rsidR="00225419" w:rsidRDefault="00225419"/>
    <w:p w14:paraId="53DE671F" w14:textId="77777777" w:rsidR="00225419" w:rsidRDefault="00225419">
      <w:pPr>
        <w:jc w:val="both"/>
      </w:pPr>
    </w:p>
    <w:p w14:paraId="1626E695" w14:textId="77777777" w:rsidR="00225419" w:rsidRPr="00415339" w:rsidRDefault="00225419">
      <w:pPr>
        <w:pStyle w:val="Heading1"/>
        <w:rPr>
          <w:color w:val="auto"/>
          <w:sz w:val="28"/>
          <w:szCs w:val="28"/>
        </w:rPr>
      </w:pPr>
      <w:r>
        <w:br w:type="page"/>
      </w:r>
      <w:bookmarkStart w:id="108" w:name="_Toc44315417"/>
      <w:bookmarkStart w:id="109" w:name="_Toc220918035"/>
      <w:r w:rsidRPr="00415339">
        <w:rPr>
          <w:color w:val="auto"/>
          <w:sz w:val="28"/>
          <w:szCs w:val="28"/>
        </w:rPr>
        <w:lastRenderedPageBreak/>
        <w:t>14.8 Asset Replacement</w:t>
      </w:r>
      <w:bookmarkEnd w:id="108"/>
      <w:bookmarkEnd w:id="109"/>
    </w:p>
    <w:p w14:paraId="6D689F31" w14:textId="77777777" w:rsidR="00225419" w:rsidRDefault="00225419">
      <w:pPr>
        <w:pStyle w:val="1"/>
        <w:tabs>
          <w:tab w:val="left" w:pos="-1440"/>
          <w:tab w:val="num" w:pos="709"/>
        </w:tabs>
        <w:ind w:left="709" w:hanging="709"/>
        <w:jc w:val="both"/>
      </w:pPr>
      <w:bookmarkStart w:id="110" w:name="_Hlt492191662"/>
      <w:bookmarkStart w:id="111" w:name="_Ref491666437"/>
      <w:bookmarkStart w:id="112" w:name="_Ref501761566"/>
      <w:bookmarkEnd w:id="110"/>
    </w:p>
    <w:p w14:paraId="61B01C6D" w14:textId="66417212"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D4509" w:rsidRPr="00AD4509">
        <w:rPr>
          <w:b/>
          <w:bCs/>
        </w:rPr>
        <w:t>Financial Year</w:t>
      </w:r>
      <w:r w:rsidR="00AD4509">
        <w:rPr>
          <w:b/>
          <w:bCs/>
        </w:rPr>
        <w:t>s</w:t>
      </w:r>
      <w:r w:rsidR="00AD4509">
        <w:t xml:space="preserve"> </w:t>
      </w:r>
      <w:r>
        <w:t xml:space="preserve">old), for charging purposes, of each of the NETS connection assets at the Connection Site for the corresponding </w:t>
      </w:r>
      <w:r w:rsidRPr="00AD4509">
        <w:rPr>
          <w:b/>
          <w:bCs/>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3C3F64BA" w14:textId="77777777" w:rsidR="00225419" w:rsidRDefault="00225419">
      <w:pPr>
        <w:pStyle w:val="1"/>
        <w:tabs>
          <w:tab w:val="left" w:pos="-1440"/>
        </w:tabs>
        <w:ind w:left="720"/>
        <w:jc w:val="both"/>
      </w:pPr>
    </w:p>
    <w:p w14:paraId="67081952" w14:textId="0A0E14D0" w:rsidR="00225419" w:rsidRPr="00225419" w:rsidRDefault="18569871">
      <w:pPr>
        <w:ind w:left="720"/>
        <w:jc w:val="both"/>
        <w:rPr>
          <w:rFonts w:ascii="Arial" w:hAnsi="Arial" w:cs="Arial"/>
          <w:sz w:val="22"/>
          <w:szCs w:val="22"/>
        </w:rPr>
      </w:pPr>
      <w:r w:rsidRPr="0537B9E0">
        <w:rPr>
          <w:rFonts w:ascii="Arial" w:hAnsi="Arial" w:cs="Arial"/>
        </w:rPr>
        <w:t>I</w:t>
      </w:r>
      <w:r w:rsidRPr="0537B9E0">
        <w:rPr>
          <w:rFonts w:ascii="Arial" w:hAnsi="Arial" w:cs="Arial"/>
          <w:sz w:val="22"/>
          <w:szCs w:val="22"/>
        </w:rPr>
        <w:t xml:space="preserve">f a connection asset is to be replaced,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enter into an agreement for the replacement with the User</w:t>
      </w:r>
      <w:r w:rsidR="33FF7631" w:rsidRPr="0537B9E0">
        <w:rPr>
          <w:rFonts w:ascii="Arial" w:hAnsi="Arial" w:cs="Arial"/>
          <w:sz w:val="22"/>
          <w:szCs w:val="22"/>
        </w:rPr>
        <w:t xml:space="preserve">. </w:t>
      </w:r>
      <w:r w:rsidRPr="0537B9E0">
        <w:rPr>
          <w:rFonts w:ascii="Arial" w:hAnsi="Arial" w:cs="Arial"/>
          <w:sz w:val="22"/>
          <w:szCs w:val="22"/>
        </w:rPr>
        <w:t>Where replacement occurs before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w:t>
      </w:r>
      <w:r w:rsidRPr="0537B9E0">
        <w:rPr>
          <w:rFonts w:ascii="Arial" w:hAnsi="Arial" w:cs="Arial"/>
          <w:sz w:val="22"/>
          <w:szCs w:val="22"/>
        </w:rPr>
        <w:t>y will continue to charge for the original asset and make no charge to the existing User for the new asset until the original asset’s charging age has reached the duration of its Replacement Period.</w:t>
      </w:r>
    </w:p>
    <w:p w14:paraId="3CC05241" w14:textId="77777777" w:rsidR="00225419" w:rsidRPr="00225419" w:rsidRDefault="00225419">
      <w:pPr>
        <w:ind w:left="720"/>
        <w:jc w:val="both"/>
        <w:rPr>
          <w:rFonts w:ascii="Arial" w:hAnsi="Arial" w:cs="Arial"/>
          <w:sz w:val="22"/>
          <w:szCs w:val="22"/>
        </w:rPr>
      </w:pPr>
    </w:p>
    <w:p w14:paraId="39205DEE" w14:textId="6B7C7E8C" w:rsidR="00225419" w:rsidRPr="00225419" w:rsidRDefault="18569871">
      <w:pPr>
        <w:ind w:left="720"/>
        <w:jc w:val="both"/>
        <w:rPr>
          <w:rFonts w:ascii="Arial" w:hAnsi="Arial" w:cs="Arial"/>
          <w:sz w:val="22"/>
          <w:szCs w:val="22"/>
        </w:rPr>
      </w:pPr>
      <w:r w:rsidRPr="0537B9E0">
        <w:rPr>
          <w:rFonts w:ascii="Arial" w:hAnsi="Arial" w:cs="Arial"/>
          <w:sz w:val="22"/>
          <w:szCs w:val="22"/>
        </w:rPr>
        <w:t>Where the replacement occurs after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charge </w:t>
      </w:r>
      <w:bookmarkStart w:id="113" w:name="_Int_foyDL8SO"/>
      <w:r w:rsidRPr="0537B9E0">
        <w:rPr>
          <w:rFonts w:ascii="Arial" w:hAnsi="Arial" w:cs="Arial"/>
          <w:sz w:val="22"/>
          <w:szCs w:val="22"/>
        </w:rPr>
        <w:t>on the basis of</w:t>
      </w:r>
      <w:bookmarkEnd w:id="113"/>
      <w:r w:rsidRPr="0537B9E0">
        <w:rPr>
          <w:rFonts w:ascii="Arial" w:hAnsi="Arial" w:cs="Arial"/>
          <w:sz w:val="22"/>
          <w:szCs w:val="22"/>
        </w:rPr>
        <w:t xml:space="preserve"> the original asset until replaced and </w:t>
      </w:r>
      <w:bookmarkStart w:id="114" w:name="_Int_CutWwLnF"/>
      <w:r w:rsidRPr="0537B9E0">
        <w:rPr>
          <w:rFonts w:ascii="Arial" w:hAnsi="Arial" w:cs="Arial"/>
          <w:sz w:val="22"/>
          <w:szCs w:val="22"/>
        </w:rPr>
        <w:t>on the basis of</w:t>
      </w:r>
      <w:bookmarkEnd w:id="114"/>
      <w:r w:rsidRPr="0537B9E0">
        <w:rPr>
          <w:rFonts w:ascii="Arial" w:hAnsi="Arial" w:cs="Arial"/>
          <w:sz w:val="22"/>
          <w:szCs w:val="22"/>
        </w:rPr>
        <w:t xml:space="preserve"> the new asset on completion of the works.</w:t>
      </w:r>
    </w:p>
    <w:p w14:paraId="29C056E4" w14:textId="77777777" w:rsidR="00225419" w:rsidRPr="00225419" w:rsidRDefault="00225419">
      <w:pPr>
        <w:pStyle w:val="1"/>
        <w:tabs>
          <w:tab w:val="left" w:pos="-1440"/>
        </w:tabs>
        <w:jc w:val="both"/>
        <w:rPr>
          <w:rFonts w:ascii="Arial" w:hAnsi="Arial" w:cs="Arial"/>
        </w:rPr>
      </w:pPr>
    </w:p>
    <w:p w14:paraId="52D24417"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678B0955" w14:textId="77777777" w:rsidR="00225419" w:rsidRDefault="00225419">
      <w:pPr>
        <w:pStyle w:val="1"/>
        <w:tabs>
          <w:tab w:val="left" w:pos="-1440"/>
        </w:tabs>
        <w:ind w:left="709" w:hanging="709"/>
        <w:jc w:val="both"/>
      </w:pPr>
    </w:p>
    <w:p w14:paraId="5BF2000F"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11"/>
    <w:bookmarkEnd w:id="112"/>
    <w:p w14:paraId="6DF914CA" w14:textId="77777777" w:rsidR="00225419" w:rsidRDefault="00225419">
      <w:pPr>
        <w:pStyle w:val="1"/>
        <w:tabs>
          <w:tab w:val="left" w:pos="-1440"/>
        </w:tabs>
        <w:ind w:left="709" w:hanging="709"/>
        <w:jc w:val="both"/>
      </w:pPr>
    </w:p>
    <w:p w14:paraId="079F8551" w14:textId="77777777" w:rsidR="00225419" w:rsidRDefault="00225419">
      <w:pPr>
        <w:pStyle w:val="1"/>
        <w:tabs>
          <w:tab w:val="left" w:pos="-1440"/>
        </w:tabs>
        <w:ind w:left="709" w:hanging="709"/>
        <w:jc w:val="both"/>
      </w:pPr>
    </w:p>
    <w:p w14:paraId="0DCA38B0" w14:textId="77777777" w:rsidR="00225419" w:rsidRDefault="00225419">
      <w:pPr>
        <w:pStyle w:val="Heading2"/>
      </w:pPr>
      <w:bookmarkStart w:id="115" w:name="_Toc220918036"/>
      <w:r>
        <w:t>Asset Replacement that includes a change of Voltage</w:t>
      </w:r>
      <w:bookmarkEnd w:id="115"/>
    </w:p>
    <w:p w14:paraId="21ED7D9F" w14:textId="77777777" w:rsidR="00225419" w:rsidRDefault="00225419">
      <w:pPr>
        <w:pStyle w:val="1"/>
        <w:tabs>
          <w:tab w:val="left" w:pos="-1440"/>
        </w:tabs>
        <w:ind w:left="709" w:hanging="709"/>
        <w:jc w:val="both"/>
      </w:pPr>
    </w:p>
    <w:p w14:paraId="2EF913C1" w14:textId="227320E8" w:rsidR="00225419" w:rsidRDefault="18569871" w:rsidP="0537B9E0">
      <w:pPr>
        <w:pStyle w:val="1"/>
        <w:numPr>
          <w:ilvl w:val="0"/>
          <w:numId w:val="42"/>
        </w:numPr>
        <w:ind w:left="720" w:hanging="720"/>
        <w:jc w:val="both"/>
      </w:pPr>
      <w:r>
        <w:t xml:space="preserve">There are </w:t>
      </w:r>
      <w:bookmarkStart w:id="116" w:name="_Int_lXDFmzNx"/>
      <w:r>
        <w:t>a number of</w:t>
      </w:r>
      <w:bookmarkEnd w:id="116"/>
      <w:r>
        <w:t xml:space="preserve"> situations where an asset replacement scheme may involve a change in the voltage level of a User's connection assets</w:t>
      </w:r>
      <w:r w:rsidR="4AA56626">
        <w:t xml:space="preserve">. </w:t>
      </w:r>
      <w:r>
        <w:t xml:space="preserve">These replacement schemes can take place over </w:t>
      </w:r>
      <w:bookmarkStart w:id="117" w:name="_Int_Px7xbdQF"/>
      <w:r>
        <w:t>a number of</w:t>
      </w:r>
      <w:bookmarkEnd w:id="117"/>
      <w:r>
        <w:t xml:space="preserve"> years and may involve a long transitory period in which connection assets are operational at both voltage levels.</w:t>
      </w:r>
    </w:p>
    <w:p w14:paraId="2477A889" w14:textId="77777777" w:rsidR="00225419" w:rsidRDefault="00225419">
      <w:pPr>
        <w:pStyle w:val="1"/>
        <w:tabs>
          <w:tab w:val="left" w:pos="-1440"/>
        </w:tabs>
        <w:ind w:left="709" w:hanging="709"/>
        <w:jc w:val="both"/>
      </w:pPr>
    </w:p>
    <w:p w14:paraId="1D8945F2" w14:textId="01805A40" w:rsidR="00225419" w:rsidRDefault="18569871" w:rsidP="0537B9E0">
      <w:pPr>
        <w:pStyle w:val="1"/>
        <w:numPr>
          <w:ilvl w:val="0"/>
          <w:numId w:val="42"/>
        </w:numPr>
        <w:ind w:left="720" w:hanging="720"/>
        <w:jc w:val="both"/>
      </w:pPr>
      <w:r>
        <w:t>These situations are inevitably different from case to case and hence further charging principles will need to be developed over time as more experience is gained</w:t>
      </w:r>
      <w:r w:rsidR="35CBD99B">
        <w:t xml:space="preserve">. </w:t>
      </w:r>
      <w:r>
        <w:t>Set out below, are some generic principles</w:t>
      </w:r>
      <w:r w:rsidR="78C2C262">
        <w:t xml:space="preserve">. </w:t>
      </w:r>
      <w:r>
        <w:t>This methodology will be updated as experience develops.</w:t>
      </w:r>
    </w:p>
    <w:p w14:paraId="364D14E7" w14:textId="77777777" w:rsidR="00225419" w:rsidRDefault="00225419">
      <w:pPr>
        <w:pStyle w:val="1"/>
        <w:tabs>
          <w:tab w:val="left" w:pos="-1440"/>
        </w:tabs>
        <w:jc w:val="both"/>
      </w:pPr>
    </w:p>
    <w:p w14:paraId="4627C067" w14:textId="4FF86FF7" w:rsidR="00225419" w:rsidRDefault="18569871" w:rsidP="0537B9E0">
      <w:pPr>
        <w:pStyle w:val="1"/>
        <w:numPr>
          <w:ilvl w:val="0"/>
          <w:numId w:val="42"/>
        </w:numPr>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rsidR="00225419">
        <w:fldChar w:fldCharType="begin"/>
      </w:r>
      <w:r w:rsidR="00225419">
        <w:instrText xml:space="preserve"> XE "Replacement Period" </w:instrText>
      </w:r>
      <w:r w:rsidR="00225419">
        <w:fldChar w:fldCharType="end"/>
      </w:r>
      <w:r>
        <w:t xml:space="preserve"> of the original connection assets</w:t>
      </w:r>
      <w:r w:rsidR="0B62600B">
        <w:t xml:space="preserve">. </w:t>
      </w:r>
      <w:r>
        <w:t>In addition, in line with paragraph 14.8.1 above, charges will only be levied for the new assets once the original assets would have required replacement.</w:t>
      </w:r>
    </w:p>
    <w:p w14:paraId="7E0D0B20" w14:textId="77777777" w:rsidR="00225419" w:rsidRDefault="00225419">
      <w:pPr>
        <w:pStyle w:val="1"/>
        <w:tabs>
          <w:tab w:val="left" w:pos="-1440"/>
        </w:tabs>
        <w:ind w:left="709" w:hanging="709"/>
        <w:jc w:val="both"/>
      </w:pPr>
    </w:p>
    <w:p w14:paraId="5570D76A" w14:textId="55961541" w:rsidR="00225419" w:rsidRDefault="18569871" w:rsidP="35F371ED">
      <w:pPr>
        <w:pStyle w:val="1"/>
        <w:numPr>
          <w:ilvl w:val="0"/>
          <w:numId w:val="42"/>
        </w:numPr>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rsidR="7304B0F9">
        <w:t xml:space="preserve">. </w:t>
      </w:r>
      <w:r>
        <w:t xml:space="preserve">In this case, </w:t>
      </w:r>
      <w:r w:rsidR="58867969" w:rsidRPr="0537B9E0">
        <w:rPr>
          <w:b/>
          <w:bCs/>
        </w:rPr>
        <w:t>The</w:t>
      </w:r>
      <w:r w:rsidRPr="0537B9E0">
        <w:rPr>
          <w:b/>
          <w:bCs/>
        </w:rPr>
        <w:t xml:space="preserve"> Company </w:t>
      </w:r>
      <w:r>
        <w:t>will seek to recover the connection asset component via connection charges when the assets replaced were due for asset replacement</w:t>
      </w:r>
      <w:r w:rsidR="7D3967C8">
        <w:t xml:space="preserve">. </w:t>
      </w:r>
      <w:r>
        <w:t>Prior to this, the User should not see an increase in charges and therefore the investment costs would be recovered through TNUoS charges.</w:t>
      </w:r>
    </w:p>
    <w:p w14:paraId="6504E309" w14:textId="77777777" w:rsidR="00225419" w:rsidRDefault="00225419">
      <w:pPr>
        <w:pStyle w:val="1"/>
        <w:tabs>
          <w:tab w:val="left" w:pos="-1440"/>
        </w:tabs>
        <w:ind w:left="709" w:hanging="709"/>
        <w:jc w:val="both"/>
      </w:pPr>
    </w:p>
    <w:p w14:paraId="0786AED5"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w:t>
      </w:r>
      <w:r>
        <w:lastRenderedPageBreak/>
        <w:t>asset replacement and not enduring configurations where a User has connection assets connected to two different voltage substations.</w:t>
      </w:r>
    </w:p>
    <w:p w14:paraId="54EDDDB2" w14:textId="77777777" w:rsidR="00225419" w:rsidRDefault="00225419">
      <w:pPr>
        <w:pStyle w:val="1"/>
        <w:tabs>
          <w:tab w:val="left" w:pos="-1440"/>
        </w:tabs>
        <w:jc w:val="both"/>
      </w:pPr>
    </w:p>
    <w:p w14:paraId="445ED7F8" w14:textId="77777777" w:rsidR="00225419" w:rsidRPr="00415339" w:rsidRDefault="00225419">
      <w:pPr>
        <w:pStyle w:val="Heading1"/>
        <w:rPr>
          <w:color w:val="auto"/>
          <w:sz w:val="28"/>
          <w:szCs w:val="28"/>
        </w:rPr>
      </w:pPr>
      <w:r>
        <w:br w:type="page"/>
      </w:r>
      <w:bookmarkStart w:id="118" w:name="_Toc44315419"/>
      <w:bookmarkStart w:id="119" w:name="_Toc220918037"/>
      <w:r w:rsidRPr="00415339">
        <w:rPr>
          <w:color w:val="auto"/>
          <w:sz w:val="28"/>
          <w:szCs w:val="28"/>
        </w:rPr>
        <w:lastRenderedPageBreak/>
        <w:t>14.9 Data Requirements</w:t>
      </w:r>
      <w:bookmarkEnd w:id="118"/>
      <w:bookmarkEnd w:id="119"/>
    </w:p>
    <w:p w14:paraId="05902AED" w14:textId="77777777" w:rsidR="00225419" w:rsidRDefault="00225419">
      <w:pPr>
        <w:pStyle w:val="1"/>
        <w:jc w:val="both"/>
      </w:pPr>
    </w:p>
    <w:p w14:paraId="06CB73CF" w14:textId="77777777" w:rsidR="00225419" w:rsidRPr="00225419" w:rsidRDefault="18569871" w:rsidP="0537B9E0">
      <w:pPr>
        <w:pStyle w:val="BodyText"/>
        <w:numPr>
          <w:ilvl w:val="0"/>
          <w:numId w:val="43"/>
        </w:numPr>
        <w:spacing w:after="0"/>
        <w:ind w:left="720" w:hanging="810"/>
        <w:rPr>
          <w:rFonts w:ascii="Arial" w:hAnsi="Arial" w:cs="Arial"/>
          <w:sz w:val="22"/>
          <w:szCs w:val="22"/>
        </w:rPr>
      </w:pPr>
      <w:r w:rsidRPr="0537B9E0">
        <w:rPr>
          <w:rFonts w:ascii="Arial" w:hAnsi="Arial" w:cs="Arial"/>
          <w:sz w:val="22"/>
          <w:szCs w:val="22"/>
        </w:rPr>
        <w:t xml:space="preserve">Under the connection charging methodology no data is required from Users </w:t>
      </w:r>
      <w:bookmarkStart w:id="120" w:name="_Int_O0890m2v"/>
      <w:r w:rsidRPr="0537B9E0">
        <w:rPr>
          <w:rFonts w:ascii="Arial" w:hAnsi="Arial" w:cs="Arial"/>
          <w:sz w:val="22"/>
          <w:szCs w:val="22"/>
        </w:rPr>
        <w:t>in order to</w:t>
      </w:r>
      <w:bookmarkEnd w:id="120"/>
      <w:r w:rsidRPr="0537B9E0">
        <w:rPr>
          <w:rFonts w:ascii="Arial" w:hAnsi="Arial" w:cs="Arial"/>
          <w:sz w:val="22"/>
          <w:szCs w:val="22"/>
        </w:rPr>
        <w:t xml:space="preserve"> calculate the connection charges payable by the User.</w:t>
      </w:r>
      <w:bookmarkStart w:id="121" w:name="_Ref531686418"/>
      <w:bookmarkStart w:id="122" w:name="_Toc32208960"/>
    </w:p>
    <w:p w14:paraId="46267808"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4CD7AEB6" w14:textId="77777777" w:rsidR="00225419" w:rsidRPr="00415339" w:rsidRDefault="00225419" w:rsidP="006661FE">
      <w:pPr>
        <w:pStyle w:val="Heading1"/>
        <w:tabs>
          <w:tab w:val="clear" w:pos="810"/>
          <w:tab w:val="left" w:pos="720"/>
        </w:tabs>
        <w:rPr>
          <w:color w:val="auto"/>
          <w:sz w:val="28"/>
          <w:szCs w:val="28"/>
        </w:rPr>
      </w:pPr>
      <w:r>
        <w:br w:type="page"/>
      </w:r>
      <w:bookmarkStart w:id="123" w:name="_Toc220918038"/>
      <w:bookmarkStart w:id="124" w:name="_Toc44315421"/>
      <w:r w:rsidRPr="00415339">
        <w:rPr>
          <w:color w:val="auto"/>
          <w:sz w:val="28"/>
          <w:szCs w:val="28"/>
        </w:rPr>
        <w:lastRenderedPageBreak/>
        <w:t>14.10 Applications</w:t>
      </w:r>
      <w:bookmarkEnd w:id="123"/>
    </w:p>
    <w:p w14:paraId="095653DD" w14:textId="77777777" w:rsidR="00225419" w:rsidRDefault="00225419">
      <w:pPr>
        <w:jc w:val="both"/>
      </w:pPr>
    </w:p>
    <w:p w14:paraId="4FDBED4C" w14:textId="0D96C811" w:rsidR="00225419" w:rsidRDefault="18569871" w:rsidP="0537B9E0">
      <w:pPr>
        <w:pStyle w:val="1"/>
        <w:numPr>
          <w:ilvl w:val="0"/>
          <w:numId w:val="44"/>
        </w:numPr>
        <w:jc w:val="both"/>
      </w:pPr>
      <w:r>
        <w:t>Application fees are payable in respect of applications for new connection agreements and modifications to existing agreements based on the reasonable costs transmission licensees incur in processing these applications</w:t>
      </w:r>
      <w:r w:rsidR="781408F7">
        <w:t xml:space="preserve">. </w:t>
      </w:r>
      <w:r>
        <w:t>Users can opt to pay a fixed price application fee in respect of their application or pay the actual costs incurred</w:t>
      </w:r>
      <w:r w:rsidR="7745D7C2">
        <w:t xml:space="preserve">. </w:t>
      </w:r>
      <w:r>
        <w:t xml:space="preserve">The fixed price fees for applications are detailed in the </w:t>
      </w:r>
      <w:r w:rsidRPr="0537B9E0">
        <w:rPr>
          <w:b/>
          <w:bCs/>
        </w:rPr>
        <w:t>Statement of Use of System Charges</w:t>
      </w:r>
      <w:r>
        <w:t>.</w:t>
      </w:r>
    </w:p>
    <w:p w14:paraId="432B564C" w14:textId="77777777" w:rsidR="00225419" w:rsidRDefault="00225419">
      <w:pPr>
        <w:jc w:val="both"/>
      </w:pPr>
    </w:p>
    <w:p w14:paraId="709A8BB5" w14:textId="24522C5A" w:rsidR="00225419" w:rsidRDefault="00225419" w:rsidP="35F371ED">
      <w:pPr>
        <w:pStyle w:val="1"/>
        <w:numPr>
          <w:ilvl w:val="0"/>
          <w:numId w:val="44"/>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refunded.</w:t>
      </w:r>
    </w:p>
    <w:p w14:paraId="73EE8062" w14:textId="77777777" w:rsidR="00225419" w:rsidRDefault="00225419">
      <w:pPr>
        <w:pStyle w:val="1"/>
        <w:jc w:val="both"/>
      </w:pPr>
    </w:p>
    <w:p w14:paraId="1FC02385" w14:textId="0EF408A7" w:rsidR="00225419" w:rsidRDefault="58867969" w:rsidP="35F371ED">
      <w:pPr>
        <w:pStyle w:val="1"/>
        <w:numPr>
          <w:ilvl w:val="0"/>
          <w:numId w:val="44"/>
        </w:numPr>
        <w:jc w:val="both"/>
      </w:pPr>
      <w:r w:rsidRPr="0537B9E0">
        <w:rPr>
          <w:b/>
          <w:bCs/>
        </w:rPr>
        <w:t>The</w:t>
      </w:r>
      <w:r w:rsidR="18569871" w:rsidRPr="0537B9E0">
        <w:rPr>
          <w:b/>
          <w:bCs/>
        </w:rPr>
        <w:t xml:space="preserve"> Company </w:t>
      </w:r>
      <w:r w:rsidR="18569871">
        <w:t>will refund the first application fee paid (the fixed fee or the amount post-reconciliation) made under the Construction Agreement for new or modified existing agreements</w:t>
      </w:r>
      <w:r w:rsidR="36E45290">
        <w:t xml:space="preserve">. </w:t>
      </w:r>
      <w:r w:rsidR="18569871">
        <w:t>The refund shall be made either on commissioning or against the charges payable in the first three years of the new or modified agreement</w:t>
      </w:r>
      <w:r w:rsidR="0446DDEE">
        <w:t xml:space="preserve">. </w:t>
      </w:r>
      <w:r w:rsidR="18569871">
        <w:t>The refund will be net of external costs.</w:t>
      </w:r>
    </w:p>
    <w:p w14:paraId="291F58CB" w14:textId="77777777" w:rsidR="00225419" w:rsidRDefault="00225419" w:rsidP="006661FE">
      <w:pPr>
        <w:pStyle w:val="1"/>
        <w:tabs>
          <w:tab w:val="left" w:pos="-1440"/>
        </w:tabs>
        <w:jc w:val="both"/>
      </w:pPr>
    </w:p>
    <w:p w14:paraId="329E356B" w14:textId="265296C7" w:rsidR="00225419" w:rsidRDefault="58867969" w:rsidP="35F371ED">
      <w:pPr>
        <w:pStyle w:val="1"/>
        <w:numPr>
          <w:ilvl w:val="0"/>
          <w:numId w:val="44"/>
        </w:numPr>
        <w:jc w:val="both"/>
      </w:pPr>
      <w:r w:rsidRPr="0537B9E0">
        <w:rPr>
          <w:b/>
          <w:bCs/>
        </w:rPr>
        <w:t>The</w:t>
      </w:r>
      <w:r w:rsidR="18569871" w:rsidRPr="0537B9E0">
        <w:rPr>
          <w:b/>
          <w:bCs/>
        </w:rPr>
        <w:t xml:space="preserve"> Company</w:t>
      </w:r>
      <w:r w:rsidR="18569871">
        <w:t xml:space="preserve"> will not refund application fees for applications to modify a new agreement or modified existing agreement at the User’s request before any charges become payable</w:t>
      </w:r>
      <w:r w:rsidR="0272D288">
        <w:t xml:space="preserve">. </w:t>
      </w:r>
      <w:r w:rsidR="18569871">
        <w:t xml:space="preserve">For example, </w:t>
      </w:r>
      <w:r w:rsidRPr="0537B9E0">
        <w:rPr>
          <w:b/>
          <w:bCs/>
        </w:rPr>
        <w:t>The Company</w:t>
      </w:r>
      <w:r w:rsidR="18569871" w:rsidRPr="0537B9E0">
        <w:rPr>
          <w:b/>
          <w:bCs/>
        </w:rPr>
        <w:t xml:space="preserve"> </w:t>
      </w:r>
      <w:r w:rsidR="18569871">
        <w:t>will not refund an application fee to delay the provision of a new connection if this is made prior to charges becoming payable.</w:t>
      </w:r>
    </w:p>
    <w:p w14:paraId="7A742342" w14:textId="77777777" w:rsidR="00225419" w:rsidRDefault="00225419" w:rsidP="006661FE">
      <w:pPr>
        <w:pStyle w:val="1"/>
        <w:tabs>
          <w:tab w:val="left" w:pos="-1440"/>
        </w:tabs>
        <w:jc w:val="both"/>
      </w:pPr>
    </w:p>
    <w:p w14:paraId="54798F90" w14:textId="77777777" w:rsidR="00225419" w:rsidRDefault="00225419">
      <w:pPr>
        <w:jc w:val="both"/>
      </w:pPr>
    </w:p>
    <w:p w14:paraId="5685796D" w14:textId="77777777" w:rsidR="00225419" w:rsidRPr="00415339" w:rsidRDefault="00225419">
      <w:pPr>
        <w:pStyle w:val="Heading1"/>
        <w:rPr>
          <w:i/>
          <w:color w:val="auto"/>
          <w:sz w:val="28"/>
          <w:szCs w:val="28"/>
        </w:rPr>
      </w:pPr>
      <w:r>
        <w:br w:type="page"/>
      </w:r>
      <w:bookmarkStart w:id="125" w:name="_Toc220918039"/>
      <w:r w:rsidRPr="00415339">
        <w:rPr>
          <w:color w:val="auto"/>
          <w:sz w:val="28"/>
          <w:szCs w:val="28"/>
        </w:rPr>
        <w:lastRenderedPageBreak/>
        <w:t>14.11 Illustrative Connection Charges</w:t>
      </w:r>
      <w:bookmarkEnd w:id="121"/>
      <w:bookmarkEnd w:id="122"/>
      <w:bookmarkEnd w:id="124"/>
      <w:bookmarkEnd w:id="125"/>
    </w:p>
    <w:p w14:paraId="59903CF0"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0D7EA413" w14:textId="4E36AB80" w:rsidR="00225419" w:rsidRDefault="005D5C05">
      <w:pPr>
        <w:pStyle w:val="Heading2"/>
      </w:pPr>
      <w:bookmarkStart w:id="126" w:name="_Toc32208961"/>
      <w:bookmarkStart w:id="127" w:name="_Toc44315422"/>
      <w:bookmarkStart w:id="128" w:name="_Toc220918040"/>
      <w:r>
        <w:t xml:space="preserve">From </w:t>
      </w:r>
      <w:r w:rsidR="00225419">
        <w:t>20</w:t>
      </w:r>
      <w:r w:rsidR="00EF3D4C">
        <w:t>2</w:t>
      </w:r>
      <w:r w:rsidR="00225419">
        <w:t>1/</w:t>
      </w:r>
      <w:r w:rsidR="00744571">
        <w:t>22</w:t>
      </w:r>
      <w:r w:rsidR="00225419">
        <w:t xml:space="preserve"> First Year Connection Charges based on the </w:t>
      </w:r>
      <w:r w:rsidR="00744571">
        <w:t xml:space="preserve">TOPI </w:t>
      </w:r>
      <w:r w:rsidR="00225419">
        <w:t>Method (6% rate of return</w:t>
      </w:r>
      <w:r w:rsidR="00744571">
        <w:t xml:space="preserve"> used as an example</w:t>
      </w:r>
      <w:r w:rsidR="00225419">
        <w:t>)</w:t>
      </w:r>
      <w:bookmarkEnd w:id="126"/>
      <w:bookmarkEnd w:id="127"/>
      <w:bookmarkEnd w:id="128"/>
    </w:p>
    <w:p w14:paraId="4E691B0F"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313FE418" w14:textId="27C8B2BD" w:rsidR="00225419" w:rsidRPr="00225419" w:rsidRDefault="18569871" w:rsidP="0537B9E0">
      <w:pPr>
        <w:numPr>
          <w:ilvl w:val="0"/>
          <w:numId w:val="87"/>
        </w:numPr>
        <w:jc w:val="both"/>
        <w:rPr>
          <w:rFonts w:ascii="Arial" w:hAnsi="Arial" w:cs="Arial"/>
          <w:b/>
          <w:bCs/>
          <w:sz w:val="22"/>
          <w:szCs w:val="22"/>
        </w:rPr>
      </w:pPr>
      <w:r w:rsidRPr="0537B9E0">
        <w:rPr>
          <w:rFonts w:ascii="Arial" w:hAnsi="Arial" w:cs="Arial"/>
          <w:sz w:val="22"/>
          <w:szCs w:val="22"/>
        </w:rPr>
        <w:t>The following table provides an indication of typical charges for new connection assets</w:t>
      </w:r>
      <w:r w:rsidR="56938EEE" w:rsidRPr="0537B9E0">
        <w:rPr>
          <w:rFonts w:ascii="Arial" w:hAnsi="Arial" w:cs="Arial"/>
          <w:sz w:val="22"/>
          <w:szCs w:val="22"/>
        </w:rPr>
        <w:t xml:space="preserve">. </w:t>
      </w:r>
      <w:r w:rsidRPr="0537B9E0">
        <w:rPr>
          <w:rFonts w:ascii="Arial" w:hAnsi="Arial" w:cs="Arial"/>
          <w:sz w:val="22"/>
          <w:szCs w:val="22"/>
        </w:rPr>
        <w:t xml:space="preserve">Before using the table, it is important to </w:t>
      </w:r>
      <w:bookmarkStart w:id="129" w:name="_Int_iMeiRzmP"/>
      <w:r w:rsidRPr="0537B9E0">
        <w:rPr>
          <w:rFonts w:ascii="Arial" w:hAnsi="Arial" w:cs="Arial"/>
          <w:sz w:val="22"/>
          <w:szCs w:val="22"/>
        </w:rPr>
        <w:t>read through</w:t>
      </w:r>
      <w:bookmarkEnd w:id="129"/>
      <w:r w:rsidRPr="0537B9E0">
        <w:rPr>
          <w:rFonts w:ascii="Arial" w:hAnsi="Arial" w:cs="Arial"/>
          <w:sz w:val="22"/>
          <w:szCs w:val="22"/>
        </w:rPr>
        <w:t xml:space="preserve"> the notes below as they explain the assumptions used in calculating the figures.</w:t>
      </w:r>
    </w:p>
    <w:p w14:paraId="7B1E37CB" w14:textId="77777777" w:rsidR="00225419" w:rsidRPr="00225419" w:rsidRDefault="00225419">
      <w:pPr>
        <w:jc w:val="both"/>
        <w:rPr>
          <w:rFonts w:ascii="Arial" w:hAnsi="Arial" w:cs="Arial"/>
          <w:sz w:val="22"/>
          <w:szCs w:val="22"/>
        </w:rPr>
      </w:pPr>
    </w:p>
    <w:p w14:paraId="514F6719"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6E3309C3" w14:textId="77777777" w:rsidR="00225419" w:rsidRPr="00225419" w:rsidRDefault="00225419">
      <w:pPr>
        <w:jc w:val="both"/>
        <w:rPr>
          <w:rFonts w:ascii="Arial" w:hAnsi="Arial" w:cs="Arial"/>
          <w:sz w:val="22"/>
          <w:szCs w:val="22"/>
        </w:rPr>
      </w:pPr>
    </w:p>
    <w:p w14:paraId="370A7C52"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85020A5" w14:textId="77777777" w:rsidR="00225419" w:rsidRPr="00225419" w:rsidRDefault="00225419">
      <w:pPr>
        <w:jc w:val="both"/>
        <w:rPr>
          <w:rFonts w:ascii="Arial" w:hAnsi="Arial" w:cs="Arial"/>
          <w:sz w:val="22"/>
          <w:szCs w:val="22"/>
        </w:rPr>
      </w:pPr>
    </w:p>
    <w:p w14:paraId="25011F0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3710152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7F084930" w14:textId="77777777" w:rsidR="00225419" w:rsidRPr="00225419" w:rsidRDefault="00225419">
      <w:pPr>
        <w:jc w:val="both"/>
        <w:rPr>
          <w:rFonts w:ascii="Arial" w:hAnsi="Arial" w:cs="Arial"/>
          <w:sz w:val="22"/>
          <w:szCs w:val="22"/>
        </w:rPr>
      </w:pPr>
    </w:p>
    <w:p w14:paraId="7BECB656"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431C03D8" w14:textId="77777777" w:rsidR="00225419" w:rsidRPr="00225419" w:rsidRDefault="00225419">
      <w:pPr>
        <w:jc w:val="both"/>
        <w:rPr>
          <w:rFonts w:ascii="Arial" w:hAnsi="Arial" w:cs="Arial"/>
          <w:sz w:val="22"/>
          <w:szCs w:val="22"/>
        </w:rPr>
      </w:pPr>
    </w:p>
    <w:p w14:paraId="24CC4006"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4AC0F5C1" w14:textId="77777777" w:rsidR="00225419" w:rsidRPr="00225419" w:rsidRDefault="00225419">
      <w:pPr>
        <w:jc w:val="both"/>
        <w:rPr>
          <w:rFonts w:ascii="Arial" w:hAnsi="Arial" w:cs="Arial"/>
          <w:sz w:val="22"/>
          <w:szCs w:val="22"/>
        </w:rPr>
      </w:pPr>
    </w:p>
    <w:p w14:paraId="67A0C334"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1D6D96C8" w14:textId="77777777" w:rsidR="00225419" w:rsidRPr="00225419" w:rsidRDefault="00225419">
      <w:pPr>
        <w:jc w:val="both"/>
        <w:rPr>
          <w:rFonts w:ascii="Arial" w:hAnsi="Arial" w:cs="Arial"/>
          <w:sz w:val="22"/>
          <w:szCs w:val="22"/>
        </w:rPr>
      </w:pPr>
    </w:p>
    <w:p w14:paraId="103E37EC"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3DF4143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57B8D773" w14:textId="225E3664"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indexation</w:t>
      </w:r>
    </w:p>
    <w:p w14:paraId="692E439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2EE32E5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5C760544" w14:textId="77777777" w:rsidR="00225419" w:rsidRPr="00225419" w:rsidRDefault="00225419">
      <w:pPr>
        <w:jc w:val="both"/>
        <w:rPr>
          <w:rFonts w:ascii="Arial" w:hAnsi="Arial" w:cs="Arial"/>
          <w:b/>
          <w:sz w:val="22"/>
          <w:szCs w:val="22"/>
        </w:rPr>
      </w:pPr>
    </w:p>
    <w:p w14:paraId="36B4E1FD"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544E6A0C" w14:textId="77777777" w:rsidR="00225419" w:rsidRPr="00225419" w:rsidRDefault="00225419">
      <w:pPr>
        <w:jc w:val="both"/>
        <w:rPr>
          <w:rFonts w:ascii="Arial" w:hAnsi="Arial" w:cs="Arial"/>
          <w:sz w:val="22"/>
          <w:szCs w:val="22"/>
        </w:rPr>
      </w:pPr>
    </w:p>
    <w:p w14:paraId="5F471E9B" w14:textId="0B73E542" w:rsidR="00225419" w:rsidRPr="00225419" w:rsidRDefault="18569871">
      <w:pPr>
        <w:jc w:val="both"/>
        <w:rPr>
          <w:rFonts w:ascii="Arial" w:hAnsi="Arial" w:cs="Arial"/>
          <w:sz w:val="22"/>
          <w:szCs w:val="22"/>
        </w:rPr>
      </w:pPr>
      <w:r w:rsidRPr="0537B9E0">
        <w:rPr>
          <w:rFonts w:ascii="Arial" w:hAnsi="Arial" w:cs="Arial"/>
          <w:sz w:val="22"/>
          <w:szCs w:val="22"/>
        </w:rPr>
        <w:t>Please note that the actual charges will depend on the specific assets at a site</w:t>
      </w:r>
      <w:r w:rsidR="71011B2D" w:rsidRPr="0537B9E0">
        <w:rPr>
          <w:rFonts w:ascii="Arial" w:hAnsi="Arial" w:cs="Arial"/>
          <w:sz w:val="22"/>
          <w:szCs w:val="22"/>
        </w:rPr>
        <w:t xml:space="preserve">. </w:t>
      </w:r>
      <w:r w:rsidRPr="0537B9E0">
        <w:rPr>
          <w:rFonts w:ascii="Arial" w:hAnsi="Arial" w:cs="Arial"/>
          <w:sz w:val="22"/>
          <w:szCs w:val="22"/>
        </w:rPr>
        <w:t>Agreement specific NAVs and GAVs for each User will be made available on request.</w:t>
      </w:r>
    </w:p>
    <w:p w14:paraId="466E0EC1" w14:textId="77777777" w:rsidR="00225419" w:rsidRPr="00225419" w:rsidRDefault="00225419">
      <w:pPr>
        <w:pStyle w:val="1"/>
        <w:jc w:val="both"/>
        <w:rPr>
          <w:rFonts w:ascii="Arial" w:hAnsi="Arial" w:cs="Arial"/>
          <w:szCs w:val="22"/>
        </w:rPr>
      </w:pPr>
    </w:p>
    <w:p w14:paraId="0738D1EA"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29D9C2A5" w14:textId="77777777" w:rsidR="00225419" w:rsidRPr="00225419" w:rsidRDefault="00225419">
      <w:pPr>
        <w:jc w:val="both"/>
        <w:rPr>
          <w:rFonts w:ascii="Arial" w:hAnsi="Arial" w:cs="Arial"/>
          <w:b/>
          <w:sz w:val="22"/>
          <w:szCs w:val="22"/>
        </w:rPr>
      </w:pPr>
    </w:p>
    <w:p w14:paraId="220CF61B"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664A2C31" w14:textId="77777777" w:rsidR="00225419" w:rsidRPr="00225419" w:rsidRDefault="00225419">
      <w:pPr>
        <w:pStyle w:val="i"/>
        <w:numPr>
          <w:ilvl w:val="0"/>
          <w:numId w:val="0"/>
        </w:numPr>
        <w:jc w:val="both"/>
        <w:rPr>
          <w:rFonts w:cs="Arial"/>
          <w:color w:val="000000"/>
          <w:szCs w:val="22"/>
        </w:rPr>
      </w:pPr>
    </w:p>
    <w:p w14:paraId="468E517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5CD7C06E" w14:textId="77777777" w:rsidR="00225419" w:rsidRPr="00225419" w:rsidRDefault="00225419">
      <w:pPr>
        <w:pStyle w:val="i"/>
        <w:numPr>
          <w:ilvl w:val="0"/>
          <w:numId w:val="0"/>
        </w:numPr>
        <w:jc w:val="both"/>
        <w:rPr>
          <w:rFonts w:cs="Arial"/>
          <w:color w:val="000000"/>
          <w:szCs w:val="22"/>
        </w:rPr>
      </w:pPr>
    </w:p>
    <w:p w14:paraId="5BFE2E60" w14:textId="4B9D4483" w:rsidR="00225419" w:rsidRPr="00225419" w:rsidRDefault="18569871" w:rsidP="0537B9E0">
      <w:pPr>
        <w:pStyle w:val="i"/>
        <w:numPr>
          <w:ilvl w:val="0"/>
          <w:numId w:val="0"/>
        </w:numPr>
        <w:jc w:val="both"/>
        <w:rPr>
          <w:rFonts w:cs="Arial"/>
          <w:color w:val="000000"/>
        </w:rPr>
      </w:pPr>
      <w:r w:rsidRPr="0537B9E0">
        <w:rPr>
          <w:rFonts w:cs="Arial"/>
        </w:rPr>
        <w:t>In this example, transformer charges include civil costs of plinth and noise enclosure and estimated transport costs, but not costs of oil dump tank and fire trap moat</w:t>
      </w:r>
      <w:r w:rsidR="5E0956B5" w:rsidRPr="0537B9E0">
        <w:rPr>
          <w:rFonts w:cs="Arial"/>
        </w:rPr>
        <w:t xml:space="preserve">. </w:t>
      </w:r>
      <w:r w:rsidRPr="0537B9E0">
        <w:rPr>
          <w:rFonts w:cs="Arial"/>
        </w:rPr>
        <w:t>Transport costs do not include hiring heavy load sea transportation or roll-on roll-off ships.</w:t>
      </w:r>
    </w:p>
    <w:p w14:paraId="414600BA" w14:textId="77777777" w:rsidR="00225419" w:rsidRPr="00225419" w:rsidRDefault="00225419">
      <w:pPr>
        <w:pStyle w:val="i"/>
        <w:numPr>
          <w:ilvl w:val="0"/>
          <w:numId w:val="0"/>
        </w:numPr>
        <w:jc w:val="both"/>
        <w:rPr>
          <w:rFonts w:cs="Arial"/>
          <w:szCs w:val="22"/>
        </w:rPr>
      </w:pPr>
    </w:p>
    <w:p w14:paraId="3596AFF8"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14:paraId="40F4692D" w14:textId="77777777" w:rsidTr="006661FE">
        <w:trPr>
          <w:cantSplit/>
          <w:trHeight w:val="361"/>
        </w:trPr>
        <w:tc>
          <w:tcPr>
            <w:tcW w:w="2660" w:type="dxa"/>
            <w:vMerge w:val="restart"/>
            <w:tcBorders>
              <w:top w:val="double" w:sz="4" w:space="0" w:color="auto"/>
              <w:left w:val="double" w:sz="4" w:space="0" w:color="auto"/>
              <w:bottom w:val="nil"/>
            </w:tcBorders>
          </w:tcPr>
          <w:p w14:paraId="70E9931C"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4BBD871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14:paraId="33BA89BB" w14:textId="77777777" w:rsidTr="006661FE">
        <w:trPr>
          <w:cantSplit/>
          <w:trHeight w:val="259"/>
        </w:trPr>
        <w:tc>
          <w:tcPr>
            <w:tcW w:w="2660" w:type="dxa"/>
            <w:vMerge/>
            <w:tcBorders>
              <w:top w:val="nil"/>
              <w:left w:val="double" w:sz="4" w:space="0" w:color="auto"/>
              <w:bottom w:val="nil"/>
            </w:tcBorders>
          </w:tcPr>
          <w:p w14:paraId="7B73CBCB" w14:textId="77777777" w:rsidR="00225419" w:rsidRPr="00225419" w:rsidRDefault="00225419">
            <w:pPr>
              <w:rPr>
                <w:rFonts w:ascii="Arial" w:hAnsi="Arial" w:cs="Arial"/>
                <w:sz w:val="22"/>
                <w:szCs w:val="22"/>
              </w:rPr>
            </w:pPr>
          </w:p>
        </w:tc>
        <w:tc>
          <w:tcPr>
            <w:tcW w:w="2031" w:type="dxa"/>
            <w:gridSpan w:val="2"/>
            <w:vAlign w:val="center"/>
          </w:tcPr>
          <w:p w14:paraId="245E32E5"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4CD33051"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5CF164F2"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14:paraId="28D17621" w14:textId="77777777" w:rsidTr="006661FE">
        <w:trPr>
          <w:cantSplit/>
          <w:trHeight w:val="293"/>
        </w:trPr>
        <w:tc>
          <w:tcPr>
            <w:tcW w:w="2660" w:type="dxa"/>
            <w:vMerge/>
            <w:tcBorders>
              <w:top w:val="nil"/>
              <w:left w:val="double" w:sz="4" w:space="0" w:color="auto"/>
            </w:tcBorders>
          </w:tcPr>
          <w:p w14:paraId="1642A167" w14:textId="77777777" w:rsidR="00225419" w:rsidRPr="00225419" w:rsidRDefault="00225419">
            <w:pPr>
              <w:rPr>
                <w:rFonts w:ascii="Arial" w:hAnsi="Arial" w:cs="Arial"/>
                <w:sz w:val="22"/>
                <w:szCs w:val="22"/>
              </w:rPr>
            </w:pPr>
          </w:p>
        </w:tc>
        <w:tc>
          <w:tcPr>
            <w:tcW w:w="1015" w:type="dxa"/>
            <w:tcBorders>
              <w:bottom w:val="nil"/>
            </w:tcBorders>
            <w:vAlign w:val="center"/>
          </w:tcPr>
          <w:p w14:paraId="1536B76D"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6F277D41"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58FD0A5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7E82A2D0"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74AD0563"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2CB4A2AC"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14:paraId="188775F3" w14:textId="77777777" w:rsidTr="006661FE">
        <w:tc>
          <w:tcPr>
            <w:tcW w:w="2660" w:type="dxa"/>
            <w:tcBorders>
              <w:top w:val="nil"/>
              <w:left w:val="double" w:sz="4" w:space="0" w:color="auto"/>
              <w:bottom w:val="nil"/>
            </w:tcBorders>
          </w:tcPr>
          <w:p w14:paraId="06AD9B12"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4D22B5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478CEBD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044174C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5E2A851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04061B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60F0FF8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14:paraId="6AC82B77" w14:textId="77777777" w:rsidTr="006661FE">
        <w:tc>
          <w:tcPr>
            <w:tcW w:w="2660" w:type="dxa"/>
            <w:tcBorders>
              <w:top w:val="nil"/>
              <w:left w:val="double" w:sz="4" w:space="0" w:color="auto"/>
              <w:bottom w:val="nil"/>
            </w:tcBorders>
          </w:tcPr>
          <w:p w14:paraId="1FC49C9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54B7C78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296EB09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67907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C212B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5F91156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5BEE949D"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14:paraId="3CFF73D1" w14:textId="77777777" w:rsidTr="006661FE">
        <w:trPr>
          <w:trHeight w:val="108"/>
        </w:trPr>
        <w:tc>
          <w:tcPr>
            <w:tcW w:w="2660" w:type="dxa"/>
            <w:tcBorders>
              <w:top w:val="nil"/>
              <w:left w:val="double" w:sz="4" w:space="0" w:color="auto"/>
            </w:tcBorders>
          </w:tcPr>
          <w:p w14:paraId="1C386BAB"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3B8747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FC6458F"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46765D4"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BA388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185E74"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0DEC4AD5" w14:textId="77777777" w:rsidR="00225419" w:rsidRPr="00225419" w:rsidRDefault="00225419" w:rsidP="006661FE">
            <w:pPr>
              <w:jc w:val="center"/>
              <w:rPr>
                <w:rFonts w:ascii="Arial" w:hAnsi="Arial" w:cs="Arial"/>
                <w:sz w:val="22"/>
                <w:szCs w:val="22"/>
                <w:highlight w:val="yellow"/>
              </w:rPr>
            </w:pPr>
          </w:p>
        </w:tc>
      </w:tr>
      <w:tr w:rsidR="00225419" w14:paraId="2AECB6C8" w14:textId="77777777" w:rsidTr="006661FE">
        <w:trPr>
          <w:cantSplit/>
        </w:trPr>
        <w:tc>
          <w:tcPr>
            <w:tcW w:w="2660" w:type="dxa"/>
            <w:tcBorders>
              <w:top w:val="nil"/>
              <w:left w:val="double" w:sz="4" w:space="0" w:color="auto"/>
              <w:bottom w:val="nil"/>
            </w:tcBorders>
          </w:tcPr>
          <w:p w14:paraId="2F0AF9BC"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531B6ED9"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5E78549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49523C49"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72DF9A0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724F2C3"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2F81CBD4"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21754535" w14:textId="77777777" w:rsidR="00225419" w:rsidRPr="00225419" w:rsidRDefault="00225419" w:rsidP="006661FE">
            <w:pPr>
              <w:jc w:val="center"/>
              <w:rPr>
                <w:rFonts w:ascii="Arial" w:hAnsi="Arial" w:cs="Arial"/>
                <w:sz w:val="22"/>
                <w:szCs w:val="22"/>
                <w:highlight w:val="yellow"/>
              </w:rPr>
            </w:pPr>
          </w:p>
        </w:tc>
      </w:tr>
      <w:tr w:rsidR="00225419" w14:paraId="4E566833" w14:textId="77777777" w:rsidTr="006661FE">
        <w:tc>
          <w:tcPr>
            <w:tcW w:w="2660" w:type="dxa"/>
            <w:tcBorders>
              <w:top w:val="nil"/>
              <w:left w:val="double" w:sz="4" w:space="0" w:color="auto"/>
              <w:bottom w:val="nil"/>
            </w:tcBorders>
          </w:tcPr>
          <w:p w14:paraId="562CD6C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1139162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5614431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25EB0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5A72FD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59E239A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6CB3FAB"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760BC116" w14:textId="77777777" w:rsidTr="006661FE">
        <w:tc>
          <w:tcPr>
            <w:tcW w:w="2660" w:type="dxa"/>
            <w:tcBorders>
              <w:top w:val="nil"/>
              <w:left w:val="double" w:sz="4" w:space="0" w:color="auto"/>
              <w:bottom w:val="nil"/>
            </w:tcBorders>
          </w:tcPr>
          <w:p w14:paraId="63E847A3"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6111339F"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6BF63AD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603B5EE2"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0B3E0C9"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FC3734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382B73F1"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440FB259" w14:textId="77777777" w:rsidTr="006661FE">
        <w:tc>
          <w:tcPr>
            <w:tcW w:w="2660" w:type="dxa"/>
            <w:tcBorders>
              <w:top w:val="nil"/>
              <w:left w:val="double" w:sz="4" w:space="0" w:color="auto"/>
              <w:bottom w:val="nil"/>
            </w:tcBorders>
          </w:tcPr>
          <w:p w14:paraId="3BFB4F58"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331FC19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64531A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6330176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46FEB09F"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33CA945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DA87EA6"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14:paraId="65F7AD29" w14:textId="77777777" w:rsidTr="006661FE">
        <w:tc>
          <w:tcPr>
            <w:tcW w:w="2660" w:type="dxa"/>
            <w:tcBorders>
              <w:top w:val="nil"/>
              <w:left w:val="double" w:sz="4" w:space="0" w:color="auto"/>
              <w:bottom w:val="nil"/>
            </w:tcBorders>
          </w:tcPr>
          <w:p w14:paraId="2939C68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28827D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3116F61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58EAC95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423AB5F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6162C64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55C6E14" w14:textId="77777777" w:rsidR="00225419" w:rsidRPr="00225419" w:rsidRDefault="00225419" w:rsidP="006661FE">
            <w:pPr>
              <w:jc w:val="center"/>
              <w:rPr>
                <w:rFonts w:ascii="Arial" w:hAnsi="Arial" w:cs="Arial"/>
                <w:sz w:val="22"/>
                <w:szCs w:val="22"/>
                <w:highlight w:val="yellow"/>
              </w:rPr>
            </w:pPr>
          </w:p>
        </w:tc>
      </w:tr>
      <w:tr w:rsidR="00225419" w14:paraId="4EA329FD" w14:textId="77777777" w:rsidTr="006661FE">
        <w:tc>
          <w:tcPr>
            <w:tcW w:w="2660" w:type="dxa"/>
            <w:tcBorders>
              <w:top w:val="nil"/>
              <w:left w:val="double" w:sz="4" w:space="0" w:color="auto"/>
            </w:tcBorders>
          </w:tcPr>
          <w:p w14:paraId="69BAEB1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42D8B79A"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F0873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523B269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2442062"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A9B2BEA"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3DF08175" w14:textId="77777777" w:rsidR="00225419" w:rsidRPr="00225419" w:rsidRDefault="00225419" w:rsidP="006661FE">
            <w:pPr>
              <w:jc w:val="center"/>
              <w:rPr>
                <w:rFonts w:ascii="Arial" w:hAnsi="Arial" w:cs="Arial"/>
                <w:sz w:val="22"/>
                <w:szCs w:val="22"/>
                <w:highlight w:val="yellow"/>
              </w:rPr>
            </w:pPr>
          </w:p>
        </w:tc>
      </w:tr>
      <w:tr w:rsidR="00225419" w14:paraId="1C9A7048" w14:textId="77777777" w:rsidTr="006661FE">
        <w:tc>
          <w:tcPr>
            <w:tcW w:w="2660" w:type="dxa"/>
            <w:tcBorders>
              <w:top w:val="nil"/>
              <w:left w:val="double" w:sz="4" w:space="0" w:color="auto"/>
              <w:bottom w:val="nil"/>
            </w:tcBorders>
          </w:tcPr>
          <w:p w14:paraId="648EA97F"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50095E21"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126CEE8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807A9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58F9BD2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FD9CBE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616FE469" w14:textId="77777777" w:rsidR="00225419" w:rsidRPr="00225419" w:rsidRDefault="00225419" w:rsidP="006661FE">
            <w:pPr>
              <w:jc w:val="center"/>
              <w:rPr>
                <w:rFonts w:ascii="Arial" w:hAnsi="Arial" w:cs="Arial"/>
                <w:sz w:val="22"/>
                <w:szCs w:val="22"/>
                <w:highlight w:val="yellow"/>
              </w:rPr>
            </w:pPr>
          </w:p>
        </w:tc>
      </w:tr>
      <w:tr w:rsidR="00225419" w14:paraId="5EB56D12" w14:textId="77777777" w:rsidTr="006661FE">
        <w:tc>
          <w:tcPr>
            <w:tcW w:w="2660" w:type="dxa"/>
            <w:tcBorders>
              <w:top w:val="nil"/>
              <w:left w:val="double" w:sz="4" w:space="0" w:color="auto"/>
              <w:bottom w:val="nil"/>
            </w:tcBorders>
          </w:tcPr>
          <w:p w14:paraId="6BD22F5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96F8E8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47BC7EA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552C4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7344613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2151E8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5E61884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14:paraId="523B2F01" w14:textId="77777777" w:rsidTr="006661FE">
        <w:tc>
          <w:tcPr>
            <w:tcW w:w="2660" w:type="dxa"/>
            <w:tcBorders>
              <w:top w:val="nil"/>
              <w:left w:val="double" w:sz="4" w:space="0" w:color="auto"/>
              <w:bottom w:val="nil"/>
            </w:tcBorders>
          </w:tcPr>
          <w:p w14:paraId="7126399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627CE8FE"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D03318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E8F553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BC5FFA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5EE1C4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1ABFFC3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14:paraId="6A52F691" w14:textId="77777777" w:rsidTr="006661FE">
        <w:tc>
          <w:tcPr>
            <w:tcW w:w="2660" w:type="dxa"/>
            <w:tcBorders>
              <w:top w:val="nil"/>
              <w:left w:val="double" w:sz="4" w:space="0" w:color="auto"/>
              <w:bottom w:val="nil"/>
            </w:tcBorders>
          </w:tcPr>
          <w:p w14:paraId="43872A9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33795B3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1AD129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7AEFAE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0EDB634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117C770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EEF3862" w14:textId="77777777" w:rsidR="00225419" w:rsidRPr="00225419" w:rsidRDefault="00225419" w:rsidP="006661FE">
            <w:pPr>
              <w:jc w:val="center"/>
              <w:rPr>
                <w:rFonts w:ascii="Arial" w:hAnsi="Arial" w:cs="Arial"/>
                <w:sz w:val="22"/>
                <w:szCs w:val="22"/>
                <w:highlight w:val="yellow"/>
              </w:rPr>
            </w:pPr>
          </w:p>
        </w:tc>
      </w:tr>
      <w:tr w:rsidR="00225419" w14:paraId="6B0FB479" w14:textId="77777777" w:rsidTr="006661FE">
        <w:tc>
          <w:tcPr>
            <w:tcW w:w="2660" w:type="dxa"/>
            <w:tcBorders>
              <w:top w:val="nil"/>
              <w:left w:val="double" w:sz="4" w:space="0" w:color="auto"/>
              <w:bottom w:val="nil"/>
            </w:tcBorders>
          </w:tcPr>
          <w:p w14:paraId="0BCA195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633A80A2"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665ADE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CC613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5CBA319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6E0DCAB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227C726" w14:textId="77777777" w:rsidR="00225419" w:rsidRPr="00225419" w:rsidRDefault="00225419" w:rsidP="006661FE">
            <w:pPr>
              <w:jc w:val="center"/>
              <w:rPr>
                <w:rFonts w:ascii="Arial" w:hAnsi="Arial" w:cs="Arial"/>
                <w:sz w:val="22"/>
                <w:szCs w:val="22"/>
                <w:highlight w:val="yellow"/>
              </w:rPr>
            </w:pPr>
          </w:p>
        </w:tc>
      </w:tr>
      <w:tr w:rsidR="00225419" w14:paraId="4B2C0690" w14:textId="77777777" w:rsidTr="006661FE">
        <w:tc>
          <w:tcPr>
            <w:tcW w:w="2660" w:type="dxa"/>
            <w:tcBorders>
              <w:top w:val="nil"/>
              <w:left w:val="double" w:sz="4" w:space="0" w:color="auto"/>
              <w:bottom w:val="nil"/>
            </w:tcBorders>
          </w:tcPr>
          <w:p w14:paraId="548B849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076A477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1343381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4CC21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63E4AD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4EC976AA"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1DA34E5" w14:textId="77777777" w:rsidR="00225419" w:rsidRPr="00225419" w:rsidRDefault="00225419" w:rsidP="006661FE">
            <w:pPr>
              <w:jc w:val="center"/>
              <w:rPr>
                <w:rFonts w:ascii="Arial" w:hAnsi="Arial" w:cs="Arial"/>
                <w:sz w:val="22"/>
                <w:szCs w:val="22"/>
                <w:highlight w:val="yellow"/>
              </w:rPr>
            </w:pPr>
          </w:p>
        </w:tc>
      </w:tr>
      <w:tr w:rsidR="00225419" w14:paraId="407BF331" w14:textId="77777777" w:rsidTr="006661FE">
        <w:tc>
          <w:tcPr>
            <w:tcW w:w="2660" w:type="dxa"/>
            <w:tcBorders>
              <w:top w:val="nil"/>
              <w:left w:val="double" w:sz="4" w:space="0" w:color="auto"/>
              <w:bottom w:val="nil"/>
            </w:tcBorders>
          </w:tcPr>
          <w:p w14:paraId="7304A63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14688483"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8B05F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159BB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1A7C36FC"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2A562EA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47486C9F" w14:textId="77777777" w:rsidR="00225419" w:rsidRPr="00225419" w:rsidRDefault="00225419" w:rsidP="006661FE">
            <w:pPr>
              <w:jc w:val="center"/>
              <w:rPr>
                <w:rFonts w:ascii="Arial" w:hAnsi="Arial" w:cs="Arial"/>
                <w:sz w:val="22"/>
                <w:szCs w:val="22"/>
                <w:highlight w:val="yellow"/>
              </w:rPr>
            </w:pPr>
          </w:p>
        </w:tc>
      </w:tr>
      <w:tr w:rsidR="00225419" w14:paraId="5C75C74E" w14:textId="77777777" w:rsidTr="006661FE">
        <w:tc>
          <w:tcPr>
            <w:tcW w:w="2660" w:type="dxa"/>
            <w:tcBorders>
              <w:top w:val="nil"/>
              <w:left w:val="double" w:sz="4" w:space="0" w:color="auto"/>
              <w:bottom w:val="nil"/>
            </w:tcBorders>
          </w:tcPr>
          <w:p w14:paraId="6E2D7A1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1B09ACB"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4F2F35A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61298A8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1B42E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8685C4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6A82A90" w14:textId="77777777" w:rsidR="00225419" w:rsidRPr="00225419" w:rsidRDefault="00225419" w:rsidP="006661FE">
            <w:pPr>
              <w:jc w:val="center"/>
              <w:rPr>
                <w:rFonts w:ascii="Arial" w:hAnsi="Arial" w:cs="Arial"/>
                <w:sz w:val="22"/>
                <w:szCs w:val="22"/>
                <w:highlight w:val="yellow"/>
              </w:rPr>
            </w:pPr>
          </w:p>
        </w:tc>
      </w:tr>
      <w:tr w:rsidR="00225419" w14:paraId="3F5FD48E" w14:textId="77777777" w:rsidTr="006661FE">
        <w:tc>
          <w:tcPr>
            <w:tcW w:w="2660" w:type="dxa"/>
            <w:tcBorders>
              <w:top w:val="nil"/>
              <w:left w:val="double" w:sz="4" w:space="0" w:color="auto"/>
              <w:bottom w:val="double" w:sz="4" w:space="0" w:color="auto"/>
            </w:tcBorders>
          </w:tcPr>
          <w:p w14:paraId="2D6BD1E1"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1C5F76B6"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1559F305"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6CCC48F"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89D6F33"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7ABFDBC7"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2D5F62D8" w14:textId="77777777" w:rsidR="00225419" w:rsidRPr="00225419" w:rsidRDefault="00225419">
            <w:pPr>
              <w:jc w:val="both"/>
              <w:rPr>
                <w:rFonts w:ascii="Arial" w:hAnsi="Arial" w:cs="Arial"/>
                <w:sz w:val="22"/>
                <w:szCs w:val="22"/>
              </w:rPr>
            </w:pPr>
          </w:p>
        </w:tc>
      </w:tr>
    </w:tbl>
    <w:p w14:paraId="5A6A2E7D" w14:textId="77777777" w:rsidR="00225419" w:rsidRDefault="00225419">
      <w:pPr>
        <w:pStyle w:val="i"/>
        <w:numPr>
          <w:ilvl w:val="0"/>
          <w:numId w:val="0"/>
        </w:numPr>
        <w:jc w:val="both"/>
      </w:pPr>
    </w:p>
    <w:p w14:paraId="3686689F" w14:textId="77777777" w:rsidR="00225419" w:rsidRPr="00031BB7" w:rsidRDefault="00225419">
      <w:pPr>
        <w:pStyle w:val="Heading2"/>
        <w:rPr>
          <w:highlight w:val="yellow"/>
        </w:rPr>
      </w:pPr>
      <w:r>
        <w:br w:type="page"/>
      </w:r>
      <w:bookmarkStart w:id="130" w:name="_Toc220918041"/>
      <w:bookmarkStart w:id="131" w:name="_Toc44315423"/>
      <w:r w:rsidRPr="002F776A">
        <w:lastRenderedPageBreak/>
        <w:t>Connection Examples</w:t>
      </w:r>
      <w:bookmarkEnd w:id="130"/>
    </w:p>
    <w:p w14:paraId="0B660744" w14:textId="530DA22E" w:rsidR="00225419" w:rsidRDefault="00225419">
      <w:pPr>
        <w:rPr>
          <w:rFonts w:ascii="Arial" w:hAnsi="Arial" w:cs="Arial"/>
          <w:b/>
          <w:color w:val="008080"/>
          <w:sz w:val="22"/>
          <w:szCs w:val="22"/>
        </w:rPr>
      </w:pPr>
    </w:p>
    <w:p w14:paraId="280319CB" w14:textId="37A14967" w:rsidR="00533333" w:rsidRDefault="00533333">
      <w:pPr>
        <w:rPr>
          <w:rFonts w:ascii="Arial" w:hAnsi="Arial" w:cs="Arial"/>
          <w:b/>
          <w:color w:val="008080"/>
          <w:sz w:val="22"/>
          <w:szCs w:val="22"/>
        </w:rPr>
      </w:pPr>
    </w:p>
    <w:p w14:paraId="70F2DF57" w14:textId="77777777" w:rsidR="00533333" w:rsidRPr="00031BB7" w:rsidRDefault="00533333" w:rsidP="00533333">
      <w:pPr>
        <w:rPr>
          <w:b/>
          <w:color w:val="008080"/>
          <w:highlight w:val="yellow"/>
        </w:rPr>
      </w:pPr>
    </w:p>
    <w:p w14:paraId="306F0AC9" w14:textId="77777777" w:rsidR="00533333" w:rsidRPr="00225419" w:rsidRDefault="00533333" w:rsidP="00533333">
      <w:pPr>
        <w:rPr>
          <w:rFonts w:ascii="Arial" w:hAnsi="Arial" w:cs="Arial"/>
          <w:b/>
          <w:color w:val="008080"/>
          <w:sz w:val="22"/>
          <w:szCs w:val="22"/>
        </w:rPr>
      </w:pPr>
      <w:r w:rsidRPr="00225419">
        <w:rPr>
          <w:rFonts w:ascii="Arial" w:hAnsi="Arial" w:cs="Arial"/>
          <w:b/>
          <w:color w:val="008080"/>
          <w:sz w:val="22"/>
          <w:szCs w:val="22"/>
        </w:rPr>
        <w:t>Example 1</w:t>
      </w:r>
    </w:p>
    <w:p w14:paraId="2EFD965D" w14:textId="77777777" w:rsidR="00533333" w:rsidRPr="008D13A0" w:rsidRDefault="00533333" w:rsidP="00533333">
      <w:pPr>
        <w:rPr>
          <w:b/>
          <w:color w:val="008080"/>
        </w:rPr>
      </w:pPr>
      <w:r w:rsidRPr="008D13A0">
        <w:rPr>
          <w:noProof/>
        </w:rPr>
        <w:drawing>
          <wp:inline distT="0" distB="0" distL="0" distR="0" wp14:anchorId="0F8E55BC" wp14:editId="627BC62A">
            <wp:extent cx="5705475" cy="74390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5475" cy="7439025"/>
                    </a:xfrm>
                    <a:prstGeom prst="rect">
                      <a:avLst/>
                    </a:prstGeom>
                    <a:noFill/>
                    <a:ln>
                      <a:noFill/>
                    </a:ln>
                  </pic:spPr>
                </pic:pic>
              </a:graphicData>
            </a:graphic>
          </wp:inline>
        </w:drawing>
      </w:r>
    </w:p>
    <w:p w14:paraId="517E435A" w14:textId="77777777" w:rsidR="00533333" w:rsidRDefault="00533333" w:rsidP="00533333"/>
    <w:p w14:paraId="39091295" w14:textId="0619DBEF" w:rsidR="00225419" w:rsidRPr="00225419" w:rsidRDefault="00533333">
      <w:pPr>
        <w:rPr>
          <w:rFonts w:ascii="Arial" w:hAnsi="Arial" w:cs="Arial"/>
          <w:b/>
          <w:color w:val="008080"/>
          <w:sz w:val="22"/>
          <w:szCs w:val="22"/>
        </w:rPr>
      </w:pPr>
      <w:r>
        <w:rPr>
          <w:b/>
          <w:color w:val="008080"/>
        </w:rPr>
        <w:br w:type="page"/>
      </w:r>
      <w:r w:rsidR="00225419" w:rsidRPr="00225419">
        <w:rPr>
          <w:rFonts w:ascii="Arial" w:hAnsi="Arial" w:cs="Arial"/>
          <w:b/>
          <w:color w:val="008080"/>
          <w:sz w:val="22"/>
          <w:szCs w:val="22"/>
        </w:rPr>
        <w:lastRenderedPageBreak/>
        <w:t>Example 2</w:t>
      </w:r>
    </w:p>
    <w:p w14:paraId="2C1A9E0B" w14:textId="2B0692C7" w:rsidR="00225419" w:rsidRPr="00F55299" w:rsidRDefault="00225419"/>
    <w:p w14:paraId="142DE384" w14:textId="41DA9AEB" w:rsidR="00225419" w:rsidRPr="00225419" w:rsidRDefault="00533333">
      <w:pPr>
        <w:rPr>
          <w:rFonts w:ascii="Arial" w:hAnsi="Arial" w:cs="Arial"/>
          <w:b/>
          <w:color w:val="008080"/>
          <w:sz w:val="22"/>
          <w:szCs w:val="22"/>
        </w:rPr>
      </w:pPr>
      <w:r w:rsidRPr="00F55299">
        <w:rPr>
          <w:noProof/>
        </w:rPr>
        <w:drawing>
          <wp:inline distT="0" distB="0" distL="0" distR="0" wp14:anchorId="7A760DC6" wp14:editId="1DFB4E0E">
            <wp:extent cx="5705475" cy="7591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05475" cy="7591425"/>
                    </a:xfrm>
                    <a:prstGeom prst="rect">
                      <a:avLst/>
                    </a:prstGeom>
                    <a:noFill/>
                    <a:ln>
                      <a:noFill/>
                    </a:ln>
                  </pic:spPr>
                </pic:pic>
              </a:graphicData>
            </a:graphic>
          </wp:inline>
        </w:drawing>
      </w:r>
      <w:r w:rsidR="00225419">
        <w:br w:type="page"/>
      </w:r>
      <w:r w:rsidR="00225419" w:rsidRPr="00225419">
        <w:rPr>
          <w:rFonts w:ascii="Arial" w:hAnsi="Arial" w:cs="Arial"/>
          <w:b/>
          <w:color w:val="008080"/>
          <w:sz w:val="22"/>
          <w:szCs w:val="22"/>
        </w:rPr>
        <w:lastRenderedPageBreak/>
        <w:t>Example 3</w:t>
      </w:r>
    </w:p>
    <w:p w14:paraId="3F7DF86C" w14:textId="36399E9B" w:rsidR="00225419" w:rsidRPr="008D13A0" w:rsidRDefault="00225419"/>
    <w:p w14:paraId="5EB02D49" w14:textId="4647CB1D" w:rsidR="00225419" w:rsidRDefault="00533333">
      <w:pPr>
        <w:rPr>
          <w:color w:val="000080"/>
        </w:rPr>
      </w:pPr>
      <w:r w:rsidRPr="008D13A0">
        <w:rPr>
          <w:noProof/>
        </w:rPr>
        <w:drawing>
          <wp:inline distT="0" distB="0" distL="0" distR="0" wp14:anchorId="4B47F9EA" wp14:editId="234B72CE">
            <wp:extent cx="5705475" cy="79438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5475" cy="7943850"/>
                    </a:xfrm>
                    <a:prstGeom prst="rect">
                      <a:avLst/>
                    </a:prstGeom>
                    <a:noFill/>
                    <a:ln>
                      <a:noFill/>
                    </a:ln>
                  </pic:spPr>
                </pic:pic>
              </a:graphicData>
            </a:graphic>
          </wp:inline>
        </w:drawing>
      </w:r>
      <w:r w:rsidR="00225419">
        <w:br w:type="page"/>
      </w:r>
      <w:bookmarkEnd w:id="131"/>
    </w:p>
    <w:p w14:paraId="27C6327F" w14:textId="77777777" w:rsidR="00225419" w:rsidRPr="00415339" w:rsidRDefault="00225419">
      <w:pPr>
        <w:pStyle w:val="Heading1"/>
        <w:rPr>
          <w:color w:val="auto"/>
          <w:sz w:val="28"/>
          <w:szCs w:val="28"/>
        </w:rPr>
      </w:pPr>
      <w:bookmarkStart w:id="132" w:name="_Toc220918042"/>
      <w:r w:rsidRPr="00415339">
        <w:rPr>
          <w:color w:val="auto"/>
          <w:sz w:val="28"/>
          <w:szCs w:val="28"/>
        </w:rPr>
        <w:lastRenderedPageBreak/>
        <w:t>14.12 Examples of Connection Charge Calculations</w:t>
      </w:r>
      <w:bookmarkEnd w:id="132"/>
    </w:p>
    <w:p w14:paraId="798BF7F7" w14:textId="77777777" w:rsidR="00225419" w:rsidRDefault="00225419">
      <w:pPr>
        <w:tabs>
          <w:tab w:val="left" w:pos="810"/>
          <w:tab w:val="left" w:pos="1620"/>
          <w:tab w:val="left" w:pos="4680"/>
          <w:tab w:val="left" w:pos="6390"/>
        </w:tabs>
        <w:jc w:val="both"/>
      </w:pPr>
    </w:p>
    <w:p w14:paraId="09B4CA07" w14:textId="2DD867EC" w:rsidR="00225419" w:rsidRPr="00225419" w:rsidRDefault="00225419">
      <w:p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fldChar w:fldCharType="begin"/>
      </w:r>
      <w:r w:rsidRPr="0537B9E0">
        <w:rPr>
          <w:rFonts w:ascii="Arial" w:hAnsi="Arial" w:cs="Arial"/>
          <w:sz w:val="22"/>
          <w:szCs w:val="22"/>
        </w:rPr>
        <w:instrText>tc \l2 "Examples of Connection Charge Applications</w:instrText>
      </w:r>
      <w:r w:rsidRPr="0537B9E0">
        <w:rPr>
          <w:rFonts w:ascii="Arial" w:hAnsi="Arial" w:cs="Arial"/>
          <w:sz w:val="22"/>
          <w:szCs w:val="22"/>
        </w:rPr>
        <w:fldChar w:fldCharType="end"/>
      </w:r>
      <w:r w:rsidR="18569871" w:rsidRPr="0537B9E0">
        <w:rPr>
          <w:rFonts w:ascii="Arial" w:hAnsi="Arial" w:cs="Arial"/>
          <w:sz w:val="22"/>
          <w:szCs w:val="22"/>
        </w:rPr>
        <w:t>The following examples of connection charge calculations are intended as general illustrations</w:t>
      </w:r>
      <w:r w:rsidR="61F61DED" w:rsidRPr="0537B9E0">
        <w:rPr>
          <w:rFonts w:ascii="Arial" w:hAnsi="Arial" w:cs="Arial"/>
          <w:sz w:val="22"/>
          <w:szCs w:val="22"/>
        </w:rPr>
        <w:t xml:space="preserve">. </w:t>
      </w:r>
    </w:p>
    <w:p w14:paraId="77B7156D"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5BE013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5417652" w14:textId="77777777" w:rsidR="00225419" w:rsidRPr="00225419" w:rsidRDefault="00225419">
      <w:pPr>
        <w:pStyle w:val="Heading2"/>
        <w:rPr>
          <w:rFonts w:ascii="Arial" w:hAnsi="Arial" w:cs="Arial"/>
          <w:szCs w:val="22"/>
        </w:rPr>
      </w:pPr>
      <w:bookmarkStart w:id="133" w:name="_Toc32208970"/>
      <w:bookmarkStart w:id="134" w:name="_Toc44315431"/>
      <w:bookmarkStart w:id="135" w:name="_Toc220918043"/>
      <w:r w:rsidRPr="00225419">
        <w:rPr>
          <w:rFonts w:ascii="Arial" w:hAnsi="Arial" w:cs="Arial"/>
          <w:szCs w:val="22"/>
        </w:rPr>
        <w:t>Example 1</w:t>
      </w:r>
      <w:bookmarkEnd w:id="133"/>
      <w:bookmarkEnd w:id="134"/>
      <w:bookmarkEnd w:id="135"/>
    </w:p>
    <w:p w14:paraId="5B64EB5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9A69592" w14:textId="13597046" w:rsidR="00225419" w:rsidRPr="00225419" w:rsidRDefault="00225419" w:rsidP="00533333">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method of charging, and assuming:</w:t>
      </w:r>
    </w:p>
    <w:p w14:paraId="16C4D7C3"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895FF87"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4D788D8C"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ii)</w:t>
      </w:r>
      <w:r w:rsidR="00225419">
        <w:tab/>
      </w:r>
      <w:r w:rsidRPr="0537B9E0">
        <w:rPr>
          <w:rFonts w:ascii="Arial" w:hAnsi="Arial" w:cs="Arial"/>
          <w:sz w:val="22"/>
          <w:szCs w:val="22"/>
        </w:rPr>
        <w:t xml:space="preserve">there is no inflation from year to year </w:t>
      </w:r>
      <w:bookmarkStart w:id="136" w:name="_Int_ngggBxDu"/>
      <w:r w:rsidRPr="0537B9E0">
        <w:rPr>
          <w:rFonts w:ascii="Arial" w:hAnsi="Arial" w:cs="Arial"/>
          <w:sz w:val="22"/>
          <w:szCs w:val="22"/>
        </w:rPr>
        <w:t>i.e.</w:t>
      </w:r>
      <w:bookmarkEnd w:id="136"/>
      <w:r w:rsidRPr="0537B9E0">
        <w:rPr>
          <w:rFonts w:ascii="Arial" w:hAnsi="Arial" w:cs="Arial"/>
          <w:sz w:val="22"/>
          <w:szCs w:val="22"/>
        </w:rPr>
        <w:t xml:space="preserve"> GAV remains constant</w:t>
      </w:r>
    </w:p>
    <w:p w14:paraId="24DB13D8" w14:textId="77777777" w:rsidR="00225419" w:rsidRPr="00225419" w:rsidRDefault="18569871">
      <w:pPr>
        <w:tabs>
          <w:tab w:val="left" w:pos="851"/>
          <w:tab w:val="left" w:pos="1620"/>
          <w:tab w:val="left" w:pos="4680"/>
          <w:tab w:val="left" w:pos="6390"/>
        </w:tabs>
        <w:ind w:left="851" w:hanging="851"/>
        <w:jc w:val="both"/>
        <w:rPr>
          <w:rFonts w:ascii="Arial" w:hAnsi="Arial" w:cs="Arial"/>
          <w:sz w:val="22"/>
          <w:szCs w:val="22"/>
        </w:rPr>
      </w:pPr>
      <w:r w:rsidRPr="0537B9E0">
        <w:rPr>
          <w:rFonts w:ascii="Arial" w:hAnsi="Arial" w:cs="Arial"/>
          <w:sz w:val="22"/>
          <w:szCs w:val="22"/>
        </w:rPr>
        <w:t>iii)</w:t>
      </w:r>
      <w:r w:rsidR="00225419">
        <w:tab/>
      </w:r>
      <w:r w:rsidRPr="0537B9E0">
        <w:rPr>
          <w:rFonts w:ascii="Arial" w:hAnsi="Arial" w:cs="Arial"/>
          <w:sz w:val="22"/>
          <w:szCs w:val="22"/>
        </w:rPr>
        <w:t xml:space="preserve">the </w:t>
      </w:r>
      <w:bookmarkStart w:id="137" w:name="_Int_gKv4Z4Kc"/>
      <w:r w:rsidRPr="0537B9E0">
        <w:rPr>
          <w:rFonts w:ascii="Arial" w:hAnsi="Arial" w:cs="Arial"/>
          <w:sz w:val="22"/>
          <w:szCs w:val="22"/>
        </w:rPr>
        <w:t>site specific</w:t>
      </w:r>
      <w:bookmarkEnd w:id="137"/>
      <w:r w:rsidRPr="0537B9E0">
        <w:rPr>
          <w:rFonts w:ascii="Arial" w:hAnsi="Arial" w:cs="Arial"/>
          <w:sz w:val="22"/>
          <w:szCs w:val="22"/>
        </w:rPr>
        <w:t xml:space="preserve"> maintenance charge component remains constant throughout the 40 years at 0.52% of GAV</w:t>
      </w:r>
    </w:p>
    <w:p w14:paraId="0395131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090A607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6E2308B8"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w:t>
      </w:r>
      <w:r w:rsidR="00225419">
        <w:tab/>
      </w:r>
      <w:r w:rsidRPr="0537B9E0">
        <w:rPr>
          <w:rFonts w:ascii="Arial" w:hAnsi="Arial" w:cs="Arial"/>
          <w:sz w:val="22"/>
          <w:szCs w:val="22"/>
        </w:rPr>
        <w:t xml:space="preserve">the rate of return charge remains constant at 6% for the </w:t>
      </w:r>
      <w:bookmarkStart w:id="138" w:name="_Int_IQdUL1RJ"/>
      <w:r w:rsidRPr="0537B9E0">
        <w:rPr>
          <w:rFonts w:ascii="Arial" w:hAnsi="Arial" w:cs="Arial"/>
          <w:sz w:val="22"/>
          <w:szCs w:val="22"/>
        </w:rPr>
        <w:t>40 year</w:t>
      </w:r>
      <w:bookmarkEnd w:id="138"/>
      <w:r w:rsidRPr="0537B9E0">
        <w:rPr>
          <w:rFonts w:ascii="Arial" w:hAnsi="Arial" w:cs="Arial"/>
          <w:sz w:val="22"/>
          <w:szCs w:val="22"/>
        </w:rPr>
        <w:t xml:space="preserve"> life of the asset</w:t>
      </w:r>
    </w:p>
    <w:p w14:paraId="51127F17"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vii)</w:t>
      </w:r>
      <w:r w:rsidR="00225419">
        <w:tab/>
      </w:r>
      <w:r w:rsidRPr="0537B9E0">
        <w:rPr>
          <w:rFonts w:ascii="Arial" w:hAnsi="Arial" w:cs="Arial"/>
          <w:sz w:val="22"/>
          <w:szCs w:val="22"/>
        </w:rPr>
        <w:t xml:space="preserve">the asset is terminated at the end of its </w:t>
      </w:r>
      <w:bookmarkStart w:id="139" w:name="_Int_Rxib9DkB"/>
      <w:r w:rsidRPr="0537B9E0">
        <w:rPr>
          <w:rFonts w:ascii="Arial" w:hAnsi="Arial" w:cs="Arial"/>
          <w:sz w:val="22"/>
          <w:szCs w:val="22"/>
        </w:rPr>
        <w:t>40 year</w:t>
      </w:r>
      <w:bookmarkEnd w:id="139"/>
      <w:r w:rsidRPr="0537B9E0">
        <w:rPr>
          <w:rFonts w:ascii="Arial" w:hAnsi="Arial" w:cs="Arial"/>
          <w:sz w:val="22"/>
          <w:szCs w:val="22"/>
        </w:rPr>
        <w:t xml:space="preserve"> life</w:t>
      </w:r>
    </w:p>
    <w:p w14:paraId="4DA2861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F003B42" w14:textId="77777777" w:rsidR="00225419" w:rsidRPr="00225419" w:rsidRDefault="18569871">
      <w:pPr>
        <w:tabs>
          <w:tab w:val="left" w:pos="810"/>
          <w:tab w:val="left" w:pos="1620"/>
          <w:tab w:val="left" w:pos="4680"/>
          <w:tab w:val="left" w:pos="6390"/>
        </w:tabs>
        <w:jc w:val="both"/>
        <w:rPr>
          <w:rFonts w:ascii="Arial" w:hAnsi="Arial" w:cs="Arial"/>
          <w:sz w:val="22"/>
          <w:szCs w:val="22"/>
        </w:rPr>
      </w:pPr>
      <w:bookmarkStart w:id="140" w:name="_Int_KZL5Xcme"/>
      <w:r w:rsidRPr="0537B9E0">
        <w:rPr>
          <w:rFonts w:ascii="Arial" w:hAnsi="Arial" w:cs="Arial"/>
          <w:sz w:val="22"/>
          <w:szCs w:val="22"/>
        </w:rPr>
        <w:t>For the purpose of</w:t>
      </w:r>
      <w:bookmarkEnd w:id="140"/>
      <w:r w:rsidRPr="0537B9E0">
        <w:rPr>
          <w:rFonts w:ascii="Arial" w:hAnsi="Arial" w:cs="Arial"/>
          <w:sz w:val="22"/>
          <w:szCs w:val="22"/>
        </w:rPr>
        <w:t xml:space="preserve"> this example, the asset on which charges are based has a Gross Asset Value of £3,000,000 on 1 April 2010.</w:t>
      </w:r>
    </w:p>
    <w:p w14:paraId="76EE57AC"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862EDA2" w14:textId="77777777" w:rsidTr="0537B9E0">
        <w:trPr>
          <w:trHeight w:val="413"/>
        </w:trPr>
        <w:tc>
          <w:tcPr>
            <w:tcW w:w="3862" w:type="dxa"/>
          </w:tcPr>
          <w:p w14:paraId="30A655B3"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41" w:name="_Hlk220905133"/>
            <w:r w:rsidRPr="00225419">
              <w:rPr>
                <w:rFonts w:cs="Arial"/>
                <w:szCs w:val="22"/>
              </w:rPr>
              <w:t>Charge</w:t>
            </w:r>
          </w:p>
        </w:tc>
        <w:tc>
          <w:tcPr>
            <w:tcW w:w="2659" w:type="dxa"/>
          </w:tcPr>
          <w:p w14:paraId="78328360"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44E6E16D"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51174745" w14:textId="77777777" w:rsidTr="0537B9E0">
        <w:trPr>
          <w:trHeight w:val="703"/>
        </w:trPr>
        <w:tc>
          <w:tcPr>
            <w:tcW w:w="3862" w:type="dxa"/>
          </w:tcPr>
          <w:p w14:paraId="3643544B"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50057F1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7DE85D0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5645DC0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41C067C7" w14:textId="77777777" w:rsidTr="0537B9E0">
        <w:trPr>
          <w:trHeight w:val="711"/>
        </w:trPr>
        <w:tc>
          <w:tcPr>
            <w:tcW w:w="3862" w:type="dxa"/>
          </w:tcPr>
          <w:p w14:paraId="051601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8455B41"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57CAA3D4"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13FBE658"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21C8FC9D" w14:textId="77777777" w:rsidTr="0537B9E0">
        <w:trPr>
          <w:trHeight w:val="694"/>
        </w:trPr>
        <w:tc>
          <w:tcPr>
            <w:tcW w:w="3862" w:type="dxa"/>
          </w:tcPr>
          <w:p w14:paraId="0D5A24C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6416D7C" w14:textId="77777777" w:rsidR="00225419" w:rsidRPr="00225419" w:rsidRDefault="18569871">
            <w:pPr>
              <w:tabs>
                <w:tab w:val="left" w:pos="810"/>
                <w:tab w:val="left" w:pos="1620"/>
                <w:tab w:val="left" w:pos="4680"/>
                <w:tab w:val="left" w:pos="6390"/>
              </w:tabs>
              <w:rPr>
                <w:rFonts w:ascii="Arial" w:hAnsi="Arial" w:cs="Arial"/>
                <w:sz w:val="22"/>
                <w:szCs w:val="22"/>
              </w:rPr>
            </w:pPr>
            <w:r w:rsidRPr="0537B9E0">
              <w:rPr>
                <w:rFonts w:ascii="Arial" w:hAnsi="Arial" w:cs="Arial"/>
                <w:sz w:val="22"/>
                <w:szCs w:val="22"/>
              </w:rPr>
              <w:t>(</w:t>
            </w:r>
            <w:bookmarkStart w:id="142" w:name="_Int_tUQubkrq"/>
            <w:r w:rsidRPr="0537B9E0">
              <w:rPr>
                <w:rFonts w:ascii="Arial" w:hAnsi="Arial" w:cs="Arial"/>
                <w:sz w:val="22"/>
                <w:szCs w:val="22"/>
              </w:rPr>
              <w:t>40 year</w:t>
            </w:r>
            <w:bookmarkEnd w:id="142"/>
            <w:r w:rsidRPr="0537B9E0">
              <w:rPr>
                <w:rFonts w:ascii="Arial" w:hAnsi="Arial" w:cs="Arial"/>
                <w:sz w:val="22"/>
                <w:szCs w:val="22"/>
              </w:rPr>
              <w:t xml:space="preserve"> depreciation 2.5% of GAV)</w:t>
            </w:r>
          </w:p>
        </w:tc>
        <w:tc>
          <w:tcPr>
            <w:tcW w:w="2659" w:type="dxa"/>
          </w:tcPr>
          <w:p w14:paraId="271218A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7C49442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FB2062C" w14:textId="77777777" w:rsidTr="0537B9E0">
        <w:trPr>
          <w:trHeight w:val="732"/>
        </w:trPr>
        <w:tc>
          <w:tcPr>
            <w:tcW w:w="3862" w:type="dxa"/>
          </w:tcPr>
          <w:p w14:paraId="368FE8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49D8668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0DE2EB18"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hemeColor="text1"/>
            </w:tcBorders>
          </w:tcPr>
          <w:p w14:paraId="5561B03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233FAD07" w14:textId="77777777" w:rsidTr="0537B9E0">
        <w:trPr>
          <w:trHeight w:val="366"/>
        </w:trPr>
        <w:tc>
          <w:tcPr>
            <w:tcW w:w="3862" w:type="dxa"/>
            <w:vAlign w:val="center"/>
          </w:tcPr>
          <w:p w14:paraId="0BA397C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1E03A12A"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themeColor="text1"/>
              <w:bottom w:val="double" w:sz="7" w:space="0" w:color="000000" w:themeColor="text1"/>
            </w:tcBorders>
            <w:vAlign w:val="center"/>
          </w:tcPr>
          <w:p w14:paraId="0C4A8E3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41"/>
    </w:tbl>
    <w:p w14:paraId="5CDDAA7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E1E85B" w14:textId="77777777" w:rsidR="00225419" w:rsidRPr="00225419" w:rsidRDefault="18569871" w:rsidP="0537B9E0">
      <w:pPr>
        <w:pStyle w:val="BodyText"/>
        <w:tabs>
          <w:tab w:val="left" w:pos="810"/>
          <w:tab w:val="left" w:pos="1620"/>
          <w:tab w:val="left" w:pos="6390"/>
        </w:tabs>
        <w:rPr>
          <w:rFonts w:ascii="Arial" w:hAnsi="Arial" w:cs="Arial"/>
          <w:b/>
          <w:bCs/>
          <w:sz w:val="22"/>
          <w:szCs w:val="22"/>
        </w:rPr>
      </w:pPr>
      <w:r w:rsidRPr="0537B9E0">
        <w:rPr>
          <w:rFonts w:ascii="Arial" w:hAnsi="Arial" w:cs="Arial"/>
          <w:b/>
          <w:bCs/>
          <w:sz w:val="22"/>
          <w:szCs w:val="22"/>
        </w:rPr>
        <w:t xml:space="preserve">The </w:t>
      </w:r>
      <w:bookmarkStart w:id="143" w:name="_Int_rXKsaRrD"/>
      <w:r w:rsidRPr="0537B9E0">
        <w:rPr>
          <w:rFonts w:ascii="Arial" w:hAnsi="Arial" w:cs="Arial"/>
          <w:b/>
          <w:bCs/>
          <w:sz w:val="22"/>
          <w:szCs w:val="22"/>
        </w:rPr>
        <w:t>first year</w:t>
      </w:r>
      <w:bookmarkEnd w:id="143"/>
      <w:r w:rsidRPr="0537B9E0">
        <w:rPr>
          <w:rFonts w:ascii="Arial" w:hAnsi="Arial" w:cs="Arial"/>
          <w:b/>
          <w:bCs/>
          <w:sz w:val="22"/>
          <w:szCs w:val="22"/>
        </w:rPr>
        <w:t xml:space="preserve"> charge of £311,850 would reduce in subsequent years as the NAV of the asset is reduced on a straight-line basis. </w:t>
      </w:r>
    </w:p>
    <w:p w14:paraId="7B9BC35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A11FF2"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3D5343D5"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5E0FB5"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398D579D"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7E66F919"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4F6F36D5"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89761D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2926F57"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6C659D0"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270480C"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888B2C6" w14:textId="77777777" w:rsidR="00225419" w:rsidRDefault="00225419">
      <w:pPr>
        <w:pStyle w:val="Heading2"/>
      </w:pPr>
      <w:bookmarkStart w:id="144" w:name="_Toc44315432"/>
      <w:bookmarkStart w:id="145" w:name="_Toc220918044"/>
    </w:p>
    <w:p w14:paraId="3F3F3B88" w14:textId="77777777" w:rsidR="00225419" w:rsidRDefault="00225419">
      <w:pPr>
        <w:pStyle w:val="Heading2"/>
      </w:pPr>
      <w:r>
        <w:t>Example 2</w:t>
      </w:r>
      <w:bookmarkEnd w:id="144"/>
      <w:bookmarkEnd w:id="145"/>
    </w:p>
    <w:p w14:paraId="77DBB5EE" w14:textId="77777777" w:rsidR="00225419" w:rsidRDefault="00225419">
      <w:pPr>
        <w:jc w:val="both"/>
      </w:pPr>
    </w:p>
    <w:p w14:paraId="42DF7062" w14:textId="24BCCD3D" w:rsidR="00225419" w:rsidRDefault="18569871" w:rsidP="00533333">
      <w:pPr>
        <w:pStyle w:val="1"/>
        <w:numPr>
          <w:ilvl w:val="0"/>
          <w:numId w:val="88"/>
        </w:numPr>
        <w:tabs>
          <w:tab w:val="left" w:pos="810"/>
          <w:tab w:val="left" w:pos="6390"/>
        </w:tabs>
        <w:jc w:val="both"/>
      </w:pPr>
      <w:r>
        <w:lastRenderedPageBreak/>
        <w:t>The previous example assumes that the asset is commissioned on 1 April 2010</w:t>
      </w:r>
      <w:r w:rsidR="36979604">
        <w:t xml:space="preserve">. </w:t>
      </w:r>
      <w:r>
        <w:t xml:space="preserve">If it is assumed that the asset is commissioned on 1 July 2010, the </w:t>
      </w:r>
      <w:bookmarkStart w:id="146" w:name="_Int_tclbppdD"/>
      <w:r>
        <w:t>first year</w:t>
      </w:r>
      <w:bookmarkEnd w:id="146"/>
      <w:r>
        <w:t xml:space="preserve"> charge would equal 9/12th of the first year annual connection charge </w:t>
      </w:r>
      <w:bookmarkStart w:id="147" w:name="_Int_vVBjww52"/>
      <w:r>
        <w:t>i.e.</w:t>
      </w:r>
      <w:bookmarkEnd w:id="147"/>
      <w:r>
        <w:t xml:space="preserve"> £233,887.50  </w:t>
      </w:r>
    </w:p>
    <w:p w14:paraId="10E7426F" w14:textId="77777777" w:rsidR="00225419" w:rsidRDefault="00225419">
      <w:pPr>
        <w:tabs>
          <w:tab w:val="left" w:pos="810"/>
          <w:tab w:val="left" w:pos="1620"/>
          <w:tab w:val="left" w:pos="4680"/>
          <w:tab w:val="left" w:pos="6390"/>
        </w:tabs>
        <w:jc w:val="both"/>
      </w:pPr>
    </w:p>
    <w:p w14:paraId="12EC6635"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1219B67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F7A3B2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0F3B9F3C" w14:textId="77777777" w:rsidR="00225419" w:rsidRPr="00225419" w:rsidRDefault="00225419">
      <w:pPr>
        <w:tabs>
          <w:tab w:val="left" w:pos="810"/>
          <w:tab w:val="left" w:pos="1620"/>
        </w:tabs>
        <w:jc w:val="both"/>
        <w:rPr>
          <w:rFonts w:ascii="Arial" w:hAnsi="Arial" w:cs="Arial"/>
          <w:sz w:val="22"/>
          <w:szCs w:val="22"/>
        </w:rPr>
      </w:pPr>
    </w:p>
    <w:p w14:paraId="7D587B76"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468566B0"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06C13B7E"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3E14042D"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0F0FD0E" w14:textId="77777777" w:rsidR="00225419" w:rsidRDefault="00225419">
      <w:pPr>
        <w:tabs>
          <w:tab w:val="left" w:pos="810"/>
          <w:tab w:val="left" w:pos="1620"/>
          <w:tab w:val="left" w:pos="4680"/>
          <w:tab w:val="left" w:pos="6390"/>
        </w:tabs>
        <w:jc w:val="both"/>
      </w:pPr>
    </w:p>
    <w:p w14:paraId="5828B93B" w14:textId="77777777" w:rsidR="00225419" w:rsidRDefault="00225419">
      <w:pPr>
        <w:tabs>
          <w:tab w:val="left" w:pos="810"/>
          <w:tab w:val="left" w:pos="1620"/>
          <w:tab w:val="left" w:pos="4680"/>
          <w:tab w:val="left" w:pos="6390"/>
        </w:tabs>
        <w:jc w:val="both"/>
      </w:pPr>
    </w:p>
    <w:p w14:paraId="2D5700A6" w14:textId="77777777" w:rsidR="00225419" w:rsidRDefault="00225419">
      <w:pPr>
        <w:pStyle w:val="Heading2"/>
      </w:pPr>
      <w:bookmarkStart w:id="148" w:name="_Toc32208972"/>
      <w:bookmarkStart w:id="149" w:name="_Toc44315433"/>
      <w:bookmarkStart w:id="150" w:name="_Toc220918045"/>
      <w:r>
        <w:t>Example 3</w:t>
      </w:r>
      <w:bookmarkEnd w:id="148"/>
      <w:bookmarkEnd w:id="149"/>
      <w:bookmarkEnd w:id="150"/>
    </w:p>
    <w:p w14:paraId="7DC0AF93" w14:textId="77777777" w:rsidR="00225419" w:rsidRDefault="00225419">
      <w:pPr>
        <w:tabs>
          <w:tab w:val="left" w:pos="810"/>
          <w:tab w:val="left" w:pos="1620"/>
          <w:tab w:val="left" w:pos="4680"/>
          <w:tab w:val="left" w:pos="6390"/>
        </w:tabs>
        <w:jc w:val="both"/>
      </w:pPr>
    </w:p>
    <w:p w14:paraId="641CA159" w14:textId="0A7BFF42" w:rsidR="00225419" w:rsidRPr="00225419" w:rsidRDefault="18569871" w:rsidP="00533333">
      <w:pPr>
        <w:numPr>
          <w:ilvl w:val="0"/>
          <w:numId w:val="88"/>
        </w:num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t>In the case of a firm price agreement, there will be two elements in the connection charge, a finance component and a running cost component</w:t>
      </w:r>
      <w:r w:rsidR="4388361A" w:rsidRPr="0537B9E0">
        <w:rPr>
          <w:rFonts w:ascii="Arial" w:hAnsi="Arial" w:cs="Arial"/>
          <w:sz w:val="22"/>
          <w:szCs w:val="22"/>
        </w:rPr>
        <w:t xml:space="preserve">. </w:t>
      </w:r>
      <w:r w:rsidRPr="0537B9E0">
        <w:rPr>
          <w:rFonts w:ascii="Arial" w:hAnsi="Arial" w:cs="Arial"/>
          <w:sz w:val="22"/>
          <w:szCs w:val="22"/>
        </w:rPr>
        <w:t>These encompass the four elements set out in the examples above</w:t>
      </w:r>
      <w:r w:rsidR="5F8750C2" w:rsidRPr="0537B9E0">
        <w:rPr>
          <w:rFonts w:ascii="Arial" w:hAnsi="Arial" w:cs="Arial"/>
          <w:sz w:val="22"/>
          <w:szCs w:val="22"/>
        </w:rPr>
        <w:t xml:space="preserve">. </w:t>
      </w:r>
      <w:r w:rsidRPr="0537B9E0">
        <w:rPr>
          <w:rFonts w:ascii="Arial" w:hAnsi="Arial" w:cs="Arial"/>
          <w:sz w:val="22"/>
          <w:szCs w:val="22"/>
        </w:rPr>
        <w:t xml:space="preserve">Using </w:t>
      </w:r>
      <w:bookmarkStart w:id="151" w:name="_Int_agQcUDb0"/>
      <w:r w:rsidRPr="0537B9E0">
        <w:rPr>
          <w:rFonts w:ascii="Arial" w:hAnsi="Arial" w:cs="Arial"/>
          <w:sz w:val="22"/>
          <w:szCs w:val="22"/>
        </w:rPr>
        <w:t>exactly the same</w:t>
      </w:r>
      <w:bookmarkEnd w:id="151"/>
      <w:r w:rsidRPr="0537B9E0">
        <w:rPr>
          <w:rFonts w:ascii="Arial" w:hAnsi="Arial" w:cs="Arial"/>
          <w:sz w:val="22"/>
          <w:szCs w:val="22"/>
        </w:rPr>
        <w:t xml:space="preserve"> assumptions as those in example 1 above, the total annual connection charges will be the same as those presented</w:t>
      </w:r>
      <w:r w:rsidR="79F4DD01" w:rsidRPr="0537B9E0">
        <w:rPr>
          <w:rFonts w:ascii="Arial" w:hAnsi="Arial" w:cs="Arial"/>
          <w:sz w:val="22"/>
          <w:szCs w:val="22"/>
        </w:rPr>
        <w:t xml:space="preserve">. </w:t>
      </w:r>
      <w:r w:rsidRPr="0537B9E0">
        <w:rPr>
          <w:rFonts w:ascii="Arial" w:hAnsi="Arial" w:cs="Arial"/>
          <w:sz w:val="22"/>
          <w:szCs w:val="22"/>
        </w:rPr>
        <w:t xml:space="preserve">These charges will not change </w:t>
      </w:r>
      <w:bookmarkStart w:id="152" w:name="_Int_UcL83BX1"/>
      <w:r w:rsidRPr="0537B9E0">
        <w:rPr>
          <w:rFonts w:ascii="Arial" w:hAnsi="Arial" w:cs="Arial"/>
          <w:sz w:val="22"/>
          <w:szCs w:val="22"/>
        </w:rPr>
        <w:t>as a result of</w:t>
      </w:r>
      <w:bookmarkEnd w:id="152"/>
      <w:r w:rsidRPr="0537B9E0">
        <w:rPr>
          <w:rFonts w:ascii="Arial" w:hAnsi="Arial" w:cs="Arial"/>
          <w:sz w:val="22"/>
          <w:szCs w:val="22"/>
        </w:rPr>
        <w:t xml:space="preserve"> the adoption of a different charging methodology by </w:t>
      </w:r>
      <w:r w:rsidR="58867969" w:rsidRPr="0537B9E0">
        <w:rPr>
          <w:rFonts w:ascii="Arial" w:hAnsi="Arial" w:cs="Arial"/>
          <w:b/>
          <w:bCs/>
          <w:sz w:val="22"/>
          <w:szCs w:val="22"/>
        </w:rPr>
        <w:t>The Company</w:t>
      </w:r>
      <w:r w:rsidRPr="0537B9E0">
        <w:rPr>
          <w:rFonts w:ascii="Arial" w:hAnsi="Arial" w:cs="Arial"/>
          <w:b/>
          <w:bCs/>
          <w:sz w:val="22"/>
          <w:szCs w:val="22"/>
        </w:rPr>
        <w:t>,</w:t>
      </w:r>
      <w:r w:rsidRPr="0537B9E0">
        <w:rPr>
          <w:rFonts w:ascii="Arial" w:hAnsi="Arial" w:cs="Arial"/>
          <w:sz w:val="22"/>
          <w:szCs w:val="22"/>
        </w:rPr>
        <w:t xml:space="preserve"> providing that the connection boundary does not change.</w:t>
      </w:r>
    </w:p>
    <w:p w14:paraId="3966B26B" w14:textId="77777777" w:rsidR="00225419" w:rsidRDefault="00225419">
      <w:pPr>
        <w:pStyle w:val="1"/>
        <w:tabs>
          <w:tab w:val="left" w:pos="810"/>
          <w:tab w:val="left" w:pos="6390"/>
        </w:tabs>
      </w:pPr>
    </w:p>
    <w:p w14:paraId="33D7799B" w14:textId="77777777" w:rsidR="00225419" w:rsidRDefault="00225419">
      <w:pPr>
        <w:pStyle w:val="Heading2"/>
      </w:pPr>
      <w:bookmarkStart w:id="153" w:name="_Toc32208973"/>
      <w:bookmarkStart w:id="154" w:name="_Toc44315434"/>
      <w:bookmarkStart w:id="155" w:name="_Toc220918046"/>
      <w:r>
        <w:t>Example 4</w:t>
      </w:r>
      <w:bookmarkEnd w:id="153"/>
      <w:bookmarkEnd w:id="154"/>
      <w:bookmarkEnd w:id="155"/>
    </w:p>
    <w:p w14:paraId="6C60F4C4" w14:textId="77777777" w:rsidR="00225419" w:rsidRDefault="00225419">
      <w:pPr>
        <w:keepNext/>
        <w:jc w:val="both"/>
      </w:pPr>
    </w:p>
    <w:p w14:paraId="5E9AEBA7" w14:textId="77777777" w:rsidR="00225419" w:rsidRDefault="00225419" w:rsidP="00533333">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784F4799" w14:textId="77777777" w:rsidR="00225419" w:rsidRDefault="00225419">
      <w:pPr>
        <w:jc w:val="both"/>
      </w:pPr>
    </w:p>
    <w:p w14:paraId="147AA1EF"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3FA31049" w14:textId="77777777" w:rsidR="00225419" w:rsidRPr="00D2324F" w:rsidRDefault="00225419">
      <w:pPr>
        <w:jc w:val="both"/>
        <w:rPr>
          <w:rFonts w:ascii="Arial" w:hAnsi="Arial" w:cs="Arial"/>
          <w:sz w:val="22"/>
          <w:szCs w:val="22"/>
        </w:rPr>
      </w:pPr>
    </w:p>
    <w:p w14:paraId="6DB49EC7" w14:textId="6934EE04"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744571">
        <w:rPr>
          <w:rFonts w:ascii="Arial" w:hAnsi="Arial" w:cs="Arial"/>
          <w:sz w:val="22"/>
          <w:szCs w:val="22"/>
        </w:rPr>
        <w:t>TOPI</w:t>
      </w:r>
      <w:r w:rsidRPr="00D2324F">
        <w:rPr>
          <w:rFonts w:ascii="Arial" w:hAnsi="Arial" w:cs="Arial"/>
          <w:sz w:val="22"/>
          <w:szCs w:val="22"/>
        </w:rPr>
        <w:t>GAV</w:t>
      </w:r>
      <w:r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53C2577" w14:textId="77777777" w:rsidR="00225419" w:rsidRPr="00D2324F" w:rsidRDefault="00225419">
      <w:pPr>
        <w:jc w:val="both"/>
        <w:rPr>
          <w:rFonts w:ascii="Arial" w:hAnsi="Arial" w:cs="Arial"/>
          <w:sz w:val="22"/>
          <w:szCs w:val="22"/>
        </w:rPr>
      </w:pPr>
    </w:p>
    <w:p w14:paraId="2F7612BC"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5FB97B3B" w14:textId="77777777" w:rsidR="00225419" w:rsidRDefault="00225419">
      <w:pPr>
        <w:tabs>
          <w:tab w:val="left" w:pos="810"/>
          <w:tab w:val="left" w:pos="1620"/>
          <w:tab w:val="left" w:pos="4680"/>
          <w:tab w:val="left" w:pos="6390"/>
        </w:tabs>
        <w:jc w:val="both"/>
      </w:pPr>
    </w:p>
    <w:p w14:paraId="69B96477"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56" w:name="_Toc48626029"/>
      <w:bookmarkStart w:id="157" w:name="_Toc220918047"/>
      <w:r w:rsidRPr="00415339">
        <w:rPr>
          <w:color w:val="auto"/>
          <w:sz w:val="28"/>
          <w:szCs w:val="28"/>
        </w:rPr>
        <w:t xml:space="preserve">14.13 </w:t>
      </w:r>
      <w:bookmarkEnd w:id="156"/>
      <w:r w:rsidRPr="00415339">
        <w:rPr>
          <w:color w:val="auto"/>
          <w:sz w:val="28"/>
          <w:szCs w:val="28"/>
        </w:rPr>
        <w:t>Nominally Over Equipped Connection Sites</w:t>
      </w:r>
      <w:bookmarkEnd w:id="157"/>
    </w:p>
    <w:p w14:paraId="085027DD" w14:textId="77777777" w:rsidR="00225419" w:rsidRDefault="00225419"/>
    <w:p w14:paraId="0615FBB7" w14:textId="2EA71EEC" w:rsidR="00225419" w:rsidRDefault="18569871" w:rsidP="0537B9E0">
      <w:pPr>
        <w:pStyle w:val="1"/>
        <w:numPr>
          <w:ilvl w:val="0"/>
          <w:numId w:val="45"/>
        </w:numPr>
        <w:jc w:val="both"/>
      </w:pPr>
      <w:r>
        <w:t>This chapter outlines examples of ways in which a connection site can be considered as having connection assets that exceed the strict, theoretical needs of the individual Users at the connection site</w:t>
      </w:r>
      <w:r w:rsidR="5AB30E76">
        <w:t xml:space="preserve">. </w:t>
      </w:r>
      <w:r>
        <w:t>These can be described as:</w:t>
      </w:r>
    </w:p>
    <w:p w14:paraId="14665853" w14:textId="77777777" w:rsidR="00225419" w:rsidRDefault="00225419">
      <w:pPr>
        <w:tabs>
          <w:tab w:val="left" w:pos="540"/>
          <w:tab w:val="left" w:pos="900"/>
          <w:tab w:val="right" w:pos="8910"/>
        </w:tabs>
        <w:jc w:val="both"/>
      </w:pPr>
    </w:p>
    <w:p w14:paraId="35572E83" w14:textId="77777777" w:rsidR="00225419" w:rsidRDefault="00225419">
      <w:pPr>
        <w:pStyle w:val="Heading2"/>
        <w:jc w:val="both"/>
      </w:pPr>
      <w:bookmarkStart w:id="158" w:name="_Toc44315467"/>
      <w:bookmarkStart w:id="159" w:name="_Toc220918048"/>
      <w:r>
        <w:t>Historical</w:t>
      </w:r>
      <w:bookmarkEnd w:id="158"/>
      <w:bookmarkEnd w:id="159"/>
    </w:p>
    <w:p w14:paraId="6CA02091" w14:textId="77777777" w:rsidR="00225419" w:rsidRDefault="00225419">
      <w:pPr>
        <w:tabs>
          <w:tab w:val="left" w:pos="540"/>
          <w:tab w:val="left" w:pos="900"/>
          <w:tab w:val="right" w:pos="8910"/>
        </w:tabs>
        <w:jc w:val="both"/>
      </w:pPr>
    </w:p>
    <w:p w14:paraId="560E57BB" w14:textId="51525D22" w:rsidR="00225419" w:rsidRDefault="18569871" w:rsidP="0537B9E0">
      <w:pPr>
        <w:pStyle w:val="1"/>
        <w:numPr>
          <w:ilvl w:val="0"/>
          <w:numId w:val="45"/>
        </w:numPr>
        <w:jc w:val="both"/>
      </w:pPr>
      <w:r>
        <w:t>This is where the connection assets at the connection site were installed to meet a requirement of the Users for connection capacity that no longer exists</w:t>
      </w:r>
      <w:r w:rsidR="3B1DE67C">
        <w:t xml:space="preserve">. </w:t>
      </w:r>
      <w:r>
        <w:t>An example would be where a User, at one time, had a requirement for, say, 270 MW. This would allocate three 240 MVA 400/132kV transformers to the User</w:t>
      </w:r>
      <w:r w:rsidR="4D34C39D">
        <w:t xml:space="preserve">. </w:t>
      </w:r>
      <w:r>
        <w:t>Due to reconfiguration of that User’s network only 200 MW is now required from the connection site. The lower requirement would only allocate two transformers, but all the transformers are kept in service</w:t>
      </w:r>
      <w:r w:rsidR="36D28062">
        <w:t xml:space="preserve">. </w:t>
      </w:r>
      <w:r>
        <w:t xml:space="preserve">The connection assets will continue to be assigned to the User’s connection, and charged for as connection, until the User makes a Modification Application to reduce the historical requirement. In some </w:t>
      </w:r>
      <w:r w:rsidR="40A83774">
        <w:t>cases,</w:t>
      </w:r>
      <w:r>
        <w:t xml:space="preserve"> the Modified requirement will mean that Termination</w:t>
      </w:r>
      <w:r w:rsidR="00225419">
        <w:fldChar w:fldCharType="begin"/>
      </w:r>
      <w:r w:rsidR="00225419">
        <w:instrText>xe "Termination"</w:instrText>
      </w:r>
      <w:r w:rsidR="00225419">
        <w:fldChar w:fldCharType="end"/>
      </w:r>
      <w:r>
        <w:t xml:space="preserve"> Payments will have to be made on some connection assets.</w:t>
      </w:r>
    </w:p>
    <w:p w14:paraId="7F4880EA" w14:textId="77777777" w:rsidR="00225419" w:rsidRDefault="00225419">
      <w:pPr>
        <w:pStyle w:val="1"/>
        <w:tabs>
          <w:tab w:val="left" w:pos="-1440"/>
        </w:tabs>
      </w:pPr>
    </w:p>
    <w:p w14:paraId="1B868500" w14:textId="77777777" w:rsidR="00225419" w:rsidRDefault="00225419">
      <w:pPr>
        <w:pStyle w:val="1"/>
        <w:tabs>
          <w:tab w:val="left" w:pos="-1440"/>
        </w:tabs>
      </w:pPr>
    </w:p>
    <w:p w14:paraId="12A90B5F" w14:textId="77777777" w:rsidR="00225419" w:rsidRDefault="00225419">
      <w:pPr>
        <w:pStyle w:val="Heading2"/>
        <w:jc w:val="both"/>
      </w:pPr>
      <w:bookmarkStart w:id="160" w:name="_Toc44315469"/>
      <w:bookmarkStart w:id="161" w:name="_Toc220918049"/>
      <w:r>
        <w:t>Early Construction</w:t>
      </w:r>
      <w:bookmarkEnd w:id="160"/>
      <w:bookmarkEnd w:id="161"/>
    </w:p>
    <w:p w14:paraId="7A260217" w14:textId="77777777" w:rsidR="00225419" w:rsidRDefault="00225419">
      <w:pPr>
        <w:tabs>
          <w:tab w:val="left" w:pos="540"/>
          <w:tab w:val="left" w:pos="900"/>
          <w:tab w:val="right" w:pos="8910"/>
        </w:tabs>
        <w:jc w:val="both"/>
      </w:pPr>
    </w:p>
    <w:p w14:paraId="1F2B309B" w14:textId="07289926" w:rsidR="00225419" w:rsidRDefault="18569871" w:rsidP="0537B9E0">
      <w:pPr>
        <w:pStyle w:val="1"/>
        <w:numPr>
          <w:ilvl w:val="0"/>
          <w:numId w:val="45"/>
        </w:numPr>
        <w:jc w:val="both"/>
      </w:pPr>
      <w:r>
        <w:t>If a User has a multi-phase project, it may be necessary to install connection assets for the latter phases at the time of the first phase</w:t>
      </w:r>
      <w:r w:rsidR="6E7B7632">
        <w:t xml:space="preserve">. </w:t>
      </w:r>
      <w:r>
        <w:t>These connection assets could be charged from the first phase charging date.</w:t>
      </w:r>
    </w:p>
    <w:p w14:paraId="56F474B6" w14:textId="77777777" w:rsidR="00225419" w:rsidRDefault="00225419">
      <w:pPr>
        <w:pStyle w:val="Heading2"/>
        <w:jc w:val="both"/>
      </w:pPr>
      <w:bookmarkStart w:id="162" w:name="_Toc44315470"/>
    </w:p>
    <w:p w14:paraId="7B2E521D" w14:textId="77777777" w:rsidR="00225419" w:rsidRDefault="00225419"/>
    <w:p w14:paraId="3B11273C" w14:textId="77777777" w:rsidR="00225419" w:rsidRDefault="00225419">
      <w:pPr>
        <w:pStyle w:val="Heading2"/>
        <w:jc w:val="both"/>
      </w:pPr>
      <w:bookmarkStart w:id="163" w:name="_Toc220918050"/>
      <w:r>
        <w:t>Connection site Specific Technical or Economic Conditions</w:t>
      </w:r>
      <w:bookmarkEnd w:id="162"/>
      <w:bookmarkEnd w:id="163"/>
      <w:r>
        <w:t xml:space="preserve"> </w:t>
      </w:r>
    </w:p>
    <w:p w14:paraId="1C1AF6A6" w14:textId="77777777" w:rsidR="00225419" w:rsidRDefault="00225419">
      <w:pPr>
        <w:tabs>
          <w:tab w:val="left" w:pos="540"/>
          <w:tab w:val="left" w:pos="900"/>
          <w:tab w:val="right" w:pos="8910"/>
        </w:tabs>
        <w:jc w:val="both"/>
      </w:pPr>
    </w:p>
    <w:p w14:paraId="51750D94"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1296C75A" w14:textId="77777777" w:rsidR="00225419" w:rsidRDefault="00225419">
      <w:pPr>
        <w:tabs>
          <w:tab w:val="left" w:pos="540"/>
          <w:tab w:val="left" w:pos="900"/>
          <w:tab w:val="right" w:pos="8910"/>
        </w:tabs>
        <w:jc w:val="both"/>
      </w:pPr>
    </w:p>
    <w:p w14:paraId="3D6A8057" w14:textId="57F7F576" w:rsidR="00225419" w:rsidRDefault="18569871" w:rsidP="0537B9E0">
      <w:pPr>
        <w:pStyle w:val="1"/>
        <w:numPr>
          <w:ilvl w:val="0"/>
          <w:numId w:val="45"/>
        </w:numPr>
        <w:jc w:val="both"/>
      </w:pPr>
      <w:r>
        <w:t xml:space="preserve">There may be cases where there are specific conditions such that the practicable minimum scheme at a site </w:t>
      </w:r>
      <w:bookmarkStart w:id="164" w:name="_Int_kMBpwaXx"/>
      <w:r>
        <w:t>has to</w:t>
      </w:r>
      <w:bookmarkEnd w:id="164"/>
      <w:r>
        <w:t xml:space="preserve"> be greater than the strict, theoretical interpretation of the standards</w:t>
      </w:r>
      <w:r w:rsidR="729040FE">
        <w:t xml:space="preserve">. </w:t>
      </w:r>
      <w:r>
        <w:t xml:space="preserve">In these </w:t>
      </w:r>
      <w:bookmarkStart w:id="165" w:name="_Int_5zw2ajBL"/>
      <w:r>
        <w:t>cases</w:t>
      </w:r>
      <w:bookmarkEnd w:id="165"/>
      <w:r>
        <w:t xml:space="preserve"> all assets will still be assigned to connection and connection charges levied.</w:t>
      </w:r>
    </w:p>
    <w:p w14:paraId="39CA6FBC" w14:textId="77777777" w:rsidR="00225419" w:rsidRDefault="00225419">
      <w:pPr>
        <w:pStyle w:val="1"/>
        <w:tabs>
          <w:tab w:val="left" w:pos="900"/>
          <w:tab w:val="right" w:pos="8910"/>
        </w:tabs>
        <w:jc w:val="both"/>
      </w:pPr>
    </w:p>
    <w:p w14:paraId="262D48E1"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251A174" w14:textId="77777777" w:rsidR="00225419" w:rsidRDefault="00225419">
      <w:pPr>
        <w:jc w:val="both"/>
      </w:pPr>
    </w:p>
    <w:p w14:paraId="00AB9E16" w14:textId="77777777" w:rsidR="00225419" w:rsidRDefault="00225419">
      <w:pPr>
        <w:pStyle w:val="1"/>
        <w:jc w:val="both"/>
      </w:pPr>
    </w:p>
    <w:p w14:paraId="52DC5548" w14:textId="77777777" w:rsidR="007633D6" w:rsidRDefault="007633D6">
      <w:pPr>
        <w:pStyle w:val="1"/>
        <w:jc w:val="both"/>
      </w:pPr>
    </w:p>
    <w:p w14:paraId="69C09A33" w14:textId="77777777" w:rsidR="007633D6" w:rsidRDefault="007633D6">
      <w:pPr>
        <w:pStyle w:val="1"/>
        <w:jc w:val="both"/>
      </w:pPr>
    </w:p>
    <w:p w14:paraId="1CE8832D" w14:textId="77777777" w:rsidR="00225419" w:rsidRPr="00395682" w:rsidRDefault="00225419">
      <w:pPr>
        <w:rPr>
          <w:strike/>
        </w:rPr>
      </w:pPr>
      <w:r w:rsidRPr="00395682">
        <w:rPr>
          <w:strike/>
        </w:rPr>
        <w:t xml:space="preserve"> </w:t>
      </w:r>
    </w:p>
    <w:p w14:paraId="1EFD175D" w14:textId="77777777" w:rsidR="006661FE" w:rsidRPr="002338F3" w:rsidRDefault="006661FE" w:rsidP="006661FE">
      <w:pPr>
        <w:pStyle w:val="Heading1"/>
        <w:jc w:val="center"/>
        <w:rPr>
          <w:color w:val="auto"/>
          <w:sz w:val="32"/>
          <w:szCs w:val="32"/>
        </w:rPr>
      </w:pPr>
      <w:bookmarkStart w:id="166" w:name="_Toc32201074"/>
      <w:bookmarkStart w:id="167" w:name="_Toc49661105"/>
      <w:bookmarkStart w:id="168" w:name="_Toc274049676"/>
      <w:r w:rsidRPr="002338F3">
        <w:rPr>
          <w:color w:val="auto"/>
          <w:sz w:val="32"/>
          <w:szCs w:val="32"/>
        </w:rPr>
        <w:lastRenderedPageBreak/>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166"/>
      <w:bookmarkEnd w:id="167"/>
      <w:bookmarkEnd w:id="168"/>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30B1A769" w14:textId="77777777" w:rsidR="00120AFD" w:rsidRDefault="000D680E" w:rsidP="000D680E">
      <w:pPr>
        <w:pStyle w:val="1"/>
        <w:numPr>
          <w:ilvl w:val="0"/>
          <w:numId w:val="46"/>
        </w:numPr>
        <w:tabs>
          <w:tab w:val="num" w:pos="720"/>
        </w:tabs>
        <w:ind w:left="1627"/>
        <w:rPr>
          <w:ins w:id="169" w:author="Stephen Dale (ESO)" w:date="2023-11-08T17:25:00Z"/>
        </w:rPr>
      </w:pPr>
      <w:ins w:id="170" w:author="Alex Aristodemou" w:date="2023-11-03T16:15:00Z">
        <w:r>
          <w:t xml:space="preserve">The </w:t>
        </w:r>
      </w:ins>
      <w:ins w:id="171" w:author="Craig Bell" w:date="2023-11-06T08:22:00Z">
        <w:r w:rsidR="00BA2313">
          <w:t xml:space="preserve">method for calculating the </w:t>
        </w:r>
      </w:ins>
      <w:ins w:id="172" w:author="Alex Aristodemou" w:date="2023-11-03T16:15:00Z">
        <w:r>
          <w:t xml:space="preserve">Allowed Revenue for each </w:t>
        </w:r>
        <w:r>
          <w:rPr>
            <w:b/>
            <w:bCs/>
          </w:rPr>
          <w:t>Transmission Owner</w:t>
        </w:r>
        <w:r>
          <w:t xml:space="preserve"> (as defined in their licence)</w:t>
        </w:r>
        <w:r>
          <w:fldChar w:fldCharType="begin"/>
        </w:r>
        <w:r>
          <w:instrText xml:space="preserve"> XE "Maximum Allowed Revenue" </w:instrText>
        </w:r>
        <w:r>
          <w:fldChar w:fldCharType="end"/>
        </w:r>
        <w:r>
          <w:t xml:space="preserve"> for these activities is agreed with the </w:t>
        </w:r>
        <w:r w:rsidRPr="00212696">
          <w:rPr>
            <w:b/>
            <w:bCs/>
          </w:rPr>
          <w:t>Authority</w:t>
        </w:r>
        <w:r>
          <w:t xml:space="preserve"> at the time of the </w:t>
        </w:r>
        <w:r w:rsidRPr="004033DD">
          <w:rPr>
            <w:b/>
            <w:bCs/>
          </w:rPr>
          <w:t>Transmission Owner</w:t>
        </w:r>
        <w:r>
          <w:rPr>
            <w:b/>
            <w:bCs/>
          </w:rPr>
          <w:t>’</w:t>
        </w:r>
        <w:r w:rsidRPr="004033DD">
          <w:rPr>
            <w:b/>
            <w:bCs/>
          </w:rPr>
          <w:t>s</w:t>
        </w:r>
        <w:r>
          <w:t xml:space="preserve"> price control review for the succeeding price control period. </w:t>
        </w:r>
      </w:ins>
    </w:p>
    <w:p w14:paraId="2A703E23" w14:textId="77777777" w:rsidR="00120AFD" w:rsidRDefault="00120AFD" w:rsidP="00B428B8">
      <w:pPr>
        <w:pStyle w:val="ListParagraph"/>
        <w:rPr>
          <w:ins w:id="173" w:author="Stephen Dale (ESO)" w:date="2023-11-08T17:25:00Z"/>
          <w:b/>
          <w:bCs/>
        </w:rPr>
      </w:pPr>
    </w:p>
    <w:p w14:paraId="3A1D5643" w14:textId="40239902" w:rsidR="000D680E" w:rsidRDefault="000D680E" w:rsidP="00B428B8">
      <w:pPr>
        <w:pStyle w:val="1"/>
        <w:tabs>
          <w:tab w:val="num" w:pos="720"/>
        </w:tabs>
        <w:ind w:left="1627"/>
        <w:rPr>
          <w:ins w:id="174" w:author="Alex Aristodemou" w:date="2023-11-03T16:15:00Z"/>
        </w:rPr>
      </w:pPr>
      <w:ins w:id="175" w:author="Alex Aristodemou" w:date="2023-11-03T16:15:00Z">
        <w:r w:rsidRPr="00212696">
          <w:rPr>
            <w:b/>
            <w:bCs/>
          </w:rPr>
          <w:t>Transmission Network Use of System Charges</w:t>
        </w:r>
        <w:r>
          <w:t xml:space="preserve"> are set to recover the Maximum Revenue, as defined in Special Condition 3.1 of </w:t>
        </w:r>
        <w:r>
          <w:rPr>
            <w:b/>
            <w:bCs/>
          </w:rPr>
          <w:t>The Company’s Transmission Licence</w:t>
        </w:r>
      </w:ins>
      <w:ins w:id="176" w:author="Craig Bell" w:date="2023-11-06T08:22:00Z">
        <w:r w:rsidR="00DC358B">
          <w:rPr>
            <w:b/>
            <w:bCs/>
          </w:rPr>
          <w:t xml:space="preserve"> </w:t>
        </w:r>
        <w:r w:rsidR="00DC358B" w:rsidRPr="00FD7918">
          <w:t xml:space="preserve">(a term that includes the Allowed Revenue of each </w:t>
        </w:r>
        <w:r w:rsidR="00DC358B">
          <w:rPr>
            <w:b/>
            <w:bCs/>
          </w:rPr>
          <w:t>Transmission Owner</w:t>
        </w:r>
        <w:r w:rsidR="00DC358B" w:rsidRPr="00FD7918">
          <w:t>)</w:t>
        </w:r>
      </w:ins>
      <w:ins w:id="177" w:author="Alex Aristodemou" w:date="2023-11-03T16:15:00Z">
        <w:r>
          <w:t>.</w:t>
        </w:r>
        <w:r>
          <w:br/>
        </w:r>
        <w:bookmarkStart w:id="178" w:name="_Hlk146714034"/>
      </w:ins>
    </w:p>
    <w:bookmarkEnd w:id="178"/>
    <w:p w14:paraId="47C6C0CF" w14:textId="789C1128" w:rsidR="006661FE" w:rsidDel="003B6D98" w:rsidRDefault="4DB720A2" w:rsidP="0537B9E0">
      <w:pPr>
        <w:pStyle w:val="1"/>
        <w:numPr>
          <w:ilvl w:val="0"/>
          <w:numId w:val="46"/>
        </w:numPr>
        <w:tabs>
          <w:tab w:val="num" w:pos="720"/>
        </w:tabs>
        <w:ind w:left="1627"/>
        <w:jc w:val="both"/>
        <w:rPr>
          <w:del w:id="179" w:author="Alex Aristodemou" w:date="2023-10-05T21:30:00Z"/>
        </w:rPr>
      </w:pPr>
      <w:del w:id="180" w:author="Alex Aristodemou" w:date="2023-10-05T21:30:00Z">
        <w:r w:rsidDel="003B6D98">
          <w:delText>A Maximum Allowed Revenue</w:delText>
        </w:r>
        <w:r w:rsidR="006661FE" w:rsidDel="003B6D98">
          <w:fldChar w:fldCharType="begin"/>
        </w:r>
        <w:r w:rsidR="006661FE" w:rsidDel="003B6D98">
          <w:delInstrText xml:space="preserve"> XE "Maximum Allowed Revenue" </w:delInstrText>
        </w:r>
        <w:r w:rsidR="006661FE" w:rsidDel="003B6D98">
          <w:fldChar w:fldCharType="end"/>
        </w:r>
        <w:r w:rsidDel="003B6D98">
          <w:delText xml:space="preserve"> (MAR) defined for these activities and those associated with pre-vesting connections is set by the Authority at the time of the Transmission Owners’ price control review for the succeeding price control period</w:delText>
        </w:r>
        <w:r w:rsidR="2F3FCD97" w:rsidDel="003B6D98">
          <w:delText xml:space="preserve">. </w:delText>
        </w:r>
        <w:r w:rsidDel="003B6D98">
          <w:delText>Transmission Network Use of System Charges are set to recover the Maximum Allowed Revenue as set by the Price Control (where necessary, allowing for any K</w:delText>
        </w:r>
        <w:r w:rsidRPr="0537B9E0" w:rsidDel="003B6D98">
          <w:rPr>
            <w:vertAlign w:val="subscript"/>
          </w:rPr>
          <w:delText>t</w:delText>
        </w:r>
        <w:r w:rsidDel="003B6D98">
          <w:delText xml:space="preserve"> adjustment for under or over recovery in a previous year net of the income recovered through pre-vesting connection charges).</w:delText>
        </w:r>
      </w:del>
    </w:p>
    <w:p w14:paraId="2EDFA017" w14:textId="77777777" w:rsidR="006661FE" w:rsidRDefault="006661FE" w:rsidP="006661FE">
      <w:pPr>
        <w:pStyle w:val="1"/>
        <w:jc w:val="both"/>
      </w:pPr>
    </w:p>
    <w:p w14:paraId="540D527E" w14:textId="67621E21" w:rsidR="006661FE" w:rsidRDefault="4DB720A2" w:rsidP="35F371ED">
      <w:pPr>
        <w:pStyle w:val="1"/>
        <w:numPr>
          <w:ilvl w:val="0"/>
          <w:numId w:val="46"/>
        </w:numPr>
        <w:tabs>
          <w:tab w:val="num" w:pos="720"/>
        </w:tabs>
        <w:ind w:left="1627"/>
        <w:jc w:val="both"/>
      </w:pPr>
      <w:r>
        <w:t>The basis of charging to recover the allowed revenue is the Investment Cost Related Pricing (ICRP</w:t>
      </w:r>
      <w:r w:rsidR="006661FE">
        <w:fldChar w:fldCharType="begin"/>
      </w:r>
      <w:r w:rsidR="006661FE">
        <w:instrText xml:space="preserve"> XE "ICRP" </w:instrText>
      </w:r>
      <w:r w:rsidR="006661FE">
        <w:fldChar w:fldCharType="end"/>
      </w:r>
      <w:r>
        <w:t xml:space="preserve">) methodology, which was initially introduced by </w:t>
      </w:r>
      <w:r w:rsidR="58867969" w:rsidRPr="0537B9E0">
        <w:rPr>
          <w:b/>
          <w:bCs/>
        </w:rPr>
        <w:t xml:space="preserve">The </w:t>
      </w:r>
      <w:r w:rsidRPr="0537B9E0">
        <w:rPr>
          <w:b/>
          <w:bCs/>
        </w:rPr>
        <w:t>Company</w:t>
      </w:r>
      <w:r>
        <w:t xml:space="preserve"> in 1993/94 for England and Wales</w:t>
      </w:r>
      <w:r w:rsidR="376C9176">
        <w:t xml:space="preserve">. </w:t>
      </w:r>
      <w:r>
        <w:t xml:space="preserve">The principles and methods underlying the ICRP methodology were set out in </w:t>
      </w:r>
      <w:r w:rsidR="58867969" w:rsidRPr="0537B9E0">
        <w:rPr>
          <w:b/>
          <w:bCs/>
        </w:rPr>
        <w:t xml:space="preserve">The </w:t>
      </w:r>
      <w:r w:rsidRPr="0537B9E0">
        <w:rPr>
          <w:b/>
          <w:bCs/>
        </w:rPr>
        <w:t>Company</w:t>
      </w:r>
      <w:r>
        <w:t xml:space="preserve"> document "</w:t>
      </w:r>
      <w:r w:rsidRPr="0537B9E0">
        <w:rPr>
          <w:b/>
          <w:bCs/>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401DC44A" w:rsidR="006661FE" w:rsidRPr="002338F3" w:rsidRDefault="4DB720A2" w:rsidP="35F371ED">
      <w:pPr>
        <w:numPr>
          <w:ilvl w:val="0"/>
          <w:numId w:val="46"/>
        </w:numPr>
        <w:tabs>
          <w:tab w:val="num" w:pos="720"/>
        </w:tabs>
        <w:ind w:left="1627"/>
        <w:rPr>
          <w:rFonts w:ascii="Arial" w:hAnsi="Arial" w:cs="Arial"/>
          <w:sz w:val="22"/>
          <w:szCs w:val="22"/>
        </w:rPr>
      </w:pPr>
      <w:r w:rsidRPr="0537B9E0">
        <w:rPr>
          <w:rFonts w:ascii="Arial" w:hAnsi="Arial" w:cs="Arial"/>
          <w:sz w:val="22"/>
          <w:szCs w:val="22"/>
        </w:rPr>
        <w:t xml:space="preserve">In December 2003, </w:t>
      </w:r>
      <w:r w:rsidR="58867969" w:rsidRPr="0537B9E0">
        <w:rPr>
          <w:rFonts w:ascii="Arial" w:hAnsi="Arial" w:cs="Arial"/>
          <w:b/>
          <w:bCs/>
          <w:sz w:val="22"/>
          <w:szCs w:val="22"/>
        </w:rPr>
        <w:t>The Company</w:t>
      </w:r>
      <w:r w:rsidRPr="0537B9E0">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58867969" w:rsidRPr="0537B9E0">
        <w:rPr>
          <w:rFonts w:ascii="Arial" w:hAnsi="Arial" w:cs="Arial"/>
          <w:b/>
          <w:bCs/>
          <w:sz w:val="22"/>
          <w:szCs w:val="22"/>
        </w:rPr>
        <w:t>The Company</w:t>
      </w:r>
      <w:r w:rsidRPr="0537B9E0">
        <w:rPr>
          <w:rFonts w:ascii="Arial" w:hAnsi="Arial" w:cs="Arial"/>
          <w:sz w:val="22"/>
          <w:szCs w:val="22"/>
        </w:rPr>
        <w:t xml:space="preserve"> in May 2004 proposed two options for a GB charging methodology with a Final Methodologies consultation published in August 2004 detailing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response to the </w:t>
      </w:r>
      <w:r w:rsidR="0785C1B1" w:rsidRPr="0537B9E0">
        <w:rPr>
          <w:rFonts w:ascii="Arial" w:hAnsi="Arial" w:cs="Arial"/>
          <w:sz w:val="22"/>
          <w:szCs w:val="22"/>
        </w:rPr>
        <w:t>industry</w:t>
      </w:r>
      <w:r w:rsidRPr="0537B9E0">
        <w:rPr>
          <w:rFonts w:ascii="Arial" w:hAnsi="Arial" w:cs="Arial"/>
          <w:sz w:val="22"/>
          <w:szCs w:val="22"/>
        </w:rPr>
        <w:t xml:space="preserve"> with a recommendation for the GB charging methodology. In December 2004, </w:t>
      </w:r>
      <w:r w:rsidR="58867969" w:rsidRPr="0537B9E0">
        <w:rPr>
          <w:rFonts w:ascii="Arial" w:hAnsi="Arial" w:cs="Arial"/>
          <w:b/>
          <w:bCs/>
          <w:sz w:val="22"/>
          <w:szCs w:val="22"/>
        </w:rPr>
        <w:t>The Company</w:t>
      </w:r>
      <w:r w:rsidRPr="0537B9E0">
        <w:rPr>
          <w:rFonts w:ascii="Arial" w:hAnsi="Arial" w:cs="Arial"/>
          <w:sz w:val="22"/>
          <w:szCs w:val="22"/>
        </w:rPr>
        <w:t xml:space="preserve"> published a Revised Proposals consultation in response to the Authority’s invitation for further review on certain areas in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recommended GB charging methodology. </w:t>
      </w:r>
    </w:p>
    <w:p w14:paraId="10EDF308" w14:textId="77777777" w:rsidR="006661FE" w:rsidRDefault="006661FE" w:rsidP="006661FE">
      <w:pPr>
        <w:pStyle w:val="1"/>
        <w:jc w:val="both"/>
      </w:pPr>
    </w:p>
    <w:p w14:paraId="139131F5" w14:textId="5134B37B" w:rsidR="006661FE" w:rsidRDefault="4DB720A2" w:rsidP="00533333">
      <w:pPr>
        <w:pStyle w:val="1"/>
        <w:numPr>
          <w:ilvl w:val="0"/>
          <w:numId w:val="81"/>
        </w:numPr>
        <w:jc w:val="both"/>
      </w:pPr>
      <w:r>
        <w:t xml:space="preserve">In </w:t>
      </w:r>
      <w:bookmarkStart w:id="181" w:name="_Int_K0by3BFj"/>
      <w:r>
        <w:t>April 2004</w:t>
      </w:r>
      <w:bookmarkEnd w:id="181"/>
      <w:r>
        <w:t xml:space="preserve"> </w:t>
      </w:r>
      <w:bookmarkStart w:id="182" w:name="_Int_Patcmq2R"/>
      <w:r w:rsidR="58867969" w:rsidRPr="0537B9E0">
        <w:rPr>
          <w:b/>
          <w:bCs/>
        </w:rPr>
        <w:t>The</w:t>
      </w:r>
      <w:bookmarkEnd w:id="182"/>
      <w:r w:rsidRPr="0537B9E0">
        <w:rPr>
          <w:b/>
          <w:bCs/>
        </w:rPr>
        <w:t xml:space="preserve"> Company</w:t>
      </w:r>
      <w:r>
        <w:t xml:space="preserve"> introduced a DC Loadflow (DCLF) ICRP based transport model for the England and Wales charging methodology. The DCLF model has been extended to incorporate Scottish network data with existing </w:t>
      </w:r>
      <w:r>
        <w:lastRenderedPageBreak/>
        <w:t xml:space="preserve">England and Wales network data to form the GB network in the model. In April 2005, the GB charging methodology implemented </w:t>
      </w:r>
      <w:r w:rsidR="2D673021">
        <w:t>certain proposals</w:t>
      </w:r>
      <w:r w:rsidR="30BB5986">
        <w:t xml:space="preserve"> which have been further expanded so that the </w:t>
      </w:r>
      <w:r w:rsidR="50642D34">
        <w:t>model now includes</w:t>
      </w:r>
      <w:r w:rsidR="4323B8BA">
        <w:t xml:space="preserve"> the following</w:t>
      </w:r>
      <w:r>
        <w:t>:</w:t>
      </w:r>
    </w:p>
    <w:p w14:paraId="44363262" w14:textId="77777777" w:rsidR="006661FE" w:rsidRDefault="006661FE" w:rsidP="006661FE">
      <w:pPr>
        <w:pStyle w:val="1"/>
        <w:jc w:val="both"/>
      </w:pPr>
    </w:p>
    <w:p w14:paraId="6E37C426" w14:textId="77777777" w:rsidR="006661FE" w:rsidRDefault="006661FE" w:rsidP="00533333">
      <w:pPr>
        <w:pStyle w:val="1"/>
        <w:numPr>
          <w:ilvl w:val="0"/>
          <w:numId w:val="64"/>
        </w:numPr>
        <w:tabs>
          <w:tab w:val="clear" w:pos="1440"/>
        </w:tabs>
        <w:ind w:left="2160"/>
        <w:jc w:val="both"/>
      </w:pPr>
      <w:r>
        <w:t>The application of multi-voltage circuit expansion factors with a forward-looking Expansion Constant that does not include substation costs in its derivation.</w:t>
      </w:r>
    </w:p>
    <w:p w14:paraId="6C6CCAE1" w14:textId="77777777" w:rsidR="006661FE" w:rsidRDefault="006661FE" w:rsidP="006661FE">
      <w:pPr>
        <w:pStyle w:val="1"/>
        <w:jc w:val="both"/>
      </w:pPr>
    </w:p>
    <w:p w14:paraId="24B01B4B" w14:textId="77777777" w:rsidR="006661FE" w:rsidRDefault="006661FE" w:rsidP="00533333">
      <w:pPr>
        <w:pStyle w:val="1"/>
        <w:numPr>
          <w:ilvl w:val="0"/>
          <w:numId w:val="64"/>
        </w:numPr>
        <w:tabs>
          <w:tab w:val="clear" w:pos="1440"/>
        </w:tabs>
        <w:ind w:left="2160"/>
        <w:jc w:val="both"/>
      </w:pPr>
      <w:r>
        <w:t>The application of locational security costs, by applying a multiplier to the Expansion Constant reflecting the difference in cost incurred on a secure network as opposed to an unsecured network.</w:t>
      </w:r>
    </w:p>
    <w:p w14:paraId="1313C1F9" w14:textId="77777777" w:rsidR="006661FE" w:rsidRDefault="006661FE" w:rsidP="006661FE">
      <w:pPr>
        <w:pStyle w:val="1"/>
        <w:jc w:val="both"/>
      </w:pPr>
    </w:p>
    <w:p w14:paraId="780529FF" w14:textId="557B390D" w:rsidR="006661FE" w:rsidRDefault="4DB720A2" w:rsidP="00533333">
      <w:pPr>
        <w:pStyle w:val="1"/>
        <w:numPr>
          <w:ilvl w:val="0"/>
          <w:numId w:val="64"/>
        </w:numPr>
        <w:tabs>
          <w:tab w:val="clear" w:pos="1440"/>
        </w:tabs>
        <w:ind w:left="2160"/>
        <w:jc w:val="both"/>
      </w:pPr>
      <w:bookmarkStart w:id="183" w:name="OLE_LINK3"/>
      <w:r>
        <w:t>The application of a de-minimus level demand charge of £0/kW for Half Hourly and £0/kWh for Non</w:t>
      </w:r>
      <w:r w:rsidR="31229BBB">
        <w:t>-</w:t>
      </w:r>
      <w:r>
        <w:t xml:space="preserve">Half Hourly metered demand </w:t>
      </w:r>
      <w:r w:rsidR="78F4669F">
        <w:t xml:space="preserve">and £0/KWh for </w:t>
      </w:r>
      <w:r w:rsidR="59F88079" w:rsidRPr="0537B9E0">
        <w:rPr>
          <w:b/>
          <w:bCs/>
        </w:rPr>
        <w:t>Unmetered</w:t>
      </w:r>
      <w:r w:rsidR="4B946A4D" w:rsidRPr="0537B9E0">
        <w:rPr>
          <w:b/>
          <w:bCs/>
        </w:rPr>
        <w:t xml:space="preserve"> Supplies</w:t>
      </w:r>
      <w:r w:rsidR="5780CB59">
        <w:t xml:space="preserve"> and £0</w:t>
      </w:r>
      <w:r w:rsidR="10E1950E">
        <w:t>/site</w:t>
      </w:r>
      <w:r w:rsidR="57B64CB0">
        <w:t xml:space="preserve">/day for </w:t>
      </w:r>
      <w:r w:rsidR="57B64CB0" w:rsidRPr="0537B9E0">
        <w:rPr>
          <w:b/>
          <w:bCs/>
        </w:rPr>
        <w:t>Tr</w:t>
      </w:r>
      <w:r w:rsidR="1DE3DDE4" w:rsidRPr="0537B9E0">
        <w:rPr>
          <w:b/>
          <w:bCs/>
        </w:rPr>
        <w:t>ansmission</w:t>
      </w:r>
      <w:r w:rsidR="0C52CFD0" w:rsidRPr="0537B9E0">
        <w:rPr>
          <w:b/>
          <w:bCs/>
        </w:rPr>
        <w:t xml:space="preserve"> Demand Residu</w:t>
      </w:r>
      <w:r w:rsidR="3A98709C" w:rsidRPr="0537B9E0">
        <w:rPr>
          <w:b/>
          <w:bCs/>
        </w:rPr>
        <w:t>al</w:t>
      </w:r>
      <w:r w:rsidR="3A98709C">
        <w:t xml:space="preserve"> </w:t>
      </w:r>
      <w:r w:rsidR="3A98709C" w:rsidRPr="0537B9E0">
        <w:rPr>
          <w:b/>
          <w:bCs/>
        </w:rPr>
        <w:t>Ta</w:t>
      </w:r>
      <w:r w:rsidR="1DF67C01" w:rsidRPr="0537B9E0">
        <w:rPr>
          <w:b/>
          <w:bCs/>
        </w:rPr>
        <w:t>ri</w:t>
      </w:r>
      <w:r w:rsidR="39CDF57F" w:rsidRPr="0537B9E0">
        <w:rPr>
          <w:b/>
          <w:bCs/>
        </w:rPr>
        <w:t>f</w:t>
      </w:r>
      <w:r w:rsidR="1DF67C01" w:rsidRPr="0537B9E0">
        <w:rPr>
          <w:b/>
          <w:bCs/>
        </w:rPr>
        <w:t>fs</w:t>
      </w:r>
      <w:r w:rsidR="47187030">
        <w:t xml:space="preserve">, </w:t>
      </w:r>
      <w:r>
        <w:t xml:space="preserve">to avoid </w:t>
      </w:r>
      <w:r w:rsidR="20D2EC11">
        <w:t>the application</w:t>
      </w:r>
      <w:r w:rsidR="7DE3F5A7">
        <w:t xml:space="preserve"> </w:t>
      </w:r>
      <w:r>
        <w:t xml:space="preserve">of negative demand </w:t>
      </w:r>
      <w:r w:rsidR="39CDF57F">
        <w:t>charges</w:t>
      </w:r>
      <w:r>
        <w:t>.</w:t>
      </w:r>
      <w:bookmarkEnd w:id="183"/>
    </w:p>
    <w:p w14:paraId="792912D8" w14:textId="77777777" w:rsidR="006661FE" w:rsidRDefault="006661FE" w:rsidP="006661FE">
      <w:pPr>
        <w:pStyle w:val="1"/>
        <w:jc w:val="both"/>
      </w:pPr>
    </w:p>
    <w:p w14:paraId="37C4E85F" w14:textId="77777777" w:rsidR="006661FE" w:rsidRDefault="006661FE" w:rsidP="00533333">
      <w:pPr>
        <w:pStyle w:val="1"/>
        <w:numPr>
          <w:ilvl w:val="0"/>
          <w:numId w:val="64"/>
        </w:numPr>
        <w:tabs>
          <w:tab w:val="clear" w:pos="1440"/>
        </w:tabs>
        <w:ind w:left="2160"/>
        <w:jc w:val="both"/>
      </w:pPr>
      <w:r>
        <w:t>The application of 132kV expansion factor on a Transmission Owner basis reflecting the regional variations in network upgrade plans.</w:t>
      </w:r>
    </w:p>
    <w:p w14:paraId="181360C0" w14:textId="77777777" w:rsidR="001A585C" w:rsidRDefault="001A585C" w:rsidP="006C1394">
      <w:pPr>
        <w:pStyle w:val="ListParagraph"/>
      </w:pPr>
    </w:p>
    <w:p w14:paraId="3A73703B" w14:textId="0FAE7977" w:rsidR="001A585C" w:rsidRDefault="1CE92958" w:rsidP="00533333">
      <w:pPr>
        <w:pStyle w:val="1"/>
        <w:numPr>
          <w:ilvl w:val="0"/>
          <w:numId w:val="64"/>
        </w:numPr>
        <w:tabs>
          <w:tab w:val="clear" w:pos="1440"/>
        </w:tabs>
        <w:ind w:left="2160"/>
        <w:jc w:val="both"/>
      </w:pPr>
      <w:r w:rsidRPr="00C94D4B">
        <w:rPr>
          <w:b/>
        </w:rPr>
        <w:t>The</w:t>
      </w:r>
      <w:r w:rsidR="006C1394" w:rsidRPr="00C94D4B">
        <w:rPr>
          <w:b/>
        </w:rPr>
        <w:t xml:space="preserve"> Company </w:t>
      </w:r>
      <w:r w:rsidR="006C1394">
        <w:t xml:space="preserve">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7749E3">
        <w:t xml:space="preserve">the </w:t>
      </w:r>
      <w:r w:rsidR="007749E3" w:rsidRPr="00741921">
        <w:rPr>
          <w:b/>
          <w:bCs/>
        </w:rPr>
        <w:t>Transmission Demand Residual Tariffs</w:t>
      </w:r>
      <w:r w:rsidR="006C1394">
        <w:t>.</w:t>
      </w:r>
    </w:p>
    <w:p w14:paraId="79A55009" w14:textId="77777777" w:rsidR="006C1394" w:rsidRDefault="006C1394" w:rsidP="006C1394">
      <w:pPr>
        <w:pStyle w:val="ListParagraph"/>
      </w:pPr>
    </w:p>
    <w:p w14:paraId="55FC69D8" w14:textId="75E6F01C" w:rsidR="006C1394" w:rsidRDefault="7495F18B" w:rsidP="00533333">
      <w:pPr>
        <w:pStyle w:val="1"/>
        <w:numPr>
          <w:ilvl w:val="0"/>
          <w:numId w:val="64"/>
        </w:numPr>
        <w:tabs>
          <w:tab w:val="clear" w:pos="1440"/>
        </w:tabs>
        <w:ind w:left="2160"/>
        <w:jc w:val="both"/>
      </w:pPr>
      <w:r>
        <w:t>To</w:t>
      </w:r>
      <w:r w:rsidR="7F47B50A">
        <w:t xml:space="preserve"> compliance with the Limiting Regulation in the context of setting limits on the annual charges paid by generation </w:t>
      </w:r>
      <w:r w:rsidR="58867969" w:rsidRPr="0537B9E0">
        <w:rPr>
          <w:b/>
          <w:bCs/>
        </w:rPr>
        <w:t>The Company</w:t>
      </w:r>
      <w:r w:rsidR="7F47B50A" w:rsidRPr="0537B9E0">
        <w:rPr>
          <w:b/>
          <w:bCs/>
        </w:rPr>
        <w:t xml:space="preserve"> </w:t>
      </w:r>
      <w:r w:rsidR="7F47B50A">
        <w:t>will exclude Charges for Physical Assets Required for Connection when calculating the total amount to be recovered from Generators (GCharge (Forecast)).</w:t>
      </w:r>
    </w:p>
    <w:p w14:paraId="4F7577FB" w14:textId="77777777" w:rsidR="006C1394" w:rsidRDefault="006C1394" w:rsidP="006C1394">
      <w:pPr>
        <w:pStyle w:val="ListParagraph"/>
      </w:pPr>
    </w:p>
    <w:p w14:paraId="6888C354" w14:textId="626869F1" w:rsidR="006C1394" w:rsidRDefault="7F47B50A" w:rsidP="00533333">
      <w:pPr>
        <w:pStyle w:val="1"/>
        <w:numPr>
          <w:ilvl w:val="0"/>
          <w:numId w:val="64"/>
        </w:numPr>
        <w:tabs>
          <w:tab w:val="clear" w:pos="1440"/>
        </w:tabs>
        <w:ind w:left="2160"/>
        <w:jc w:val="both"/>
      </w:pPr>
      <w:r>
        <w:t xml:space="preserve">If having applied the exclusion of Charges for Physical Assets Required for Connection </w:t>
      </w:r>
      <w:bookmarkStart w:id="184" w:name="_Int_3qtJW4u3"/>
      <w:r w:rsidR="58867969" w:rsidRPr="0537B9E0">
        <w:rPr>
          <w:b/>
          <w:bCs/>
        </w:rPr>
        <w:t>The</w:t>
      </w:r>
      <w:bookmarkEnd w:id="184"/>
      <w:r w:rsidR="58867969" w:rsidRPr="0537B9E0">
        <w:rPr>
          <w:b/>
          <w:bCs/>
        </w:rPr>
        <w:t xml:space="preserve"> Company</w:t>
      </w:r>
      <w:r w:rsidRPr="0537B9E0">
        <w:rPr>
          <w:b/>
          <w:bCs/>
        </w:rPr>
        <w:t xml:space="preserve"> </w:t>
      </w:r>
      <w:r>
        <w:t>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61C7FCD" w:rsidR="006C1394" w:rsidRDefault="00341F2D" w:rsidP="00142062">
      <w:pPr>
        <w:pStyle w:val="1"/>
        <w:ind w:left="2160"/>
        <w:jc w:val="both"/>
      </w:pPr>
      <w:r>
        <w:t>a</w:t>
      </w:r>
      <w:r w:rsidR="006C1394">
        <w:t xml:space="preserve">.) The Adjustment Tariff will be applied if </w:t>
      </w:r>
      <w:r w:rsidR="1CE92958" w:rsidRPr="00C94D4B">
        <w:rPr>
          <w:b/>
        </w:rPr>
        <w:t>The Company</w:t>
      </w:r>
      <w:r w:rsidR="006C1394" w:rsidRPr="00C94D4B">
        <w:rPr>
          <w:b/>
        </w:rPr>
        <w:t xml:space="preserve"> </w:t>
      </w:r>
      <w:r w:rsidR="006C1394">
        <w:t>identifies that either:</w:t>
      </w:r>
    </w:p>
    <w:p w14:paraId="28BBC48F" w14:textId="77777777" w:rsidR="006C1394" w:rsidRDefault="006C1394" w:rsidP="00142062">
      <w:pPr>
        <w:pStyle w:val="1"/>
        <w:ind w:left="2835"/>
        <w:jc w:val="both"/>
      </w:pPr>
      <w:r>
        <w:t xml:space="preserve"> a. Annual average TNUoS charges payable by Generator Users will fall below €0/MWh</w:t>
      </w:r>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3E5FCE30" w:rsidR="006C1394" w:rsidRDefault="00341F2D" w:rsidP="006C1394">
      <w:pPr>
        <w:pStyle w:val="1"/>
        <w:ind w:left="2552" w:hanging="425"/>
        <w:jc w:val="both"/>
      </w:pPr>
      <w:r>
        <w:t>b</w:t>
      </w:r>
      <w:r w:rsidR="006C1394">
        <w:t>.) Where annual average TNUoS charges to Generators are positive under the GCharge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2C49E914" w:rsidR="006C1394" w:rsidRDefault="00341F2D" w:rsidP="00C94D4B">
      <w:pPr>
        <w:pStyle w:val="1"/>
        <w:ind w:left="2410" w:hanging="283"/>
        <w:jc w:val="both"/>
      </w:pPr>
      <w:r>
        <w:t xml:space="preserve">c) </w:t>
      </w:r>
      <w:r w:rsidR="006C1394">
        <w:t xml:space="preserve">Where annual average TNUoS charges to Generators are negative under the GCharge (Forecast) the Adjustment Revenue will be the </w:t>
      </w:r>
      <w:r w:rsidR="006C1394">
        <w:lastRenderedPageBreak/>
        <w:t>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361193EA" w:rsidR="006C1394" w:rsidRDefault="006C1394" w:rsidP="00C94D4B">
      <w:pPr>
        <w:pStyle w:val="1"/>
        <w:numPr>
          <w:ilvl w:val="0"/>
          <w:numId w:val="14"/>
        </w:numPr>
        <w:tabs>
          <w:tab w:val="clear" w:pos="1080"/>
          <w:tab w:val="num" w:pos="2835"/>
        </w:tabs>
        <w:ind w:left="2552" w:hanging="425"/>
        <w:jc w:val="both"/>
      </w:pPr>
      <w:r>
        <w:t>The total adjusted revenue expected to be recovered from Generators (AdjGenRev)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C94D4B">
      <w:pPr>
        <w:pStyle w:val="1"/>
        <w:numPr>
          <w:ilvl w:val="0"/>
          <w:numId w:val="14"/>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y = (1+ ErrorGenRev) / (1 - ErrorGO) -1</w:t>
      </w:r>
    </w:p>
    <w:p w14:paraId="19629410" w14:textId="77777777" w:rsidR="006C1394" w:rsidRDefault="006C1394" w:rsidP="000215F8">
      <w:pPr>
        <w:pStyle w:val="1"/>
        <w:ind w:left="2552" w:hanging="142"/>
        <w:jc w:val="both"/>
      </w:pPr>
    </w:p>
    <w:p w14:paraId="75D6DFC2" w14:textId="77777777" w:rsidR="00B135E3" w:rsidRDefault="006C1394" w:rsidP="00C94D4B">
      <w:pPr>
        <w:pStyle w:val="1"/>
        <w:numPr>
          <w:ilvl w:val="0"/>
          <w:numId w:val="14"/>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r w:rsidRPr="000215F8">
        <w:rPr>
          <w:b/>
        </w:rPr>
        <w:t>ErrorGenRev</w:t>
      </w:r>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r w:rsidRPr="000215F8">
        <w:rPr>
          <w:b/>
        </w:rPr>
        <w:t>ErrorGO</w:t>
      </w:r>
      <w:r>
        <w:t xml:space="preserve"> = the highest absolute percentage error in generation TWh outputs, from the past 5 full years (year t-6 to t-2 inclusive).</w:t>
      </w:r>
    </w:p>
    <w:p w14:paraId="4745B7D8" w14:textId="77777777" w:rsidR="00B135E3" w:rsidRDefault="00B135E3" w:rsidP="000215F8">
      <w:pPr>
        <w:pStyle w:val="1"/>
        <w:ind w:left="2694" w:hanging="142"/>
        <w:jc w:val="both"/>
      </w:pPr>
    </w:p>
    <w:p w14:paraId="58AABF72" w14:textId="7C75E4DF" w:rsidR="006C1394" w:rsidRDefault="58867969" w:rsidP="00C94D4B">
      <w:pPr>
        <w:pStyle w:val="1"/>
        <w:numPr>
          <w:ilvl w:val="0"/>
          <w:numId w:val="14"/>
        </w:numPr>
        <w:ind w:left="2694" w:hanging="567"/>
        <w:jc w:val="both"/>
      </w:pPr>
      <w:r w:rsidRPr="0537B9E0">
        <w:rPr>
          <w:b/>
          <w:bCs/>
        </w:rPr>
        <w:t>The</w:t>
      </w:r>
      <w:r w:rsidR="341F9F42" w:rsidRPr="0537B9E0">
        <w:rPr>
          <w:b/>
          <w:bCs/>
        </w:rPr>
        <w:t xml:space="preserve"> Company </w:t>
      </w:r>
      <w:r w:rsidR="341F9F42">
        <w:t xml:space="preserve">will use the latest OBR Forecast of £/€ exchange rate published prior to the </w:t>
      </w:r>
      <w:bookmarkStart w:id="185" w:name="_Int_MPTp3TJY"/>
      <w:r w:rsidR="341F9F42">
        <w:t>31</w:t>
      </w:r>
      <w:r w:rsidR="341F9F42" w:rsidRPr="0537B9E0">
        <w:rPr>
          <w:rFonts w:ascii="Arial" w:hAnsi="Arial"/>
          <w:vertAlign w:val="superscript"/>
        </w:rPr>
        <w:t>st</w:t>
      </w:r>
      <w:bookmarkEnd w:id="185"/>
      <w:r w:rsidR="341F9F42">
        <w:t xml:space="preserve"> October in the year preceding the relevant </w:t>
      </w:r>
      <w:r w:rsidR="17E170F1" w:rsidRPr="0537B9E0">
        <w:rPr>
          <w:b/>
          <w:bCs/>
        </w:rPr>
        <w:t>Financial Year</w:t>
      </w:r>
      <w:r w:rsidR="17E170F1">
        <w:t xml:space="preserve"> </w:t>
      </w:r>
      <w:r w:rsidR="341F9F42">
        <w:t>to convert average annual TNUoS charges payable by Generators in the GCharge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C94D4B">
      <w:pPr>
        <w:pStyle w:val="1"/>
        <w:numPr>
          <w:ilvl w:val="0"/>
          <w:numId w:val="14"/>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51DA2C42"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w:t>
      </w:r>
      <w:r w:rsidR="00341F2D">
        <w:t>f)</w:t>
      </w:r>
      <w:r>
        <w:t>.</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39E0B386"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w:t>
      </w:r>
      <w:r w:rsidR="00341F2D">
        <w:rPr>
          <w:rFonts w:ascii="Arial" w:hAnsi="Arial" w:cs="Arial"/>
          <w:sz w:val="22"/>
          <w:szCs w:val="22"/>
        </w:rPr>
        <w:t>f</w:t>
      </w:r>
      <w:r w:rsidRPr="000215F8">
        <w:rPr>
          <w:rFonts w:ascii="Arial" w:hAnsi="Arial" w:cs="Arial"/>
          <w:sz w:val="22"/>
          <w:szCs w:val="22"/>
        </w:rPr>
        <w:t>).</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r>
        <w:t xml:space="preserve">Where; </w:t>
      </w:r>
    </w:p>
    <w:p w14:paraId="0A0939FE" w14:textId="5F46AC51" w:rsidR="00B135E3" w:rsidRDefault="00B135E3" w:rsidP="000215F8">
      <w:pPr>
        <w:pStyle w:val="1"/>
        <w:ind w:firstLine="1276"/>
        <w:jc w:val="both"/>
      </w:pPr>
      <w:r>
        <w:t xml:space="preserve">    Cap</w:t>
      </w:r>
      <w:r>
        <w:rPr>
          <w:rFonts w:ascii="Arial" w:hAnsi="Arial"/>
          <w:vertAlign w:val="subscript"/>
        </w:rPr>
        <w:t>EC</w:t>
      </w:r>
      <w:r>
        <w:t xml:space="preserve"> </w:t>
      </w:r>
      <w:r w:rsidR="00142062">
        <w:t xml:space="preserve"> </w:t>
      </w:r>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r w:rsidR="00F20735">
        <w:rPr>
          <w:rFonts w:ascii="Arial" w:hAnsi="Arial"/>
        </w:rPr>
        <w:t>Cap</w:t>
      </w:r>
      <w:r w:rsidR="00F20735">
        <w:rPr>
          <w:rFonts w:ascii="Arial" w:hAnsi="Arial"/>
          <w:vertAlign w:val="subscript"/>
        </w:rPr>
        <w:t>EC</w:t>
      </w:r>
    </w:p>
    <w:p w14:paraId="3E2120F0" w14:textId="50C94CF7" w:rsidR="00B135E3" w:rsidRDefault="341F9F42" w:rsidP="0537B9E0">
      <w:pPr>
        <w:pStyle w:val="1"/>
        <w:ind w:left="2552" w:hanging="992"/>
        <w:jc w:val="both"/>
        <w:rPr>
          <w:b/>
          <w:bCs/>
        </w:rPr>
      </w:pPr>
      <w:r>
        <w:t xml:space="preserve"> GO</w:t>
      </w:r>
      <w:r w:rsidR="465D395B">
        <w:t xml:space="preserve">     </w:t>
      </w:r>
      <w:r>
        <w:t>= Forecast GB Generation Output for generation liable for Transmission charges (</w:t>
      </w:r>
      <w:bookmarkStart w:id="186" w:name="_Int_nHtJyKqR"/>
      <w:r>
        <w:t>i.e.</w:t>
      </w:r>
      <w:bookmarkEnd w:id="186"/>
      <w:r>
        <w:t xml:space="preserve"> energy injected into the transmission network in MWh) for the </w:t>
      </w:r>
      <w:r w:rsidR="17E170F1" w:rsidRPr="0537B9E0">
        <w:rPr>
          <w:b/>
          <w:bCs/>
        </w:rPr>
        <w:t>Financial Year</w:t>
      </w:r>
    </w:p>
    <w:p w14:paraId="17F96F62" w14:textId="2F506AA4" w:rsidR="00B135E3" w:rsidRDefault="341F9F42" w:rsidP="0537B9E0">
      <w:pPr>
        <w:pStyle w:val="1"/>
        <w:ind w:left="2552" w:hanging="1134"/>
        <w:jc w:val="both"/>
        <w:rPr>
          <w:b/>
          <w:bCs/>
        </w:rPr>
      </w:pPr>
      <w:r>
        <w:lastRenderedPageBreak/>
        <w:t xml:space="preserve"> ER </w:t>
      </w:r>
      <w:r w:rsidR="465D395B">
        <w:t xml:space="preserve">     </w:t>
      </w:r>
      <w:r>
        <w:t xml:space="preserve">= The latest OBR Forecast €/£ Exchange Rate published prior to the </w:t>
      </w:r>
      <w:bookmarkStart w:id="187" w:name="_Int_hVAvqiY9"/>
      <w:r>
        <w:t>31</w:t>
      </w:r>
      <w:r w:rsidR="671D01F3" w:rsidRPr="0537B9E0">
        <w:rPr>
          <w:rFonts w:ascii="Arial" w:hAnsi="Arial"/>
          <w:vertAlign w:val="superscript"/>
        </w:rPr>
        <w:t>st</w:t>
      </w:r>
      <w:bookmarkEnd w:id="187"/>
      <w:r w:rsidR="671D01F3" w:rsidRPr="0537B9E0">
        <w:rPr>
          <w:rFonts w:ascii="Arial" w:hAnsi="Arial"/>
        </w:rPr>
        <w:t xml:space="preserve"> </w:t>
      </w:r>
      <w:r>
        <w:t xml:space="preserve">October in the year preceding the relevant </w:t>
      </w:r>
      <w:r w:rsidR="17E170F1" w:rsidRPr="0537B9E0">
        <w:rPr>
          <w:b/>
          <w:bCs/>
        </w:rPr>
        <w:t>Financial Year</w:t>
      </w:r>
    </w:p>
    <w:p w14:paraId="5732AE0F" w14:textId="2B12D20E" w:rsidR="00142062" w:rsidRDefault="00142062" w:rsidP="00142062">
      <w:pPr>
        <w:pStyle w:val="1"/>
        <w:ind w:left="2552" w:hanging="1134"/>
        <w:jc w:val="both"/>
      </w:pPr>
      <w:r>
        <w:t xml:space="preserve">GCharge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r>
        <w:t xml:space="preserve">AdjRevenue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r>
        <w:t>AdjTariff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66F4D3B9" w:rsidR="006661FE" w:rsidRDefault="006661FE" w:rsidP="00C94D4B">
      <w:pPr>
        <w:pStyle w:val="1"/>
        <w:numPr>
          <w:ilvl w:val="0"/>
          <w:numId w:val="14"/>
        </w:numPr>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1CE92958" w:rsidRPr="35F371ED">
        <w:rPr>
          <w:b/>
          <w:bCs/>
        </w:rPr>
        <w:t xml:space="preserve">The </w:t>
      </w:r>
      <w:r w:rsidR="008F1087" w:rsidRPr="00840FA6">
        <w:rPr>
          <w:b/>
        </w:rPr>
        <w:t xml:space="preserve">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484D7B">
      <w:pPr>
        <w:pStyle w:val="1"/>
        <w:numPr>
          <w:ilvl w:val="0"/>
          <w:numId w:val="14"/>
        </w:numPr>
        <w:tabs>
          <w:tab w:val="clear" w:pos="1080"/>
          <w:tab w:val="num" w:pos="0"/>
        </w:tabs>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47B1B2D5" w:rsidR="006661FE" w:rsidRPr="002338F3" w:rsidRDefault="4DB720A2" w:rsidP="00533333">
      <w:pPr>
        <w:numPr>
          <w:ilvl w:val="0"/>
          <w:numId w:val="81"/>
        </w:numPr>
        <w:rPr>
          <w:rFonts w:ascii="Arial" w:hAnsi="Arial" w:cs="Arial"/>
          <w:sz w:val="22"/>
          <w:szCs w:val="22"/>
        </w:rPr>
      </w:pPr>
      <w:r w:rsidRPr="0537B9E0">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w:t>
      </w:r>
      <w:r w:rsidR="7FCED9D6" w:rsidRPr="0537B9E0">
        <w:rPr>
          <w:rFonts w:ascii="Arial" w:hAnsi="Arial" w:cs="Arial"/>
          <w:sz w:val="22"/>
          <w:szCs w:val="22"/>
        </w:rPr>
        <w:t xml:space="preserve">. </w:t>
      </w:r>
      <w:r w:rsidRPr="0537B9E0">
        <w:rPr>
          <w:rFonts w:ascii="Arial" w:hAnsi="Arial" w:cs="Arial"/>
          <w:sz w:val="22"/>
          <w:szCs w:val="22"/>
        </w:rPr>
        <w:t xml:space="preserve">Therefore, charges should reflect the impact that Users of the transmission system at </w:t>
      </w:r>
      <w:bookmarkStart w:id="188" w:name="_Int_DnJPpaDG"/>
      <w:r w:rsidRPr="0537B9E0">
        <w:rPr>
          <w:rFonts w:ascii="Arial" w:hAnsi="Arial" w:cs="Arial"/>
          <w:sz w:val="22"/>
          <w:szCs w:val="22"/>
        </w:rPr>
        <w:t>different locations</w:t>
      </w:r>
      <w:bookmarkEnd w:id="188"/>
      <w:r w:rsidRPr="0537B9E0">
        <w:rPr>
          <w:rFonts w:ascii="Arial" w:hAnsi="Arial" w:cs="Arial"/>
          <w:sz w:val="22"/>
          <w:szCs w:val="22"/>
        </w:rPr>
        <w:t xml:space="preserve"> would have on the Transmission Owner's costs, if they were to increase or decrease their use of the respective systems</w:t>
      </w:r>
      <w:r w:rsidR="5A3CEDCC" w:rsidRPr="0537B9E0">
        <w:rPr>
          <w:rFonts w:ascii="Arial" w:hAnsi="Arial" w:cs="Arial"/>
          <w:sz w:val="22"/>
          <w:szCs w:val="22"/>
        </w:rPr>
        <w:t xml:space="preserve">. </w:t>
      </w:r>
      <w:r w:rsidRPr="0537B9E0">
        <w:rPr>
          <w:rFonts w:ascii="Arial" w:hAnsi="Arial" w:cs="Arial"/>
          <w:sz w:val="22"/>
          <w:szCs w:val="22"/>
        </w:rPr>
        <w:t>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025963F0" w:rsidR="006661FE" w:rsidRPr="002338F3" w:rsidRDefault="4DB720A2" w:rsidP="006661FE">
      <w:pPr>
        <w:ind w:left="1440"/>
        <w:rPr>
          <w:rFonts w:ascii="Arial" w:hAnsi="Arial" w:cs="Arial"/>
          <w:sz w:val="22"/>
          <w:szCs w:val="22"/>
        </w:rPr>
      </w:pPr>
      <w:r w:rsidRPr="0537B9E0">
        <w:rPr>
          <w:rFonts w:ascii="Arial" w:hAnsi="Arial" w:cs="Arial"/>
          <w:sz w:val="22"/>
          <w:szCs w:val="22"/>
        </w:rPr>
        <w:t>The Transmission Licence</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"Transmission Licence" </w:instrText>
      </w:r>
      <w:r w:rsidR="006661FE" w:rsidRPr="0537B9E0">
        <w:rPr>
          <w:rFonts w:ascii="Arial" w:hAnsi="Arial" w:cs="Arial"/>
          <w:sz w:val="22"/>
          <w:szCs w:val="22"/>
        </w:rPr>
        <w:fldChar w:fldCharType="end"/>
      </w:r>
      <w:r w:rsidRPr="0537B9E0">
        <w:rPr>
          <w:rFonts w:ascii="Arial" w:hAnsi="Arial" w:cs="Arial"/>
          <w:sz w:val="22"/>
          <w:szCs w:val="22"/>
        </w:rPr>
        <w:t xml:space="preserve"> requires </w:t>
      </w:r>
      <w:r w:rsidR="58867969" w:rsidRPr="0537B9E0">
        <w:rPr>
          <w:rFonts w:ascii="Arial" w:hAnsi="Arial" w:cs="Arial"/>
          <w:b/>
          <w:bCs/>
          <w:sz w:val="22"/>
          <w:szCs w:val="22"/>
        </w:rPr>
        <w:t xml:space="preserve">The </w:t>
      </w:r>
      <w:r w:rsidRPr="0537B9E0">
        <w:rPr>
          <w:rFonts w:ascii="Arial" w:hAnsi="Arial" w:cs="Arial"/>
          <w:b/>
          <w:bCs/>
          <w:sz w:val="22"/>
          <w:szCs w:val="22"/>
        </w:rPr>
        <w:t xml:space="preserve">Company </w:t>
      </w:r>
      <w:r w:rsidRPr="0537B9E0">
        <w:rPr>
          <w:rFonts w:ascii="Arial" w:hAnsi="Arial" w:cs="Arial"/>
          <w:sz w:val="22"/>
          <w:szCs w:val="22"/>
        </w:rPr>
        <w:t xml:space="preserve">to operate the National Electricity Transmission System to specified standards. In </w:t>
      </w:r>
      <w:bookmarkStart w:id="189" w:name="_Int_wbv3ngMN"/>
      <w:r w:rsidRPr="0537B9E0">
        <w:rPr>
          <w:rFonts w:ascii="Arial" w:hAnsi="Arial" w:cs="Arial"/>
          <w:sz w:val="22"/>
          <w:szCs w:val="22"/>
        </w:rPr>
        <w:t>addition</w:t>
      </w:r>
      <w:bookmarkEnd w:id="189"/>
      <w:r w:rsidRPr="0537B9E0">
        <w:rPr>
          <w:rFonts w:ascii="Arial" w:hAnsi="Arial" w:cs="Arial"/>
          <w:sz w:val="22"/>
          <w:szCs w:val="22"/>
        </w:rPr>
        <w:t xml:space="preserve"> </w:t>
      </w:r>
      <w:r w:rsidR="58867969" w:rsidRPr="0537B9E0">
        <w:rPr>
          <w:rFonts w:ascii="Arial" w:hAnsi="Arial" w:cs="Arial"/>
          <w:b/>
          <w:bCs/>
          <w:sz w:val="22"/>
          <w:szCs w:val="22"/>
        </w:rPr>
        <w:t>The</w:t>
      </w:r>
      <w:r w:rsidRPr="0537B9E0">
        <w:rPr>
          <w:rFonts w:ascii="Arial" w:hAnsi="Arial" w:cs="Arial"/>
          <w:b/>
          <w:bCs/>
          <w:sz w:val="22"/>
          <w:szCs w:val="22"/>
        </w:rPr>
        <w:t xml:space="preserve"> Company </w:t>
      </w:r>
      <w:r w:rsidRPr="0537B9E0">
        <w:rPr>
          <w:rFonts w:ascii="Arial" w:hAnsi="Arial" w:cs="Arial"/>
          <w:sz w:val="22"/>
          <w:szCs w:val="22"/>
        </w:rPr>
        <w:t>with other transmission licensees are required to plan and develop the National Electricity Transmission System to meet these standards</w:t>
      </w:r>
      <w:r w:rsidR="432D3041" w:rsidRPr="0537B9E0">
        <w:rPr>
          <w:rFonts w:ascii="Arial" w:hAnsi="Arial" w:cs="Arial"/>
          <w:sz w:val="22"/>
          <w:szCs w:val="22"/>
        </w:rPr>
        <w:t xml:space="preserve">. </w:t>
      </w:r>
      <w:r w:rsidRPr="0537B9E0">
        <w:rPr>
          <w:rFonts w:ascii="Arial" w:hAnsi="Arial" w:cs="Arial"/>
          <w:sz w:val="22"/>
          <w:szCs w:val="22"/>
        </w:rPr>
        <w:t xml:space="preserve">These requirements mean that the system must conform to a particular Security Standard and capital investment requirements are </w:t>
      </w:r>
      <w:bookmarkStart w:id="190" w:name="_Int_F7vxyyqG"/>
      <w:r w:rsidRPr="0537B9E0">
        <w:rPr>
          <w:rFonts w:ascii="Arial" w:hAnsi="Arial" w:cs="Arial"/>
          <w:sz w:val="22"/>
          <w:szCs w:val="22"/>
        </w:rPr>
        <w:t>largely driven</w:t>
      </w:r>
      <w:bookmarkEnd w:id="190"/>
      <w:r w:rsidRPr="0537B9E0">
        <w:rPr>
          <w:rFonts w:ascii="Arial" w:hAnsi="Arial" w:cs="Arial"/>
          <w:sz w:val="22"/>
          <w:szCs w:val="22"/>
        </w:rPr>
        <w:t xml:space="preserve"> by the need to conform to </w:t>
      </w:r>
      <w:r w:rsidR="795A9C0C" w:rsidRPr="0537B9E0">
        <w:rPr>
          <w:rFonts w:ascii="Arial" w:hAnsi="Arial" w:cs="Arial"/>
          <w:sz w:val="22"/>
          <w:szCs w:val="22"/>
        </w:rPr>
        <w:t xml:space="preserve">both the deterministic and supporting cost benefit analysis aspects of </w:t>
      </w:r>
      <w:r w:rsidRPr="0537B9E0">
        <w:rPr>
          <w:rFonts w:ascii="Arial" w:hAnsi="Arial" w:cs="Arial"/>
          <w:sz w:val="22"/>
          <w:szCs w:val="22"/>
        </w:rPr>
        <w:t>this standard</w:t>
      </w:r>
      <w:r w:rsidR="11524991" w:rsidRPr="0537B9E0">
        <w:rPr>
          <w:rFonts w:ascii="Arial" w:hAnsi="Arial" w:cs="Arial"/>
          <w:sz w:val="22"/>
          <w:szCs w:val="22"/>
        </w:rPr>
        <w:t xml:space="preserve">. </w:t>
      </w:r>
      <w:r w:rsidRPr="0537B9E0">
        <w:rPr>
          <w:rFonts w:ascii="Arial" w:hAnsi="Arial" w:cs="Arial"/>
          <w:sz w:val="22"/>
          <w:szCs w:val="22"/>
        </w:rPr>
        <w:t>It is this obligation, which provides the underlying rationale for the ICRP</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"ICRP" </w:instrText>
      </w:r>
      <w:r w:rsidR="006661FE" w:rsidRPr="0537B9E0">
        <w:rPr>
          <w:rFonts w:ascii="Arial" w:hAnsi="Arial" w:cs="Arial"/>
          <w:sz w:val="22"/>
          <w:szCs w:val="22"/>
        </w:rPr>
        <w:fldChar w:fldCharType="end"/>
      </w:r>
      <w:r w:rsidRPr="0537B9E0">
        <w:rPr>
          <w:rFonts w:ascii="Arial" w:hAnsi="Arial" w:cs="Arial"/>
          <w:sz w:val="22"/>
          <w:szCs w:val="22"/>
        </w:rPr>
        <w:t xml:space="preserve"> approach, i.e. for any changes in generation and demand on the system,</w:t>
      </w:r>
      <w:r w:rsidR="0F70172D"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must ensure that it satisfies the requirements of the Security Standard</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"Security Standards" </w:instrText>
      </w:r>
      <w:r w:rsidR="006661FE" w:rsidRPr="0537B9E0">
        <w:rPr>
          <w:rFonts w:ascii="Arial" w:hAnsi="Arial" w:cs="Arial"/>
          <w:sz w:val="22"/>
          <w:szCs w:val="22"/>
        </w:rPr>
        <w:fldChar w:fldCharType="end"/>
      </w:r>
      <w:r w:rsidRPr="0537B9E0">
        <w:rPr>
          <w:rFonts w:ascii="Arial" w:hAnsi="Arial" w:cs="Arial"/>
          <w:sz w:val="22"/>
          <w:szCs w:val="22"/>
        </w:rPr>
        <w:t>.</w:t>
      </w:r>
    </w:p>
    <w:p w14:paraId="2CA48734" w14:textId="77777777" w:rsidR="006661FE" w:rsidRDefault="006661FE" w:rsidP="006661FE">
      <w:pPr>
        <w:pStyle w:val="1"/>
        <w:jc w:val="both"/>
      </w:pPr>
    </w:p>
    <w:p w14:paraId="3EE3926F" w14:textId="7591C194" w:rsidR="006661FE" w:rsidRDefault="4DB720A2" w:rsidP="00533333">
      <w:pPr>
        <w:pStyle w:val="1"/>
        <w:numPr>
          <w:ilvl w:val="0"/>
          <w:numId w:val="81"/>
        </w:numPr>
        <w:jc w:val="both"/>
      </w:pPr>
      <w:r>
        <w:t>The Security Standard</w:t>
      </w:r>
      <w:r w:rsidR="006661FE">
        <w:fldChar w:fldCharType="begin"/>
      </w:r>
      <w:r w:rsidR="006661FE">
        <w:instrText xml:space="preserve"> XE "Security Standards" </w:instrText>
      </w:r>
      <w:r w:rsidR="006661FE">
        <w:fldChar w:fldCharType="end"/>
      </w:r>
      <w:r>
        <w:t xml:space="preserve"> identifies requirements on the capacity of component sections of the system given the expected generation and demand at each node, such that demand can be met and generators’ </w:t>
      </w:r>
      <w:r w:rsidR="5D978E39">
        <w:t xml:space="preserve">output over the course of a year (capped at their </w:t>
      </w:r>
      <w:r>
        <w:t>Transmission Entry</w:t>
      </w:r>
      <w:r w:rsidR="5D978E39">
        <w:t xml:space="preserve"> Capacity, TEC) can be</w:t>
      </w:r>
      <w:r>
        <w:t xml:space="preserve"> accommodated</w:t>
      </w:r>
      <w:r w:rsidR="6CB40480">
        <w:t xml:space="preserve"> in the most economic and efficient manner</w:t>
      </w:r>
      <w:r w:rsidR="2EB4C3EF">
        <w:t xml:space="preserve">. </w:t>
      </w:r>
      <w:r>
        <w:t xml:space="preserve">The derivation of the incremental investment costs at different points on the system is therefore determined against the requirements of the system </w:t>
      </w:r>
      <w:r w:rsidR="795A9C0C">
        <w:t xml:space="preserve">both </w:t>
      </w:r>
      <w:r>
        <w:t>at the time of peak demand</w:t>
      </w:r>
      <w:r w:rsidR="795A9C0C">
        <w:t xml:space="preserve"> </w:t>
      </w:r>
      <w:r w:rsidR="6CB40480">
        <w:t>and across the remainder of the year. The Security Standard uses a Demand Security Criterion and an Economy Criterion to assess capacity requirements</w:t>
      </w:r>
      <w:r w:rsidR="48C10487">
        <w:t xml:space="preserve">. </w:t>
      </w:r>
      <w:r>
        <w:t xml:space="preserve">The charging methodology therefore recognises </w:t>
      </w:r>
      <w:r w:rsidR="6CB40480">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6CB40480" w:rsidP="00533333">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bookmarkStart w:id="191" w:name="_Int_4dpoWLWC"/>
      <w:r>
        <w:t>in order to</w:t>
      </w:r>
      <w:bookmarkEnd w:id="191"/>
      <w:r>
        <w:t xml:space="preserve"> meet varying </w:t>
      </w:r>
      <w:r>
        <w:lastRenderedPageBreak/>
        <w:t>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6CB40480" w:rsidP="00533333">
      <w:pPr>
        <w:pStyle w:val="1"/>
        <w:numPr>
          <w:ilvl w:val="0"/>
          <w:numId w:val="81"/>
        </w:numPr>
        <w:tabs>
          <w:tab w:val="num" w:pos="1080"/>
        </w:tabs>
        <w:jc w:val="both"/>
      </w:pPr>
      <w:r>
        <w:t xml:space="preserve">The TNUoS charging methodology seeks to reflect these arrangements </w:t>
      </w:r>
      <w:bookmarkStart w:id="192" w:name="_Int_CYFr6udg"/>
      <w:r>
        <w:t>through the use of</w:t>
      </w:r>
      <w:bookmarkEnd w:id="192"/>
      <w:r>
        <w:t xml:space="preserve"> dual backgrounds in the Transport Model, namely a Peak Security background representative of the Demand Security Criterion and a </w:t>
      </w:r>
      <w:bookmarkStart w:id="193" w:name="_Int_96RtqgYX"/>
      <w:r>
        <w:t>Year Round</w:t>
      </w:r>
      <w:bookmarkEnd w:id="193"/>
      <w:r>
        <w:t xml:space="preserve"> background representative of the Economy Criterion.</w:t>
      </w:r>
    </w:p>
    <w:p w14:paraId="231CC8B6" w14:textId="77777777" w:rsidR="00347AC7" w:rsidRDefault="00347AC7" w:rsidP="000B6C0D">
      <w:pPr>
        <w:pStyle w:val="ListParagraph"/>
      </w:pPr>
    </w:p>
    <w:p w14:paraId="224CA51E" w14:textId="17CEDEA4" w:rsidR="00891D82" w:rsidRDefault="012AD273" w:rsidP="00533333">
      <w:pPr>
        <w:pStyle w:val="1"/>
        <w:numPr>
          <w:ilvl w:val="0"/>
          <w:numId w:val="81"/>
        </w:numPr>
        <w:jc w:val="both"/>
      </w:pPr>
      <w:r>
        <w:t xml:space="preserve">To recognise that </w:t>
      </w:r>
      <w:bookmarkStart w:id="194" w:name="_Int_CV9cDdyP"/>
      <w:r>
        <w:t>various types</w:t>
      </w:r>
      <w:bookmarkEnd w:id="194"/>
      <w:r>
        <w:t xml:space="preserve"> of generation will have a different impact on incremental investment costs the charging methodology uses a generator’s TEC, Peak Security flag, and Annual Load Factor (ALF) when determining Transmission Network Use of System charges relating to the Peak Security and </w:t>
      </w:r>
      <w:bookmarkStart w:id="195" w:name="_Int_r7R2ntED"/>
      <w:r>
        <w:t>Year Round</w:t>
      </w:r>
      <w:bookmarkEnd w:id="195"/>
      <w:r>
        <w:t xml:space="preserve"> </w:t>
      </w:r>
      <w:bookmarkStart w:id="196" w:name="_Int_I8vQ0FjM"/>
      <w:r>
        <w:t>backgrounds</w:t>
      </w:r>
      <w:bookmarkEnd w:id="196"/>
      <w:r>
        <w:t xml:space="preserve"> respectively</w:t>
      </w:r>
      <w:r w:rsidR="2BEA94C5">
        <w:t xml:space="preserve">. </w:t>
      </w:r>
      <w:r>
        <w:t xml:space="preserve">For the Year Round background the diversity of the plant mix (i.e the proportion of low carbon and carbon generation) in each charging zone is also </w:t>
      </w:r>
      <w:bookmarkStart w:id="197" w:name="_Int_vqxodb1U"/>
      <w:r>
        <w:t>taken into account</w:t>
      </w:r>
      <w:bookmarkEnd w:id="197"/>
      <w:r>
        <w:t>.</w:t>
      </w:r>
    </w:p>
    <w:p w14:paraId="71672FCF" w14:textId="77777777" w:rsidR="00891D82" w:rsidRDefault="00891D82" w:rsidP="00891D82">
      <w:pPr>
        <w:pStyle w:val="1"/>
        <w:ind w:left="568"/>
        <w:jc w:val="both"/>
      </w:pPr>
    </w:p>
    <w:p w14:paraId="1EA21615" w14:textId="137F5CF8" w:rsidR="00891D82" w:rsidRDefault="012AD273" w:rsidP="00533333">
      <w:pPr>
        <w:pStyle w:val="1"/>
        <w:numPr>
          <w:ilvl w:val="0"/>
          <w:numId w:val="81"/>
        </w:numPr>
        <w:jc w:val="both"/>
      </w:pPr>
      <w:r>
        <w:t xml:space="preserve">In setting and reviewing these charges </w:t>
      </w:r>
      <w:r w:rsidR="58867969" w:rsidRPr="0537B9E0">
        <w:rPr>
          <w:b/>
          <w:bCs/>
        </w:rPr>
        <w:t>The Company</w:t>
      </w:r>
      <w:r>
        <w:t xml:space="preserve"> has </w:t>
      </w:r>
      <w:bookmarkStart w:id="198" w:name="_Int_dC3bosch"/>
      <w:r>
        <w:t>a number of</w:t>
      </w:r>
      <w:bookmarkEnd w:id="198"/>
      <w:r>
        <w:t xml:space="preserve">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1D0F7754"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7561976C" w14:textId="77777777" w:rsidR="006661FE" w:rsidRDefault="4DB720A2" w:rsidP="002439CF">
      <w:pPr>
        <w:pStyle w:val="1"/>
        <w:numPr>
          <w:ilvl w:val="0"/>
          <w:numId w:val="52"/>
        </w:numPr>
        <w:tabs>
          <w:tab w:val="clear" w:pos="360"/>
          <w:tab w:val="num" w:pos="1843"/>
        </w:tabs>
        <w:ind w:left="1843" w:hanging="425"/>
        <w:jc w:val="both"/>
      </w:pPr>
      <w:r>
        <w:t xml:space="preserve">charge </w:t>
      </w:r>
      <w:bookmarkStart w:id="199" w:name="_Int_sgro87Fp"/>
      <w:r>
        <w:t>on the basis of</w:t>
      </w:r>
      <w:bookmarkEnd w:id="199"/>
      <w:r>
        <w:t xml:space="preserve"> services provided and </w:t>
      </w:r>
      <w:bookmarkStart w:id="200" w:name="_Int_ykhPNOty"/>
      <w:r>
        <w:t>on the basis of</w:t>
      </w:r>
      <w:bookmarkEnd w:id="200"/>
      <w:r>
        <w:t xml:space="preserve"> incremental rather than average costs, and so promote the optimal use of and investment in the transmission system; and</w:t>
      </w:r>
    </w:p>
    <w:p w14:paraId="3BFAF622" w14:textId="77777777" w:rsidR="006661FE" w:rsidRDefault="4DB720A2" w:rsidP="002439CF">
      <w:pPr>
        <w:pStyle w:val="1"/>
        <w:numPr>
          <w:ilvl w:val="0"/>
          <w:numId w:val="52"/>
        </w:numPr>
        <w:tabs>
          <w:tab w:val="clear" w:pos="360"/>
          <w:tab w:val="num" w:pos="1843"/>
        </w:tabs>
        <w:ind w:left="2149" w:hanging="731"/>
        <w:jc w:val="both"/>
      </w:pPr>
      <w:r>
        <w:t xml:space="preserve">be implementable within practical cost parameters and </w:t>
      </w:r>
      <w:bookmarkStart w:id="201" w:name="_Int_fI1AvZQf"/>
      <w:r>
        <w:t>time-scales</w:t>
      </w:r>
      <w:bookmarkEnd w:id="201"/>
      <w:r>
        <w:t>.</w:t>
      </w:r>
    </w:p>
    <w:p w14:paraId="25C13F69" w14:textId="77777777" w:rsidR="006661FE" w:rsidRDefault="006661FE" w:rsidP="006661FE">
      <w:pPr>
        <w:pStyle w:val="1"/>
        <w:jc w:val="both"/>
      </w:pPr>
    </w:p>
    <w:p w14:paraId="01AA5672" w14:textId="5F439D54" w:rsidR="006661FE" w:rsidRDefault="006661FE" w:rsidP="00533333">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1CE92958" w:rsidRPr="00C94D4B">
        <w:rPr>
          <w:b/>
        </w:rPr>
        <w:t>The</w:t>
      </w:r>
      <w:r w:rsidRPr="00C94D4B">
        <w:rPr>
          <w:b/>
        </w:rPr>
        <w:t xml:space="preserve"> Company </w:t>
      </w:r>
      <w:r>
        <w:t>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1464A4D2" w:rsidR="006661FE" w:rsidRDefault="58867969" w:rsidP="00533333">
      <w:pPr>
        <w:pStyle w:val="1"/>
        <w:numPr>
          <w:ilvl w:val="0"/>
          <w:numId w:val="81"/>
        </w:numPr>
        <w:jc w:val="both"/>
      </w:pPr>
      <w:r w:rsidRPr="0537B9E0">
        <w:rPr>
          <w:b/>
          <w:bCs/>
        </w:rPr>
        <w:t>The</w:t>
      </w:r>
      <w:r w:rsidR="4DB720A2" w:rsidRPr="0537B9E0">
        <w:rPr>
          <w:b/>
          <w:bCs/>
        </w:rPr>
        <w:t xml:space="preserve"> Company </w:t>
      </w:r>
      <w:r w:rsidR="4DB720A2">
        <w:t xml:space="preserve">will typically calculate TNUoS tariffs annually, publishing final tariffs in respect of a </w:t>
      </w:r>
      <w:r w:rsidR="4DB720A2" w:rsidRPr="0537B9E0">
        <w:rPr>
          <w:b/>
          <w:bCs/>
        </w:rPr>
        <w:t>Financial Year</w:t>
      </w:r>
      <w:r w:rsidR="4DB720A2">
        <w:t xml:space="preserve"> by the end of the preceding January. </w:t>
      </w:r>
      <w:bookmarkStart w:id="202" w:name="_Int_ViXwuHMn"/>
      <w:r w:rsidR="4DB720A2">
        <w:t>However</w:t>
      </w:r>
      <w:bookmarkEnd w:id="202"/>
      <w:r w:rsidR="4DB720A2">
        <w:t xml:space="preserve"> </w:t>
      </w:r>
      <w:r w:rsidRPr="0537B9E0">
        <w:rPr>
          <w:b/>
          <w:bCs/>
        </w:rPr>
        <w:t>The Company</w:t>
      </w:r>
      <w:r w:rsidR="4DB720A2">
        <w:t xml:space="preserve"> may update the tariffs part way through a </w:t>
      </w:r>
      <w:r w:rsidR="4DB720A2" w:rsidRPr="0537B9E0">
        <w:rPr>
          <w:b/>
          <w:bCs/>
        </w:rPr>
        <w:t>Financial Year</w:t>
      </w:r>
      <w:r w:rsidR="4DB720A2">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203" w:name="_Hlt501800266"/>
      <w:bookmarkStart w:id="204" w:name="_Hlt506958549"/>
      <w:bookmarkStart w:id="205" w:name="_Hlt531602422"/>
      <w:bookmarkStart w:id="206" w:name="_Ref492170858"/>
      <w:bookmarkStart w:id="207" w:name="_Ref501800370"/>
      <w:bookmarkStart w:id="208" w:name="_Ref506633072"/>
      <w:bookmarkStart w:id="209" w:name="_Ref531602385"/>
      <w:bookmarkStart w:id="210" w:name="_Toc32201075"/>
      <w:bookmarkStart w:id="211" w:name="_Toc49661106"/>
      <w:bookmarkEnd w:id="203"/>
      <w:bookmarkEnd w:id="204"/>
      <w:bookmarkEnd w:id="205"/>
      <w:r>
        <w:br w:type="page"/>
      </w:r>
      <w:bookmarkStart w:id="212"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206"/>
      <w:bookmarkEnd w:id="207"/>
      <w:bookmarkEnd w:id="208"/>
      <w:bookmarkEnd w:id="209"/>
      <w:bookmarkEnd w:id="210"/>
      <w:bookmarkEnd w:id="211"/>
      <w:bookmarkEnd w:id="212"/>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7413BC2A" w:rsidR="006661FE" w:rsidRDefault="4DB720A2" w:rsidP="00533333">
      <w:pPr>
        <w:pStyle w:val="1"/>
        <w:numPr>
          <w:ilvl w:val="0"/>
          <w:numId w:val="73"/>
        </w:numPr>
        <w:jc w:val="both"/>
      </w:pPr>
      <w:r>
        <w:t>The Transmission Network Use of System (TNUoS</w:t>
      </w:r>
      <w:r w:rsidR="006661FE">
        <w:fldChar w:fldCharType="begin"/>
      </w:r>
      <w:r w:rsidR="006661FE">
        <w:instrText xml:space="preserve"> XE "TNUoS" </w:instrText>
      </w:r>
      <w:r w:rsidR="006661FE">
        <w:fldChar w:fldCharType="end"/>
      </w:r>
      <w:r>
        <w:t>) Tariff comprises two separate elements. Firstly, a locationally varying element derived from 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to reflect the costs of capital investment in, and the maintenance and operation of, a transmission system to provide bulk transport of power to and from </w:t>
      </w:r>
      <w:bookmarkStart w:id="213" w:name="_Int_B2K1ZxG9"/>
      <w:r>
        <w:t>different locations</w:t>
      </w:r>
      <w:bookmarkEnd w:id="213"/>
      <w:r>
        <w:t>. Secondly, a non-locationally varyin</w:t>
      </w:r>
      <w:bookmarkStart w:id="214" w:name="_Hlt501802899"/>
      <w:bookmarkEnd w:id="214"/>
      <w:r>
        <w:t>g element related to the provision of residual revenue recovery</w:t>
      </w:r>
      <w:r w:rsidR="585592B0">
        <w:t xml:space="preserve"> from demand only</w:t>
      </w:r>
      <w:r>
        <w:t xml:space="preserve">. </w:t>
      </w:r>
    </w:p>
    <w:p w14:paraId="39B16858" w14:textId="77777777" w:rsidR="006661FE" w:rsidRDefault="006661FE" w:rsidP="006661FE">
      <w:pPr>
        <w:pStyle w:val="1"/>
        <w:jc w:val="both"/>
      </w:pPr>
    </w:p>
    <w:p w14:paraId="65FCDC85" w14:textId="1AF129E5" w:rsidR="00347AC7" w:rsidRDefault="4DB720A2" w:rsidP="00533333">
      <w:pPr>
        <w:pStyle w:val="1"/>
        <w:numPr>
          <w:ilvl w:val="0"/>
          <w:numId w:val="73"/>
        </w:numPr>
        <w:jc w:val="both"/>
      </w:pPr>
      <w:r>
        <w:t xml:space="preserve">For generation TNUoS tariffs the locational element itself is comprised of </w:t>
      </w:r>
      <w:r w:rsidR="5F5BD877">
        <w:t>five separate</w:t>
      </w:r>
      <w:r>
        <w:t xml:space="preserve"> components</w:t>
      </w:r>
      <w:r w:rsidR="0F7C1A39">
        <w:t xml:space="preserve">. </w:t>
      </w:r>
      <w:r w:rsidR="7F0C8622">
        <w:t>Three</w:t>
      </w:r>
      <w:r>
        <w:t xml:space="preserve"> </w:t>
      </w:r>
      <w:r w:rsidR="2D2573BB">
        <w:t>wider components</w:t>
      </w:r>
      <w:r w:rsidR="7F0C8622">
        <w:t xml:space="preserve"> – </w:t>
      </w:r>
    </w:p>
    <w:p w14:paraId="30A4D161" w14:textId="77777777" w:rsidR="00347AC7" w:rsidRDefault="00347AC7" w:rsidP="000B6C0D">
      <w:pPr>
        <w:pStyle w:val="ListParagraph"/>
      </w:pPr>
    </w:p>
    <w:p w14:paraId="3E0141C4" w14:textId="77777777" w:rsidR="00347AC7" w:rsidRDefault="00347AC7" w:rsidP="00533333">
      <w:pPr>
        <w:pStyle w:val="1"/>
        <w:numPr>
          <w:ilvl w:val="0"/>
          <w:numId w:val="82"/>
        </w:numPr>
        <w:jc w:val="both"/>
      </w:pPr>
      <w:r>
        <w:t>Wider Peak Secur</w:t>
      </w:r>
      <w:r w:rsidR="00E554C1">
        <w:t>i</w:t>
      </w:r>
      <w:r>
        <w:t>ty Component</w:t>
      </w:r>
    </w:p>
    <w:p w14:paraId="5144D9A3" w14:textId="77777777" w:rsidR="00347AC7" w:rsidRDefault="00347AC7" w:rsidP="00533333">
      <w:pPr>
        <w:pStyle w:val="1"/>
        <w:numPr>
          <w:ilvl w:val="0"/>
          <w:numId w:val="82"/>
        </w:numPr>
        <w:jc w:val="both"/>
      </w:pPr>
      <w:r>
        <w:t xml:space="preserve">Wider </w:t>
      </w:r>
      <w:r w:rsidR="00BC5703">
        <w:t xml:space="preserve">Year </w:t>
      </w:r>
      <w:r w:rsidR="00D91593">
        <w:t>Round Not-shared component</w:t>
      </w:r>
    </w:p>
    <w:p w14:paraId="595E2F76" w14:textId="77777777" w:rsidR="00D91593" w:rsidRDefault="6AE889E4" w:rsidP="00533333">
      <w:pPr>
        <w:pStyle w:val="1"/>
        <w:numPr>
          <w:ilvl w:val="0"/>
          <w:numId w:val="82"/>
        </w:numPr>
        <w:jc w:val="both"/>
      </w:pPr>
      <w:r>
        <w:t xml:space="preserve">Wider </w:t>
      </w:r>
      <w:bookmarkStart w:id="215" w:name="_Int_W7JH7fwt"/>
      <w:r>
        <w:t>Year Round</w:t>
      </w:r>
      <w:bookmarkEnd w:id="215"/>
      <w:r>
        <w:t xml:space="preserve">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5D637A1C" w:rsidR="00D91593" w:rsidRDefault="6AE889E4" w:rsidP="00D91593">
      <w:pPr>
        <w:pStyle w:val="1"/>
        <w:ind w:left="1627"/>
        <w:jc w:val="both"/>
      </w:pPr>
      <w:r>
        <w:t xml:space="preserve">These components </w:t>
      </w:r>
      <w:r w:rsidR="4DB720A2">
        <w:t xml:space="preserve">reflect the costs of the wider network </w:t>
      </w:r>
      <w:r>
        <w:t xml:space="preserve">under </w:t>
      </w:r>
      <w:r w:rsidR="4DB720A2">
        <w:t xml:space="preserve">the </w:t>
      </w:r>
      <w:r>
        <w:t>different generation backgrounds set out in the Demand Security Criterion (for Peak Security component) and Economy Criterion (for both YearRound components) of the Security Standard</w:t>
      </w:r>
      <w:r w:rsidR="303AD364">
        <w:t xml:space="preserve">. </w:t>
      </w:r>
      <w:r>
        <w:t xml:space="preserve">The </w:t>
      </w:r>
      <w:bookmarkStart w:id="216" w:name="_Int_hpRkVrXC"/>
      <w:r>
        <w:t>two Year</w:t>
      </w:r>
      <w:bookmarkEnd w:id="216"/>
      <w:r>
        <w:t xml:space="preserve"> Round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533333">
      <w:pPr>
        <w:pStyle w:val="1"/>
        <w:numPr>
          <w:ilvl w:val="0"/>
          <w:numId w:val="83"/>
        </w:numPr>
        <w:jc w:val="both"/>
      </w:pPr>
      <w:r>
        <w:t xml:space="preserve">Local </w:t>
      </w:r>
      <w:r w:rsidR="006661FE">
        <w:t>substation</w:t>
      </w:r>
      <w:r>
        <w:t>,</w:t>
      </w:r>
      <w:r w:rsidR="006661FE">
        <w:t xml:space="preserve"> and </w:t>
      </w:r>
    </w:p>
    <w:p w14:paraId="2479F304" w14:textId="77777777" w:rsidR="00D91593" w:rsidRDefault="00D91593" w:rsidP="00533333">
      <w:pPr>
        <w:pStyle w:val="1"/>
        <w:numPr>
          <w:ilvl w:val="0"/>
          <w:numId w:val="83"/>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292E2266" w:rsidR="0084619F" w:rsidRDefault="579DDD42" w:rsidP="000B6C0D">
      <w:pPr>
        <w:pStyle w:val="1"/>
        <w:ind w:left="1627"/>
        <w:jc w:val="both"/>
      </w:pPr>
      <w:r>
        <w:t xml:space="preserve">These components </w:t>
      </w:r>
      <w:r w:rsidR="4DB720A2">
        <w:t>reflect the costs of the local network</w:t>
      </w:r>
      <w:r w:rsidR="3E5F64FD">
        <w:t xml:space="preserve">.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217" w:name="OLE_LINK10"/>
      <w:bookmarkStart w:id="218" w:name="OLE_LINK11"/>
      <w:r>
        <w:t xml:space="preserve">represents the combined effect of the </w:t>
      </w:r>
      <w:r w:rsidR="0084619F">
        <w:t xml:space="preserve">three </w:t>
      </w:r>
      <w:r>
        <w:t>wider locational tariff component</w:t>
      </w:r>
      <w:r w:rsidR="0048210A">
        <w:t>s</w:t>
      </w:r>
      <w:r>
        <w:t xml:space="preserve"> </w:t>
      </w:r>
      <w:bookmarkEnd w:id="217"/>
      <w:bookmarkEnd w:id="218"/>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p w14:paraId="29198342" w14:textId="77777777" w:rsidR="00F21E03" w:rsidRDefault="00F21E03" w:rsidP="000B6C0D">
      <w:pPr>
        <w:pStyle w:val="1"/>
        <w:ind w:left="1627"/>
        <w:jc w:val="both"/>
      </w:pPr>
    </w:p>
    <w:p w14:paraId="333CD425" w14:textId="77777777" w:rsidR="006661FE" w:rsidRDefault="006661FE" w:rsidP="006661FE">
      <w:pPr>
        <w:pStyle w:val="1"/>
        <w:jc w:val="both"/>
      </w:pPr>
    </w:p>
    <w:p w14:paraId="3FA34F95" w14:textId="77777777" w:rsidR="006661FE" w:rsidRDefault="006661FE" w:rsidP="00533333">
      <w:pPr>
        <w:pStyle w:val="1"/>
        <w:numPr>
          <w:ilvl w:val="0"/>
          <w:numId w:val="73"/>
        </w:numPr>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219" w:name="_Toc32201076"/>
      <w:bookmarkStart w:id="220" w:name="_Toc49661107"/>
      <w:bookmarkStart w:id="221" w:name="_Toc274049678"/>
      <w:r>
        <w:t>The Transport Model</w:t>
      </w:r>
      <w:bookmarkEnd w:id="219"/>
      <w:bookmarkEnd w:id="220"/>
      <w:bookmarkEnd w:id="221"/>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222" w:name="_Toc49661108"/>
      <w:bookmarkStart w:id="223" w:name="_Toc274049679"/>
      <w:r w:rsidRPr="006661FE">
        <w:rPr>
          <w:rFonts w:ascii="Arial" w:hAnsi="Arial" w:cs="Arial"/>
          <w:b/>
        </w:rPr>
        <w:t>Model Inputs</w:t>
      </w:r>
      <w:bookmarkEnd w:id="222"/>
      <w:bookmarkEnd w:id="223"/>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28F8BBC3" w:rsidR="006661FE" w:rsidRDefault="4DB720A2" w:rsidP="00533333">
      <w:pPr>
        <w:pStyle w:val="1"/>
        <w:numPr>
          <w:ilvl w:val="0"/>
          <w:numId w:val="73"/>
        </w:numPr>
        <w:jc w:val="both"/>
      </w:pPr>
      <w:r>
        <w:t>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calculates the marginal costs of investment in the transmission system which would be required </w:t>
      </w:r>
      <w:bookmarkStart w:id="224" w:name="_Int_XPcSAJTm"/>
      <w:r>
        <w:t>as a consequence of</w:t>
      </w:r>
      <w:bookmarkEnd w:id="224"/>
      <w:r>
        <w:t xml:space="preserve"> an increase in demand or generation at each connection point or node on the transmission system, based on a study of peak </w:t>
      </w:r>
      <w:r w:rsidR="579DDD42">
        <w:t xml:space="preserve">demand </w:t>
      </w:r>
      <w:r>
        <w:t xml:space="preserve">conditions </w:t>
      </w:r>
      <w:r w:rsidR="579DDD42">
        <w:t xml:space="preserve">using both Peak Security and </w:t>
      </w:r>
      <w:bookmarkStart w:id="225" w:name="_Int_i0d8B0dg"/>
      <w:r w:rsidR="579DDD42">
        <w:t>Year Round</w:t>
      </w:r>
      <w:bookmarkEnd w:id="225"/>
      <w:r w:rsidR="579DDD42">
        <w:t xml:space="preserve"> generation backgrounds </w:t>
      </w:r>
      <w:r>
        <w:t>on the transmission system</w:t>
      </w:r>
      <w:r w:rsidR="633726A8">
        <w:t xml:space="preserve">. </w:t>
      </w:r>
      <w:r>
        <w:t>One measure of the investment costs is in terms of MWkm</w:t>
      </w:r>
      <w:r w:rsidR="006661FE">
        <w:fldChar w:fldCharType="begin"/>
      </w:r>
      <w:r w:rsidR="006661FE">
        <w:instrText xml:space="preserve"> XE "MWkm" </w:instrText>
      </w:r>
      <w:r w:rsidR="006661FE">
        <w:fldChar w:fldCharType="end"/>
      </w:r>
      <w:r w:rsidR="315C3FF8">
        <w:t xml:space="preserve">. </w:t>
      </w:r>
      <w:r>
        <w:t>This is the concept that ICRP uses to calculate marginal costs of investment</w:t>
      </w:r>
      <w:r w:rsidR="645BC183">
        <w:t xml:space="preserve">. </w:t>
      </w:r>
      <w:r>
        <w:t>Hence, marginal costs are estimated initially in terms of increases or decreases in units of kilometres (km) of the transmission system for a 1 MW injection to the system.</w:t>
      </w:r>
    </w:p>
    <w:p w14:paraId="03A5BA28" w14:textId="77777777" w:rsidR="006661FE" w:rsidRDefault="006661FE" w:rsidP="006661FE">
      <w:pPr>
        <w:pStyle w:val="1"/>
        <w:jc w:val="both"/>
      </w:pPr>
    </w:p>
    <w:p w14:paraId="07E34609" w14:textId="77777777" w:rsidR="006661FE" w:rsidRDefault="4DB720A2" w:rsidP="00533333">
      <w:pPr>
        <w:pStyle w:val="1"/>
        <w:numPr>
          <w:ilvl w:val="0"/>
          <w:numId w:val="73"/>
        </w:numPr>
        <w:jc w:val="both"/>
      </w:pPr>
      <w:r>
        <w:lastRenderedPageBreak/>
        <w:t>The transport model</w:t>
      </w:r>
      <w:r w:rsidR="006661FE">
        <w:fldChar w:fldCharType="begin"/>
      </w:r>
      <w:r w:rsidR="006661FE">
        <w:instrText xml:space="preserve"> XE "transport model" </w:instrText>
      </w:r>
      <w:r w:rsidR="006661FE">
        <w:fldChar w:fldCharType="end"/>
      </w:r>
      <w:r>
        <w:t xml:space="preserve"> requires a set of inputs representative of </w:t>
      </w:r>
      <w:r w:rsidR="579DDD42">
        <w:t xml:space="preserve">the Demand Security and Economy Criterion set out in the Security Standards. These </w:t>
      </w:r>
      <w:r>
        <w:t>conditions on the transmission system</w:t>
      </w:r>
      <w:r w:rsidR="579DDD42">
        <w:t xml:space="preserve"> are represented in the Peak Security and </w:t>
      </w:r>
      <w:bookmarkStart w:id="226" w:name="_Int_tamLVqJh"/>
      <w:r w:rsidR="579DDD42">
        <w:t>Year Round</w:t>
      </w:r>
      <w:bookmarkEnd w:id="226"/>
      <w:r w:rsidR="579DDD42">
        <w:t xml:space="preserve"> background respectively as follows:</w:t>
      </w:r>
    </w:p>
    <w:p w14:paraId="35026EE8" w14:textId="77777777" w:rsidR="006661FE" w:rsidRDefault="006661FE" w:rsidP="006661FE">
      <w:pPr>
        <w:pStyle w:val="1"/>
        <w:jc w:val="both"/>
      </w:pPr>
    </w:p>
    <w:p w14:paraId="3965977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572594B"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6ED87154"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0080909E"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5F389C7E"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19D8763A"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45BA4509" w14:textId="77777777" w:rsidR="006661FE" w:rsidRDefault="006661FE" w:rsidP="006661FE">
      <w:pPr>
        <w:pStyle w:val="1"/>
        <w:jc w:val="both"/>
      </w:pPr>
    </w:p>
    <w:p w14:paraId="15F74A7B" w14:textId="4283A4BB" w:rsidR="006661FE" w:rsidRDefault="4DB720A2" w:rsidP="00533333">
      <w:pPr>
        <w:pStyle w:val="1"/>
        <w:numPr>
          <w:ilvl w:val="0"/>
          <w:numId w:val="73"/>
        </w:numPr>
        <w:jc w:val="both"/>
      </w:pPr>
      <w:r>
        <w:t xml:space="preserve">For a given </w:t>
      </w:r>
      <w:r w:rsidR="17E170F1" w:rsidRPr="0537B9E0">
        <w:rPr>
          <w:b/>
          <w:bCs/>
        </w:rPr>
        <w:t>Financial Year</w:t>
      </w:r>
      <w:r w:rsidR="17E170F1">
        <w:t xml:space="preserve"> </w:t>
      </w:r>
      <w:r>
        <w:t xml:space="preserve">"t", the nodal </w:t>
      </w:r>
      <w:r w:rsidR="1979FBEC">
        <w:t xml:space="preserve">generation </w:t>
      </w:r>
      <w:r>
        <w:t>TEC figure</w:t>
      </w:r>
      <w:r w:rsidR="1979FBEC">
        <w:t xml:space="preserve"> and generation plant types</w:t>
      </w:r>
      <w:r>
        <w:t xml:space="preserve"> at each node will be based on the Applicable Value for year "t" in the NETS Seven Year Statement</w:t>
      </w:r>
      <w:r w:rsidR="006661FE">
        <w:fldChar w:fldCharType="begin"/>
      </w:r>
      <w:r w:rsidR="006661FE">
        <w:instrText xml:space="preserve"> XE "Seven Year Statement" </w:instrText>
      </w:r>
      <w:r w:rsidR="006661FE">
        <w:fldChar w:fldCharType="end"/>
      </w:r>
      <w:r>
        <w:t xml:space="preserve"> in year "t-1" plus updates to the October of year "t-1". The contracted TECs </w:t>
      </w:r>
      <w:r w:rsidR="1979FBEC">
        <w:t xml:space="preserve">and generation plant types </w:t>
      </w:r>
      <w:r>
        <w:t>in the NETS Seven Year Statement include all plant belonging to generators who have a Bilateral Agreement with the TOs</w:t>
      </w:r>
      <w:r w:rsidR="65DBDA6A">
        <w:t xml:space="preserve">. </w:t>
      </w:r>
      <w:r>
        <w:t>For example, for 2010/11 charges, the nodal generation data is based on the forecast for 2010/11 in the 2009 NETS Seven Year Statement plus any data included in the quarterly updates in October 2009.</w:t>
      </w:r>
    </w:p>
    <w:p w14:paraId="4AF10CDA" w14:textId="55F58E3E" w:rsidR="00940F3A" w:rsidRDefault="1979FBEC" w:rsidP="00533333">
      <w:pPr>
        <w:pStyle w:val="1"/>
        <w:numPr>
          <w:ilvl w:val="0"/>
          <w:numId w:val="73"/>
        </w:numPr>
        <w:tabs>
          <w:tab w:val="num" w:pos="1080"/>
        </w:tabs>
        <w:jc w:val="both"/>
      </w:pPr>
      <w:bookmarkStart w:id="227" w:name="_Ref348628645"/>
      <w:r>
        <w:t xml:space="preserve">Scaling factors for different generation plant types are applied on their aggregated capacity for both Peak Security and </w:t>
      </w:r>
      <w:bookmarkStart w:id="228" w:name="_Int_xXfV1P1L"/>
      <w:r>
        <w:t>Year Round</w:t>
      </w:r>
      <w:bookmarkEnd w:id="228"/>
      <w:r>
        <w:t xml:space="preserve"> backgrounds</w:t>
      </w:r>
      <w:r w:rsidR="3818ECCD">
        <w:t xml:space="preserve">. </w:t>
      </w:r>
      <w:r>
        <w:t>The scaling is either Fixed or Variable (depending on the total demand level) in line with the factors used in the Security Standard, for example as shown in the table below.</w:t>
      </w:r>
      <w:bookmarkEnd w:id="227"/>
    </w:p>
    <w:p w14:paraId="1C86DB91"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14:paraId="48BF3C2F" w14:textId="77777777" w:rsidTr="0537B9E0">
        <w:tc>
          <w:tcPr>
            <w:tcW w:w="2520" w:type="dxa"/>
            <w:vAlign w:val="center"/>
          </w:tcPr>
          <w:p w14:paraId="7CA21161"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A46C9FA" w14:textId="77777777" w:rsidR="00940F3A" w:rsidRPr="00874A70" w:rsidRDefault="1979FBEC" w:rsidP="0537B9E0">
            <w:pPr>
              <w:pStyle w:val="1"/>
              <w:jc w:val="center"/>
              <w:rPr>
                <w:b/>
                <w:bCs/>
              </w:rPr>
            </w:pPr>
            <w:bookmarkStart w:id="229" w:name="_Int_gGff1tyW"/>
            <w:r w:rsidRPr="0537B9E0">
              <w:rPr>
                <w:b/>
                <w:bCs/>
              </w:rPr>
              <w:t>Year Round</w:t>
            </w:r>
            <w:bookmarkEnd w:id="229"/>
            <w:r w:rsidRPr="0537B9E0">
              <w:rPr>
                <w:b/>
                <w:bCs/>
              </w:rPr>
              <w:t xml:space="preserve"> Background</w:t>
            </w:r>
          </w:p>
        </w:tc>
      </w:tr>
      <w:tr w:rsidR="00940F3A" w14:paraId="14051329" w14:textId="77777777" w:rsidTr="0537B9E0">
        <w:tc>
          <w:tcPr>
            <w:tcW w:w="2520" w:type="dxa"/>
          </w:tcPr>
          <w:p w14:paraId="6B74B209" w14:textId="77777777" w:rsidR="00940F3A" w:rsidRPr="00874A70" w:rsidRDefault="00940F3A" w:rsidP="000C6F2B">
            <w:pPr>
              <w:pStyle w:val="1"/>
              <w:jc w:val="both"/>
              <w:rPr>
                <w:szCs w:val="22"/>
              </w:rPr>
            </w:pPr>
            <w:r w:rsidRPr="00874A70">
              <w:rPr>
                <w:szCs w:val="22"/>
              </w:rPr>
              <w:t>Intermittent</w:t>
            </w:r>
          </w:p>
        </w:tc>
        <w:tc>
          <w:tcPr>
            <w:tcW w:w="2400" w:type="dxa"/>
          </w:tcPr>
          <w:p w14:paraId="76DEF0BD" w14:textId="77777777" w:rsidR="00940F3A" w:rsidRPr="00874A70" w:rsidRDefault="00940F3A" w:rsidP="000C6F2B">
            <w:pPr>
              <w:pStyle w:val="1"/>
              <w:jc w:val="center"/>
              <w:rPr>
                <w:szCs w:val="22"/>
              </w:rPr>
            </w:pPr>
            <w:r w:rsidRPr="00874A70">
              <w:rPr>
                <w:szCs w:val="22"/>
              </w:rPr>
              <w:t>Fixed (0%)</w:t>
            </w:r>
          </w:p>
        </w:tc>
        <w:tc>
          <w:tcPr>
            <w:tcW w:w="2280" w:type="dxa"/>
          </w:tcPr>
          <w:p w14:paraId="61C66B09" w14:textId="77777777" w:rsidR="00940F3A" w:rsidRPr="00874A70" w:rsidRDefault="00940F3A" w:rsidP="000C6F2B">
            <w:pPr>
              <w:pStyle w:val="1"/>
              <w:jc w:val="center"/>
              <w:rPr>
                <w:szCs w:val="22"/>
              </w:rPr>
            </w:pPr>
            <w:r w:rsidRPr="00874A70">
              <w:rPr>
                <w:szCs w:val="22"/>
              </w:rPr>
              <w:t>Fixed (70%)</w:t>
            </w:r>
          </w:p>
        </w:tc>
      </w:tr>
      <w:tr w:rsidR="00940F3A" w14:paraId="510D22B9" w14:textId="77777777" w:rsidTr="0537B9E0">
        <w:tc>
          <w:tcPr>
            <w:tcW w:w="2520" w:type="dxa"/>
          </w:tcPr>
          <w:p w14:paraId="21BCCC09" w14:textId="77777777" w:rsidR="00940F3A" w:rsidRPr="00874A70" w:rsidRDefault="00940F3A" w:rsidP="000C6F2B">
            <w:pPr>
              <w:pStyle w:val="1"/>
              <w:jc w:val="both"/>
              <w:rPr>
                <w:szCs w:val="22"/>
              </w:rPr>
            </w:pPr>
            <w:r w:rsidRPr="00874A70">
              <w:rPr>
                <w:szCs w:val="22"/>
              </w:rPr>
              <w:t>Nuclear &amp; CCS</w:t>
            </w:r>
          </w:p>
        </w:tc>
        <w:tc>
          <w:tcPr>
            <w:tcW w:w="2400" w:type="dxa"/>
          </w:tcPr>
          <w:p w14:paraId="62EC3B53" w14:textId="77777777" w:rsidR="00940F3A" w:rsidRPr="00874A70" w:rsidRDefault="00940F3A" w:rsidP="000C6F2B">
            <w:pPr>
              <w:pStyle w:val="1"/>
              <w:jc w:val="center"/>
              <w:rPr>
                <w:szCs w:val="22"/>
              </w:rPr>
            </w:pPr>
            <w:r w:rsidRPr="00874A70">
              <w:rPr>
                <w:szCs w:val="22"/>
              </w:rPr>
              <w:t>Variable</w:t>
            </w:r>
          </w:p>
        </w:tc>
        <w:tc>
          <w:tcPr>
            <w:tcW w:w="2280" w:type="dxa"/>
          </w:tcPr>
          <w:p w14:paraId="1BACD8FD" w14:textId="77777777" w:rsidR="00940F3A" w:rsidRPr="00874A70" w:rsidRDefault="00940F3A" w:rsidP="000C6F2B">
            <w:pPr>
              <w:pStyle w:val="1"/>
              <w:jc w:val="center"/>
              <w:rPr>
                <w:szCs w:val="22"/>
              </w:rPr>
            </w:pPr>
            <w:r w:rsidRPr="00874A70">
              <w:rPr>
                <w:szCs w:val="22"/>
              </w:rPr>
              <w:t>Fixed (85%)</w:t>
            </w:r>
          </w:p>
        </w:tc>
      </w:tr>
      <w:tr w:rsidR="00940F3A" w14:paraId="51563913" w14:textId="77777777" w:rsidTr="0537B9E0">
        <w:tc>
          <w:tcPr>
            <w:tcW w:w="2520" w:type="dxa"/>
          </w:tcPr>
          <w:p w14:paraId="7FF9F19D" w14:textId="77777777" w:rsidR="00940F3A" w:rsidRPr="00874A70" w:rsidRDefault="00940F3A" w:rsidP="000C6F2B">
            <w:pPr>
              <w:pStyle w:val="1"/>
              <w:jc w:val="both"/>
              <w:rPr>
                <w:szCs w:val="22"/>
              </w:rPr>
            </w:pPr>
            <w:r w:rsidRPr="00874A70">
              <w:rPr>
                <w:szCs w:val="22"/>
              </w:rPr>
              <w:t>Interconnectors</w:t>
            </w:r>
          </w:p>
        </w:tc>
        <w:tc>
          <w:tcPr>
            <w:tcW w:w="2400" w:type="dxa"/>
          </w:tcPr>
          <w:p w14:paraId="32B70F25" w14:textId="77777777" w:rsidR="00940F3A" w:rsidRPr="00874A70" w:rsidRDefault="00940F3A" w:rsidP="000C6F2B">
            <w:pPr>
              <w:pStyle w:val="1"/>
              <w:jc w:val="center"/>
              <w:rPr>
                <w:szCs w:val="22"/>
              </w:rPr>
            </w:pPr>
            <w:r w:rsidRPr="00874A70">
              <w:rPr>
                <w:szCs w:val="22"/>
              </w:rPr>
              <w:t>Fixed (0%)</w:t>
            </w:r>
          </w:p>
        </w:tc>
        <w:tc>
          <w:tcPr>
            <w:tcW w:w="2280" w:type="dxa"/>
          </w:tcPr>
          <w:p w14:paraId="33CCC2B4" w14:textId="77777777" w:rsidR="00940F3A" w:rsidRPr="00874A70" w:rsidRDefault="00940F3A" w:rsidP="000C6F2B">
            <w:pPr>
              <w:pStyle w:val="1"/>
              <w:jc w:val="center"/>
              <w:rPr>
                <w:szCs w:val="22"/>
              </w:rPr>
            </w:pPr>
            <w:r w:rsidRPr="00874A70">
              <w:rPr>
                <w:szCs w:val="22"/>
              </w:rPr>
              <w:t>Fixed (100%)</w:t>
            </w:r>
          </w:p>
        </w:tc>
      </w:tr>
      <w:tr w:rsidR="00940F3A" w14:paraId="16B9CA9C" w14:textId="77777777" w:rsidTr="0537B9E0">
        <w:tc>
          <w:tcPr>
            <w:tcW w:w="2520" w:type="dxa"/>
          </w:tcPr>
          <w:p w14:paraId="73D864E4" w14:textId="77777777" w:rsidR="00940F3A" w:rsidRPr="00874A70" w:rsidRDefault="00940F3A" w:rsidP="000C6F2B">
            <w:pPr>
              <w:pStyle w:val="1"/>
              <w:jc w:val="both"/>
              <w:rPr>
                <w:szCs w:val="22"/>
              </w:rPr>
            </w:pPr>
            <w:r w:rsidRPr="00874A70">
              <w:rPr>
                <w:szCs w:val="22"/>
              </w:rPr>
              <w:t>Hydro</w:t>
            </w:r>
          </w:p>
        </w:tc>
        <w:tc>
          <w:tcPr>
            <w:tcW w:w="2400" w:type="dxa"/>
          </w:tcPr>
          <w:p w14:paraId="4FA37A9C" w14:textId="77777777" w:rsidR="00940F3A" w:rsidRPr="00874A70" w:rsidRDefault="00940F3A" w:rsidP="000C6F2B">
            <w:pPr>
              <w:pStyle w:val="1"/>
              <w:jc w:val="center"/>
              <w:rPr>
                <w:szCs w:val="22"/>
              </w:rPr>
            </w:pPr>
            <w:r w:rsidRPr="00874A70">
              <w:rPr>
                <w:szCs w:val="22"/>
              </w:rPr>
              <w:t>Variable</w:t>
            </w:r>
          </w:p>
        </w:tc>
        <w:tc>
          <w:tcPr>
            <w:tcW w:w="2280" w:type="dxa"/>
          </w:tcPr>
          <w:p w14:paraId="4DA38F35" w14:textId="77777777" w:rsidR="00940F3A" w:rsidRPr="00874A70" w:rsidRDefault="00940F3A" w:rsidP="000C6F2B">
            <w:pPr>
              <w:pStyle w:val="1"/>
              <w:jc w:val="center"/>
              <w:rPr>
                <w:szCs w:val="22"/>
              </w:rPr>
            </w:pPr>
            <w:r w:rsidRPr="00874A70">
              <w:rPr>
                <w:szCs w:val="22"/>
              </w:rPr>
              <w:t>Variable</w:t>
            </w:r>
          </w:p>
        </w:tc>
      </w:tr>
      <w:tr w:rsidR="00940F3A" w14:paraId="4B60A6EA" w14:textId="77777777" w:rsidTr="0537B9E0">
        <w:tc>
          <w:tcPr>
            <w:tcW w:w="2520" w:type="dxa"/>
          </w:tcPr>
          <w:p w14:paraId="709E7ACA" w14:textId="77777777" w:rsidR="00940F3A" w:rsidRPr="00874A70" w:rsidRDefault="00940F3A" w:rsidP="000C6F2B">
            <w:pPr>
              <w:pStyle w:val="1"/>
              <w:jc w:val="both"/>
              <w:rPr>
                <w:szCs w:val="22"/>
              </w:rPr>
            </w:pPr>
            <w:r w:rsidRPr="00874A70">
              <w:rPr>
                <w:szCs w:val="22"/>
              </w:rPr>
              <w:t>Pumped Storage</w:t>
            </w:r>
          </w:p>
        </w:tc>
        <w:tc>
          <w:tcPr>
            <w:tcW w:w="2400" w:type="dxa"/>
          </w:tcPr>
          <w:p w14:paraId="0AD99976" w14:textId="77777777" w:rsidR="00940F3A" w:rsidRPr="00874A70" w:rsidRDefault="00940F3A" w:rsidP="000C6F2B">
            <w:pPr>
              <w:pStyle w:val="1"/>
              <w:jc w:val="center"/>
              <w:rPr>
                <w:szCs w:val="22"/>
              </w:rPr>
            </w:pPr>
            <w:r w:rsidRPr="00874A70">
              <w:rPr>
                <w:szCs w:val="22"/>
              </w:rPr>
              <w:t>Variable</w:t>
            </w:r>
          </w:p>
        </w:tc>
        <w:tc>
          <w:tcPr>
            <w:tcW w:w="2280" w:type="dxa"/>
          </w:tcPr>
          <w:p w14:paraId="58E103EE" w14:textId="77777777" w:rsidR="00940F3A" w:rsidRPr="00874A70" w:rsidRDefault="00940F3A" w:rsidP="000C6F2B">
            <w:pPr>
              <w:pStyle w:val="1"/>
              <w:jc w:val="center"/>
              <w:rPr>
                <w:szCs w:val="22"/>
              </w:rPr>
            </w:pPr>
            <w:r w:rsidRPr="00874A70">
              <w:rPr>
                <w:szCs w:val="22"/>
              </w:rPr>
              <w:t>Fixed (50%)</w:t>
            </w:r>
          </w:p>
        </w:tc>
      </w:tr>
      <w:tr w:rsidR="00940F3A" w14:paraId="543179D4" w14:textId="77777777" w:rsidTr="0537B9E0">
        <w:tc>
          <w:tcPr>
            <w:tcW w:w="2520" w:type="dxa"/>
          </w:tcPr>
          <w:p w14:paraId="55F03699" w14:textId="77777777" w:rsidR="00940F3A" w:rsidRPr="00874A70" w:rsidRDefault="00940F3A" w:rsidP="000C6F2B">
            <w:pPr>
              <w:pStyle w:val="1"/>
              <w:jc w:val="both"/>
              <w:rPr>
                <w:szCs w:val="22"/>
              </w:rPr>
            </w:pPr>
            <w:r w:rsidRPr="00874A70">
              <w:rPr>
                <w:szCs w:val="22"/>
              </w:rPr>
              <w:t>Peaking</w:t>
            </w:r>
          </w:p>
        </w:tc>
        <w:tc>
          <w:tcPr>
            <w:tcW w:w="2400" w:type="dxa"/>
          </w:tcPr>
          <w:p w14:paraId="7B6B7261" w14:textId="77777777" w:rsidR="00940F3A" w:rsidRPr="00874A70" w:rsidRDefault="00940F3A" w:rsidP="000C6F2B">
            <w:pPr>
              <w:pStyle w:val="1"/>
              <w:jc w:val="center"/>
              <w:rPr>
                <w:szCs w:val="22"/>
              </w:rPr>
            </w:pPr>
            <w:r w:rsidRPr="00874A70">
              <w:rPr>
                <w:szCs w:val="22"/>
              </w:rPr>
              <w:t>Variable</w:t>
            </w:r>
          </w:p>
        </w:tc>
        <w:tc>
          <w:tcPr>
            <w:tcW w:w="2280" w:type="dxa"/>
          </w:tcPr>
          <w:p w14:paraId="640FFB88" w14:textId="77777777" w:rsidR="00940F3A" w:rsidRPr="00874A70" w:rsidRDefault="1979FBEC" w:rsidP="0537B9E0">
            <w:pPr>
              <w:pStyle w:val="1"/>
              <w:jc w:val="center"/>
            </w:pPr>
            <w:bookmarkStart w:id="230" w:name="_Int_bBTDZe0O"/>
            <w:r>
              <w:t>Fixed  (</w:t>
            </w:r>
            <w:bookmarkEnd w:id="230"/>
            <w:r>
              <w:t>0%)</w:t>
            </w:r>
          </w:p>
        </w:tc>
      </w:tr>
      <w:tr w:rsidR="00940F3A" w14:paraId="707A61E1" w14:textId="77777777" w:rsidTr="0537B9E0">
        <w:tc>
          <w:tcPr>
            <w:tcW w:w="2520" w:type="dxa"/>
          </w:tcPr>
          <w:p w14:paraId="091BA9AA" w14:textId="77777777" w:rsidR="00940F3A" w:rsidRPr="00874A70" w:rsidRDefault="00940F3A" w:rsidP="000C6F2B">
            <w:pPr>
              <w:pStyle w:val="1"/>
              <w:jc w:val="both"/>
              <w:rPr>
                <w:szCs w:val="22"/>
              </w:rPr>
            </w:pPr>
            <w:r w:rsidRPr="00874A70">
              <w:rPr>
                <w:szCs w:val="22"/>
              </w:rPr>
              <w:t>Other (Conventional)</w:t>
            </w:r>
          </w:p>
        </w:tc>
        <w:tc>
          <w:tcPr>
            <w:tcW w:w="2400" w:type="dxa"/>
          </w:tcPr>
          <w:p w14:paraId="0548849A" w14:textId="77777777" w:rsidR="00940F3A" w:rsidRPr="00874A70" w:rsidRDefault="00940F3A" w:rsidP="000C6F2B">
            <w:pPr>
              <w:pStyle w:val="1"/>
              <w:jc w:val="center"/>
              <w:rPr>
                <w:szCs w:val="22"/>
              </w:rPr>
            </w:pPr>
            <w:r w:rsidRPr="00874A70">
              <w:rPr>
                <w:szCs w:val="22"/>
              </w:rPr>
              <w:t>Variable</w:t>
            </w:r>
          </w:p>
        </w:tc>
        <w:tc>
          <w:tcPr>
            <w:tcW w:w="2280" w:type="dxa"/>
          </w:tcPr>
          <w:p w14:paraId="4A13B101" w14:textId="77777777" w:rsidR="00940F3A" w:rsidRPr="00874A70" w:rsidRDefault="00940F3A" w:rsidP="000C6F2B">
            <w:pPr>
              <w:pStyle w:val="1"/>
              <w:jc w:val="center"/>
              <w:rPr>
                <w:szCs w:val="22"/>
              </w:rPr>
            </w:pPr>
            <w:r w:rsidRPr="00874A70">
              <w:rPr>
                <w:szCs w:val="22"/>
              </w:rPr>
              <w:t>Variable</w:t>
            </w:r>
          </w:p>
        </w:tc>
      </w:tr>
    </w:tbl>
    <w:p w14:paraId="2209F1DF" w14:textId="77777777" w:rsidR="00940F3A" w:rsidRDefault="00940F3A" w:rsidP="00940F3A">
      <w:pPr>
        <w:pStyle w:val="1"/>
        <w:ind w:left="1987"/>
        <w:jc w:val="both"/>
      </w:pPr>
    </w:p>
    <w:p w14:paraId="7290B8AC"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940F3A">
      <w:pPr>
        <w:pStyle w:val="1"/>
        <w:ind w:left="1080"/>
        <w:jc w:val="both"/>
      </w:pPr>
    </w:p>
    <w:p w14:paraId="4BB247ED" w14:textId="34269A15" w:rsidR="00940F3A" w:rsidRDefault="58867969" w:rsidP="00533333">
      <w:pPr>
        <w:pStyle w:val="1"/>
        <w:numPr>
          <w:ilvl w:val="0"/>
          <w:numId w:val="73"/>
        </w:numPr>
        <w:tabs>
          <w:tab w:val="num" w:pos="1080"/>
        </w:tabs>
        <w:jc w:val="both"/>
      </w:pPr>
      <w:r w:rsidRPr="0537B9E0">
        <w:rPr>
          <w:b/>
          <w:bCs/>
        </w:rPr>
        <w:t>The</w:t>
      </w:r>
      <w:r w:rsidR="28636CA0" w:rsidRPr="0537B9E0">
        <w:rPr>
          <w:b/>
          <w:bCs/>
        </w:rPr>
        <w:t xml:space="preserve"> Company</w:t>
      </w:r>
      <w:r w:rsidR="1979FBEC">
        <w:t xml:space="preserve"> will categorise plant based on the categorisations descri</w:t>
      </w:r>
      <w:r w:rsidR="012AD273">
        <w:t>b</w:t>
      </w:r>
      <w:r w:rsidR="1979FBEC">
        <w:t>ed in the Security Standard. Peaking plant will include oil and OCGT technologies and Other (Conv.) represents all remaining conventional plant not explicitly stated elsewhere in the tabl</w:t>
      </w:r>
      <w:r w:rsidR="012AD273">
        <w:t>e</w:t>
      </w:r>
      <w:r w:rsidR="1979FBEC">
        <w:t xml:space="preserve"> </w:t>
      </w:r>
      <w:bookmarkStart w:id="231" w:name="_Int_xYW0Z6w1"/>
      <w:r w:rsidR="1979FBEC">
        <w:t>In</w:t>
      </w:r>
      <w:bookmarkEnd w:id="231"/>
      <w:r w:rsidR="1979FBEC">
        <w:t xml:space="preserve"> the event that a power station is made up of more than one technology type, the type of the higher Transmission Entry Capacity (TEC) would apply.</w:t>
      </w:r>
    </w:p>
    <w:p w14:paraId="117E2079" w14:textId="77777777" w:rsidR="00940F3A" w:rsidRDefault="00940F3A" w:rsidP="000B6C0D">
      <w:pPr>
        <w:pStyle w:val="1"/>
        <w:ind w:left="1627"/>
        <w:jc w:val="both"/>
      </w:pPr>
    </w:p>
    <w:p w14:paraId="2EB07F79" w14:textId="77777777" w:rsidR="006661FE" w:rsidRDefault="006661FE" w:rsidP="006661FE">
      <w:pPr>
        <w:pStyle w:val="1"/>
        <w:jc w:val="both"/>
      </w:pPr>
    </w:p>
    <w:p w14:paraId="441723AB" w14:textId="04A50909" w:rsidR="006661FE" w:rsidRDefault="4DB720A2" w:rsidP="00533333">
      <w:pPr>
        <w:pStyle w:val="1"/>
        <w:numPr>
          <w:ilvl w:val="0"/>
          <w:numId w:val="73"/>
        </w:numPr>
        <w:jc w:val="both"/>
      </w:pPr>
      <w:r>
        <w:lastRenderedPageBreak/>
        <w:t xml:space="preserve">Nodal </w:t>
      </w:r>
      <w:r w:rsidR="2E7CB05B">
        <w:t xml:space="preserve">net </w:t>
      </w:r>
      <w:r>
        <w:t>demand data for the transport model</w:t>
      </w:r>
      <w:r w:rsidR="006661FE">
        <w:fldChar w:fldCharType="begin"/>
      </w:r>
      <w:r w:rsidR="006661FE">
        <w:instrText xml:space="preserve"> XE "transport model" </w:instrText>
      </w:r>
      <w:r w:rsidR="006661FE">
        <w:fldChar w:fldCharType="end"/>
      </w:r>
      <w:r>
        <w:t xml:space="preserve"> will be based upon the GSP </w:t>
      </w:r>
      <w:r w:rsidR="2E7CB05B">
        <w:t xml:space="preserve">net </w:t>
      </w:r>
      <w:r>
        <w:t>demand that Users have forecast to occur at the time of National Grid Peak Average Cold Spell (ACS) Demand for year "t" in the April Seven Year Statement</w:t>
      </w:r>
      <w:r w:rsidR="006661FE">
        <w:fldChar w:fldCharType="begin"/>
      </w:r>
      <w:r w:rsidR="006661FE">
        <w:instrText xml:space="preserve"> XE "Seven Year Statement" </w:instrText>
      </w:r>
      <w:r w:rsidR="006661FE">
        <w:fldChar w:fldCharType="end"/>
      </w:r>
      <w:r>
        <w:t xml:space="preserve"> for year "t-1" plus updates to the October of year "t-1"</w:t>
      </w:r>
      <w:r w:rsidR="4E6D708C">
        <w:t xml:space="preserve">. </w:t>
      </w:r>
    </w:p>
    <w:p w14:paraId="46C02160" w14:textId="77777777" w:rsidR="006661FE" w:rsidRDefault="006661FE" w:rsidP="006661FE">
      <w:pPr>
        <w:rPr>
          <w:rFonts w:ascii="Arial" w:hAnsi="Arial"/>
        </w:rPr>
      </w:pPr>
    </w:p>
    <w:p w14:paraId="53CD39F0" w14:textId="62C1C9B9" w:rsidR="006661FE" w:rsidRDefault="0B5BE15B" w:rsidP="00533333">
      <w:pPr>
        <w:pStyle w:val="1"/>
        <w:numPr>
          <w:ilvl w:val="0"/>
          <w:numId w:val="73"/>
        </w:numPr>
        <w:jc w:val="both"/>
      </w:pPr>
      <w:r>
        <w:t>Subject to paragraphs 14.15.</w:t>
      </w:r>
      <w:r w:rsidR="1D6C70C5">
        <w:t>15</w:t>
      </w:r>
      <w:r>
        <w:t xml:space="preserve"> to 14.15.</w:t>
      </w:r>
      <w:r w:rsidR="1D6C70C5">
        <w:t>22</w:t>
      </w:r>
      <w:r w:rsidR="7F5F322D">
        <w:t>, Transmission</w:t>
      </w:r>
      <w:r>
        <w:t xml:space="preserve"> ci</w:t>
      </w:r>
      <w:r w:rsidR="4DB720A2">
        <w:t xml:space="preserve">rcuits for </w:t>
      </w:r>
      <w:r w:rsidR="17E170F1" w:rsidRPr="0537B9E0">
        <w:rPr>
          <w:b/>
          <w:bCs/>
        </w:rPr>
        <w:t>Financial Year</w:t>
      </w:r>
      <w:r w:rsidR="4DB720A2">
        <w:t xml:space="preserve"> "t" will be defined as those with existing wayleaves for the year "t" with the associated lengths based on the circuit lengths indicated for year "t" in the April NETS Seven Year Statement</w:t>
      </w:r>
      <w:r w:rsidR="00A43F37">
        <w:fldChar w:fldCharType="begin"/>
      </w:r>
      <w:r w:rsidR="00A43F37">
        <w:instrText xml:space="preserve"> XE "Seven Year Statement" </w:instrText>
      </w:r>
      <w:r w:rsidR="00A43F37">
        <w:fldChar w:fldCharType="end"/>
      </w:r>
      <w:r w:rsidR="4DB720A2">
        <w:t xml:space="preserve"> for year "t-1" plus updates to October of year "t-1"</w:t>
      </w:r>
      <w:r w:rsidR="66FC3791">
        <w:t xml:space="preserve">. </w:t>
      </w:r>
      <w:r w:rsidR="4DB720A2">
        <w:t xml:space="preserve">If certain circuit information is not explicitly contained in the NETS Seven Year Statement, </w:t>
      </w:r>
      <w:r w:rsidR="58867969">
        <w:t>T</w:t>
      </w:r>
      <w:r w:rsidR="58867969" w:rsidRPr="0537B9E0">
        <w:rPr>
          <w:b/>
          <w:bCs/>
        </w:rPr>
        <w:t xml:space="preserve">he </w:t>
      </w:r>
      <w:r w:rsidR="4DB720A2" w:rsidRPr="0537B9E0">
        <w:rPr>
          <w:b/>
          <w:bCs/>
        </w:rPr>
        <w:t>Company</w:t>
      </w:r>
      <w:r w:rsidR="4DB720A2">
        <w:t xml:space="preserve"> will use the best information available.</w:t>
      </w:r>
    </w:p>
    <w:p w14:paraId="033492C5" w14:textId="77777777" w:rsidR="006661FE" w:rsidRDefault="006661FE" w:rsidP="006661FE">
      <w:pPr>
        <w:pStyle w:val="1"/>
        <w:jc w:val="both"/>
      </w:pPr>
    </w:p>
    <w:p w14:paraId="12EF363C" w14:textId="77777777" w:rsidR="006661FE" w:rsidRDefault="006661FE" w:rsidP="00533333">
      <w:pPr>
        <w:pStyle w:val="1"/>
        <w:numPr>
          <w:ilvl w:val="0"/>
          <w:numId w:val="73"/>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0B6C0D">
      <w:pPr>
        <w:pStyle w:val="ListParagraph"/>
      </w:pPr>
    </w:p>
    <w:p w14:paraId="6B5BAB35" w14:textId="44D60BAA" w:rsidR="003D1763" w:rsidRDefault="215705E8" w:rsidP="00533333">
      <w:pPr>
        <w:pStyle w:val="1"/>
        <w:numPr>
          <w:ilvl w:val="0"/>
          <w:numId w:val="73"/>
        </w:numPr>
        <w:tabs>
          <w:tab w:val="num" w:pos="1080"/>
        </w:tabs>
        <w:jc w:val="both"/>
      </w:pPr>
      <w:r>
        <w:t>For HVDC circuits, the impedance will be calculated to provide flows based on a ratio of the capacity provided by the HVDC link relative to the capacities on all major transmission system boundaries that it parallels</w:t>
      </w:r>
      <w:r w:rsidR="2774FECC">
        <w:t xml:space="preserve">. </w:t>
      </w:r>
    </w:p>
    <w:p w14:paraId="36C40884" w14:textId="77777777" w:rsidR="003D1763" w:rsidRDefault="003D1763" w:rsidP="000B6C0D">
      <w:pPr>
        <w:pStyle w:val="1"/>
        <w:ind w:left="1627"/>
        <w:jc w:val="both"/>
      </w:pPr>
    </w:p>
    <w:p w14:paraId="198777F6" w14:textId="77777777" w:rsidR="006661FE" w:rsidRDefault="006661FE" w:rsidP="006661FE">
      <w:pPr>
        <w:pStyle w:val="1"/>
        <w:jc w:val="both"/>
      </w:pPr>
    </w:p>
    <w:p w14:paraId="7D11E132" w14:textId="3E9DA020" w:rsidR="006661FE" w:rsidRDefault="4DB720A2" w:rsidP="00533333">
      <w:pPr>
        <w:pStyle w:val="1"/>
        <w:numPr>
          <w:ilvl w:val="0"/>
          <w:numId w:val="73"/>
        </w:numPr>
        <w:jc w:val="both"/>
      </w:pPr>
      <w:r>
        <w:t>The transport model employs the use of circuit expansion factors to</w:t>
      </w:r>
      <w:r w:rsidR="006661FE">
        <w:fldChar w:fldCharType="begin"/>
      </w:r>
      <w:r w:rsidR="006661FE">
        <w:instrText xml:space="preserve"> XE "cable factor" </w:instrText>
      </w:r>
      <w:r w:rsidR="006661FE">
        <w:fldChar w:fldCharType="end"/>
      </w:r>
      <w:r>
        <w:t xml:space="preserve"> reflect the difference in cost between (i)</w:t>
      </w:r>
      <w:r w:rsidR="215705E8">
        <w:t xml:space="preserve"> AC Circuits and HVDC circuits, (ii) underground a</w:t>
      </w:r>
      <w:r w:rsidR="2AEA7F89">
        <w:t>n</w:t>
      </w:r>
      <w:r w:rsidR="215705E8">
        <w:t>d sub-sea circuits, (iii)</w:t>
      </w:r>
      <w:r>
        <w:t xml:space="preserve"> cabled </w:t>
      </w:r>
      <w:r w:rsidR="215705E8">
        <w:t>circuits</w:t>
      </w:r>
      <w:r>
        <w:t xml:space="preserve"> and overhead line</w:t>
      </w:r>
      <w:r w:rsidR="215705E8">
        <w:t xml:space="preserve"> circuits, (iv)</w:t>
      </w:r>
      <w:r>
        <w:t xml:space="preserve"> 132kV and 275kV </w:t>
      </w:r>
      <w:r w:rsidR="215705E8">
        <w:t xml:space="preserve">circuits, (v) </w:t>
      </w:r>
      <w:r>
        <w:t xml:space="preserve">275kV </w:t>
      </w:r>
      <w:r w:rsidR="215705E8">
        <w:t>circuits</w:t>
      </w:r>
      <w:r>
        <w:t xml:space="preserve"> and 400kV </w:t>
      </w:r>
      <w:r w:rsidR="215705E8">
        <w:t>circuits</w:t>
      </w:r>
      <w:r>
        <w:t>, and (</w:t>
      </w:r>
      <w:r w:rsidR="215705E8">
        <w:t>vi</w:t>
      </w:r>
      <w:r>
        <w:t>) uses 400kV overhead line (i.e. the 400kV overhead line expansion factor is 1).  As the transport model</w:t>
      </w:r>
      <w:r w:rsidR="006661FE">
        <w:fldChar w:fldCharType="begin"/>
      </w:r>
      <w:r w:rsidR="006661FE">
        <w:instrText xml:space="preserve"> XE "transport model" </w:instrText>
      </w:r>
      <w:r w:rsidR="006661FE">
        <w:fldChar w:fldCharType="end"/>
      </w:r>
      <w:r>
        <w:t xml:space="preserve"> expresses cost as marginal km (irrespective of cables or overhead lines), some account needs to be made of the fact that investment in these other types of circuit (specifically</w:t>
      </w:r>
      <w:r w:rsidR="215705E8">
        <w:t xml:space="preserve"> HVDC and sub-sea cables of various voltages,</w:t>
      </w:r>
      <w:r>
        <w:t xml:space="preserve"> 400kV</w:t>
      </w:r>
      <w:r w:rsidR="215705E8">
        <w:t xml:space="preserve"> underground</w:t>
      </w:r>
      <w:r>
        <w:t xml:space="preserve"> cable, 275kV overhead line, 275kV </w:t>
      </w:r>
      <w:r w:rsidR="215705E8">
        <w:t xml:space="preserve">underground </w:t>
      </w:r>
      <w:r>
        <w:t>cable, 132kV overhead line and 132kV</w:t>
      </w:r>
      <w:r w:rsidR="215705E8">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t>
      </w:r>
      <w:r w:rsidR="287AB955">
        <w:t xml:space="preserve">. </w:t>
      </w:r>
      <w:r>
        <w:t>When calculating the local circuit tariff for a generator, alternative 132kV and offshore expansion factors to those used in the remainder of the tariff calculation are applied to the generator’s local circuits.</w:t>
      </w:r>
    </w:p>
    <w:p w14:paraId="31F92A49" w14:textId="77777777" w:rsidR="006661FE" w:rsidRDefault="006661FE" w:rsidP="006661FE">
      <w:pPr>
        <w:pStyle w:val="1"/>
        <w:jc w:val="both"/>
      </w:pPr>
    </w:p>
    <w:p w14:paraId="3ED7F462" w14:textId="77777777" w:rsidR="006661FE" w:rsidRDefault="215705E8" w:rsidP="00533333">
      <w:pPr>
        <w:pStyle w:val="1"/>
        <w:numPr>
          <w:ilvl w:val="0"/>
          <w:numId w:val="73"/>
        </w:numPr>
        <w:jc w:val="both"/>
      </w:pPr>
      <w:r>
        <w:t>The circuit expansion factors for H</w:t>
      </w:r>
      <w:r w:rsidR="2AEA7F89">
        <w:t>VDC</w:t>
      </w:r>
      <w:r>
        <w:t xml:space="preserve"> circuits and AC subsea cables are determined on a </w:t>
      </w:r>
      <w:bookmarkStart w:id="232" w:name="_Int_Rv5nVH1x"/>
      <w:r>
        <w:t>case by case</w:t>
      </w:r>
      <w:bookmarkEnd w:id="232"/>
      <w:r>
        <w:t xml:space="preserve"> </w:t>
      </w:r>
      <w:r w:rsidR="4DB720A2">
        <w:t xml:space="preserve">basis </w:t>
      </w:r>
      <w:r>
        <w:t xml:space="preserve">using </w:t>
      </w:r>
      <w:r w:rsidR="4DB720A2">
        <w:t>the costs</w:t>
      </w:r>
      <w:r w:rsidR="2AEA7F89">
        <w:t xml:space="preserve"> </w:t>
      </w:r>
      <w:r>
        <w:t xml:space="preserve">which are specific to </w:t>
      </w:r>
      <w:r w:rsidR="2AEA7F89">
        <w:t>i</w:t>
      </w:r>
      <w:r>
        <w:t xml:space="preserve">ndividual projects containing HVDC or AC subsea circuits. </w:t>
      </w:r>
    </w:p>
    <w:p w14:paraId="7DC72079" w14:textId="77777777" w:rsidR="00125177" w:rsidRDefault="00125177" w:rsidP="00125177">
      <w:pPr>
        <w:pStyle w:val="1"/>
        <w:ind w:left="720"/>
        <w:jc w:val="both"/>
      </w:pPr>
    </w:p>
    <w:p w14:paraId="5B35D018"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3A7D1896" w14:textId="77777777" w:rsidR="00125177" w:rsidRDefault="00125177" w:rsidP="00125177">
      <w:pPr>
        <w:pStyle w:val="1"/>
        <w:ind w:left="720"/>
        <w:jc w:val="both"/>
      </w:pPr>
    </w:p>
    <w:p w14:paraId="6C251399" w14:textId="28A3D070" w:rsidR="00125177" w:rsidRPr="00B779DB" w:rsidRDefault="00125177" w:rsidP="00533333">
      <w:pPr>
        <w:pStyle w:val="1"/>
        <w:numPr>
          <w:ilvl w:val="0"/>
          <w:numId w:val="73"/>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1CE92958" w:rsidRPr="00C94D4B">
        <w:rPr>
          <w:b/>
        </w:rPr>
        <w:t>The Company</w:t>
      </w:r>
      <w:r w:rsidRPr="00C94D4B">
        <w:rPr>
          <w:b/>
        </w:rPr>
        <w:t xml:space="preserve"> </w:t>
      </w:r>
      <w:r w:rsidRPr="00B779DB">
        <w:t xml:space="preserve">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125177">
      <w:pPr>
        <w:pStyle w:val="1"/>
        <w:ind w:left="720"/>
        <w:jc w:val="both"/>
      </w:pPr>
    </w:p>
    <w:p w14:paraId="3E1F1C15" w14:textId="77777777" w:rsidR="00125177" w:rsidRPr="00BF295A" w:rsidRDefault="00125177" w:rsidP="00533333">
      <w:pPr>
        <w:pStyle w:val="1"/>
        <w:numPr>
          <w:ilvl w:val="0"/>
          <w:numId w:val="73"/>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125177">
      <w:pPr>
        <w:pStyle w:val="1"/>
        <w:jc w:val="both"/>
      </w:pPr>
    </w:p>
    <w:p w14:paraId="70E197C6" w14:textId="2F802BC9" w:rsidR="00125177" w:rsidRPr="00E622C1" w:rsidRDefault="00125177" w:rsidP="00533333">
      <w:pPr>
        <w:pStyle w:val="1"/>
        <w:numPr>
          <w:ilvl w:val="0"/>
          <w:numId w:val="73"/>
        </w:numPr>
        <w:jc w:val="both"/>
      </w:pPr>
      <w:r w:rsidRPr="00BF295A">
        <w:t xml:space="preserve">Such adjustment shall be made following a User’s request, which </w:t>
      </w:r>
      <w:r w:rsidRPr="00C52A02">
        <w:t xml:space="preserve">must be received by </w:t>
      </w:r>
      <w:r w:rsidR="1CE92958" w:rsidRPr="00C94D4B">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125177">
      <w:pPr>
        <w:pStyle w:val="1"/>
        <w:ind w:left="720"/>
        <w:jc w:val="both"/>
      </w:pPr>
    </w:p>
    <w:p w14:paraId="231CF2E6" w14:textId="57C1A9B6" w:rsidR="00125177" w:rsidRPr="00BF295A" w:rsidRDefault="2EBFAECD" w:rsidP="00533333">
      <w:pPr>
        <w:pStyle w:val="1"/>
        <w:numPr>
          <w:ilvl w:val="0"/>
          <w:numId w:val="73"/>
        </w:numPr>
        <w:jc w:val="both"/>
      </w:pPr>
      <w:r w:rsidRPr="00C94D4B">
        <w:rPr>
          <w:b/>
          <w:bCs/>
        </w:rPr>
        <w:t>The</w:t>
      </w:r>
      <w:r w:rsidR="74A13DBC" w:rsidRPr="00C94D4B">
        <w:rPr>
          <w:b/>
          <w:bCs/>
        </w:rPr>
        <w:t xml:space="preserve"> Company </w:t>
      </w:r>
      <w:r w:rsidR="74A13DBC">
        <w:t>shall only make an adjustment to the transport model inputs, under paragraph 14.15.1</w:t>
      </w:r>
      <w:r w:rsidR="0FDE3D92">
        <w:t>6</w:t>
      </w:r>
      <w:r w:rsidR="74A13DBC">
        <w:t xml:space="preserve"> where the charge was paid to the relevant TO prior to 1st April 2005 where evidence has been provided by the User that satisfies </w:t>
      </w:r>
      <w:r w:rsidRPr="00C94D4B">
        <w:rPr>
          <w:b/>
          <w:bCs/>
        </w:rPr>
        <w:t>The Company</w:t>
      </w:r>
      <w:r w:rsidR="74A13DBC">
        <w:t xml:space="preserve"> that works equivalent to those under paragraph 14.15.1</w:t>
      </w:r>
      <w:r w:rsidR="0FDE3D92">
        <w:t>5</w:t>
      </w:r>
      <w:r w:rsidR="74A13DBC">
        <w:t xml:space="preserve"> were funded by the User.</w:t>
      </w:r>
    </w:p>
    <w:p w14:paraId="289F33D4" w14:textId="77777777" w:rsidR="00125177" w:rsidRPr="00BF295A" w:rsidRDefault="00125177" w:rsidP="00125177">
      <w:pPr>
        <w:pStyle w:val="1"/>
        <w:jc w:val="both"/>
      </w:pPr>
    </w:p>
    <w:p w14:paraId="7E94106C" w14:textId="073D1988" w:rsidR="00125177" w:rsidRPr="00E622C1" w:rsidRDefault="74A13DBC" w:rsidP="00533333">
      <w:pPr>
        <w:pStyle w:val="1"/>
        <w:numPr>
          <w:ilvl w:val="0"/>
          <w:numId w:val="73"/>
        </w:numPr>
        <w:jc w:val="both"/>
      </w:pPr>
      <w:r w:rsidRPr="6D50A407">
        <w:rPr>
          <w:rFonts w:ascii="Arial" w:hAnsi="Arial" w:cs="Arial"/>
        </w:rPr>
        <w:t>Where a User has sufficient reason to believe that adjustments under paragraph 14.15.1</w:t>
      </w:r>
      <w:r w:rsidR="0FDE3D92" w:rsidRPr="6D50A407">
        <w:rPr>
          <w:rFonts w:ascii="Arial" w:hAnsi="Arial" w:cs="Arial"/>
        </w:rPr>
        <w:t>8</w:t>
      </w:r>
      <w:r w:rsidRPr="6D50A407">
        <w:rPr>
          <w:rFonts w:ascii="Arial" w:hAnsi="Arial" w:cs="Arial"/>
        </w:rPr>
        <w:t xml:space="preserve"> should be made in relation to specific assets that affect a TNUoS tariff that applies to one of its sites and outlines its reasoning to </w:t>
      </w:r>
      <w:r w:rsidR="2EBFAECD" w:rsidRPr="6D50A407">
        <w:rPr>
          <w:rFonts w:ascii="Arial" w:hAnsi="Arial" w:cs="Arial"/>
        </w:rPr>
        <w:t>T</w:t>
      </w:r>
      <w:r w:rsidR="2EBFAECD" w:rsidRPr="00C94D4B">
        <w:rPr>
          <w:rFonts w:ascii="Arial" w:hAnsi="Arial" w:cs="Arial"/>
          <w:b/>
          <w:bCs/>
        </w:rPr>
        <w:t>he Company</w:t>
      </w:r>
      <w:r w:rsidRPr="6D50A407">
        <w:rPr>
          <w:rFonts w:ascii="Arial" w:hAnsi="Arial" w:cs="Arial"/>
        </w:rPr>
        <w:t xml:space="preserve">, </w:t>
      </w:r>
      <w:r w:rsidR="2EBFAECD" w:rsidRPr="00C94D4B">
        <w:rPr>
          <w:rFonts w:ascii="Arial" w:hAnsi="Arial" w:cs="Arial"/>
          <w:b/>
          <w:bCs/>
        </w:rPr>
        <w:t>The</w:t>
      </w:r>
      <w:r w:rsidRPr="00C94D4B">
        <w:rPr>
          <w:rFonts w:ascii="Arial" w:hAnsi="Arial" w:cs="Arial"/>
          <w:b/>
          <w:bCs/>
        </w:rPr>
        <w:t xml:space="preserve"> Company </w:t>
      </w:r>
      <w:r w:rsidRPr="6D50A407">
        <w:rPr>
          <w:rFonts w:ascii="Arial" w:hAnsi="Arial" w:cs="Arial"/>
        </w:rPr>
        <w:t xml:space="preserve">shall (upon the User’s request and subject to the User’s payment of reasonable costs incurred by </w:t>
      </w:r>
      <w:r w:rsidR="2EBFAECD" w:rsidRPr="00C94D4B">
        <w:rPr>
          <w:rFonts w:ascii="Arial" w:hAnsi="Arial" w:cs="Arial"/>
          <w:b/>
          <w:bCs/>
        </w:rPr>
        <w:t>The Company</w:t>
      </w:r>
      <w:r w:rsidRPr="00C94D4B">
        <w:rPr>
          <w:rFonts w:ascii="Arial" w:hAnsi="Arial" w:cs="Arial"/>
          <w:b/>
          <w:bCs/>
        </w:rPr>
        <w:t xml:space="preserve"> </w:t>
      </w:r>
      <w:r w:rsidRPr="6D50A407">
        <w:rPr>
          <w:rFonts w:ascii="Arial" w:hAnsi="Arial" w:cs="Arial"/>
        </w:rPr>
        <w:t xml:space="preserve">in doing so) use its reasonable endeavours to assist the User in obtaining any evidence </w:t>
      </w:r>
      <w:r w:rsidR="2EBFAECD" w:rsidRPr="00C94D4B">
        <w:rPr>
          <w:rFonts w:ascii="Arial" w:hAnsi="Arial" w:cs="Arial"/>
          <w:b/>
          <w:bCs/>
        </w:rPr>
        <w:t>The Company</w:t>
      </w:r>
      <w:r w:rsidRPr="6D50A407">
        <w:rPr>
          <w:rFonts w:ascii="Arial" w:hAnsi="Arial" w:cs="Arial"/>
        </w:rPr>
        <w:t xml:space="preserve"> or a TO may have to support its position.</w:t>
      </w:r>
    </w:p>
    <w:p w14:paraId="1146F939" w14:textId="77777777" w:rsidR="00125177" w:rsidRPr="00A51DF5" w:rsidRDefault="00125177" w:rsidP="00316591">
      <w:pPr>
        <w:pStyle w:val="1"/>
        <w:jc w:val="both"/>
      </w:pPr>
    </w:p>
    <w:p w14:paraId="6AD3A817" w14:textId="5192A985" w:rsidR="00125177" w:rsidRDefault="74A13DBC" w:rsidP="00533333">
      <w:pPr>
        <w:pStyle w:val="1"/>
        <w:numPr>
          <w:ilvl w:val="0"/>
          <w:numId w:val="73"/>
        </w:numPr>
        <w:jc w:val="both"/>
      </w:pPr>
      <w:r>
        <w:t>Where a request is made under paragraph 14.15.1</w:t>
      </w:r>
      <w:r w:rsidR="0FDE3D92">
        <w:t>6</w:t>
      </w:r>
      <w:r>
        <w:t xml:space="preserve"> on or prior to 31</w:t>
      </w:r>
      <w:r w:rsidRPr="6D50A407">
        <w:rPr>
          <w:vertAlign w:val="superscript"/>
        </w:rPr>
        <w:t>st</w:t>
      </w:r>
      <w:r>
        <w:t xml:space="preserve"> December in a </w:t>
      </w:r>
      <w:r w:rsidR="3ADBE61C" w:rsidRPr="6D50A407">
        <w:rPr>
          <w:b/>
          <w:bCs/>
        </w:rPr>
        <w:t>Financial Year</w:t>
      </w:r>
      <w:r>
        <w:t xml:space="preserve">, and </w:t>
      </w:r>
      <w:r w:rsidR="2EBFAECD" w:rsidRPr="00C94D4B">
        <w:rPr>
          <w:b/>
          <w:bCs/>
        </w:rPr>
        <w:t>The Company</w:t>
      </w:r>
      <w:r>
        <w:t xml:space="preserve"> is satisfied based on the accompanying evidence provided to </w:t>
      </w:r>
      <w:r w:rsidR="2EBFAECD" w:rsidRPr="00C94D4B">
        <w:rPr>
          <w:b/>
          <w:bCs/>
        </w:rPr>
        <w:t>The Company</w:t>
      </w:r>
      <w:r w:rsidRPr="00C94D4B">
        <w:rPr>
          <w:b/>
          <w:bCs/>
        </w:rPr>
        <w:t xml:space="preserve"> </w:t>
      </w:r>
      <w:r>
        <w:t>under paragraph 14.15.1</w:t>
      </w:r>
      <w:r w:rsidR="0FDE3D92">
        <w:t>7</w:t>
      </w:r>
      <w:r>
        <w:t xml:space="preserve"> that it is a valid request, the transport model inputs shall be adjusted accordingly and taken into account in the calculation of TNUoS tariffs effective from the year commencing on the 1</w:t>
      </w:r>
      <w:r w:rsidRPr="6D50A407">
        <w:rPr>
          <w:vertAlign w:val="superscript"/>
        </w:rPr>
        <w:t>st</w:t>
      </w:r>
      <w:r>
        <w:t xml:space="preserve"> April following this and otherwise from the next subsequent 1</w:t>
      </w:r>
      <w:r w:rsidRPr="6D50A407">
        <w:rPr>
          <w:vertAlign w:val="superscript"/>
        </w:rPr>
        <w:t>st</w:t>
      </w:r>
      <w:r>
        <w:t xml:space="preserve"> April. </w:t>
      </w:r>
    </w:p>
    <w:p w14:paraId="54E476E3" w14:textId="77777777" w:rsidR="00125177" w:rsidRDefault="00125177" w:rsidP="00316591">
      <w:pPr>
        <w:pStyle w:val="1"/>
        <w:jc w:val="both"/>
      </w:pPr>
    </w:p>
    <w:p w14:paraId="5BB1B81B" w14:textId="77777777" w:rsidR="00125177" w:rsidRDefault="00125177" w:rsidP="00533333">
      <w:pPr>
        <w:pStyle w:val="1"/>
        <w:numPr>
          <w:ilvl w:val="0"/>
          <w:numId w:val="73"/>
        </w:numPr>
        <w:jc w:val="both"/>
      </w:pPr>
      <w:r>
        <w:t>The following table provides examples of works for which adjustments to transport model inputs would typically apply:</w:t>
      </w:r>
    </w:p>
    <w:p w14:paraId="4BF0D540"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756A94BF"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70BEB9E1"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0ABF3000"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125177">
      <w:pPr>
        <w:pStyle w:val="1"/>
        <w:jc w:val="both"/>
      </w:pPr>
    </w:p>
    <w:p w14:paraId="1B9FD47D" w14:textId="77777777" w:rsidR="00125177" w:rsidRDefault="00125177" w:rsidP="00533333">
      <w:pPr>
        <w:pStyle w:val="1"/>
        <w:numPr>
          <w:ilvl w:val="0"/>
          <w:numId w:val="73"/>
        </w:numPr>
        <w:jc w:val="both"/>
      </w:pPr>
      <w:r>
        <w:t>The following table provides examples of works for which adjustments to transport model typically would not apply:</w:t>
      </w:r>
    </w:p>
    <w:p w14:paraId="5DA77BF3"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2D2DFA6A" w14:textId="77777777" w:rsidTr="0537B9E0">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Borders>
              <w:top w:val="single" w:sz="4" w:space="0" w:color="auto"/>
              <w:left w:val="single" w:sz="4" w:space="0" w:color="auto"/>
              <w:bottom w:val="single" w:sz="4" w:space="0" w:color="auto"/>
              <w:right w:val="single" w:sz="4" w:space="0" w:color="auto"/>
            </w:tcBorders>
          </w:tcPr>
          <w:p w14:paraId="57EC789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25DC238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Borders>
              <w:top w:val="single" w:sz="4" w:space="0" w:color="auto"/>
              <w:left w:val="single" w:sz="4" w:space="0" w:color="auto"/>
              <w:bottom w:val="single" w:sz="4" w:space="0" w:color="auto"/>
              <w:right w:val="single" w:sz="4" w:space="0" w:color="auto"/>
            </w:tcBorders>
          </w:tcPr>
          <w:p w14:paraId="094B1177"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3265B59"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Borders>
              <w:top w:val="single" w:sz="4" w:space="0" w:color="auto"/>
              <w:left w:val="single" w:sz="4" w:space="0" w:color="auto"/>
              <w:bottom w:val="single" w:sz="4" w:space="0" w:color="auto"/>
              <w:right w:val="single" w:sz="4" w:space="0" w:color="auto"/>
            </w:tcBorders>
          </w:tcPr>
          <w:p w14:paraId="518B4E88"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Borders>
              <w:top w:val="single" w:sz="4" w:space="0" w:color="auto"/>
              <w:left w:val="single" w:sz="4" w:space="0" w:color="auto"/>
              <w:bottom w:val="single" w:sz="4" w:space="0" w:color="auto"/>
              <w:right w:val="single" w:sz="4" w:space="0" w:color="auto"/>
            </w:tcBorders>
          </w:tcPr>
          <w:p w14:paraId="68509224"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25831CF8"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Borders>
              <w:top w:val="single" w:sz="4" w:space="0" w:color="auto"/>
              <w:left w:val="single" w:sz="4" w:space="0" w:color="auto"/>
              <w:bottom w:val="single" w:sz="4" w:space="0" w:color="auto"/>
              <w:right w:val="single" w:sz="4" w:space="0" w:color="auto"/>
            </w:tcBorders>
          </w:tcPr>
          <w:p w14:paraId="7CA01106"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Borders>
              <w:top w:val="single" w:sz="4" w:space="0" w:color="auto"/>
              <w:left w:val="single" w:sz="4" w:space="0" w:color="auto"/>
              <w:bottom w:val="single" w:sz="4" w:space="0" w:color="auto"/>
              <w:right w:val="single" w:sz="4" w:space="0" w:color="auto"/>
            </w:tcBorders>
          </w:tcPr>
          <w:p w14:paraId="23BA0C5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Borders>
              <w:top w:val="single" w:sz="4" w:space="0" w:color="auto"/>
              <w:left w:val="single" w:sz="4" w:space="0" w:color="auto"/>
              <w:bottom w:val="single" w:sz="4" w:space="0" w:color="auto"/>
              <w:right w:val="single" w:sz="4" w:space="0" w:color="auto"/>
            </w:tcBorders>
          </w:tcPr>
          <w:p w14:paraId="33783482"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Borders>
              <w:top w:val="single" w:sz="4" w:space="0" w:color="auto"/>
              <w:left w:val="single" w:sz="4" w:space="0" w:color="auto"/>
              <w:bottom w:val="single" w:sz="4" w:space="0" w:color="auto"/>
              <w:right w:val="single" w:sz="4" w:space="0" w:color="auto"/>
            </w:tcBorders>
          </w:tcPr>
          <w:p w14:paraId="31FB2359"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Borders>
              <w:top w:val="single" w:sz="4" w:space="0" w:color="auto"/>
              <w:left w:val="single" w:sz="4" w:space="0" w:color="auto"/>
              <w:bottom w:val="single" w:sz="4" w:space="0" w:color="auto"/>
              <w:right w:val="single" w:sz="4" w:space="0" w:color="auto"/>
            </w:tcBorders>
          </w:tcPr>
          <w:p w14:paraId="0A87CB3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Borders>
              <w:top w:val="single" w:sz="4" w:space="0" w:color="auto"/>
              <w:left w:val="single" w:sz="4" w:space="0" w:color="auto"/>
              <w:bottom w:val="single" w:sz="4" w:space="0" w:color="auto"/>
              <w:right w:val="single" w:sz="4" w:space="0" w:color="auto"/>
            </w:tcBorders>
          </w:tcPr>
          <w:p w14:paraId="168C24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Borders>
              <w:top w:val="single" w:sz="4" w:space="0" w:color="auto"/>
              <w:left w:val="single" w:sz="4" w:space="0" w:color="auto"/>
              <w:bottom w:val="single" w:sz="4" w:space="0" w:color="auto"/>
              <w:right w:val="single" w:sz="4" w:space="0" w:color="auto"/>
            </w:tcBorders>
          </w:tcPr>
          <w:p w14:paraId="028243D5"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Borders>
              <w:top w:val="single" w:sz="4" w:space="0" w:color="auto"/>
              <w:left w:val="single" w:sz="4" w:space="0" w:color="auto"/>
              <w:bottom w:val="single" w:sz="4" w:space="0" w:color="auto"/>
              <w:right w:val="single" w:sz="4" w:space="0" w:color="auto"/>
            </w:tcBorders>
          </w:tcPr>
          <w:p w14:paraId="5A70F0FC" w14:textId="77777777" w:rsidR="00125177" w:rsidRPr="00677208" w:rsidRDefault="274BA55B" w:rsidP="0537B9E0">
            <w:pPr>
              <w:rPr>
                <w:rFonts w:ascii="Arial" w:hAnsi="Arial" w:cs="Arial"/>
                <w:sz w:val="22"/>
                <w:szCs w:val="22"/>
              </w:rPr>
            </w:pPr>
            <w:r w:rsidRPr="0537B9E0">
              <w:rPr>
                <w:rFonts w:ascii="Arial" w:hAnsi="Arial" w:cs="Arial"/>
                <w:sz w:val="22"/>
                <w:szCs w:val="22"/>
              </w:rPr>
              <w:t>Additional substation works - Changes to connection assets (</w:t>
            </w:r>
            <w:bookmarkStart w:id="233" w:name="_Int_6PdXfbG2"/>
            <w:r w:rsidRPr="0537B9E0">
              <w:rPr>
                <w:rFonts w:ascii="Arial" w:hAnsi="Arial" w:cs="Arial"/>
                <w:sz w:val="22"/>
                <w:szCs w:val="22"/>
              </w:rPr>
              <w:t>e.g.</w:t>
            </w:r>
            <w:bookmarkEnd w:id="233"/>
            <w:r w:rsidRPr="0537B9E0">
              <w:rPr>
                <w:rFonts w:ascii="Arial" w:hAnsi="Arial" w:cs="Arial"/>
                <w:sz w:val="22"/>
                <w:szCs w:val="22"/>
              </w:rPr>
              <w:t xml:space="preserve"> HV-LV transformers and associated switchgear), metering, additional LV supplies, additional protection equipment, additional building works, etc.</w:t>
            </w:r>
          </w:p>
        </w:tc>
        <w:tc>
          <w:tcPr>
            <w:tcW w:w="3685" w:type="dxa"/>
            <w:tcBorders>
              <w:top w:val="single" w:sz="4" w:space="0" w:color="auto"/>
              <w:left w:val="single" w:sz="4" w:space="0" w:color="auto"/>
              <w:bottom w:val="single" w:sz="4" w:space="0" w:color="auto"/>
              <w:right w:val="single" w:sz="4" w:space="0" w:color="auto"/>
            </w:tcBorders>
          </w:tcPr>
          <w:p w14:paraId="39D9CCA4"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Borders>
              <w:top w:val="single" w:sz="4" w:space="0" w:color="auto"/>
              <w:left w:val="single" w:sz="4" w:space="0" w:color="auto"/>
              <w:bottom w:val="single" w:sz="4" w:space="0" w:color="auto"/>
              <w:right w:val="single" w:sz="4" w:space="0" w:color="auto"/>
            </w:tcBorders>
          </w:tcPr>
          <w:p w14:paraId="6F083BFE"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Borders>
              <w:top w:val="single" w:sz="4" w:space="0" w:color="auto"/>
              <w:left w:val="single" w:sz="4" w:space="0" w:color="auto"/>
              <w:bottom w:val="single" w:sz="4" w:space="0" w:color="auto"/>
              <w:right w:val="single" w:sz="4" w:space="0" w:color="auto"/>
            </w:tcBorders>
          </w:tcPr>
          <w:p w14:paraId="29F2711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Borders>
              <w:top w:val="single" w:sz="4" w:space="0" w:color="auto"/>
              <w:left w:val="single" w:sz="4" w:space="0" w:color="auto"/>
              <w:bottom w:val="single" w:sz="4" w:space="0" w:color="auto"/>
              <w:right w:val="single" w:sz="4" w:space="0" w:color="auto"/>
            </w:tcBorders>
          </w:tcPr>
          <w:p w14:paraId="54E955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Borders>
              <w:top w:val="single" w:sz="4" w:space="0" w:color="auto"/>
              <w:left w:val="single" w:sz="4" w:space="0" w:color="auto"/>
              <w:bottom w:val="single" w:sz="4" w:space="0" w:color="auto"/>
              <w:right w:val="single" w:sz="4" w:space="0" w:color="auto"/>
            </w:tcBorders>
          </w:tcPr>
          <w:p w14:paraId="5A194BF1"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Borders>
              <w:top w:val="single" w:sz="4" w:space="0" w:color="auto"/>
              <w:left w:val="single" w:sz="4" w:space="0" w:color="auto"/>
              <w:bottom w:val="single" w:sz="4" w:space="0" w:color="auto"/>
              <w:right w:val="single" w:sz="4" w:space="0" w:color="auto"/>
            </w:tcBorders>
          </w:tcPr>
          <w:p w14:paraId="178340A8" w14:textId="77777777" w:rsidR="00125177" w:rsidRPr="00677208" w:rsidRDefault="274BA55B" w:rsidP="0537B9E0">
            <w:pPr>
              <w:rPr>
                <w:rFonts w:ascii="Arial" w:hAnsi="Arial" w:cs="Arial"/>
                <w:sz w:val="22"/>
                <w:szCs w:val="22"/>
              </w:rPr>
            </w:pPr>
            <w:r w:rsidRPr="0537B9E0">
              <w:rPr>
                <w:rFonts w:ascii="Arial" w:hAnsi="Arial" w:cs="Arial"/>
                <w:sz w:val="22"/>
                <w:szCs w:val="22"/>
              </w:rPr>
              <w:t xml:space="preserve">Connection Entry Capacity (CEC) before Transmission Entry Capacity (TEC). A User asks for a connection in a year prior to the relating TEC; </w:t>
            </w:r>
            <w:bookmarkStart w:id="234" w:name="_Int_h0oQ8U6P"/>
            <w:r w:rsidRPr="0537B9E0">
              <w:rPr>
                <w:rFonts w:ascii="Arial" w:hAnsi="Arial" w:cs="Arial"/>
                <w:sz w:val="22"/>
                <w:szCs w:val="22"/>
              </w:rPr>
              <w:t>i.e.</w:t>
            </w:r>
            <w:bookmarkEnd w:id="234"/>
            <w:r w:rsidRPr="0537B9E0">
              <w:rPr>
                <w:rFonts w:ascii="Arial" w:hAnsi="Arial" w:cs="Arial"/>
                <w:sz w:val="22"/>
                <w:szCs w:val="22"/>
              </w:rPr>
              <w:t xml:space="preserve"> physical connection without capacity.</w:t>
            </w:r>
          </w:p>
        </w:tc>
        <w:tc>
          <w:tcPr>
            <w:tcW w:w="3685" w:type="dxa"/>
            <w:tcBorders>
              <w:top w:val="single" w:sz="4" w:space="0" w:color="auto"/>
              <w:left w:val="single" w:sz="4" w:space="0" w:color="auto"/>
              <w:bottom w:val="single" w:sz="4" w:space="0" w:color="auto"/>
              <w:right w:val="single" w:sz="4" w:space="0" w:color="auto"/>
            </w:tcBorders>
          </w:tcPr>
          <w:p w14:paraId="21543A49" w14:textId="34732A68" w:rsidR="00125177" w:rsidRPr="00677208" w:rsidRDefault="274BA55B" w:rsidP="0537B9E0">
            <w:pPr>
              <w:rPr>
                <w:rFonts w:ascii="Arial" w:hAnsi="Arial" w:cs="Arial"/>
                <w:sz w:val="22"/>
                <w:szCs w:val="22"/>
              </w:rPr>
            </w:pPr>
            <w:r w:rsidRPr="0537B9E0">
              <w:rPr>
                <w:rFonts w:ascii="Arial" w:hAnsi="Arial" w:cs="Arial"/>
                <w:sz w:val="22"/>
                <w:szCs w:val="22"/>
              </w:rPr>
              <w:t xml:space="preserve">No additional works are being </w:t>
            </w:r>
            <w:bookmarkStart w:id="235" w:name="_Int_dMbJ9VUH"/>
            <w:r w:rsidRPr="0537B9E0">
              <w:rPr>
                <w:rFonts w:ascii="Arial" w:hAnsi="Arial" w:cs="Arial"/>
                <w:sz w:val="22"/>
                <w:szCs w:val="22"/>
              </w:rPr>
              <w:t>undertaken,</w:t>
            </w:r>
            <w:bookmarkEnd w:id="235"/>
            <w:r w:rsidRPr="0537B9E0">
              <w:rPr>
                <w:rFonts w:ascii="Arial" w:hAnsi="Arial" w:cs="Arial"/>
                <w:sz w:val="22"/>
                <w:szCs w:val="22"/>
              </w:rPr>
              <w:t xml:space="preserve"> works are simply being completed well in advance of the generator commissioning. The One-Off Charge reflects the depreciated value of the assets prior to commissioning (and any TNUoS being charged)</w:t>
            </w:r>
            <w:r w:rsidR="2E14EA29" w:rsidRPr="0537B9E0">
              <w:rPr>
                <w:rFonts w:ascii="Arial" w:hAnsi="Arial" w:cs="Arial"/>
                <w:sz w:val="22"/>
                <w:szCs w:val="22"/>
              </w:rPr>
              <w:t xml:space="preserve">. </w:t>
            </w:r>
          </w:p>
        </w:tc>
      </w:tr>
      <w:tr w:rsidR="00125177" w:rsidRPr="008B03FC" w14:paraId="63E36D2C"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Borders>
              <w:top w:val="single" w:sz="4" w:space="0" w:color="auto"/>
              <w:left w:val="single" w:sz="4" w:space="0" w:color="auto"/>
              <w:bottom w:val="single" w:sz="4" w:space="0" w:color="auto"/>
              <w:right w:val="single" w:sz="4" w:space="0" w:color="auto"/>
            </w:tcBorders>
          </w:tcPr>
          <w:p w14:paraId="167E5756"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Borders>
              <w:top w:val="single" w:sz="4" w:space="0" w:color="auto"/>
              <w:left w:val="single" w:sz="4" w:space="0" w:color="auto"/>
              <w:bottom w:val="single" w:sz="4" w:space="0" w:color="auto"/>
              <w:right w:val="single" w:sz="4" w:space="0" w:color="auto"/>
            </w:tcBorders>
          </w:tcPr>
          <w:p w14:paraId="07E933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Borders>
              <w:top w:val="single" w:sz="4" w:space="0" w:color="auto"/>
              <w:left w:val="single" w:sz="4" w:space="0" w:color="auto"/>
              <w:bottom w:val="single" w:sz="4" w:space="0" w:color="auto"/>
              <w:right w:val="single" w:sz="4" w:space="0" w:color="auto"/>
            </w:tcBorders>
          </w:tcPr>
          <w:p w14:paraId="18788DC5"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Borders>
              <w:top w:val="single" w:sz="4" w:space="0" w:color="auto"/>
              <w:left w:val="single" w:sz="4" w:space="0" w:color="auto"/>
              <w:bottom w:val="single" w:sz="4" w:space="0" w:color="auto"/>
              <w:right w:val="single" w:sz="4" w:space="0" w:color="auto"/>
            </w:tcBorders>
          </w:tcPr>
          <w:p w14:paraId="26E00A1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Borders>
              <w:top w:val="single" w:sz="4" w:space="0" w:color="auto"/>
              <w:left w:val="single" w:sz="4" w:space="0" w:color="auto"/>
              <w:bottom w:val="single" w:sz="4" w:space="0" w:color="auto"/>
              <w:right w:val="single" w:sz="4" w:space="0" w:color="auto"/>
            </w:tcBorders>
          </w:tcPr>
          <w:p w14:paraId="7BEF539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Borders>
              <w:top w:val="single" w:sz="4" w:space="0" w:color="auto"/>
              <w:left w:val="single" w:sz="4" w:space="0" w:color="auto"/>
              <w:bottom w:val="single" w:sz="4" w:space="0" w:color="auto"/>
              <w:right w:val="single" w:sz="4" w:space="0" w:color="auto"/>
            </w:tcBorders>
          </w:tcPr>
          <w:p w14:paraId="4FF027C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B6ABB2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Borders>
              <w:top w:val="single" w:sz="4" w:space="0" w:color="auto"/>
              <w:left w:val="single" w:sz="4" w:space="0" w:color="auto"/>
              <w:bottom w:val="single" w:sz="4" w:space="0" w:color="auto"/>
              <w:right w:val="single" w:sz="4" w:space="0" w:color="auto"/>
            </w:tcBorders>
          </w:tcPr>
          <w:p w14:paraId="789B5582"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7A2C43D9"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Borders>
              <w:top w:val="single" w:sz="4" w:space="0" w:color="auto"/>
              <w:left w:val="single" w:sz="4" w:space="0" w:color="auto"/>
              <w:bottom w:val="single" w:sz="4" w:space="0" w:color="auto"/>
              <w:right w:val="single" w:sz="4" w:space="0" w:color="auto"/>
            </w:tcBorders>
          </w:tcPr>
          <w:p w14:paraId="54C389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6C6D8100"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3FFACF9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125177">
      <w:pPr>
        <w:pStyle w:val="1"/>
        <w:jc w:val="both"/>
      </w:pPr>
      <w:r>
        <w:br w:type="textWrapping" w:clear="all"/>
      </w:r>
    </w:p>
    <w:p w14:paraId="6AC5929A" w14:textId="77777777" w:rsidR="00125177" w:rsidRDefault="00125177" w:rsidP="00125177">
      <w:pPr>
        <w:pStyle w:val="1"/>
        <w:ind w:left="720"/>
        <w:jc w:val="both"/>
      </w:pPr>
    </w:p>
    <w:p w14:paraId="38960546" w14:textId="23929F50" w:rsidR="00125177" w:rsidRDefault="2EBFAECD" w:rsidP="00533333">
      <w:pPr>
        <w:pStyle w:val="1"/>
        <w:numPr>
          <w:ilvl w:val="0"/>
          <w:numId w:val="73"/>
        </w:numPr>
        <w:jc w:val="both"/>
      </w:pPr>
      <w:r w:rsidRPr="00C94D4B">
        <w:rPr>
          <w:b/>
          <w:bCs/>
        </w:rPr>
        <w:t>The</w:t>
      </w:r>
      <w:r w:rsidR="74A13DBC" w:rsidRPr="00C94D4B">
        <w:rPr>
          <w:b/>
          <w:bCs/>
        </w:rPr>
        <w:t xml:space="preserve"> Company </w:t>
      </w:r>
      <w:r w:rsidR="74A13DBC">
        <w:t>shall publish any adjusted transport model inputs that it intends to use in the calculation of TNUoS tariffs effective from the year commencing on the following 1</w:t>
      </w:r>
      <w:r w:rsidR="74A13DBC" w:rsidRPr="6D50A407">
        <w:rPr>
          <w:vertAlign w:val="superscript"/>
        </w:rPr>
        <w:t>st</w:t>
      </w:r>
      <w:r w:rsidR="74A13DBC">
        <w:t xml:space="preserve"> April in the NETS Seven Year Statement October Update. Any further adjustments that </w:t>
      </w:r>
      <w:r w:rsidRPr="00C94D4B">
        <w:rPr>
          <w:b/>
          <w:bCs/>
        </w:rPr>
        <w:t>The Company</w:t>
      </w:r>
      <w:r w:rsidR="74A13DBC" w:rsidRPr="00C94D4B">
        <w:rPr>
          <w:b/>
          <w:bCs/>
        </w:rPr>
        <w:t xml:space="preserve"> </w:t>
      </w:r>
      <w:r w:rsidR="74A13DBC">
        <w:t xml:space="preserve">makes shall be published by </w:t>
      </w:r>
      <w:r w:rsidRPr="00C94D4B">
        <w:rPr>
          <w:b/>
          <w:bCs/>
        </w:rPr>
        <w:t>The Company</w:t>
      </w:r>
      <w:r w:rsidR="74A13DBC" w:rsidRPr="00C94D4B">
        <w:rPr>
          <w:b/>
          <w:bCs/>
        </w:rPr>
        <w:t xml:space="preserve"> </w:t>
      </w:r>
      <w:r w:rsidR="74A13DBC">
        <w:t xml:space="preserve">upon the publication of the final TNUoS tariffs for the year concerned. </w:t>
      </w:r>
    </w:p>
    <w:p w14:paraId="6E55147C" w14:textId="77777777" w:rsidR="00125177" w:rsidRDefault="00125177" w:rsidP="00125177">
      <w:pPr>
        <w:pStyle w:val="1"/>
        <w:ind w:left="720"/>
        <w:jc w:val="both"/>
      </w:pPr>
    </w:p>
    <w:p w14:paraId="50FFD2E1" w14:textId="77777777" w:rsidR="006661FE" w:rsidRPr="006661FE" w:rsidRDefault="006661FE" w:rsidP="006661FE">
      <w:pPr>
        <w:pStyle w:val="Heading3"/>
        <w:ind w:left="709"/>
        <w:jc w:val="both"/>
        <w:rPr>
          <w:rFonts w:ascii="Arial" w:hAnsi="Arial" w:cs="Arial"/>
          <w:b/>
        </w:rPr>
      </w:pPr>
      <w:bookmarkStart w:id="236" w:name="_Toc49661109"/>
      <w:bookmarkStart w:id="237" w:name="_Toc274049680"/>
      <w:r w:rsidRPr="006661FE">
        <w:rPr>
          <w:rFonts w:ascii="Arial" w:hAnsi="Arial" w:cs="Arial"/>
          <w:b/>
        </w:rPr>
        <w:t>Model Outputs</w:t>
      </w:r>
      <w:bookmarkEnd w:id="236"/>
      <w:bookmarkEnd w:id="237"/>
    </w:p>
    <w:p w14:paraId="0149E912" w14:textId="77777777" w:rsidR="006661FE" w:rsidRDefault="006661FE" w:rsidP="006661FE">
      <w:pPr>
        <w:pStyle w:val="1"/>
        <w:jc w:val="both"/>
      </w:pPr>
    </w:p>
    <w:p w14:paraId="0B7EF72A" w14:textId="77777777" w:rsidR="0024046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takes the inputs described above and </w:t>
      </w:r>
      <w:r w:rsidR="6CE00157">
        <w:t xml:space="preserve">carries out </w:t>
      </w:r>
      <w:r>
        <w:t xml:space="preserve">the </w:t>
      </w:r>
      <w:r w:rsidR="6CE00157">
        <w:t xml:space="preserve">following steps individually for Peak Security and </w:t>
      </w:r>
      <w:bookmarkStart w:id="238" w:name="_Int_WxyNOzUg"/>
      <w:r w:rsidR="6CE00157">
        <w:t>Year Round</w:t>
      </w:r>
      <w:bookmarkEnd w:id="238"/>
      <w:r w:rsidR="6CE00157">
        <w:t xml:space="preserve"> backgrounds. </w:t>
      </w:r>
    </w:p>
    <w:p w14:paraId="20DCAC66" w14:textId="77777777" w:rsidR="00F31F49" w:rsidRDefault="00F31F49" w:rsidP="000B6C0D">
      <w:pPr>
        <w:pStyle w:val="1"/>
        <w:ind w:left="1627"/>
        <w:jc w:val="both"/>
      </w:pPr>
    </w:p>
    <w:p w14:paraId="4CCE957D" w14:textId="77777777" w:rsidR="00251585" w:rsidRDefault="0024046E" w:rsidP="00533333">
      <w:pPr>
        <w:pStyle w:val="1"/>
        <w:numPr>
          <w:ilvl w:val="0"/>
          <w:numId w:val="73"/>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0B6C0D">
      <w:pPr>
        <w:pStyle w:val="1"/>
        <w:ind w:left="1627"/>
        <w:jc w:val="both"/>
      </w:pPr>
    </w:p>
    <w:p w14:paraId="25B47670" w14:textId="48DDB1B9" w:rsidR="006661FE" w:rsidRDefault="11B7C303" w:rsidP="00533333">
      <w:pPr>
        <w:pStyle w:val="1"/>
        <w:numPr>
          <w:ilvl w:val="0"/>
          <w:numId w:val="73"/>
        </w:numPr>
        <w:jc w:val="both"/>
      </w:pPr>
      <w:r>
        <w:t xml:space="preserve">For each background, the </w:t>
      </w:r>
      <w:r w:rsidR="4DB720A2">
        <w:t xml:space="preserve">model then uses a DCLF ICRP transport algorithm to derive the resultant pattern of flows based on the network impedance required to meet the nodal </w:t>
      </w:r>
      <w:r w:rsidR="2E7CB05B">
        <w:t xml:space="preserve">net </w:t>
      </w:r>
      <w:r w:rsidR="4DB720A2">
        <w:t xml:space="preserve">demand using the scaled nodal generation, assuming </w:t>
      </w:r>
      <w:r w:rsidR="4DB720A2">
        <w:lastRenderedPageBreak/>
        <w:t xml:space="preserve">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r w:rsidR="445C6D9C">
        <w:t>Therefore,</w:t>
      </w:r>
      <w:r>
        <w:t xml:space="preserve"> all circuits will be tagged as Peak Security or Year Round depending upon the background resulting in the highest flow. </w:t>
      </w:r>
      <w:bookmarkStart w:id="239" w:name="_Int_fMRWJncc"/>
      <w:r>
        <w:t>In the event that</w:t>
      </w:r>
      <w:bookmarkEnd w:id="239"/>
      <w:r>
        <w:t xml:space="preserve"> both backgrounds result in the same flow, the circuit will be tagged as Peak Security.</w:t>
      </w:r>
      <w:r w:rsidR="7A2506D7">
        <w:t xml:space="preserve"> </w:t>
      </w:r>
      <w:r w:rsidR="4DB720A2">
        <w:t>Then it calculates the resultant total network</w:t>
      </w:r>
      <w:r>
        <w:t xml:space="preserve"> Peak Security MWkm and </w:t>
      </w:r>
      <w:bookmarkStart w:id="240" w:name="_Int_240qzldk"/>
      <w:r>
        <w:t>Year Round</w:t>
      </w:r>
      <w:bookmarkEnd w:id="240"/>
      <w:r>
        <w:t xml:space="preserve"> </w:t>
      </w:r>
      <w:r w:rsidR="4DB720A2">
        <w:t>MWkm, using the relevant circuit expansion factors as appropriate</w:t>
      </w:r>
      <w:r w:rsidR="00251585">
        <w:fldChar w:fldCharType="begin"/>
      </w:r>
      <w:r w:rsidR="00251585">
        <w:instrText xml:space="preserve"> XE "MWkm" </w:instrText>
      </w:r>
      <w:r w:rsidR="00251585">
        <w:fldChar w:fldCharType="end"/>
      </w:r>
      <w:r w:rsidR="4DB720A2">
        <w:t>.</w:t>
      </w:r>
    </w:p>
    <w:p w14:paraId="17305C90" w14:textId="77777777" w:rsidR="006661FE" w:rsidRDefault="006661FE" w:rsidP="006661FE">
      <w:pPr>
        <w:pStyle w:val="1"/>
        <w:jc w:val="both"/>
      </w:pPr>
    </w:p>
    <w:p w14:paraId="355BCACB" w14:textId="77777777" w:rsidR="00251585" w:rsidRDefault="4DB720A2" w:rsidP="00533333">
      <w:pPr>
        <w:pStyle w:val="1"/>
        <w:numPr>
          <w:ilvl w:val="0"/>
          <w:numId w:val="73"/>
        </w:numPr>
        <w:tabs>
          <w:tab w:val="num" w:pos="1080"/>
        </w:tabs>
        <w:jc w:val="both"/>
      </w:pPr>
      <w:r>
        <w:t>Using th</w:t>
      </w:r>
      <w:r w:rsidR="11B7C303">
        <w:t>ese</w:t>
      </w:r>
      <w:r>
        <w:t xml:space="preserve"> baseline network</w:t>
      </w:r>
      <w:r w:rsidR="11B7C303">
        <w:t xml:space="preserve">s for Peak Security and </w:t>
      </w:r>
      <w:bookmarkStart w:id="241" w:name="_Int_FzOG3kO3"/>
      <w:r w:rsidR="11B7C303">
        <w:t>Year Round</w:t>
      </w:r>
      <w:bookmarkEnd w:id="241"/>
      <w:r w:rsidR="11B7C303">
        <w:t xml:space="preserve"> backgrounds</w:t>
      </w:r>
      <w:r>
        <w:t>, the model</w:t>
      </w:r>
      <w:r w:rsidR="11B7C303">
        <w:t xml:space="preserve"> then</w:t>
      </w:r>
      <w:r>
        <w:t xml:space="preserve"> calculates for a given injection of 1MW of generation at each node, with a corresponding 1MW offtake (</w:t>
      </w:r>
      <w:r w:rsidR="2E7CB05B">
        <w:t xml:space="preserve">net </w:t>
      </w:r>
      <w:r>
        <w:t>demand)</w:t>
      </w:r>
      <w:r w:rsidR="52DCE594">
        <w:t xml:space="preserve"> </w:t>
      </w:r>
      <w:r w:rsidR="11B7C303">
        <w:t xml:space="preserve">distributed across all demand nodes in the network, </w:t>
      </w:r>
      <w:r>
        <w:t>the increase or decrease in total MWkm</w:t>
      </w:r>
      <w:r w:rsidR="006661FE">
        <w:fldChar w:fldCharType="begin"/>
      </w:r>
      <w:r w:rsidR="006661FE">
        <w:instrText xml:space="preserve"> XE "MWkm" </w:instrText>
      </w:r>
      <w:r w:rsidR="006661FE">
        <w:fldChar w:fldCharType="end"/>
      </w:r>
      <w:r>
        <w:t xml:space="preserve"> of the whole </w:t>
      </w:r>
      <w:r w:rsidR="11B7C303">
        <w:t>Peak Security and Year Round networks. The proportion of the 1MW offtake allocated to any given demand node will be based on total background nodal</w:t>
      </w:r>
      <w:r w:rsidR="2E7CB05B">
        <w:t xml:space="preserve"> net</w:t>
      </w:r>
      <w:r w:rsidR="11B7C303">
        <w:t xml:space="preserve"> demand in the model. For example, with a total </w:t>
      </w:r>
      <w:r w:rsidR="2E7CB05B">
        <w:t xml:space="preserve">net </w:t>
      </w:r>
      <w:r w:rsidR="11B7C303">
        <w:t xml:space="preserve">GB demand of 60GW in the model, a node with a </w:t>
      </w:r>
      <w:r w:rsidR="2E7CB05B">
        <w:t xml:space="preserve">net </w:t>
      </w:r>
      <w:r w:rsidR="11B7C303">
        <w:t xml:space="preserve">demand of 600MW would contain 1% of the offtake </w:t>
      </w:r>
      <w:bookmarkStart w:id="242" w:name="_Int_dSSRqJlS"/>
      <w:r w:rsidR="11B7C303">
        <w:t>i.e.</w:t>
      </w:r>
      <w:bookmarkEnd w:id="242"/>
      <w:r w:rsidR="11B7C303">
        <w:t xml:space="preserve"> 0.01MW.</w:t>
      </w:r>
    </w:p>
    <w:p w14:paraId="1D7F965B" w14:textId="77777777" w:rsidR="00251585" w:rsidRDefault="00251585" w:rsidP="000B6C0D">
      <w:pPr>
        <w:pStyle w:val="ListParagraph"/>
      </w:pPr>
    </w:p>
    <w:p w14:paraId="42B7D4E9" w14:textId="46E2F806" w:rsidR="006661FE" w:rsidRDefault="4DB720A2" w:rsidP="00533333">
      <w:pPr>
        <w:pStyle w:val="1"/>
        <w:numPr>
          <w:ilvl w:val="0"/>
          <w:numId w:val="73"/>
        </w:numPr>
        <w:jc w:val="both"/>
      </w:pPr>
      <w:r>
        <w:t xml:space="preserve">Given the assumption of a 1MW injection, for simplicity the marginal costs are expressed solely in </w:t>
      </w:r>
      <w:r w:rsidR="616EDA53">
        <w:t xml:space="preserve">km. </w:t>
      </w:r>
      <w:r>
        <w:t>This gives a</w:t>
      </w:r>
      <w:r w:rsidR="11B7C303">
        <w:t xml:space="preserve"> Peak Security marginal km cost and a </w:t>
      </w:r>
      <w:bookmarkStart w:id="243" w:name="_Int_lmxkFyOs"/>
      <w:r w:rsidR="11B7C303">
        <w:t>Year Round</w:t>
      </w:r>
      <w:bookmarkEnd w:id="243"/>
      <w:r>
        <w:t xml:space="preserve"> marginal km cost for generation at each node (although not that used to calculate generation tariffs which considers local and wider cost components)</w:t>
      </w:r>
      <w:r w:rsidR="4E7715DB">
        <w:t xml:space="preserve">. </w:t>
      </w:r>
      <w:r>
        <w:t>The</w:t>
      </w:r>
      <w:r w:rsidR="11B7C303">
        <w:t xml:space="preserve"> Peak Security and Year Round</w:t>
      </w:r>
      <w:r>
        <w:t xml:space="preserve"> marginal km cost</w:t>
      </w:r>
      <w:r w:rsidR="11B7C303">
        <w:t>s</w:t>
      </w:r>
      <w:r>
        <w:t xml:space="preserve"> for demand at each node</w:t>
      </w:r>
      <w:r w:rsidR="11B7C303">
        <w:t xml:space="preserve"> are</w:t>
      </w:r>
      <w:r>
        <w:t xml:space="preserve"> equal and opposite to </w:t>
      </w:r>
      <w:r w:rsidR="11B7C303">
        <w:t xml:space="preserve">the Peak Security and </w:t>
      </w:r>
      <w:bookmarkStart w:id="244" w:name="_Int_HrymkxGd"/>
      <w:r w:rsidR="11B7C303">
        <w:t>Year Round</w:t>
      </w:r>
      <w:bookmarkEnd w:id="244"/>
      <w:r>
        <w:t xml:space="preserve"> nodal marginal km</w:t>
      </w:r>
      <w:r w:rsidR="11B7C303">
        <w:t xml:space="preserve"> respectively</w:t>
      </w:r>
      <w:r>
        <w:t xml:space="preserve"> for generation and this is used to calculate demand tariffs</w:t>
      </w:r>
      <w:r w:rsidR="0E1A00AC">
        <w:t xml:space="preserve">. </w:t>
      </w:r>
      <w:r>
        <w:t>Note the marginal km costs can be positive or negative depending on the impact the injection of 1MW of generation has on the total circuit km.</w:t>
      </w:r>
    </w:p>
    <w:p w14:paraId="216FBCCC" w14:textId="77777777" w:rsidR="006661FE" w:rsidRDefault="006661FE" w:rsidP="006661FE">
      <w:pPr>
        <w:pStyle w:val="1"/>
        <w:jc w:val="both"/>
      </w:pPr>
    </w:p>
    <w:p w14:paraId="56AAA2E4" w14:textId="6FB7404F" w:rsidR="00364974" w:rsidRDefault="4DB720A2" w:rsidP="00533333">
      <w:pPr>
        <w:pStyle w:val="1"/>
        <w:numPr>
          <w:ilvl w:val="0"/>
          <w:numId w:val="73"/>
        </w:numPr>
        <w:jc w:val="both"/>
      </w:pPr>
      <w:r>
        <w:t>Using a similar methodology</w:t>
      </w:r>
      <w:r w:rsidR="60A1BB6D">
        <w:t xml:space="preserve"> as described above in</w:t>
      </w:r>
      <w:r w:rsidR="6802DE42">
        <w:t xml:space="preserve"> 14.15.</w:t>
      </w:r>
      <w:r w:rsidR="27C1FD73">
        <w:t>27</w:t>
      </w:r>
      <w:r w:rsidR="60A1BB6D">
        <w:t>,</w:t>
      </w:r>
      <w:r>
        <w:t xml:space="preserve"> the local and wider marginal km costs used to determine generation TNUoS tariffs are calculated by injecting 1MW of generation against the node(s) the generator is modelled at and increasing by 1MW the offtake </w:t>
      </w:r>
      <w:r w:rsidR="60A1BB6D">
        <w:t>across</w:t>
      </w:r>
      <w:r>
        <w:t xml:space="preserve"> the </w:t>
      </w:r>
      <w:r w:rsidR="60A1BB6D">
        <w:t xml:space="preserve">distributed </w:t>
      </w:r>
      <w:r>
        <w:t>reference node</w:t>
      </w:r>
      <w:r w:rsidR="7B0244A7">
        <w:t xml:space="preserve">. </w:t>
      </w:r>
      <w:r w:rsidR="60A1BB6D">
        <w:t xml:space="preserve">It should be noted that although the wider marginal km costs are calculated for both Peak Security and </w:t>
      </w:r>
      <w:bookmarkStart w:id="245" w:name="_Int_2QnK3fDd"/>
      <w:r w:rsidR="60A1BB6D">
        <w:t>Year Round</w:t>
      </w:r>
      <w:bookmarkEnd w:id="245"/>
      <w:r w:rsidR="60A1BB6D">
        <w:t xml:space="preserve"> backgrounds, the local marginal km costs are calculated on the Year Round background. </w:t>
      </w:r>
    </w:p>
    <w:p w14:paraId="6B37FB4A" w14:textId="77777777" w:rsidR="00364974" w:rsidRDefault="00364974" w:rsidP="000B6C0D">
      <w:pPr>
        <w:pStyle w:val="ListParagraph"/>
      </w:pPr>
    </w:p>
    <w:p w14:paraId="5DB02664" w14:textId="77777777" w:rsidR="006661FE" w:rsidRDefault="4DB720A2" w:rsidP="00533333">
      <w:pPr>
        <w:pStyle w:val="1"/>
        <w:numPr>
          <w:ilvl w:val="0"/>
          <w:numId w:val="73"/>
        </w:numPr>
        <w:jc w:val="both"/>
      </w:pPr>
      <w:r>
        <w:t>In</w:t>
      </w:r>
      <w:r w:rsidR="7A2506D7">
        <w:t xml:space="preserve"> </w:t>
      </w:r>
      <w:r w:rsidR="60A1BB6D">
        <w:t xml:space="preserve">addition, </w:t>
      </w:r>
      <w:r>
        <w:t>any circuits</w:t>
      </w:r>
      <w:r w:rsidR="60A1BB6D">
        <w:t xml:space="preserve"> in the model,</w:t>
      </w:r>
      <w:r>
        <w:t xml:space="preserve"> identified as local assets to a node will have the local circuit expansion factors</w:t>
      </w:r>
      <w:r w:rsidR="60A1BB6D">
        <w:t xml:space="preserve"> which</w:t>
      </w:r>
      <w:r>
        <w:t xml:space="preserve"> are applied in calculating that </w:t>
      </w:r>
      <w:bookmarkStart w:id="246" w:name="_Int_6MK7GBHw"/>
      <w:r>
        <w:t>particular node’s</w:t>
      </w:r>
      <w:bookmarkEnd w:id="246"/>
      <w:r>
        <w:t xml:space="preserve"> marginal km. Any remaining circuits will have the TO specific wider circuit expansion factors applied. </w:t>
      </w:r>
    </w:p>
    <w:p w14:paraId="49BDA25E" w14:textId="77777777" w:rsidR="006661FE" w:rsidRDefault="006661FE" w:rsidP="006661FE">
      <w:pPr>
        <w:pStyle w:val="1"/>
        <w:jc w:val="both"/>
      </w:pPr>
    </w:p>
    <w:p w14:paraId="0B0ADA66" w14:textId="77777777" w:rsidR="006661FE" w:rsidRDefault="006661FE" w:rsidP="00533333">
      <w:pPr>
        <w:pStyle w:val="1"/>
        <w:numPr>
          <w:ilvl w:val="0"/>
          <w:numId w:val="73"/>
        </w:numPr>
        <w:rPr>
          <w:b/>
        </w:rPr>
      </w:pPr>
      <w:r>
        <w:t>An example is contained in 14.21</w:t>
      </w:r>
      <w:r w:rsidRPr="00212A4A">
        <w:t xml:space="preserve"> Transport Model Example.</w:t>
      </w:r>
    </w:p>
    <w:p w14:paraId="3A694443" w14:textId="77777777" w:rsidR="006661FE" w:rsidRDefault="006661FE" w:rsidP="006661FE">
      <w:pPr>
        <w:pStyle w:val="Heading2"/>
      </w:pPr>
      <w:bookmarkStart w:id="247" w:name="_Toc32201077"/>
    </w:p>
    <w:p w14:paraId="736C8392" w14:textId="77777777" w:rsidR="006661FE" w:rsidRPr="009470D8" w:rsidRDefault="006661FE" w:rsidP="006661FE">
      <w:pPr>
        <w:pStyle w:val="Heading2"/>
      </w:pPr>
      <w:bookmarkStart w:id="248" w:name="_Toc274049681"/>
      <w:bookmarkStart w:id="249" w:name="_Toc49661110"/>
      <w:r w:rsidRPr="009470D8">
        <w:t>Calculation of local nodal marginal km</w:t>
      </w:r>
      <w:bookmarkEnd w:id="248"/>
    </w:p>
    <w:p w14:paraId="250071F3" w14:textId="77777777" w:rsidR="006661FE" w:rsidRDefault="006661FE" w:rsidP="006661FE"/>
    <w:p w14:paraId="1D203F23" w14:textId="77777777" w:rsidR="006661FE" w:rsidRPr="00830546" w:rsidRDefault="4DB720A2" w:rsidP="00533333">
      <w:pPr>
        <w:pStyle w:val="1"/>
        <w:numPr>
          <w:ilvl w:val="0"/>
          <w:numId w:val="73"/>
        </w:numPr>
        <w:jc w:val="both"/>
      </w:pPr>
      <w:bookmarkStart w:id="250" w:name="_Int_0JyakC29"/>
      <w:r>
        <w:t>In order to</w:t>
      </w:r>
      <w:bookmarkEnd w:id="250"/>
      <w:r>
        <w:t xml:space="preserve"> ensure assets local to generation are charged in a cost reflective manner, a generation local circuit tariff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6661FE">
      <w:pPr>
        <w:pStyle w:val="1"/>
      </w:pPr>
    </w:p>
    <w:p w14:paraId="49761DAB" w14:textId="77777777" w:rsidR="006661FE" w:rsidRPr="00830546" w:rsidRDefault="006661FE" w:rsidP="00533333">
      <w:pPr>
        <w:pStyle w:val="1"/>
        <w:numPr>
          <w:ilvl w:val="0"/>
          <w:numId w:val="73"/>
        </w:numPr>
        <w:jc w:val="both"/>
      </w:pPr>
      <w:r w:rsidRPr="00830546">
        <w:t>Main Interconnected Transmission System (MITS) nodes are defined as:</w:t>
      </w:r>
    </w:p>
    <w:p w14:paraId="535D1099" w14:textId="77777777" w:rsidR="006661FE" w:rsidRPr="00830546" w:rsidRDefault="006661FE" w:rsidP="006661FE">
      <w:pPr>
        <w:pStyle w:val="1"/>
      </w:pPr>
    </w:p>
    <w:p w14:paraId="34529181"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72517F4E" w14:textId="77777777" w:rsidR="006661FE" w:rsidRPr="00830546" w:rsidRDefault="006661FE" w:rsidP="006661FE">
      <w:pPr>
        <w:pStyle w:val="1"/>
        <w:tabs>
          <w:tab w:val="num" w:pos="1440"/>
        </w:tabs>
        <w:ind w:left="1080"/>
      </w:pPr>
    </w:p>
    <w:p w14:paraId="3B8DD0B1" w14:textId="77777777" w:rsidR="006661FE" w:rsidRPr="00BE547C" w:rsidRDefault="006661FE" w:rsidP="00533333">
      <w:pPr>
        <w:pStyle w:val="1"/>
        <w:numPr>
          <w:ilvl w:val="0"/>
          <w:numId w:val="73"/>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4A8BEBCB" w14:textId="77777777" w:rsidR="006661FE" w:rsidRPr="00830546" w:rsidRDefault="006661FE" w:rsidP="006661FE">
      <w:pPr>
        <w:pStyle w:val="1"/>
        <w:ind w:left="720"/>
        <w:jc w:val="both"/>
      </w:pPr>
    </w:p>
    <w:p w14:paraId="74E1AE3F" w14:textId="77777777" w:rsidR="006661FE" w:rsidRPr="00830546" w:rsidRDefault="006661FE" w:rsidP="00533333">
      <w:pPr>
        <w:pStyle w:val="1"/>
        <w:numPr>
          <w:ilvl w:val="0"/>
          <w:numId w:val="73"/>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6661FE">
      <w:pPr>
        <w:pStyle w:val="1"/>
      </w:pPr>
    </w:p>
    <w:p w14:paraId="7CE6E09D" w14:textId="67BD1B01" w:rsidR="006661FE" w:rsidRPr="00830546" w:rsidRDefault="4DB720A2" w:rsidP="00533333">
      <w:pPr>
        <w:pStyle w:val="1"/>
        <w:numPr>
          <w:ilvl w:val="0"/>
          <w:numId w:val="73"/>
        </w:numPr>
        <w:jc w:val="both"/>
      </w:pPr>
      <w:r>
        <w:t xml:space="preserve">Generators not connected to a MITS node will have a local circuit tariff derived from </w:t>
      </w:r>
      <w:r w:rsidR="13A13CF9">
        <w:t>the local</w:t>
      </w:r>
      <w:r>
        <w:t xml:space="preserve"> nodal marginal km for the generation node i.e. the increase or decrease in marginal km along the transmission circuits connecting it to all adjacent MITS nodes (local assets)</w:t>
      </w:r>
      <w:r w:rsidR="1A5FCD0B">
        <w:t xml:space="preserve">. </w:t>
      </w:r>
    </w:p>
    <w:p w14:paraId="4043EC8F" w14:textId="77777777" w:rsidR="006661FE" w:rsidRPr="009470D8" w:rsidRDefault="006661FE" w:rsidP="006661FE"/>
    <w:p w14:paraId="08D6F7CE" w14:textId="77777777" w:rsidR="006661FE" w:rsidRDefault="006661FE" w:rsidP="006661FE">
      <w:pPr>
        <w:pStyle w:val="Heading2"/>
      </w:pPr>
      <w:bookmarkStart w:id="251" w:name="_Toc274049682"/>
      <w:r>
        <w:t>Calculation of zonal marginal km</w:t>
      </w:r>
      <w:bookmarkEnd w:id="247"/>
      <w:bookmarkEnd w:id="249"/>
      <w:bookmarkEnd w:id="251"/>
    </w:p>
    <w:p w14:paraId="39ED42BF" w14:textId="77777777" w:rsidR="006661FE" w:rsidRDefault="006661FE" w:rsidP="006661FE">
      <w:pPr>
        <w:pStyle w:val="1"/>
        <w:jc w:val="both"/>
      </w:pPr>
    </w:p>
    <w:p w14:paraId="5E2679F8" w14:textId="4AF68718" w:rsidR="006661FE" w:rsidRPr="00BF295A" w:rsidRDefault="6B913268" w:rsidP="00533333">
      <w:pPr>
        <w:pStyle w:val="1"/>
        <w:numPr>
          <w:ilvl w:val="0"/>
          <w:numId w:val="73"/>
        </w:numPr>
        <w:jc w:val="both"/>
      </w:pPr>
      <w:r>
        <w:t xml:space="preserve">Given the requirement for </w:t>
      </w:r>
      <w:bookmarkStart w:id="252" w:name="_Int_7z0Nocfs"/>
      <w:r>
        <w:t>relatively stable</w:t>
      </w:r>
      <w:bookmarkEnd w:id="252"/>
      <w:r>
        <w:t xml:space="preserve"> cost messages through the ICRP </w:t>
      </w:r>
      <w:r w:rsidR="3D47CB0D">
        <w:fldChar w:fldCharType="begin"/>
      </w:r>
      <w:r w:rsidR="3D47CB0D">
        <w:instrText xml:space="preserve"> XE "ICRP" </w:instrText>
      </w:r>
      <w:r w:rsidR="3D47CB0D">
        <w:fldChar w:fldCharType="end"/>
      </w:r>
      <w:r>
        <w:t xml:space="preserve">methodology and administrative simplicity, nodes are assigned to zones. </w:t>
      </w:r>
      <w:r w:rsidR="77264B42">
        <w:t xml:space="preserve">The currently applicable number of generation zones is detailed in </w:t>
      </w:r>
      <w:r w:rsidR="3D96AF96" w:rsidRPr="0537B9E0">
        <w:rPr>
          <w:b/>
          <w:bCs/>
        </w:rPr>
        <w:t xml:space="preserve">The </w:t>
      </w:r>
      <w:r w:rsidR="77264B42" w:rsidRPr="0537B9E0">
        <w:rPr>
          <w:b/>
          <w:bCs/>
        </w:rPr>
        <w:t>Company's Statement of Use of System Charges</w:t>
      </w:r>
      <w:r w:rsidR="77264B42">
        <w:t xml:space="preserve"> which is available from the </w:t>
      </w:r>
      <w:r w:rsidR="77264B42" w:rsidRPr="0537B9E0">
        <w:rPr>
          <w:b/>
          <w:bCs/>
        </w:rPr>
        <w:t>Charging website.</w:t>
      </w:r>
      <w:r>
        <w:t xml:space="preserve"> </w:t>
      </w:r>
    </w:p>
    <w:p w14:paraId="0521FE1B" w14:textId="77777777" w:rsidR="006661FE" w:rsidRDefault="006661FE" w:rsidP="006661FE">
      <w:pPr>
        <w:pStyle w:val="1"/>
        <w:jc w:val="both"/>
      </w:pPr>
    </w:p>
    <w:p w14:paraId="041E1194" w14:textId="77777777" w:rsidR="006661FE" w:rsidRDefault="006661FE" w:rsidP="00533333">
      <w:pPr>
        <w:pStyle w:val="1"/>
        <w:numPr>
          <w:ilvl w:val="0"/>
          <w:numId w:val="73"/>
        </w:numPr>
        <w:jc w:val="both"/>
      </w:pPr>
      <w:r>
        <w:t>Demand zone boundaries have been fixed and relate to the GSP Groups used for energy market settlement purposes.</w:t>
      </w:r>
    </w:p>
    <w:p w14:paraId="1094FDFC" w14:textId="77777777" w:rsidR="006661FE" w:rsidRDefault="006661FE" w:rsidP="006661FE">
      <w:pPr>
        <w:pStyle w:val="1"/>
        <w:jc w:val="both"/>
      </w:pPr>
    </w:p>
    <w:p w14:paraId="3EE06E42" w14:textId="6B31F194" w:rsidR="006661FE" w:rsidRDefault="4DB720A2" w:rsidP="00533333">
      <w:pPr>
        <w:pStyle w:val="1"/>
        <w:numPr>
          <w:ilvl w:val="0"/>
          <w:numId w:val="73"/>
        </w:numPr>
        <w:jc w:val="both"/>
      </w:pPr>
      <w:r>
        <w:t xml:space="preserve">The nodal marginal km </w:t>
      </w:r>
      <w:bookmarkStart w:id="253" w:name="_Int_Uf3O70sa"/>
      <w:r>
        <w:t>are</w:t>
      </w:r>
      <w:bookmarkEnd w:id="253"/>
      <w:r>
        <w:t xml:space="preserve"> amalgamated into zones by weighting them by their relevant generation or demand capacity</w:t>
      </w:r>
      <w:r w:rsidR="3B1E8636">
        <w:t xml:space="preserve">. </w:t>
      </w:r>
    </w:p>
    <w:p w14:paraId="42F2BF48" w14:textId="77777777" w:rsidR="006661FE" w:rsidRDefault="006661FE" w:rsidP="006661FE">
      <w:pPr>
        <w:pStyle w:val="1"/>
        <w:jc w:val="both"/>
      </w:pPr>
    </w:p>
    <w:p w14:paraId="75A0F6CF" w14:textId="77777777" w:rsidR="00364974" w:rsidRDefault="4DB720A2" w:rsidP="00533333">
      <w:pPr>
        <w:pStyle w:val="1"/>
        <w:numPr>
          <w:ilvl w:val="0"/>
          <w:numId w:val="73"/>
        </w:numPr>
        <w:jc w:val="both"/>
      </w:pPr>
      <w:r>
        <w:t>Generators will have zonal tariff</w:t>
      </w:r>
      <w:r w:rsidR="3DB373B8">
        <w:t>s</w:t>
      </w:r>
      <w:r>
        <w:t xml:space="preserve"> derived from</w:t>
      </w:r>
      <w:r w:rsidR="60A1BB6D">
        <w:t xml:space="preserve"> both, </w:t>
      </w:r>
      <w:r>
        <w:t>the wider</w:t>
      </w:r>
      <w:r w:rsidR="60A1BB6D">
        <w:t xml:space="preserve"> Peak Security nodal marginal km; and the wider </w:t>
      </w:r>
      <w:bookmarkStart w:id="254" w:name="_Int_caoupXbc"/>
      <w:r w:rsidR="60A1BB6D">
        <w:t>Year Round</w:t>
      </w:r>
      <w:bookmarkEnd w:id="254"/>
      <w:r w:rsidR="60A1BB6D">
        <w:t xml:space="preserve"> </w:t>
      </w:r>
      <w:r>
        <w:t xml:space="preserve">nodal marginal km for the generation node calculated as the increase or decrease in marginal km along all transmission circuits except those classified as local assets. </w:t>
      </w:r>
    </w:p>
    <w:p w14:paraId="3B29523E" w14:textId="77777777" w:rsidR="00364974" w:rsidRDefault="00364974" w:rsidP="000B6C0D">
      <w:pPr>
        <w:pStyle w:val="ListParagraph"/>
      </w:pPr>
    </w:p>
    <w:p w14:paraId="3B44F5DB" w14:textId="77777777" w:rsidR="006661FE" w:rsidRDefault="006661FE" w:rsidP="000B6C0D">
      <w:pPr>
        <w:pStyle w:val="1"/>
        <w:jc w:val="both"/>
      </w:pPr>
      <w:r>
        <w:t>The zonal</w:t>
      </w:r>
      <w:r w:rsidR="00364974">
        <w:t xml:space="preserve"> Peak Security</w:t>
      </w:r>
      <w:r>
        <w:t xml:space="preserve"> marginal km for generation is calculated as: </w:t>
      </w:r>
    </w:p>
    <w:p w14:paraId="5F98AA86" w14:textId="77777777" w:rsidR="006661FE" w:rsidRDefault="006661FE" w:rsidP="006661FE">
      <w:pPr>
        <w:pStyle w:val="1"/>
        <w:jc w:val="both"/>
      </w:pPr>
    </w:p>
    <w:p w14:paraId="7ED2B9F5" w14:textId="77777777" w:rsidR="006661FE" w:rsidRDefault="006661FE" w:rsidP="006661FE">
      <w:pPr>
        <w:pStyle w:val="1"/>
        <w:jc w:val="both"/>
      </w:pPr>
    </w:p>
    <w:p w14:paraId="7534DFB1" w14:textId="5B8670A1" w:rsidR="006661FE" w:rsidRDefault="006661FE" w:rsidP="006661FE">
      <w:pPr>
        <w:pStyle w:val="1"/>
        <w:jc w:val="center"/>
      </w:pPr>
    </w:p>
    <w:p w14:paraId="08767487" w14:textId="77777777" w:rsidR="006661FE" w:rsidRDefault="006661FE" w:rsidP="006661FE">
      <w:pPr>
        <w:pStyle w:val="1"/>
        <w:jc w:val="both"/>
      </w:pPr>
    </w:p>
    <w:p w14:paraId="43610FD2" w14:textId="77777777" w:rsidR="006661FE" w:rsidRDefault="006661FE" w:rsidP="006661FE">
      <w:pPr>
        <w:pStyle w:val="1"/>
        <w:jc w:val="both"/>
      </w:pPr>
    </w:p>
    <w:p w14:paraId="7DA8CEA4" w14:textId="4F9BC5E6" w:rsidR="006661FE" w:rsidRDefault="006661FE" w:rsidP="006661FE">
      <w:pPr>
        <w:pStyle w:val="1"/>
        <w:jc w:val="center"/>
      </w:pPr>
    </w:p>
    <w:p w14:paraId="500C643C" w14:textId="77777777" w:rsidR="006661FE" w:rsidRDefault="006661FE" w:rsidP="006661FE">
      <w:pPr>
        <w:pStyle w:val="1"/>
        <w:jc w:val="both"/>
      </w:pPr>
    </w:p>
    <w:p w14:paraId="066E38FA" w14:textId="77777777" w:rsidR="006661FE" w:rsidRDefault="4DB720A2" w:rsidP="006661FE">
      <w:pPr>
        <w:pStyle w:val="1"/>
        <w:ind w:left="720"/>
        <w:jc w:val="both"/>
      </w:pPr>
      <w:bookmarkStart w:id="255" w:name="_Int_reAdpqgA"/>
      <w:r>
        <w:t>Where</w:t>
      </w:r>
      <w:bookmarkEnd w:id="255"/>
    </w:p>
    <w:p w14:paraId="4D8C86DE" w14:textId="77777777" w:rsidR="006661FE" w:rsidRDefault="006661FE" w:rsidP="006661FE">
      <w:pPr>
        <w:pStyle w:val="1"/>
        <w:jc w:val="both"/>
      </w:pPr>
      <w:r>
        <w:tab/>
        <w:t xml:space="preserve">Gi </w:t>
      </w:r>
      <w:r>
        <w:tab/>
      </w:r>
      <w:r>
        <w:tab/>
        <w:t>=</w:t>
      </w:r>
      <w:r>
        <w:tab/>
        <w:t>Generation zone</w:t>
      </w:r>
    </w:p>
    <w:p w14:paraId="231EC765" w14:textId="77777777" w:rsidR="006661FE" w:rsidRDefault="006661FE" w:rsidP="006661FE">
      <w:pPr>
        <w:pStyle w:val="1"/>
        <w:ind w:firstLine="720"/>
        <w:jc w:val="both"/>
      </w:pPr>
      <w:r>
        <w:t>j</w:t>
      </w:r>
      <w:r>
        <w:tab/>
      </w:r>
      <w:r>
        <w:tab/>
        <w:t>=</w:t>
      </w:r>
      <w:r>
        <w:tab/>
        <w:t>Node</w:t>
      </w:r>
    </w:p>
    <w:p w14:paraId="6ED431E0"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1C4A9455"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74293686"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604DC3D6" w:rsidP="000B6C0D">
      <w:pPr>
        <w:pStyle w:val="1"/>
        <w:jc w:val="both"/>
      </w:pPr>
      <w:bookmarkStart w:id="256" w:name="_Ref221005180"/>
      <w:r>
        <w:t>Similarly, the</w:t>
      </w:r>
      <w:r w:rsidR="4DB720A2">
        <w:t xml:space="preserve"> zonal</w:t>
      </w:r>
      <w:r>
        <w:t xml:space="preserve"> </w:t>
      </w:r>
      <w:bookmarkStart w:id="257" w:name="_Int_8cs6GW2K"/>
      <w:r>
        <w:t>Year Round</w:t>
      </w:r>
      <w:bookmarkEnd w:id="257"/>
      <w:r w:rsidR="4DB720A2">
        <w:t xml:space="preserve"> marginal km for </w:t>
      </w:r>
      <w:r>
        <w:t xml:space="preserve">generation is </w:t>
      </w:r>
      <w:r w:rsidR="4DB720A2">
        <w:t>calculated as</w:t>
      </w:r>
      <w:bookmarkEnd w:id="256"/>
    </w:p>
    <w:p w14:paraId="4AB4D63A" w14:textId="77777777" w:rsidR="006661FE" w:rsidRDefault="006661FE" w:rsidP="006661FE">
      <w:pPr>
        <w:pStyle w:val="1"/>
        <w:jc w:val="both"/>
      </w:pPr>
    </w:p>
    <w:p w14:paraId="168B4F35" w14:textId="77777777" w:rsidR="006661FE" w:rsidRDefault="006661FE" w:rsidP="006661FE">
      <w:pPr>
        <w:pStyle w:val="1"/>
        <w:jc w:val="both"/>
      </w:pPr>
    </w:p>
    <w:p w14:paraId="796A5973" w14:textId="2603FA99" w:rsidR="006661FE" w:rsidRDefault="006661FE" w:rsidP="006661FE">
      <w:pPr>
        <w:pStyle w:val="1"/>
        <w:jc w:val="center"/>
      </w:pPr>
    </w:p>
    <w:p w14:paraId="7FF68FA1" w14:textId="77777777" w:rsidR="006661FE" w:rsidRDefault="006661FE" w:rsidP="006661FE">
      <w:pPr>
        <w:rPr>
          <w:rFonts w:ascii="Arial" w:hAnsi="Arial"/>
        </w:rPr>
      </w:pPr>
    </w:p>
    <w:p w14:paraId="30F10142" w14:textId="01B18498" w:rsidR="006661FE" w:rsidRDefault="006661FE" w:rsidP="006661FE">
      <w:pPr>
        <w:pStyle w:val="1"/>
        <w:jc w:val="center"/>
      </w:pPr>
    </w:p>
    <w:p w14:paraId="28CA1EDD" w14:textId="77777777" w:rsidR="006661FE" w:rsidRDefault="006661FE" w:rsidP="006661FE">
      <w:pPr>
        <w:pStyle w:val="1"/>
        <w:jc w:val="both"/>
      </w:pPr>
    </w:p>
    <w:p w14:paraId="6D0ECE9D" w14:textId="77777777" w:rsidR="006661FE" w:rsidRDefault="4DB720A2" w:rsidP="006661FE">
      <w:pPr>
        <w:pStyle w:val="1"/>
        <w:ind w:firstLine="720"/>
        <w:jc w:val="both"/>
      </w:pPr>
      <w:bookmarkStart w:id="258" w:name="_Int_gvnQMOKU"/>
      <w:r>
        <w:t>Where</w:t>
      </w:r>
      <w:bookmarkEnd w:id="258"/>
    </w:p>
    <w:p w14:paraId="6C193E11"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1F6EF4B5" w14:textId="77777777" w:rsidR="003A12C5" w:rsidRDefault="604DC3D6" w:rsidP="003A12C5">
      <w:pPr>
        <w:pStyle w:val="1"/>
        <w:ind w:firstLine="720"/>
        <w:jc w:val="both"/>
      </w:pPr>
      <w:r>
        <w:t>WNMkm</w:t>
      </w:r>
      <w:r w:rsidRPr="0537B9E0">
        <w:rPr>
          <w:vertAlign w:val="subscript"/>
        </w:rPr>
        <w:t>YR</w:t>
      </w:r>
      <w:r w:rsidR="003A12C5">
        <w:tab/>
      </w:r>
      <w:r>
        <w:t>=</w:t>
      </w:r>
      <w:r w:rsidR="003A12C5">
        <w:tab/>
      </w:r>
      <w:bookmarkStart w:id="259" w:name="_Int_TkW2C1ZI"/>
      <w:r>
        <w:t>Year Round</w:t>
      </w:r>
      <w:bookmarkEnd w:id="259"/>
      <w:r>
        <w:t xml:space="preserve"> Weighted nodal marginal km</w:t>
      </w:r>
    </w:p>
    <w:p w14:paraId="7EAE9832" w14:textId="77777777" w:rsidR="003A12C5" w:rsidRDefault="604DC3D6" w:rsidP="003A12C5">
      <w:pPr>
        <w:pStyle w:val="1"/>
        <w:ind w:firstLine="720"/>
        <w:jc w:val="both"/>
      </w:pPr>
      <w:r>
        <w:t>ZMkm</w:t>
      </w:r>
      <w:r w:rsidRPr="0537B9E0">
        <w:rPr>
          <w:vertAlign w:val="subscript"/>
        </w:rPr>
        <w:t>YR</w:t>
      </w:r>
      <w:r w:rsidR="003A12C5">
        <w:tab/>
      </w:r>
      <w:r>
        <w:t>=</w:t>
      </w:r>
      <w:r w:rsidR="003A12C5">
        <w:tab/>
      </w:r>
      <w:bookmarkStart w:id="260" w:name="_Int_gYgLjrwt"/>
      <w:r>
        <w:t>Year Round</w:t>
      </w:r>
      <w:bookmarkEnd w:id="260"/>
      <w:r>
        <w:t xml:space="preserve"> Zonal Marginal km</w:t>
      </w:r>
    </w:p>
    <w:p w14:paraId="0B11AB35" w14:textId="77777777" w:rsidR="003A12C5" w:rsidRDefault="604DC3D6" w:rsidP="003A12C5">
      <w:pPr>
        <w:pStyle w:val="1"/>
        <w:ind w:left="2880" w:hanging="2160"/>
        <w:jc w:val="both"/>
      </w:pPr>
      <w:r>
        <w:t>Gen                 =</w:t>
      </w:r>
      <w:r w:rsidR="003A12C5">
        <w:tab/>
      </w:r>
      <w:r>
        <w:t xml:space="preserve">Nodal Generation (scaled by the appropriate </w:t>
      </w:r>
      <w:bookmarkStart w:id="261" w:name="_Int_2W4PPUqG"/>
      <w:r>
        <w:t>Year Round</w:t>
      </w:r>
      <w:bookmarkEnd w:id="261"/>
      <w:r>
        <w:t xml:space="preserve"> Scaling factor) from the transport model</w:t>
      </w:r>
      <w:r w:rsidR="003A12C5">
        <w:fldChar w:fldCharType="begin"/>
      </w:r>
      <w:r w:rsidR="003A12C5">
        <w:instrText>xe "transport model"</w:instrText>
      </w:r>
      <w:r w:rsidR="003A12C5">
        <w:fldChar w:fldCharType="end"/>
      </w:r>
    </w:p>
    <w:p w14:paraId="3FE1B93D" w14:textId="77777777" w:rsidR="003A12C5" w:rsidRDefault="003A12C5" w:rsidP="003A12C5">
      <w:pPr>
        <w:pStyle w:val="1"/>
        <w:ind w:firstLine="720"/>
        <w:jc w:val="both"/>
      </w:pPr>
    </w:p>
    <w:p w14:paraId="518C40B6" w14:textId="77777777" w:rsidR="003A12C5" w:rsidRDefault="003A12C5" w:rsidP="003A12C5">
      <w:pPr>
        <w:pStyle w:val="1"/>
        <w:ind w:firstLine="720"/>
        <w:jc w:val="both"/>
      </w:pPr>
    </w:p>
    <w:p w14:paraId="0C9B6102" w14:textId="77777777" w:rsidR="003A12C5" w:rsidRDefault="604DC3D6" w:rsidP="00533333">
      <w:pPr>
        <w:pStyle w:val="1"/>
        <w:numPr>
          <w:ilvl w:val="0"/>
          <w:numId w:val="73"/>
        </w:numPr>
        <w:jc w:val="both"/>
      </w:pPr>
      <w:r>
        <w:t xml:space="preserve">The zonal Peak Security marginal km for demand zones </w:t>
      </w:r>
      <w:bookmarkStart w:id="262" w:name="_Int_BhtEsbea"/>
      <w:r>
        <w:t>are</w:t>
      </w:r>
      <w:bookmarkEnd w:id="262"/>
      <w:r>
        <w:t xml:space="preserve"> calculated as follows</w:t>
      </w:r>
      <w:r w:rsidR="3C3D0020">
        <w:t>. If Nodal Demand from a node is less than 0 (Exporting) the nodal demand will be set to zero and therefore not contribute to the Zonal marginal km</w:t>
      </w:r>
    </w:p>
    <w:p w14:paraId="3FE549DE" w14:textId="123879DD" w:rsidR="003A12C5" w:rsidRDefault="003A12C5" w:rsidP="000B6C0D">
      <w:pPr>
        <w:pStyle w:val="1"/>
        <w:ind w:left="1627"/>
        <w:jc w:val="both"/>
      </w:pPr>
    </w:p>
    <w:p w14:paraId="5A4F8FB5" w14:textId="1BA7C112" w:rsidR="003A12C5" w:rsidRDefault="003A12C5" w:rsidP="000B6C0D">
      <w:pPr>
        <w:pStyle w:val="1"/>
        <w:ind w:left="2160" w:firstLine="720"/>
        <w:jc w:val="both"/>
      </w:pPr>
    </w:p>
    <w:p w14:paraId="3948E63A" w14:textId="77777777" w:rsidR="003A12C5" w:rsidRDefault="003A12C5" w:rsidP="006661FE">
      <w:pPr>
        <w:pStyle w:val="1"/>
        <w:ind w:firstLine="720"/>
        <w:jc w:val="both"/>
      </w:pPr>
    </w:p>
    <w:p w14:paraId="3CB4FFE2" w14:textId="77777777" w:rsidR="003A12C5" w:rsidRDefault="003A12C5" w:rsidP="006661FE">
      <w:pPr>
        <w:pStyle w:val="1"/>
        <w:ind w:firstLine="720"/>
        <w:jc w:val="both"/>
      </w:pPr>
    </w:p>
    <w:p w14:paraId="06C95F84" w14:textId="77777777" w:rsidR="003A12C5" w:rsidRDefault="003A12C5" w:rsidP="006661FE">
      <w:pPr>
        <w:pStyle w:val="1"/>
        <w:ind w:firstLine="720"/>
        <w:jc w:val="both"/>
      </w:pPr>
      <w:r>
        <w:t>Where:</w:t>
      </w:r>
    </w:p>
    <w:p w14:paraId="7661F955" w14:textId="77777777" w:rsidR="006661FE" w:rsidRDefault="006661FE" w:rsidP="006661FE">
      <w:pPr>
        <w:pStyle w:val="1"/>
        <w:ind w:firstLine="720"/>
        <w:jc w:val="both"/>
      </w:pPr>
      <w:r>
        <w:t xml:space="preserve">Di </w:t>
      </w:r>
      <w:r>
        <w:tab/>
      </w:r>
      <w:r>
        <w:tab/>
        <w:t>=</w:t>
      </w:r>
      <w:r>
        <w:tab/>
        <w:t>Demand zone</w:t>
      </w:r>
    </w:p>
    <w:p w14:paraId="27A71C6E"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6661FE">
      <w:pPr>
        <w:pStyle w:val="1"/>
        <w:ind w:firstLine="720"/>
        <w:jc w:val="both"/>
      </w:pPr>
    </w:p>
    <w:p w14:paraId="314795B4" w14:textId="77777777" w:rsidR="003A12C5" w:rsidRDefault="604DC3D6" w:rsidP="003A12C5">
      <w:pPr>
        <w:pStyle w:val="1"/>
        <w:ind w:left="1440"/>
        <w:jc w:val="both"/>
      </w:pPr>
      <w:r>
        <w:t xml:space="preserve">Similarly, the zonal </w:t>
      </w:r>
      <w:bookmarkStart w:id="263" w:name="_Int_UubqlScS"/>
      <w:r>
        <w:t>Year Round</w:t>
      </w:r>
      <w:bookmarkEnd w:id="263"/>
      <w:r>
        <w:t xml:space="preserve"> marginal km for demand zones are calculated as follows:</w:t>
      </w:r>
    </w:p>
    <w:p w14:paraId="2246E732" w14:textId="77777777" w:rsidR="003A12C5" w:rsidRDefault="003A12C5" w:rsidP="003A12C5">
      <w:pPr>
        <w:pStyle w:val="1"/>
        <w:ind w:left="1440"/>
        <w:jc w:val="both"/>
      </w:pPr>
    </w:p>
    <w:p w14:paraId="1520239C" w14:textId="77777777" w:rsidR="003A12C5" w:rsidRDefault="003A12C5" w:rsidP="003A12C5">
      <w:pPr>
        <w:pStyle w:val="1"/>
        <w:ind w:left="1440"/>
        <w:jc w:val="both"/>
      </w:pPr>
    </w:p>
    <w:p w14:paraId="0D02E53A" w14:textId="0DA69959" w:rsidR="003A12C5" w:rsidRDefault="003A12C5" w:rsidP="003A12C5">
      <w:pPr>
        <w:pStyle w:val="1"/>
        <w:ind w:left="1440"/>
        <w:jc w:val="both"/>
      </w:pPr>
      <w:r>
        <w:tab/>
      </w:r>
      <w:r>
        <w:tab/>
      </w:r>
    </w:p>
    <w:p w14:paraId="43209579" w14:textId="77777777" w:rsidR="003A12C5" w:rsidRDefault="003A12C5" w:rsidP="003A12C5">
      <w:pPr>
        <w:pStyle w:val="1"/>
        <w:ind w:left="1440"/>
        <w:jc w:val="both"/>
      </w:pPr>
    </w:p>
    <w:p w14:paraId="54130DA9" w14:textId="4B559B96" w:rsidR="003A12C5" w:rsidRDefault="003A12C5" w:rsidP="003A12C5">
      <w:pPr>
        <w:pStyle w:val="1"/>
        <w:ind w:left="2160" w:firstLine="720"/>
        <w:jc w:val="both"/>
      </w:pPr>
    </w:p>
    <w:p w14:paraId="79FFE9E7" w14:textId="77777777" w:rsidR="006661FE" w:rsidRDefault="006661FE" w:rsidP="006661FE">
      <w:pPr>
        <w:pStyle w:val="1"/>
        <w:ind w:firstLine="720"/>
        <w:jc w:val="both"/>
      </w:pPr>
      <w:r>
        <w:fldChar w:fldCharType="begin"/>
      </w:r>
      <w:r>
        <w:instrText xml:space="preserve"> XE "transport model" </w:instrText>
      </w:r>
      <w:r>
        <w:fldChar w:fldCharType="end"/>
      </w:r>
    </w:p>
    <w:p w14:paraId="69BD3721" w14:textId="77777777" w:rsidR="006661FE" w:rsidRDefault="006661FE" w:rsidP="006661FE">
      <w:pPr>
        <w:pStyle w:val="1"/>
        <w:jc w:val="both"/>
      </w:pPr>
    </w:p>
    <w:p w14:paraId="1AF8E2B4" w14:textId="77777777" w:rsidR="006661FE" w:rsidRDefault="006661FE" w:rsidP="006661FE">
      <w:pPr>
        <w:pStyle w:val="1"/>
        <w:jc w:val="both"/>
      </w:pPr>
    </w:p>
    <w:p w14:paraId="591DD494" w14:textId="09B159ED" w:rsidR="006661FE" w:rsidRDefault="27226CB9" w:rsidP="00533333">
      <w:pPr>
        <w:pStyle w:val="1"/>
        <w:numPr>
          <w:ilvl w:val="0"/>
          <w:numId w:val="73"/>
        </w:numPr>
        <w:jc w:val="both"/>
      </w:pPr>
      <w:bookmarkStart w:id="264" w:name="_Ref501341485"/>
      <w:r>
        <w:t>The number of generation zones will be fixed to 27 zones and the assignment of existing relevant nodes to these 27 generation zones will be fixed to those that are effective as of 31</w:t>
      </w:r>
      <w:r w:rsidRPr="0537B9E0">
        <w:rPr>
          <w:vertAlign w:val="superscript"/>
        </w:rPr>
        <w:t>st</w:t>
      </w:r>
      <w:r>
        <w:t xml:space="preserve"> March 2021 based on methodology in effect during the 2020/21. Relevant nodes </w:t>
      </w:r>
      <w:bookmarkStart w:id="265" w:name="_Int_9kar1WQ7"/>
      <w:r>
        <w:t>are considered to be</w:t>
      </w:r>
      <w:bookmarkEnd w:id="265"/>
      <w:r>
        <w:t xml:space="preserve"> those with generation connected to them. </w:t>
      </w:r>
      <w:r w:rsidR="17E170F1" w:rsidRPr="0537B9E0">
        <w:rPr>
          <w:b/>
          <w:bCs/>
        </w:rPr>
        <w:t>Financial Year</w:t>
      </w:r>
      <w:r>
        <w:t xml:space="preserve">. </w:t>
      </w:r>
      <w:r w:rsidR="394D5FCB">
        <w:t xml:space="preserve">Any newly created relevant nodes will be assigned to one of the 27 generation zones. </w:t>
      </w:r>
      <w:bookmarkEnd w:id="264"/>
    </w:p>
    <w:p w14:paraId="68710CA7" w14:textId="77777777" w:rsidR="006661FE" w:rsidRDefault="006661FE" w:rsidP="006661FE">
      <w:pPr>
        <w:pStyle w:val="1"/>
        <w:jc w:val="both"/>
      </w:pPr>
    </w:p>
    <w:p w14:paraId="03A6E30C" w14:textId="77777777" w:rsidR="006661FE" w:rsidRDefault="006661FE" w:rsidP="006661FE">
      <w:pPr>
        <w:pStyle w:val="1"/>
        <w:ind w:left="720"/>
        <w:jc w:val="both"/>
      </w:pPr>
    </w:p>
    <w:p w14:paraId="05F5EC69" w14:textId="77777777" w:rsidR="006661FE" w:rsidRDefault="006661FE" w:rsidP="006661FE">
      <w:pPr>
        <w:pStyle w:val="1"/>
        <w:jc w:val="both"/>
      </w:pPr>
    </w:p>
    <w:p w14:paraId="7EF49C8B" w14:textId="77777777" w:rsidR="006661FE" w:rsidRDefault="006661FE" w:rsidP="006661FE">
      <w:pPr>
        <w:pStyle w:val="1"/>
        <w:jc w:val="both"/>
      </w:pPr>
    </w:p>
    <w:p w14:paraId="09266B0C" w14:textId="25CB2879" w:rsidR="006661FE" w:rsidRDefault="00DF7571" w:rsidP="00533333">
      <w:pPr>
        <w:pStyle w:val="1"/>
        <w:numPr>
          <w:ilvl w:val="0"/>
          <w:numId w:val="73"/>
        </w:numPr>
        <w:jc w:val="both"/>
      </w:pPr>
      <w:r>
        <w:t>Not Used</w:t>
      </w:r>
    </w:p>
    <w:p w14:paraId="21E56A3A" w14:textId="77777777" w:rsidR="006661FE" w:rsidRDefault="006661FE" w:rsidP="006661FE">
      <w:pPr>
        <w:pStyle w:val="1"/>
        <w:jc w:val="both"/>
      </w:pPr>
    </w:p>
    <w:p w14:paraId="7928F5C1" w14:textId="4B6CC030" w:rsidR="006661FE" w:rsidRDefault="00DF7571" w:rsidP="00533333">
      <w:pPr>
        <w:pStyle w:val="1"/>
        <w:numPr>
          <w:ilvl w:val="0"/>
          <w:numId w:val="73"/>
        </w:numPr>
        <w:jc w:val="both"/>
      </w:pPr>
      <w:r>
        <w:t>Not Used</w:t>
      </w:r>
    </w:p>
    <w:p w14:paraId="3368E047" w14:textId="77777777" w:rsidR="006661FE" w:rsidRDefault="006661FE" w:rsidP="006661FE">
      <w:pPr>
        <w:pStyle w:val="1"/>
        <w:jc w:val="both"/>
      </w:pPr>
    </w:p>
    <w:p w14:paraId="5970E4AD" w14:textId="08EB5D5F" w:rsidR="006661FE" w:rsidRDefault="00DF7571" w:rsidP="00533333">
      <w:pPr>
        <w:pStyle w:val="1"/>
        <w:numPr>
          <w:ilvl w:val="0"/>
          <w:numId w:val="73"/>
        </w:numPr>
        <w:jc w:val="both"/>
      </w:pPr>
      <w:r>
        <w:t>Not Used</w:t>
      </w:r>
    </w:p>
    <w:p w14:paraId="5B01955E" w14:textId="77777777" w:rsidR="003A12C5" w:rsidRDefault="003A12C5" w:rsidP="000B6C0D">
      <w:pPr>
        <w:pStyle w:val="1"/>
        <w:jc w:val="both"/>
      </w:pPr>
    </w:p>
    <w:p w14:paraId="66CC0CCA" w14:textId="77777777" w:rsidR="003A12C5" w:rsidRPr="003A12C5" w:rsidRDefault="003A12C5" w:rsidP="003A12C5">
      <w:pPr>
        <w:pStyle w:val="1"/>
        <w:ind w:left="720"/>
        <w:jc w:val="both"/>
        <w:rPr>
          <w:b/>
        </w:rPr>
      </w:pPr>
      <w:r w:rsidRPr="000B6C0D">
        <w:rPr>
          <w:b/>
        </w:rPr>
        <w:t>Accounting for Sharing of Transmission by Generators</w:t>
      </w:r>
    </w:p>
    <w:p w14:paraId="3D1392D3" w14:textId="77777777" w:rsidR="003A12C5" w:rsidRPr="00BE09DE" w:rsidRDefault="003A12C5" w:rsidP="003A12C5">
      <w:pPr>
        <w:pStyle w:val="1"/>
        <w:ind w:left="720"/>
        <w:jc w:val="both"/>
      </w:pPr>
    </w:p>
    <w:p w14:paraId="32F482A4" w14:textId="23CE482A" w:rsidR="003A12C5" w:rsidRPr="000B6C0D" w:rsidRDefault="604DC3D6" w:rsidP="00533333">
      <w:pPr>
        <w:pStyle w:val="1"/>
        <w:numPr>
          <w:ilvl w:val="0"/>
          <w:numId w:val="73"/>
        </w:numPr>
        <w:jc w:val="both"/>
      </w:pPr>
      <w:r>
        <w:t>A proportion of the marginal km costs for generation are shared incremental km reflecting the ability of differing generation technologies to share transmission investment</w:t>
      </w:r>
      <w:r w:rsidR="2EBA07B2">
        <w:t xml:space="preserve">. </w:t>
      </w:r>
      <w:r>
        <w:t xml:space="preserve">This is reflected in charges through the splitting of </w:t>
      </w:r>
      <w:bookmarkStart w:id="266" w:name="_Int_y8aBjYL0"/>
      <w:r>
        <w:t>Year Round</w:t>
      </w:r>
      <w:bookmarkEnd w:id="266"/>
      <w:r>
        <w:t xml:space="preserve"> marginal km costs for </w:t>
      </w:r>
      <w:r w:rsidR="28E57FE8">
        <w:t>generation into</w:t>
      </w:r>
      <w:r>
        <w:t xml:space="preserve"> Year Round Shared marginal km costs and </w:t>
      </w:r>
      <w:bookmarkStart w:id="267" w:name="_Int_Qm9EHzCE"/>
      <w:r>
        <w:t>Year Round</w:t>
      </w:r>
      <w:bookmarkEnd w:id="267"/>
      <w:r>
        <w:t xml:space="preserve"> Not-Shared marginal km which are then used in the calculation of the wider £/kW generation tariff. </w:t>
      </w:r>
    </w:p>
    <w:p w14:paraId="6944AD2F" w14:textId="77777777" w:rsidR="003A12C5" w:rsidRPr="000B6C0D" w:rsidRDefault="003A12C5" w:rsidP="003A12C5">
      <w:pPr>
        <w:pStyle w:val="1"/>
        <w:tabs>
          <w:tab w:val="num" w:pos="1080"/>
        </w:tabs>
        <w:ind w:left="1080"/>
        <w:jc w:val="both"/>
      </w:pPr>
    </w:p>
    <w:p w14:paraId="0AB4DB97" w14:textId="77777777" w:rsidR="003A12C5" w:rsidRPr="000B6C0D" w:rsidRDefault="003A12C5" w:rsidP="00533333">
      <w:pPr>
        <w:pStyle w:val="1"/>
        <w:numPr>
          <w:ilvl w:val="0"/>
          <w:numId w:val="73"/>
        </w:numPr>
        <w:jc w:val="both"/>
      </w:pPr>
      <w:r w:rsidRPr="000B6C0D">
        <w:lastRenderedPageBreak/>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3A12C5">
      <w:pPr>
        <w:pStyle w:val="1"/>
        <w:ind w:left="1080"/>
        <w:jc w:val="both"/>
      </w:pPr>
    </w:p>
    <w:p w14:paraId="0675384F" w14:textId="77777777" w:rsidR="003A12C5" w:rsidRPr="000B6C0D" w:rsidRDefault="003A12C5" w:rsidP="00533333">
      <w:pPr>
        <w:pStyle w:val="1"/>
        <w:numPr>
          <w:ilvl w:val="0"/>
          <w:numId w:val="73"/>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59FDD177" w14:textId="77777777" w:rsidR="003A12C5" w:rsidRPr="000B6C0D" w:rsidRDefault="003A12C5" w:rsidP="003A12C5">
      <w:pPr>
        <w:pStyle w:val="1"/>
        <w:tabs>
          <w:tab w:val="left" w:pos="2040"/>
        </w:tabs>
        <w:jc w:val="both"/>
      </w:pPr>
    </w:p>
    <w:p w14:paraId="7959A6DB" w14:textId="2E3EA26F" w:rsidR="003A12C5" w:rsidRPr="00BE09DE" w:rsidRDefault="003A12C5" w:rsidP="003A12C5">
      <w:pPr>
        <w:pStyle w:val="1"/>
        <w:tabs>
          <w:tab w:val="left" w:pos="2040"/>
        </w:tabs>
        <w:jc w:val="center"/>
      </w:pPr>
    </w:p>
    <w:p w14:paraId="7F631D96" w14:textId="77777777" w:rsidR="003A12C5" w:rsidRPr="000B6C0D" w:rsidRDefault="003A12C5" w:rsidP="003A12C5">
      <w:pPr>
        <w:pStyle w:val="1"/>
        <w:tabs>
          <w:tab w:val="left" w:pos="2040"/>
        </w:tabs>
        <w:ind w:left="2040"/>
      </w:pPr>
      <w:r w:rsidRPr="000B6C0D">
        <w:t>Where;</w:t>
      </w:r>
    </w:p>
    <w:p w14:paraId="1872F16A"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0CA434F8" w14:textId="77777777" w:rsidR="003A12C5" w:rsidRPr="000B6C0D" w:rsidRDefault="003A12C5" w:rsidP="003A12C5">
      <w:pPr>
        <w:pStyle w:val="1"/>
        <w:tabs>
          <w:tab w:val="left" w:pos="2040"/>
        </w:tabs>
        <w:ind w:left="2040"/>
      </w:pPr>
      <w:r w:rsidRPr="000B6C0D">
        <w:t>ZIkm = generation charging zone incremental km.</w:t>
      </w:r>
    </w:p>
    <w:p w14:paraId="1290D02F" w14:textId="77777777" w:rsidR="003A12C5" w:rsidRPr="000B6C0D" w:rsidRDefault="003A12C5" w:rsidP="003A12C5">
      <w:pPr>
        <w:pStyle w:val="1"/>
        <w:ind w:left="1080"/>
        <w:jc w:val="both"/>
      </w:pPr>
    </w:p>
    <w:p w14:paraId="588F567E" w14:textId="77777777" w:rsidR="003A12C5" w:rsidRPr="000B6C0D" w:rsidRDefault="003A12C5" w:rsidP="003A12C5">
      <w:pPr>
        <w:pStyle w:val="1"/>
        <w:ind w:left="1080"/>
        <w:jc w:val="both"/>
      </w:pPr>
    </w:p>
    <w:p w14:paraId="0DF5FB30" w14:textId="6EA9850C" w:rsidR="003A12C5" w:rsidRPr="000B6C0D" w:rsidRDefault="6A1FB8E3" w:rsidP="00533333">
      <w:pPr>
        <w:pStyle w:val="1"/>
        <w:numPr>
          <w:ilvl w:val="0"/>
          <w:numId w:val="73"/>
        </w:numPr>
        <w:jc w:val="both"/>
      </w:pPr>
      <w:r>
        <w:t xml:space="preserve">The table below shows the categorisation of Low Carbon and Carbon generation. This table will be updated by </w:t>
      </w:r>
      <w:r w:rsidR="2EBFAECD" w:rsidRPr="00C94D4B">
        <w:rPr>
          <w:b/>
          <w:bCs/>
        </w:rPr>
        <w:t>The Company</w:t>
      </w:r>
      <w:r w:rsidR="5AC7B1D3">
        <w:t xml:space="preserve"> </w:t>
      </w:r>
      <w:r>
        <w:t xml:space="preserve">in the Statement of Use of System Charges as new generation technologies are developed. </w:t>
      </w:r>
    </w:p>
    <w:p w14:paraId="30B22AFE" w14:textId="77777777" w:rsidR="003A12C5" w:rsidRPr="000B6C0D" w:rsidRDefault="003A12C5" w:rsidP="003A12C5">
      <w:pPr>
        <w:pStyle w:val="1"/>
        <w:ind w:left="1080"/>
        <w:jc w:val="both"/>
      </w:pPr>
    </w:p>
    <w:p w14:paraId="3E2821D9"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0B6C0D" w14:paraId="637CD463" w14:textId="77777777" w:rsidTr="000C6F2B">
        <w:tc>
          <w:tcPr>
            <w:tcW w:w="0" w:type="auto"/>
          </w:tcPr>
          <w:p w14:paraId="24A757ED" w14:textId="77777777" w:rsidR="003A12C5" w:rsidRPr="000B6C0D" w:rsidRDefault="003A12C5" w:rsidP="000C6F2B">
            <w:pPr>
              <w:pStyle w:val="1"/>
              <w:jc w:val="both"/>
              <w:rPr>
                <w:b/>
              </w:rPr>
            </w:pPr>
            <w:r w:rsidRPr="000B6C0D">
              <w:rPr>
                <w:b/>
              </w:rPr>
              <w:t>Carbon</w:t>
            </w:r>
          </w:p>
        </w:tc>
        <w:tc>
          <w:tcPr>
            <w:tcW w:w="0" w:type="auto"/>
          </w:tcPr>
          <w:p w14:paraId="42E4ED9F" w14:textId="77777777" w:rsidR="003A12C5" w:rsidRPr="000B6C0D" w:rsidRDefault="003A12C5" w:rsidP="000C6F2B">
            <w:pPr>
              <w:pStyle w:val="1"/>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0C6F2B">
            <w:pPr>
              <w:pStyle w:val="1"/>
              <w:jc w:val="both"/>
            </w:pPr>
            <w:r w:rsidRPr="000B6C0D">
              <w:t xml:space="preserve">Coal </w:t>
            </w:r>
          </w:p>
        </w:tc>
        <w:tc>
          <w:tcPr>
            <w:tcW w:w="0" w:type="auto"/>
          </w:tcPr>
          <w:p w14:paraId="02EE49AD" w14:textId="77777777" w:rsidR="003A12C5" w:rsidRPr="000B6C0D" w:rsidRDefault="003A12C5" w:rsidP="000C6F2B">
            <w:pPr>
              <w:pStyle w:val="1"/>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0C6F2B">
            <w:pPr>
              <w:pStyle w:val="1"/>
              <w:jc w:val="both"/>
            </w:pPr>
            <w:r w:rsidRPr="000B6C0D">
              <w:t>Gas</w:t>
            </w:r>
          </w:p>
        </w:tc>
        <w:tc>
          <w:tcPr>
            <w:tcW w:w="0" w:type="auto"/>
          </w:tcPr>
          <w:p w14:paraId="39E5175B" w14:textId="77777777" w:rsidR="003A12C5" w:rsidRPr="000B6C0D" w:rsidRDefault="003A12C5" w:rsidP="000C6F2B">
            <w:pPr>
              <w:pStyle w:val="1"/>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0C6F2B">
            <w:pPr>
              <w:pStyle w:val="1"/>
              <w:jc w:val="both"/>
            </w:pPr>
            <w:r w:rsidRPr="000B6C0D">
              <w:t>Biomass</w:t>
            </w:r>
          </w:p>
        </w:tc>
        <w:tc>
          <w:tcPr>
            <w:tcW w:w="0" w:type="auto"/>
          </w:tcPr>
          <w:p w14:paraId="76250297" w14:textId="77777777" w:rsidR="003A12C5" w:rsidRPr="000B6C0D" w:rsidRDefault="003A12C5" w:rsidP="000C6F2B">
            <w:pPr>
              <w:pStyle w:val="1"/>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0C6F2B">
            <w:pPr>
              <w:pStyle w:val="1"/>
              <w:jc w:val="both"/>
            </w:pPr>
            <w:r w:rsidRPr="000B6C0D">
              <w:t>Oil</w:t>
            </w:r>
          </w:p>
        </w:tc>
        <w:tc>
          <w:tcPr>
            <w:tcW w:w="0" w:type="auto"/>
          </w:tcPr>
          <w:p w14:paraId="5888262A" w14:textId="77777777" w:rsidR="003A12C5" w:rsidRPr="000B6C0D" w:rsidRDefault="003A12C5" w:rsidP="000C6F2B">
            <w:pPr>
              <w:pStyle w:val="1"/>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0C6F2B">
            <w:pPr>
              <w:pStyle w:val="1"/>
              <w:jc w:val="both"/>
            </w:pPr>
            <w:r w:rsidRPr="000B6C0D">
              <w:t>Pumped Storage</w:t>
            </w:r>
          </w:p>
        </w:tc>
        <w:tc>
          <w:tcPr>
            <w:tcW w:w="0" w:type="auto"/>
          </w:tcPr>
          <w:p w14:paraId="6875E9E9" w14:textId="77777777" w:rsidR="003A12C5" w:rsidRPr="000B6C0D" w:rsidRDefault="003A12C5" w:rsidP="000C6F2B">
            <w:pPr>
              <w:pStyle w:val="1"/>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0C6F2B">
            <w:pPr>
              <w:pStyle w:val="1"/>
              <w:jc w:val="both"/>
            </w:pPr>
            <w:r w:rsidRPr="000B6C0D">
              <w:t>Interconnectors</w:t>
            </w:r>
          </w:p>
        </w:tc>
        <w:tc>
          <w:tcPr>
            <w:tcW w:w="0" w:type="auto"/>
          </w:tcPr>
          <w:p w14:paraId="692C5C18" w14:textId="77777777" w:rsidR="003A12C5" w:rsidRPr="003A12C5" w:rsidRDefault="003A12C5" w:rsidP="000C6F2B">
            <w:pPr>
              <w:pStyle w:val="1"/>
              <w:jc w:val="both"/>
            </w:pPr>
          </w:p>
        </w:tc>
      </w:tr>
    </w:tbl>
    <w:p w14:paraId="59ADDB46" w14:textId="77777777" w:rsidR="003A12C5" w:rsidRPr="000B6C0D" w:rsidRDefault="003A12C5" w:rsidP="003A12C5">
      <w:pPr>
        <w:pStyle w:val="1"/>
        <w:ind w:left="2160"/>
        <w:jc w:val="both"/>
      </w:pPr>
    </w:p>
    <w:p w14:paraId="7DC1F567" w14:textId="77777777" w:rsidR="003A12C5" w:rsidRPr="000B6C0D" w:rsidRDefault="003A12C5" w:rsidP="003A12C5">
      <w:pPr>
        <w:pStyle w:val="1"/>
        <w:ind w:left="1080"/>
        <w:jc w:val="both"/>
      </w:pPr>
      <w:r w:rsidRPr="000B6C0D">
        <w:t>Determination of Connectivity</w:t>
      </w:r>
    </w:p>
    <w:p w14:paraId="14F05C9E" w14:textId="77777777" w:rsidR="003A12C5" w:rsidRPr="000B6C0D" w:rsidRDefault="003A12C5" w:rsidP="003A12C5">
      <w:pPr>
        <w:pStyle w:val="1"/>
        <w:ind w:left="1080"/>
        <w:jc w:val="both"/>
      </w:pPr>
    </w:p>
    <w:p w14:paraId="641DD7F6" w14:textId="22EBD251" w:rsidR="003A12C5" w:rsidRPr="000B6C0D" w:rsidRDefault="604DC3D6" w:rsidP="00533333">
      <w:pPr>
        <w:pStyle w:val="1"/>
        <w:numPr>
          <w:ilvl w:val="0"/>
          <w:numId w:val="73"/>
        </w:numPr>
        <w:tabs>
          <w:tab w:val="num" w:pos="1080"/>
        </w:tabs>
        <w:jc w:val="both"/>
      </w:pPr>
      <w:r>
        <w:t>Connectivity is based on the existence of electrical circuits between TNUoS generation charging zones that are represented in the Transport model</w:t>
      </w:r>
      <w:r w:rsidR="2E1E8F78">
        <w:t xml:space="preserve">. </w:t>
      </w:r>
      <w:r>
        <w:t>Where such paths exist, generation charging zones will be effectively linked via an incremental km transmission boundary length</w:t>
      </w:r>
      <w:r w:rsidR="0A7BD784">
        <w:t xml:space="preserve">. </w:t>
      </w:r>
      <w:r>
        <w:t xml:space="preserve">These paths will be simplified through in the case of; </w:t>
      </w:r>
    </w:p>
    <w:p w14:paraId="67F2EBE8" w14:textId="77777777" w:rsidR="003A12C5" w:rsidRPr="000B6C0D" w:rsidRDefault="003A12C5" w:rsidP="003A12C5">
      <w:pPr>
        <w:pStyle w:val="1"/>
        <w:ind w:left="1080"/>
        <w:jc w:val="both"/>
      </w:pPr>
    </w:p>
    <w:p w14:paraId="6D510091" w14:textId="3A81B29A" w:rsidR="003A12C5" w:rsidRPr="000B6C0D" w:rsidRDefault="604DC3D6" w:rsidP="003A12C5">
      <w:pPr>
        <w:pStyle w:val="1"/>
        <w:numPr>
          <w:ilvl w:val="0"/>
          <w:numId w:val="51"/>
        </w:numPr>
        <w:tabs>
          <w:tab w:val="num" w:pos="1440"/>
        </w:tabs>
        <w:ind w:left="1440"/>
        <w:jc w:val="both"/>
      </w:pPr>
      <w:r>
        <w:t>Parallel paths – the longest path will be taken</w:t>
      </w:r>
      <w:r w:rsidR="5F98AAFB">
        <w:t xml:space="preserve">. </w:t>
      </w:r>
      <w:r>
        <w:t>An illustrative example is shown below with x, y and z representing the incremental km between zones.</w:t>
      </w:r>
    </w:p>
    <w:p w14:paraId="578F99FC" w14:textId="77777777" w:rsidR="003A12C5" w:rsidRPr="000B6C0D" w:rsidRDefault="003A12C5" w:rsidP="003A12C5">
      <w:pPr>
        <w:pStyle w:val="1"/>
        <w:ind w:left="1080"/>
        <w:jc w:val="both"/>
      </w:pPr>
    </w:p>
    <w:p w14:paraId="3B13342F" w14:textId="50ABCB84" w:rsidR="003A12C5" w:rsidRPr="000B6C0D" w:rsidRDefault="008C574C" w:rsidP="008C574C">
      <w:pPr>
        <w:pStyle w:val="1"/>
        <w:tabs>
          <w:tab w:val="left" w:pos="1485"/>
        </w:tabs>
        <w:ind w:left="1080"/>
        <w:jc w:val="both"/>
      </w:pPr>
      <w:r>
        <w:tab/>
      </w:r>
      <w:r>
        <w:rPr>
          <w:noProof/>
        </w:rPr>
        <w:drawing>
          <wp:inline distT="0" distB="0" distL="0" distR="0" wp14:anchorId="69AB77A5" wp14:editId="7219D5F9">
            <wp:extent cx="55911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91175" cy="2190750"/>
                    </a:xfrm>
                    <a:prstGeom prst="rect">
                      <a:avLst/>
                    </a:prstGeom>
                  </pic:spPr>
                </pic:pic>
              </a:graphicData>
            </a:graphic>
          </wp:inline>
        </w:drawing>
      </w:r>
    </w:p>
    <w:p w14:paraId="6AC5CE88" w14:textId="77777777" w:rsidR="003A12C5" w:rsidRPr="000B6C0D" w:rsidRDefault="003A12C5" w:rsidP="003A12C5">
      <w:pPr>
        <w:pStyle w:val="1"/>
        <w:ind w:left="1080"/>
        <w:jc w:val="both"/>
      </w:pPr>
    </w:p>
    <w:p w14:paraId="419120FB" w14:textId="51693A38" w:rsidR="003A12C5" w:rsidRPr="000B6C0D" w:rsidRDefault="604DC3D6" w:rsidP="003A12C5">
      <w:pPr>
        <w:pStyle w:val="1"/>
        <w:numPr>
          <w:ilvl w:val="0"/>
          <w:numId w:val="51"/>
        </w:numPr>
        <w:tabs>
          <w:tab w:val="num" w:pos="1440"/>
        </w:tabs>
        <w:ind w:left="1440"/>
        <w:jc w:val="both"/>
      </w:pPr>
      <w:r>
        <w:lastRenderedPageBreak/>
        <w:t>Parallel zones – parallel zones will be amalgamated with the incremental km immediately beyond the amalgamated zones being the greater of those existing prior to the amalgamation</w:t>
      </w:r>
      <w:r w:rsidR="0394F3AC">
        <w:t xml:space="preserve">. </w:t>
      </w:r>
      <w:r>
        <w:t>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3A12C5">
      <w:pPr>
        <w:pStyle w:val="1"/>
        <w:jc w:val="both"/>
      </w:pPr>
    </w:p>
    <w:p w14:paraId="793D573F" w14:textId="207C11D4" w:rsidR="003A12C5" w:rsidRPr="000B6C0D" w:rsidRDefault="003A12C5" w:rsidP="003A12C5">
      <w:pPr>
        <w:pStyle w:val="1"/>
        <w:tabs>
          <w:tab w:val="num" w:pos="1440"/>
        </w:tabs>
        <w:ind w:left="1080"/>
        <w:jc w:val="both"/>
      </w:pPr>
    </w:p>
    <w:p w14:paraId="4148FE4D" w14:textId="77777777" w:rsidR="003A12C5" w:rsidRPr="000B6C0D" w:rsidRDefault="003A12C5" w:rsidP="003A12C5">
      <w:pPr>
        <w:pStyle w:val="1"/>
        <w:ind w:left="1080"/>
        <w:jc w:val="both"/>
      </w:pPr>
    </w:p>
    <w:p w14:paraId="2850B7E6" w14:textId="77777777" w:rsidR="003A12C5" w:rsidRPr="000B6C0D" w:rsidRDefault="003A12C5" w:rsidP="00533333">
      <w:pPr>
        <w:pStyle w:val="1"/>
        <w:numPr>
          <w:ilvl w:val="0"/>
          <w:numId w:val="73"/>
        </w:numPr>
        <w:tabs>
          <w:tab w:val="num" w:pos="1080"/>
        </w:tabs>
        <w:jc w:val="both"/>
      </w:pPr>
      <w:r w:rsidRPr="000B6C0D">
        <w:t>An illustrative Connectivity diagram is shown below:</w:t>
      </w:r>
    </w:p>
    <w:p w14:paraId="3BABC9EC" w14:textId="77777777" w:rsidR="003A12C5" w:rsidRPr="000B6C0D" w:rsidRDefault="003A12C5" w:rsidP="003A12C5">
      <w:pPr>
        <w:pStyle w:val="1"/>
        <w:ind w:left="1080"/>
        <w:jc w:val="both"/>
      </w:pPr>
    </w:p>
    <w:p w14:paraId="486E34A1" w14:textId="56FFCFE2" w:rsidR="003A12C5" w:rsidRPr="000B6C0D" w:rsidRDefault="00F627EC" w:rsidP="003A12C5">
      <w:pPr>
        <w:pStyle w:val="1"/>
        <w:ind w:left="1080"/>
        <w:jc w:val="both"/>
      </w:pPr>
      <w:r w:rsidRPr="003A12C5">
        <w:rPr>
          <w:noProof/>
          <w:lang w:eastAsia="en-GB"/>
        </w:rPr>
        <w:drawing>
          <wp:inline distT="0" distB="0" distL="0" distR="0" wp14:anchorId="2ED6EFAA" wp14:editId="06B50914">
            <wp:extent cx="3733800" cy="3609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3A12C5">
      <w:pPr>
        <w:pStyle w:val="1"/>
        <w:ind w:left="1080"/>
        <w:jc w:val="both"/>
      </w:pPr>
    </w:p>
    <w:p w14:paraId="7E9FCAE1" w14:textId="34D359CA" w:rsidR="003A12C5" w:rsidRPr="000B6C0D" w:rsidRDefault="604DC3D6" w:rsidP="003A12C5">
      <w:pPr>
        <w:pStyle w:val="1"/>
        <w:ind w:left="1080"/>
        <w:jc w:val="both"/>
      </w:pPr>
      <w:r>
        <w:t>The arrows connecting generation charging zones and amalgamated generation charging zones represent the incremental km transmission boundary lengths towards the notional centre of the system</w:t>
      </w:r>
      <w:r w:rsidR="10B9674D">
        <w:t xml:space="preserve">. </w:t>
      </w:r>
      <w:r>
        <w:t>Generation located in charging zones behind arrows is considered to share based on the ratio of Low Carbon to Carbon cumulative generation TEC within those zones.</w:t>
      </w:r>
    </w:p>
    <w:p w14:paraId="53370CFA" w14:textId="77777777" w:rsidR="003A12C5" w:rsidRPr="000B6C0D" w:rsidRDefault="003A12C5" w:rsidP="003A12C5">
      <w:pPr>
        <w:pStyle w:val="1"/>
        <w:ind w:left="1080"/>
        <w:jc w:val="both"/>
      </w:pPr>
    </w:p>
    <w:p w14:paraId="01F9BAC0" w14:textId="77777777" w:rsidR="003A12C5" w:rsidRPr="000B6C0D" w:rsidRDefault="003A12C5" w:rsidP="003A12C5">
      <w:pPr>
        <w:pStyle w:val="1"/>
        <w:ind w:left="1080"/>
        <w:jc w:val="both"/>
      </w:pPr>
    </w:p>
    <w:p w14:paraId="647E08C0" w14:textId="5C4A942A" w:rsidR="003A12C5" w:rsidRPr="000B6C0D" w:rsidRDefault="3D96AF96" w:rsidP="00533333">
      <w:pPr>
        <w:pStyle w:val="1"/>
        <w:numPr>
          <w:ilvl w:val="0"/>
          <w:numId w:val="73"/>
        </w:numPr>
        <w:tabs>
          <w:tab w:val="left" w:pos="2040"/>
        </w:tabs>
        <w:jc w:val="both"/>
      </w:pPr>
      <w:r w:rsidRPr="0537B9E0">
        <w:rPr>
          <w:b/>
          <w:bCs/>
        </w:rPr>
        <w:t>The</w:t>
      </w:r>
      <w:r w:rsidR="1294FE40" w:rsidRPr="0537B9E0">
        <w:rPr>
          <w:b/>
          <w:bCs/>
        </w:rPr>
        <w:t xml:space="preserve"> Company </w:t>
      </w:r>
      <w:r w:rsidR="1294FE40">
        <w:t>will review Connectivity at the beginning of a new price control period, and under exceptional circumstances such as major system reconfigurations</w:t>
      </w:r>
      <w:r w:rsidR="15BDAC3D">
        <w:t xml:space="preserve">. </w:t>
      </w:r>
      <w:r w:rsidR="1294FE40">
        <w:t>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3A12C5">
      <w:pPr>
        <w:pStyle w:val="1"/>
        <w:jc w:val="both"/>
      </w:pPr>
    </w:p>
    <w:p w14:paraId="1647A007" w14:textId="77777777" w:rsidR="003A12C5" w:rsidRPr="000B6C0D" w:rsidRDefault="003A12C5" w:rsidP="003A12C5">
      <w:pPr>
        <w:pStyle w:val="1"/>
        <w:jc w:val="both"/>
      </w:pPr>
      <w:r w:rsidRPr="000B6C0D">
        <w:t>Calculation of Boundary Sharing Factors</w:t>
      </w:r>
    </w:p>
    <w:p w14:paraId="54D2E556" w14:textId="77777777" w:rsidR="003A12C5" w:rsidRPr="000B6C0D" w:rsidRDefault="003A12C5" w:rsidP="003A12C5">
      <w:pPr>
        <w:pStyle w:val="1"/>
        <w:ind w:left="1080"/>
        <w:jc w:val="both"/>
      </w:pPr>
    </w:p>
    <w:p w14:paraId="39B5084F" w14:textId="77777777" w:rsidR="003A12C5" w:rsidRPr="000B6C0D" w:rsidRDefault="003A12C5" w:rsidP="00533333">
      <w:pPr>
        <w:pStyle w:val="1"/>
        <w:numPr>
          <w:ilvl w:val="0"/>
          <w:numId w:val="73"/>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710C8009" w14:textId="77777777" w:rsidR="003A12C5" w:rsidRPr="000B6C0D" w:rsidRDefault="003A12C5" w:rsidP="003A12C5">
      <w:pPr>
        <w:pStyle w:val="1"/>
        <w:ind w:left="720"/>
        <w:jc w:val="both"/>
      </w:pPr>
    </w:p>
    <w:p w14:paraId="0798C219" w14:textId="0C43DE4C" w:rsidR="003A12C5" w:rsidRPr="000B6C0D" w:rsidRDefault="604DC3D6" w:rsidP="003A12C5">
      <w:pPr>
        <w:pStyle w:val="1"/>
        <w:ind w:left="1987"/>
        <w:jc w:val="both"/>
      </w:pPr>
      <w:r>
        <w:t xml:space="preserve">If, then all </w:t>
      </w:r>
      <w:bookmarkStart w:id="268" w:name="_Int_Wo4VhscV"/>
      <w:r>
        <w:t>Year round</w:t>
      </w:r>
      <w:bookmarkEnd w:id="268"/>
      <w:r>
        <w:t xml:space="preserve"> marginal km costs are shared i.e. the BSF is 100%.</w:t>
      </w:r>
    </w:p>
    <w:p w14:paraId="0A5AF10F" w14:textId="77777777" w:rsidR="003A12C5" w:rsidRPr="000B6C0D" w:rsidRDefault="003A12C5" w:rsidP="003A12C5">
      <w:pPr>
        <w:pStyle w:val="1"/>
        <w:ind w:left="1987"/>
        <w:jc w:val="both"/>
      </w:pPr>
    </w:p>
    <w:p w14:paraId="5DDE73DC" w14:textId="77777777" w:rsidR="003A12C5" w:rsidRPr="000B6C0D" w:rsidRDefault="003A12C5" w:rsidP="003A12C5">
      <w:pPr>
        <w:pStyle w:val="1"/>
        <w:ind w:left="1987"/>
        <w:jc w:val="both"/>
      </w:pPr>
      <w:r w:rsidRPr="000B6C0D">
        <w:t>Where:</w:t>
      </w:r>
    </w:p>
    <w:p w14:paraId="3A0FAD97" w14:textId="77777777" w:rsidR="003A12C5" w:rsidRPr="000B6C0D" w:rsidRDefault="003A12C5" w:rsidP="003A12C5">
      <w:pPr>
        <w:pStyle w:val="1"/>
        <w:ind w:left="1987" w:firstLine="23"/>
        <w:jc w:val="both"/>
      </w:pPr>
      <w:r w:rsidRPr="000B6C0D">
        <w:t>LC = Cumulative Low Carbon generation TEC behind the relevant transmission boundary</w:t>
      </w:r>
    </w:p>
    <w:p w14:paraId="06835E90" w14:textId="77777777" w:rsidR="003A12C5" w:rsidRPr="000B6C0D" w:rsidRDefault="003A12C5" w:rsidP="003A12C5">
      <w:pPr>
        <w:pStyle w:val="1"/>
        <w:ind w:left="1987" w:firstLine="23"/>
        <w:jc w:val="both"/>
      </w:pPr>
      <w:r w:rsidRPr="000B6C0D">
        <w:lastRenderedPageBreak/>
        <w:t>C = Cumulative Carbon generation TEC behind the relevant transmission boundary</w:t>
      </w:r>
    </w:p>
    <w:p w14:paraId="78CF7295" w14:textId="77777777" w:rsidR="003A12C5" w:rsidRPr="000B6C0D" w:rsidRDefault="003A12C5" w:rsidP="003A12C5">
      <w:pPr>
        <w:pStyle w:val="1"/>
        <w:ind w:left="1987"/>
        <w:jc w:val="both"/>
      </w:pPr>
    </w:p>
    <w:p w14:paraId="496BA7C7" w14:textId="77777777" w:rsidR="003A12C5" w:rsidRPr="000B6C0D" w:rsidRDefault="003A12C5" w:rsidP="003A12C5">
      <w:pPr>
        <w:pStyle w:val="1"/>
        <w:ind w:left="1987"/>
        <w:jc w:val="both"/>
      </w:pPr>
    </w:p>
    <w:p w14:paraId="42105BA1" w14:textId="66D609B1" w:rsidR="003A12C5" w:rsidRPr="000B6C0D" w:rsidRDefault="003A12C5" w:rsidP="003A12C5">
      <w:pPr>
        <w:pStyle w:val="1"/>
        <w:ind w:left="1987"/>
        <w:jc w:val="both"/>
        <w:rPr>
          <w:u w:val="single"/>
        </w:rPr>
      </w:pPr>
      <w:r w:rsidRPr="000B6C0D">
        <w:t xml:space="preserve">If </w:t>
      </w:r>
      <w:r w:rsidRPr="000B6C0D">
        <w:rPr>
          <w:u w:val="single"/>
        </w:rPr>
        <w:t xml:space="preserve">  then the BSF is calculated using the following formula: -</w:t>
      </w:r>
    </w:p>
    <w:p w14:paraId="0897FD44" w14:textId="77777777" w:rsidR="003A12C5" w:rsidRPr="000B6C0D" w:rsidRDefault="003A12C5" w:rsidP="003A12C5">
      <w:pPr>
        <w:pStyle w:val="1"/>
        <w:ind w:left="1987"/>
        <w:jc w:val="both"/>
        <w:rPr>
          <w:u w:val="single"/>
        </w:rPr>
      </w:pPr>
    </w:p>
    <w:p w14:paraId="49DBE202" w14:textId="3C3EB34D" w:rsidR="003A12C5" w:rsidRPr="000B6C0D" w:rsidRDefault="003A12C5" w:rsidP="003A12C5">
      <w:pPr>
        <w:pStyle w:val="1"/>
        <w:ind w:left="1987" w:firstLine="23"/>
        <w:jc w:val="both"/>
      </w:pPr>
    </w:p>
    <w:p w14:paraId="137A4B6F" w14:textId="77777777" w:rsidR="003A12C5" w:rsidRPr="000B6C0D" w:rsidRDefault="003A12C5" w:rsidP="003A12C5">
      <w:pPr>
        <w:pStyle w:val="1"/>
        <w:ind w:left="1987" w:firstLine="23"/>
        <w:jc w:val="both"/>
      </w:pPr>
      <w:r w:rsidRPr="000B6C0D">
        <w:t>Where:</w:t>
      </w:r>
    </w:p>
    <w:p w14:paraId="55AC9998" w14:textId="77777777" w:rsidR="003A12C5" w:rsidRPr="000B6C0D" w:rsidRDefault="003A12C5" w:rsidP="003A12C5">
      <w:pPr>
        <w:pStyle w:val="1"/>
        <w:ind w:left="1987" w:firstLine="23"/>
        <w:jc w:val="both"/>
      </w:pPr>
      <w:r w:rsidRPr="000B6C0D">
        <w:t>BSF = boundary sharing factor.</w:t>
      </w:r>
    </w:p>
    <w:p w14:paraId="598D45DE" w14:textId="77777777" w:rsidR="003A12C5" w:rsidRPr="000B6C0D" w:rsidRDefault="003A12C5" w:rsidP="003A12C5">
      <w:pPr>
        <w:pStyle w:val="1"/>
        <w:ind w:left="720"/>
        <w:jc w:val="both"/>
      </w:pPr>
    </w:p>
    <w:p w14:paraId="1BBE33D6" w14:textId="77777777" w:rsidR="003A12C5" w:rsidRPr="000B6C0D" w:rsidRDefault="604DC3D6" w:rsidP="00533333">
      <w:pPr>
        <w:pStyle w:val="1"/>
        <w:numPr>
          <w:ilvl w:val="0"/>
          <w:numId w:val="73"/>
        </w:numPr>
        <w:jc w:val="both"/>
      </w:pPr>
      <w:r>
        <w:t xml:space="preserve">The shared incremental km for each boundary </w:t>
      </w:r>
      <w:bookmarkStart w:id="269" w:name="_Int_JumrOMSo"/>
      <w:r>
        <w:t>are</w:t>
      </w:r>
      <w:bookmarkEnd w:id="269"/>
      <w:r>
        <w:t xml:space="preserve"> derived from the multiplication of the boundary sharing factor by the incremental km for that boundary; </w:t>
      </w:r>
    </w:p>
    <w:p w14:paraId="6AD75894" w14:textId="77777777" w:rsidR="003A12C5" w:rsidRPr="000B6C0D" w:rsidRDefault="003A12C5" w:rsidP="003A12C5">
      <w:pPr>
        <w:pStyle w:val="1"/>
        <w:ind w:left="720"/>
        <w:jc w:val="both"/>
      </w:pPr>
    </w:p>
    <w:p w14:paraId="626E1CAD" w14:textId="4C716F4F" w:rsidR="003A12C5" w:rsidRPr="003A12C5" w:rsidRDefault="003A12C5" w:rsidP="003A12C5">
      <w:pPr>
        <w:pStyle w:val="1"/>
        <w:tabs>
          <w:tab w:val="left" w:pos="2040"/>
        </w:tabs>
        <w:jc w:val="center"/>
      </w:pPr>
    </w:p>
    <w:p w14:paraId="354EFCE1" w14:textId="77777777" w:rsidR="003A12C5" w:rsidRPr="000B6C0D" w:rsidRDefault="003A12C5" w:rsidP="003A12C5">
      <w:pPr>
        <w:pStyle w:val="1"/>
        <w:tabs>
          <w:tab w:val="left" w:pos="2040"/>
        </w:tabs>
        <w:ind w:left="2040"/>
      </w:pPr>
      <w:r w:rsidRPr="000B6C0D">
        <w:t>Where;</w:t>
      </w:r>
    </w:p>
    <w:p w14:paraId="32480A06"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10B54A32"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15EC149E" w14:textId="77777777" w:rsidR="003A12C5" w:rsidRPr="000B6C0D" w:rsidRDefault="003A12C5" w:rsidP="003A12C5">
      <w:pPr>
        <w:pStyle w:val="1"/>
        <w:ind w:left="720"/>
        <w:jc w:val="both"/>
      </w:pPr>
    </w:p>
    <w:p w14:paraId="1CDFAA92" w14:textId="1D250814" w:rsidR="003A12C5" w:rsidRPr="000B6C0D" w:rsidRDefault="604DC3D6" w:rsidP="00533333">
      <w:pPr>
        <w:pStyle w:val="1"/>
        <w:numPr>
          <w:ilvl w:val="0"/>
          <w:numId w:val="73"/>
        </w:numPr>
        <w:jc w:val="both"/>
      </w:pPr>
      <w:r>
        <w:t xml:space="preserve">The shared incremental km is discounted from the incremental km for that boundary to establish the not-shared boundary incremental </w:t>
      </w:r>
      <w:r w:rsidR="61E5A696">
        <w:t xml:space="preserve">km. </w:t>
      </w:r>
      <w:r>
        <w:t>The not-shared boundary incremental km reflects the cost of transmission investment on that boundary accounting for the sharing of power stations behind that boundary.</w:t>
      </w:r>
    </w:p>
    <w:p w14:paraId="4B9F6D38" w14:textId="77777777" w:rsidR="003A12C5" w:rsidRPr="000B6C0D" w:rsidRDefault="003A12C5" w:rsidP="003A12C5">
      <w:pPr>
        <w:pStyle w:val="1"/>
        <w:ind w:left="720"/>
        <w:jc w:val="both"/>
      </w:pPr>
    </w:p>
    <w:p w14:paraId="3E2DD071" w14:textId="36C7F77A" w:rsidR="003A12C5" w:rsidRPr="003A12C5" w:rsidRDefault="003A12C5" w:rsidP="003A12C5">
      <w:pPr>
        <w:pStyle w:val="1"/>
        <w:tabs>
          <w:tab w:val="left" w:pos="2040"/>
        </w:tabs>
        <w:jc w:val="center"/>
      </w:pPr>
    </w:p>
    <w:p w14:paraId="7EA24362" w14:textId="77777777" w:rsidR="003A12C5" w:rsidRPr="000B6C0D" w:rsidRDefault="003A12C5" w:rsidP="003A12C5">
      <w:pPr>
        <w:pStyle w:val="1"/>
        <w:tabs>
          <w:tab w:val="left" w:pos="2040"/>
        </w:tabs>
        <w:ind w:left="2040"/>
      </w:pPr>
      <w:r w:rsidRPr="000B6C0D">
        <w:t>Where;</w:t>
      </w:r>
    </w:p>
    <w:p w14:paraId="31FFF99E"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4417F558" w14:textId="77777777" w:rsidR="003A12C5" w:rsidRPr="000B6C0D" w:rsidRDefault="003A12C5" w:rsidP="003A12C5">
      <w:pPr>
        <w:pStyle w:val="1"/>
        <w:ind w:left="720"/>
        <w:jc w:val="both"/>
      </w:pPr>
    </w:p>
    <w:p w14:paraId="662C0DBA" w14:textId="77777777" w:rsidR="003A12C5" w:rsidRPr="000B6C0D" w:rsidRDefault="003A12C5" w:rsidP="003A12C5">
      <w:pPr>
        <w:pStyle w:val="1"/>
        <w:ind w:left="720"/>
        <w:jc w:val="both"/>
      </w:pPr>
      <w:r w:rsidRPr="000B6C0D">
        <w:t xml:space="preserve"> </w:t>
      </w:r>
    </w:p>
    <w:p w14:paraId="431793D4" w14:textId="77777777" w:rsidR="003A12C5" w:rsidRPr="000B6C0D" w:rsidRDefault="003A12C5" w:rsidP="00533333">
      <w:pPr>
        <w:pStyle w:val="1"/>
        <w:numPr>
          <w:ilvl w:val="0"/>
          <w:numId w:val="73"/>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AB8618D" w14:textId="306DCBA1" w:rsidR="003A12C5" w:rsidRPr="003A12C5" w:rsidRDefault="003A12C5" w:rsidP="003A12C5">
      <w:pPr>
        <w:pStyle w:val="1"/>
        <w:jc w:val="center"/>
      </w:pPr>
    </w:p>
    <w:p w14:paraId="6E833A28" w14:textId="77777777" w:rsidR="003A12C5" w:rsidRPr="000B6C0D" w:rsidRDefault="003A12C5" w:rsidP="003A12C5">
      <w:pPr>
        <w:pStyle w:val="1"/>
        <w:tabs>
          <w:tab w:val="left" w:pos="2040"/>
        </w:tabs>
        <w:ind w:left="2040"/>
      </w:pPr>
      <w:r w:rsidRPr="00F75086">
        <w:tab/>
      </w:r>
      <w:r w:rsidRPr="000B6C0D">
        <w:t>Where;</w:t>
      </w:r>
    </w:p>
    <w:p w14:paraId="3B5B0BDD" w14:textId="77777777" w:rsidR="003A12C5" w:rsidRPr="00F75086" w:rsidRDefault="604DC3D6" w:rsidP="0537B9E0">
      <w:pPr>
        <w:pStyle w:val="Variableexplanation"/>
        <w:tabs>
          <w:tab w:val="clear" w:pos="1134"/>
          <w:tab w:val="clear" w:pos="1418"/>
          <w:tab w:val="clear" w:pos="1701"/>
        </w:tabs>
        <w:ind w:left="2040"/>
        <w:rPr>
          <w:rFonts w:ascii="Arial" w:hAnsi="Arial"/>
          <w:sz w:val="22"/>
          <w:szCs w:val="22"/>
        </w:rPr>
      </w:pPr>
      <w:r w:rsidRPr="0537B9E0">
        <w:rPr>
          <w:rFonts w:ascii="Arial" w:hAnsi="Arial"/>
          <w:sz w:val="22"/>
          <w:szCs w:val="22"/>
        </w:rPr>
        <w:t>ZMkm</w:t>
      </w:r>
      <w:r w:rsidRPr="0537B9E0">
        <w:rPr>
          <w:rFonts w:ascii="Arial" w:hAnsi="Arial"/>
          <w:sz w:val="22"/>
          <w:szCs w:val="22"/>
          <w:vertAlign w:val="subscript"/>
        </w:rPr>
        <w:t>nYRS</w:t>
      </w:r>
      <w:r w:rsidR="003A12C5">
        <w:tab/>
      </w:r>
      <w:r w:rsidRPr="0537B9E0">
        <w:rPr>
          <w:rFonts w:ascii="Arial" w:hAnsi="Arial"/>
          <w:sz w:val="22"/>
          <w:szCs w:val="22"/>
        </w:rPr>
        <w:t>=</w:t>
      </w:r>
      <w:r w:rsidR="003A12C5">
        <w:tab/>
      </w:r>
      <w:bookmarkStart w:id="270" w:name="_Int_CeW6Abkv"/>
      <w:r w:rsidRPr="0537B9E0">
        <w:rPr>
          <w:rFonts w:ascii="Arial" w:hAnsi="Arial"/>
          <w:sz w:val="22"/>
          <w:szCs w:val="22"/>
        </w:rPr>
        <w:t>Year Round</w:t>
      </w:r>
      <w:bookmarkEnd w:id="270"/>
      <w:r w:rsidRPr="0537B9E0">
        <w:rPr>
          <w:rFonts w:ascii="Arial" w:hAnsi="Arial"/>
          <w:sz w:val="22"/>
          <w:szCs w:val="22"/>
        </w:rPr>
        <w:t xml:space="preserve"> Shared Zonal Marginal km for generation charging zone n.</w:t>
      </w:r>
    </w:p>
    <w:p w14:paraId="2EE2F687" w14:textId="77777777" w:rsidR="003A12C5" w:rsidRPr="000B6C0D" w:rsidRDefault="003A12C5" w:rsidP="003A12C5">
      <w:pPr>
        <w:pStyle w:val="1"/>
        <w:ind w:left="720"/>
        <w:jc w:val="both"/>
      </w:pPr>
    </w:p>
    <w:p w14:paraId="54185955" w14:textId="77777777" w:rsidR="003A12C5" w:rsidRPr="000B6C0D" w:rsidRDefault="003A12C5" w:rsidP="00533333">
      <w:pPr>
        <w:pStyle w:val="1"/>
        <w:numPr>
          <w:ilvl w:val="0"/>
          <w:numId w:val="73"/>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26AA8D9B" w14:textId="7F299DD3" w:rsidR="003A12C5" w:rsidRPr="003A12C5" w:rsidRDefault="003A12C5" w:rsidP="003A12C5">
      <w:pPr>
        <w:pStyle w:val="1"/>
        <w:jc w:val="center"/>
      </w:pPr>
    </w:p>
    <w:p w14:paraId="780734DE" w14:textId="77777777" w:rsidR="003A12C5" w:rsidRPr="000B6C0D" w:rsidRDefault="003A12C5" w:rsidP="003A12C5">
      <w:pPr>
        <w:pStyle w:val="1"/>
        <w:tabs>
          <w:tab w:val="left" w:pos="2040"/>
        </w:tabs>
        <w:ind w:left="2040"/>
      </w:pPr>
      <w:r w:rsidRPr="00F75086">
        <w:tab/>
      </w:r>
      <w:r w:rsidRPr="000B6C0D">
        <w:t>Where;</w:t>
      </w:r>
    </w:p>
    <w:p w14:paraId="47842661" w14:textId="77777777" w:rsidR="003A12C5" w:rsidRPr="003A12C5" w:rsidRDefault="003A12C5" w:rsidP="003A12C5">
      <w:pPr>
        <w:pStyle w:val="1"/>
        <w:jc w:val="both"/>
      </w:pPr>
    </w:p>
    <w:p w14:paraId="33C12949" w14:textId="77777777" w:rsidR="003A12C5" w:rsidRDefault="604DC3D6" w:rsidP="0537B9E0">
      <w:pPr>
        <w:pStyle w:val="1"/>
        <w:ind w:left="960"/>
        <w:jc w:val="both"/>
        <w:rPr>
          <w:rFonts w:ascii="Arial" w:hAnsi="Arial"/>
        </w:rPr>
      </w:pPr>
      <w:r w:rsidRPr="0537B9E0">
        <w:rPr>
          <w:rFonts w:ascii="Arial" w:hAnsi="Arial"/>
        </w:rPr>
        <w:t>ZMkm</w:t>
      </w:r>
      <w:r w:rsidRPr="0537B9E0">
        <w:rPr>
          <w:rFonts w:ascii="Arial" w:hAnsi="Arial"/>
          <w:vertAlign w:val="subscript"/>
        </w:rPr>
        <w:t>nYRNS</w:t>
      </w:r>
      <w:r w:rsidR="003A12C5">
        <w:tab/>
      </w:r>
      <w:r w:rsidRPr="0537B9E0">
        <w:rPr>
          <w:rFonts w:ascii="Arial" w:hAnsi="Arial"/>
        </w:rPr>
        <w:t>=</w:t>
      </w:r>
      <w:r w:rsidR="003A12C5">
        <w:tab/>
      </w:r>
      <w:bookmarkStart w:id="271" w:name="_Int_GqzbOx8U"/>
      <w:r w:rsidRPr="0537B9E0">
        <w:rPr>
          <w:rFonts w:ascii="Arial" w:hAnsi="Arial"/>
        </w:rPr>
        <w:t>Year Round</w:t>
      </w:r>
      <w:bookmarkEnd w:id="271"/>
      <w:r w:rsidRPr="0537B9E0">
        <w:rPr>
          <w:rFonts w:ascii="Arial" w:hAnsi="Arial"/>
        </w:rPr>
        <w:t xml:space="preserve"> Not-Shared Zonal Marginal km for generation zone n.</w:t>
      </w:r>
    </w:p>
    <w:p w14:paraId="1459AB64" w14:textId="77777777" w:rsidR="006661FE" w:rsidRDefault="006661FE" w:rsidP="006661FE">
      <w:pPr>
        <w:pStyle w:val="1"/>
        <w:jc w:val="both"/>
      </w:pPr>
    </w:p>
    <w:p w14:paraId="4F10D4F3" w14:textId="77777777" w:rsidR="006661FE" w:rsidRDefault="006661FE" w:rsidP="006661FE">
      <w:pPr>
        <w:pStyle w:val="Heading2"/>
      </w:pPr>
      <w:bookmarkStart w:id="272" w:name="_Toc32201078"/>
      <w:bookmarkStart w:id="273" w:name="_Toc49661111"/>
      <w:bookmarkStart w:id="274" w:name="_Toc274049683"/>
      <w:r>
        <w:t>Deriving the Final</w:t>
      </w:r>
      <w:r w:rsidRPr="00E75EE9">
        <w:rPr>
          <w:color w:val="auto"/>
        </w:rPr>
        <w:t xml:space="preserve"> </w:t>
      </w:r>
      <w:r w:rsidRPr="00E75EE9">
        <w:t>Local £/kW Tariff and the Wider</w:t>
      </w:r>
      <w:r>
        <w:t xml:space="preserve"> £/kW Tariff</w:t>
      </w:r>
      <w:bookmarkEnd w:id="272"/>
      <w:bookmarkEnd w:id="273"/>
      <w:bookmarkEnd w:id="274"/>
    </w:p>
    <w:p w14:paraId="53C63BE7" w14:textId="77777777" w:rsidR="006661FE" w:rsidRDefault="006661FE" w:rsidP="006661FE">
      <w:pPr>
        <w:jc w:val="both"/>
        <w:rPr>
          <w:rFonts w:ascii="Arial" w:hAnsi="Arial"/>
        </w:rPr>
      </w:pPr>
    </w:p>
    <w:p w14:paraId="76F4EDA6" w14:textId="77777777" w:rsidR="006661FE" w:rsidRDefault="4DB720A2" w:rsidP="00533333">
      <w:pPr>
        <w:pStyle w:val="1"/>
        <w:numPr>
          <w:ilvl w:val="0"/>
          <w:numId w:val="73"/>
        </w:numPr>
        <w:jc w:val="both"/>
      </w:pPr>
      <w:r>
        <w:t>The zonal marginal km (ZMkm</w:t>
      </w:r>
      <w:r w:rsidRPr="0537B9E0">
        <w:rPr>
          <w:vertAlign w:val="subscript"/>
        </w:rPr>
        <w:t>Gi</w:t>
      </w:r>
      <w:r>
        <w:t xml:space="preserve">) </w:t>
      </w:r>
      <w:bookmarkStart w:id="275" w:name="_Int_s5PNjqqA"/>
      <w:r>
        <w:t>are</w:t>
      </w:r>
      <w:bookmarkEnd w:id="275"/>
      <w:r>
        <w:t xml:space="preserve"> converted into costs and hence a tariff by multiplying by the </w:t>
      </w:r>
      <w:r w:rsidRPr="0537B9E0">
        <w:rPr>
          <w:b/>
          <w:bCs/>
        </w:rPr>
        <w:t>Expansion Constant</w:t>
      </w:r>
      <w:r>
        <w:t xml:space="preserve"> and the </w:t>
      </w:r>
      <w:r w:rsidRPr="0537B9E0">
        <w:rPr>
          <w:b/>
          <w:bCs/>
        </w:rPr>
        <w:t xml:space="preserve">Locational Security Factor </w:t>
      </w:r>
      <w:r>
        <w:t>(see below)</w:t>
      </w:r>
      <w:r w:rsidR="006661FE" w:rsidRPr="0537B9E0">
        <w:rPr>
          <w:b/>
          <w:bCs/>
        </w:rPr>
        <w:fldChar w:fldCharType="begin"/>
      </w:r>
      <w:r w:rsidR="006661FE">
        <w:instrText xml:space="preserve"> XE "Expansion Constant" </w:instrText>
      </w:r>
      <w:r w:rsidR="006661FE" w:rsidRPr="0537B9E0">
        <w:rPr>
          <w:b/>
          <w:bCs/>
        </w:rPr>
        <w:fldChar w:fldCharType="end"/>
      </w:r>
      <w:r>
        <w:t>. The nodal local marginal km (NLMkm</w:t>
      </w:r>
      <w:r w:rsidRPr="0537B9E0">
        <w:rPr>
          <w:vertAlign w:val="superscript"/>
        </w:rPr>
        <w:t>L</w:t>
      </w:r>
      <w:r>
        <w:t xml:space="preserve">) are converted into costs and hence a tariff by multiplying by the </w:t>
      </w:r>
      <w:r w:rsidRPr="0537B9E0">
        <w:rPr>
          <w:b/>
          <w:bCs/>
        </w:rPr>
        <w:t>Expansion Constant</w:t>
      </w:r>
      <w:r>
        <w:t xml:space="preserve"> and a </w:t>
      </w:r>
      <w:r w:rsidRPr="0537B9E0">
        <w:rPr>
          <w:b/>
          <w:bCs/>
        </w:rPr>
        <w:t>Local Security Factor</w:t>
      </w:r>
      <w:r>
        <w:t>.</w:t>
      </w:r>
    </w:p>
    <w:p w14:paraId="2D4DE640" w14:textId="77777777" w:rsidR="006661FE" w:rsidRDefault="006661FE" w:rsidP="006661FE">
      <w:pPr>
        <w:pStyle w:val="Heading3"/>
        <w:ind w:firstLine="709"/>
        <w:jc w:val="both"/>
      </w:pPr>
      <w:bookmarkStart w:id="276" w:name="_Toc49661112"/>
    </w:p>
    <w:p w14:paraId="2087034A" w14:textId="77777777" w:rsidR="006661FE" w:rsidRPr="00543982" w:rsidRDefault="006661FE" w:rsidP="006661FE">
      <w:pPr>
        <w:pStyle w:val="Heading3"/>
        <w:ind w:firstLine="709"/>
        <w:jc w:val="both"/>
        <w:rPr>
          <w:rFonts w:ascii="Arial (W1)" w:hAnsi="Arial (W1)"/>
          <w:szCs w:val="20"/>
        </w:rPr>
      </w:pPr>
      <w:bookmarkStart w:id="277" w:name="_Toc274049684"/>
      <w:r w:rsidRPr="00543982">
        <w:rPr>
          <w:rFonts w:ascii="Arial" w:hAnsi="Arial" w:cs="Arial"/>
          <w:b/>
        </w:rPr>
        <w:lastRenderedPageBreak/>
        <w:t>The Expansion Constant</w:t>
      </w:r>
      <w:bookmarkEnd w:id="276"/>
      <w:bookmarkEnd w:id="277"/>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1FF028F8" w:rsidR="006661FE" w:rsidRPr="0099632B" w:rsidRDefault="4DB720A2" w:rsidP="0537B9E0">
      <w:pPr>
        <w:pStyle w:val="1"/>
        <w:numPr>
          <w:ilvl w:val="0"/>
          <w:numId w:val="73"/>
        </w:numPr>
        <w:jc w:val="both"/>
        <w:rPr>
          <w:rFonts w:cs="Arial"/>
        </w:rPr>
      </w:pPr>
      <w:r w:rsidRPr="0537B9E0">
        <w:rPr>
          <w:rFonts w:cs="Arial"/>
        </w:rPr>
        <w:t>The expansion constant, expressed in £/MWkm</w:t>
      </w:r>
      <w:r w:rsidR="006661FE" w:rsidRPr="0537B9E0">
        <w:rPr>
          <w:rFonts w:cs="Arial"/>
        </w:rPr>
        <w:fldChar w:fldCharType="begin"/>
      </w:r>
      <w:r w:rsidR="006661FE" w:rsidRPr="0537B9E0">
        <w:rPr>
          <w:rFonts w:cs="Arial"/>
        </w:rPr>
        <w:instrText xml:space="preserve"> XE "MWkm" </w:instrText>
      </w:r>
      <w:r w:rsidR="006661FE" w:rsidRPr="0537B9E0">
        <w:rPr>
          <w:rFonts w:cs="Arial"/>
        </w:rPr>
        <w:fldChar w:fldCharType="end"/>
      </w:r>
      <w:r w:rsidRPr="0537B9E0">
        <w:rPr>
          <w:rFonts w:cs="Arial"/>
        </w:rPr>
        <w:t xml:space="preserve">, represents the annuitised value of the transmission infrastructure capital investment required to transport 1 MW over 1 </w:t>
      </w:r>
      <w:r w:rsidR="53CCA52A" w:rsidRPr="0537B9E0">
        <w:rPr>
          <w:rFonts w:cs="Arial"/>
        </w:rPr>
        <w:t xml:space="preserve">km. </w:t>
      </w:r>
      <w:r w:rsidRPr="0537B9E0">
        <w:rPr>
          <w:rFonts w:cs="Arial"/>
        </w:rPr>
        <w:t xml:space="preserve">Its magnitude is derived from the projected cost of 400kV overhead line, including an estimate of the cost of capital, to provide for future system expansion. </w:t>
      </w:r>
    </w:p>
    <w:p w14:paraId="6EB6FACF" w14:textId="77777777" w:rsidR="006661FE" w:rsidRPr="0099632B" w:rsidRDefault="006661FE" w:rsidP="006661FE">
      <w:pPr>
        <w:pStyle w:val="1"/>
        <w:jc w:val="both"/>
        <w:rPr>
          <w:rFonts w:cs="Arial"/>
          <w:szCs w:val="22"/>
        </w:rPr>
      </w:pPr>
    </w:p>
    <w:p w14:paraId="7CC0BA7A" w14:textId="7EFC2DFE" w:rsidR="006661FE" w:rsidRPr="00824A12" w:rsidRDefault="4DB720A2" w:rsidP="00533333">
      <w:pPr>
        <w:pStyle w:val="1"/>
        <w:numPr>
          <w:ilvl w:val="0"/>
          <w:numId w:val="73"/>
        </w:numPr>
        <w:jc w:val="both"/>
        <w:rPr>
          <w:rFonts w:cs="Arial"/>
        </w:rPr>
      </w:pPr>
      <w:r w:rsidRPr="0537B9E0">
        <w:rPr>
          <w:rFonts w:cs="Arial"/>
        </w:rPr>
        <w:t>In the methodology, the expansion constant is used to convert the marginal km figure derived from the transport model into a £/MW signal. The tariff model performs this calculation, in accordance with 14.15.</w:t>
      </w:r>
      <w:r w:rsidR="6FB0837B" w:rsidRPr="0537B9E0">
        <w:rPr>
          <w:rFonts w:cs="Arial"/>
        </w:rPr>
        <w:t>9</w:t>
      </w:r>
      <w:r w:rsidR="61C34E1C" w:rsidRPr="0537B9E0">
        <w:rPr>
          <w:rFonts w:cs="Arial"/>
        </w:rPr>
        <w:t>6</w:t>
      </w:r>
      <w:r w:rsidRPr="0537B9E0">
        <w:rPr>
          <w:rFonts w:cs="Arial"/>
        </w:rPr>
        <w:t xml:space="preserve"> – 14.15</w:t>
      </w:r>
      <w:r w:rsidR="7D9CADCC" w:rsidRPr="0537B9E0">
        <w:rPr>
          <w:rFonts w:cs="Arial"/>
        </w:rPr>
        <w:t>.1</w:t>
      </w:r>
      <w:r w:rsidR="0CE6F169" w:rsidRPr="0537B9E0">
        <w:rPr>
          <w:rFonts w:cs="Arial"/>
        </w:rPr>
        <w:t>21</w:t>
      </w:r>
      <w:r w:rsidRPr="0537B9E0">
        <w:rPr>
          <w:rFonts w:cs="Arial"/>
        </w:rPr>
        <w:t xml:space="preserve">, </w:t>
      </w:r>
      <w:bookmarkStart w:id="278" w:name="_Int_VjD8R443"/>
      <w:r w:rsidRPr="0537B9E0">
        <w:rPr>
          <w:rFonts w:cs="Arial"/>
        </w:rPr>
        <w:t>and also</w:t>
      </w:r>
      <w:bookmarkEnd w:id="278"/>
      <w:r w:rsidRPr="0537B9E0">
        <w:rPr>
          <w:rFonts w:cs="Arial"/>
        </w:rPr>
        <w:t xml:space="preserve"> then calculates the residual element of the overall tariff (to ensure correct revenue recovery in accordance with the price control), in accordance with 14.15.</w:t>
      </w:r>
      <w:r w:rsidR="6802DE42" w:rsidRPr="0537B9E0">
        <w:rPr>
          <w:rFonts w:cs="Arial"/>
        </w:rPr>
        <w:t>1</w:t>
      </w:r>
      <w:r w:rsidR="27C1FD73" w:rsidRPr="0537B9E0">
        <w:rPr>
          <w:rFonts w:cs="Arial"/>
        </w:rPr>
        <w:t>3</w:t>
      </w:r>
      <w:r w:rsidR="5786B0D0" w:rsidRPr="0537B9E0">
        <w:rPr>
          <w:rFonts w:cs="Arial"/>
        </w:rPr>
        <w:t>7</w:t>
      </w:r>
      <w:r w:rsidRPr="0537B9E0">
        <w:rPr>
          <w:rFonts w:cs="Arial"/>
        </w:rPr>
        <w:t>.</w:t>
      </w:r>
    </w:p>
    <w:p w14:paraId="08BECE17" w14:textId="77777777" w:rsidR="006661FE" w:rsidRPr="00BF295A" w:rsidRDefault="006661FE" w:rsidP="006661FE">
      <w:pPr>
        <w:pStyle w:val="1"/>
        <w:jc w:val="both"/>
        <w:rPr>
          <w:rFonts w:cs="Arial"/>
          <w:szCs w:val="22"/>
        </w:rPr>
      </w:pPr>
    </w:p>
    <w:p w14:paraId="1AF4EDE6" w14:textId="641502CD" w:rsidR="006661FE" w:rsidRPr="0099632B" w:rsidRDefault="6B913268" w:rsidP="00533333">
      <w:pPr>
        <w:pStyle w:val="1"/>
        <w:numPr>
          <w:ilvl w:val="0"/>
          <w:numId w:val="73"/>
        </w:numPr>
        <w:jc w:val="both"/>
        <w:rPr>
          <w:rFonts w:cs="Arial"/>
        </w:rPr>
      </w:pPr>
      <w:r w:rsidRPr="0537B9E0">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bookmarkStart w:id="279" w:name="_Int_8GKU1nzq"/>
      <w:r w:rsidRPr="0537B9E0">
        <w:rPr>
          <w:rFonts w:cs="Arial"/>
        </w:rPr>
        <w:t>a number of</w:t>
      </w:r>
      <w:bookmarkEnd w:id="279"/>
      <w:r w:rsidRPr="0537B9E0">
        <w:rPr>
          <w:rFonts w:cs="Arial"/>
        </w:rPr>
        <w:t xml:space="preserve"> indices (</w:t>
      </w:r>
      <w:bookmarkStart w:id="280" w:name="_Int_CVDgJJMI"/>
      <w:r w:rsidRPr="0537B9E0">
        <w:rPr>
          <w:rFonts w:cs="Arial"/>
        </w:rPr>
        <w:t>e.g.</w:t>
      </w:r>
      <w:bookmarkEnd w:id="280"/>
      <w:r w:rsidRPr="0537B9E0">
        <w:rPr>
          <w:rFonts w:cs="Arial"/>
        </w:rPr>
        <w:t xml:space="preserve"> global price of steel, labour, inflation, etc.). The objective of these adjustments is to make the costs reflect current prices, making the tariffs as forward looking as possible</w:t>
      </w:r>
      <w:r w:rsidR="07CE3B5B" w:rsidRPr="0537B9E0">
        <w:rPr>
          <w:rFonts w:cs="Arial"/>
        </w:rPr>
        <w:t xml:space="preserve">. </w:t>
      </w:r>
      <w:r w:rsidRPr="0537B9E0">
        <w:rPr>
          <w:rFonts w:cs="Arial"/>
        </w:rPr>
        <w:t xml:space="preserve">This cost data represents </w:t>
      </w:r>
      <w:r w:rsidR="3D96AF96" w:rsidRPr="0537B9E0">
        <w:rPr>
          <w:rFonts w:cs="Arial"/>
          <w:b/>
          <w:bCs/>
        </w:rPr>
        <w:t>The</w:t>
      </w:r>
      <w:r w:rsidRPr="0537B9E0">
        <w:rPr>
          <w:rFonts w:cs="Arial"/>
          <w:b/>
          <w:bCs/>
        </w:rPr>
        <w:t xml:space="preserve"> Company</w:t>
      </w:r>
      <w:r w:rsidRPr="0537B9E0">
        <w:rPr>
          <w:rFonts w:cs="Arial"/>
        </w:rPr>
        <w:t>’s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4157441B" w14:textId="77777777" w:rsidR="006661FE" w:rsidRPr="0099632B" w:rsidRDefault="006661FE" w:rsidP="006661FE">
      <w:pPr>
        <w:pStyle w:val="1"/>
        <w:jc w:val="both"/>
        <w:rPr>
          <w:rFonts w:cs="Arial"/>
          <w:szCs w:val="22"/>
        </w:rPr>
      </w:pPr>
    </w:p>
    <w:p w14:paraId="4BDC9873" w14:textId="77777777" w:rsidR="006661FE" w:rsidRPr="0099632B" w:rsidRDefault="4DB720A2" w:rsidP="0537B9E0">
      <w:pPr>
        <w:pStyle w:val="1"/>
        <w:numPr>
          <w:ilvl w:val="0"/>
          <w:numId w:val="73"/>
        </w:numPr>
        <w:jc w:val="both"/>
        <w:rPr>
          <w:rFonts w:cs="Arial"/>
        </w:rPr>
      </w:pPr>
      <w:r w:rsidRPr="0537B9E0">
        <w:rPr>
          <w:rFonts w:cs="Arial"/>
        </w:rPr>
        <w:t>For each circuit type and voltage used onshore, an individual calculation is carried out to establish a £/MWkm figure, normalised against the 400KV overhead line (OHL) figure, these provide the basis of the onshore circuit expansion factors discussed in 14.15.</w:t>
      </w:r>
      <w:r w:rsidR="27C1FD73" w:rsidRPr="0537B9E0">
        <w:rPr>
          <w:rFonts w:cs="Arial"/>
        </w:rPr>
        <w:t>70</w:t>
      </w:r>
      <w:r w:rsidRPr="0537B9E0">
        <w:rPr>
          <w:rFonts w:cs="Arial"/>
        </w:rPr>
        <w:t xml:space="preserve"> –</w:t>
      </w:r>
      <w:r w:rsidR="383E9A3E" w:rsidRPr="0537B9E0">
        <w:rPr>
          <w:rFonts w:cs="Arial"/>
        </w:rPr>
        <w:t xml:space="preserve"> 14.15.</w:t>
      </w:r>
      <w:r w:rsidR="0A393C6E" w:rsidRPr="0537B9E0">
        <w:rPr>
          <w:rFonts w:cs="Arial"/>
        </w:rPr>
        <w:t>77</w:t>
      </w:r>
      <w:r w:rsidRPr="0537B9E0">
        <w:rPr>
          <w:rFonts w:cs="Arial"/>
        </w:rPr>
        <w:t xml:space="preserve">.  </w:t>
      </w:r>
      <w:bookmarkStart w:id="281" w:name="_Int_A9SPAWQx"/>
      <w:r w:rsidRPr="0537B9E0">
        <w:rPr>
          <w:rFonts w:cs="Arial"/>
        </w:rPr>
        <w:t>In order to</w:t>
      </w:r>
      <w:bookmarkEnd w:id="281"/>
      <w:r w:rsidRPr="0537B9E0">
        <w:rPr>
          <w:rFonts w:cs="Arial"/>
        </w:rPr>
        <w:t xml:space="preserve"> simplify the calculation a unity power factor is assumed, converting £/MVAkm to £/MWkm. This reflects that the fact tariffs and charges are based on real power.</w:t>
      </w:r>
    </w:p>
    <w:p w14:paraId="68D1490B" w14:textId="77777777" w:rsidR="006661FE" w:rsidRPr="0099632B" w:rsidRDefault="006661FE" w:rsidP="006661FE">
      <w:pPr>
        <w:pStyle w:val="1"/>
        <w:jc w:val="both"/>
        <w:rPr>
          <w:rFonts w:cs="Arial"/>
          <w:szCs w:val="22"/>
        </w:rPr>
      </w:pPr>
    </w:p>
    <w:p w14:paraId="3FEC1FF6" w14:textId="5998684A" w:rsidR="006661FE" w:rsidRPr="007863A7" w:rsidRDefault="4DB720A2" w:rsidP="0537B9E0">
      <w:pPr>
        <w:pStyle w:val="1"/>
        <w:numPr>
          <w:ilvl w:val="0"/>
          <w:numId w:val="73"/>
        </w:numPr>
        <w:jc w:val="both"/>
        <w:rPr>
          <w:rFonts w:cs="Arial"/>
        </w:rPr>
      </w:pPr>
      <w:r w:rsidRPr="0537B9E0">
        <w:rPr>
          <w:rFonts w:cs="Arial"/>
        </w:rPr>
        <w:t>The table below shows the first stage in calculating the onshore expansion constant</w:t>
      </w:r>
      <w:r w:rsidR="7F40AC4E" w:rsidRPr="0537B9E0">
        <w:rPr>
          <w:rFonts w:cs="Arial"/>
        </w:rPr>
        <w:t xml:space="preserve">. </w:t>
      </w:r>
      <w:r w:rsidRPr="0537B9E0">
        <w:rPr>
          <w:rFonts w:cs="Arial"/>
        </w:rPr>
        <w:t xml:space="preserve">A range of overhead line types is </w:t>
      </w:r>
      <w:bookmarkStart w:id="282" w:name="_Int_9LMRPljW"/>
      <w:r w:rsidRPr="0537B9E0">
        <w:rPr>
          <w:rFonts w:cs="Arial"/>
        </w:rPr>
        <w:t>used</w:t>
      </w:r>
      <w:bookmarkEnd w:id="282"/>
      <w:r w:rsidRPr="0537B9E0">
        <w:rPr>
          <w:rFonts w:cs="Arial"/>
        </w:rPr>
        <w:t xml:space="preserve"> and the types are weighted by recent usage on the transmission system. This is a simplified calculation for 400kV OHL using example data:</w:t>
      </w:r>
    </w:p>
    <w:p w14:paraId="6092E899"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27DBED2F" w14:textId="77777777" w:rsidTr="0537B9E0">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7EF21350"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5ADDC524" w14:textId="77777777" w:rsidTr="0537B9E0">
        <w:trPr>
          <w:cantSplit/>
          <w:trHeight w:hRule="exact" w:val="360"/>
        </w:trPr>
        <w:tc>
          <w:tcPr>
            <w:tcW w:w="783" w:type="dxa"/>
            <w:tcBorders>
              <w:top w:val="nil"/>
              <w:left w:val="single" w:sz="8" w:space="0" w:color="auto"/>
              <w:bottom w:val="nil"/>
              <w:right w:val="nil"/>
            </w:tcBorders>
            <w:shd w:val="clear" w:color="auto" w:fill="auto"/>
            <w:vAlign w:val="center"/>
          </w:tcPr>
          <w:p w14:paraId="3B26E723"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5E7DF2FE"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20DFECD7" w14:textId="15FC3BD2" w:rsidR="006661FE" w:rsidRPr="002A4C04" w:rsidRDefault="7EED0ACE" w:rsidP="0537B9E0">
            <w:pPr>
              <w:rPr>
                <w:rFonts w:ascii="Arial" w:hAnsi="Arial" w:cs="Arial"/>
                <w:b/>
                <w:bCs/>
              </w:rPr>
            </w:pPr>
            <w:r w:rsidRPr="0537B9E0">
              <w:rPr>
                <w:rFonts w:ascii="Arial" w:hAnsi="Arial" w:cs="Arial"/>
                <w:b/>
                <w:bCs/>
              </w:rPr>
              <w:t>£ (</w:t>
            </w:r>
            <w:r w:rsidR="4DB720A2" w:rsidRPr="0537B9E0">
              <w:rPr>
                <w:rFonts w:ascii="Arial" w:hAnsi="Arial" w:cs="Arial"/>
                <w:b/>
                <w:bCs/>
              </w:rPr>
              <w:t>000)/km</w:t>
            </w:r>
          </w:p>
        </w:tc>
        <w:tc>
          <w:tcPr>
            <w:tcW w:w="1534" w:type="dxa"/>
            <w:tcBorders>
              <w:top w:val="nil"/>
              <w:left w:val="nil"/>
              <w:bottom w:val="nil"/>
              <w:right w:val="nil"/>
            </w:tcBorders>
            <w:shd w:val="clear" w:color="auto" w:fill="auto"/>
            <w:vAlign w:val="center"/>
          </w:tcPr>
          <w:p w14:paraId="498DC387"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5E930090"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48896B14"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1F18253F" w14:textId="77777777" w:rsidTr="0537B9E0">
        <w:trPr>
          <w:cantSplit/>
          <w:trHeight w:hRule="exact" w:val="360"/>
        </w:trPr>
        <w:tc>
          <w:tcPr>
            <w:tcW w:w="783" w:type="dxa"/>
            <w:tcBorders>
              <w:top w:val="nil"/>
              <w:left w:val="single" w:sz="8" w:space="0" w:color="auto"/>
              <w:bottom w:val="nil"/>
              <w:right w:val="nil"/>
            </w:tcBorders>
            <w:shd w:val="clear" w:color="auto" w:fill="auto"/>
            <w:noWrap/>
            <w:vAlign w:val="center"/>
          </w:tcPr>
          <w:p w14:paraId="08E0DE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35D7020D"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14766F69"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1E9CDBF3"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02AEB3BA"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03318DC3"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2C1E5D83"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7C599D3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14F186E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10CFF9E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15B29AB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7FE60DC2"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37AABCE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44703087"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23F631C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36E041D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544A7E7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8E27F4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3438F3A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07E7032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6A9CC50E"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F028A94"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3F8B19F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566F2C0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1F8336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29D9A94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1E3ECF20"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593ECC16"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B40A06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19563BA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1C3A49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031F044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57F40E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48D973DD"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75F4E6E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592849E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79A8CC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5BAA2A4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2A25C2B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05AC7C5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4529F6F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69CB346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4F4C19F1"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358C188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5A95D50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411B1DA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484E5A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00EEF21F"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2920F249"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33A7170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2C2B869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1CD826C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2B546FC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61518DD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10BC76A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02B9ADF0" w14:textId="77777777" w:rsidTr="0537B9E0">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6FFB9988"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223DED65"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3CC90040"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061B78CF"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66F663B4"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155BEDAC"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58AA8656" w14:textId="77777777" w:rsidTr="0537B9E0">
        <w:trPr>
          <w:cantSplit/>
          <w:trHeight w:val="278"/>
        </w:trPr>
        <w:tc>
          <w:tcPr>
            <w:tcW w:w="783" w:type="dxa"/>
            <w:tcBorders>
              <w:left w:val="single" w:sz="8" w:space="0" w:color="auto"/>
              <w:bottom w:val="single" w:sz="8" w:space="0" w:color="auto"/>
              <w:right w:val="nil"/>
            </w:tcBorders>
            <w:shd w:val="clear" w:color="auto" w:fill="auto"/>
            <w:noWrap/>
            <w:vAlign w:val="center"/>
          </w:tcPr>
          <w:p w14:paraId="28528A7C"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019776AB"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2AB02A68"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435798AC"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1288C901"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493E450"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43206C9A" w14:textId="77777777" w:rsidTr="0537B9E0">
        <w:trPr>
          <w:cantSplit/>
          <w:trHeight w:val="278"/>
        </w:trPr>
        <w:tc>
          <w:tcPr>
            <w:tcW w:w="8028" w:type="dxa"/>
            <w:gridSpan w:val="6"/>
            <w:tcBorders>
              <w:top w:val="single" w:sz="8" w:space="0" w:color="auto"/>
              <w:left w:val="nil"/>
              <w:bottom w:val="nil"/>
              <w:right w:val="nil"/>
            </w:tcBorders>
            <w:shd w:val="clear" w:color="auto" w:fill="auto"/>
            <w:noWrap/>
            <w:vAlign w:val="center"/>
          </w:tcPr>
          <w:p w14:paraId="20F070B4" w14:textId="3561DC3D" w:rsidR="006661FE" w:rsidRPr="002A4C04" w:rsidRDefault="4DB720A2" w:rsidP="0537B9E0">
            <w:pPr>
              <w:ind w:left="360"/>
              <w:rPr>
                <w:rFonts w:ascii="Arial" w:hAnsi="Arial" w:cs="Arial"/>
              </w:rPr>
            </w:pPr>
            <w:r w:rsidRPr="0537B9E0">
              <w:rPr>
                <w:rFonts w:ascii="Arial" w:hAnsi="Arial" w:cs="Arial"/>
              </w:rPr>
              <w:t>*These are circuit km of types that have been provided in the previous 10 years. If no information is available for a particular category the best forecast will be used</w:t>
            </w:r>
            <w:r w:rsidR="306168A0" w:rsidRPr="0537B9E0">
              <w:rPr>
                <w:rFonts w:ascii="Arial" w:hAnsi="Arial" w:cs="Arial"/>
              </w:rPr>
              <w:t xml:space="preserve">. </w:t>
            </w:r>
          </w:p>
        </w:tc>
      </w:tr>
    </w:tbl>
    <w:p w14:paraId="4DF32729" w14:textId="77777777" w:rsidR="006661FE" w:rsidRPr="0099632B" w:rsidRDefault="006661FE" w:rsidP="006661FE">
      <w:pPr>
        <w:pStyle w:val="1"/>
        <w:jc w:val="both"/>
        <w:rPr>
          <w:rFonts w:cs="Arial"/>
          <w:szCs w:val="22"/>
        </w:rPr>
      </w:pPr>
    </w:p>
    <w:p w14:paraId="04323A39" w14:textId="3F926389" w:rsidR="006661FE" w:rsidRDefault="4DB720A2" w:rsidP="0537B9E0">
      <w:pPr>
        <w:pStyle w:val="1"/>
        <w:numPr>
          <w:ilvl w:val="0"/>
          <w:numId w:val="73"/>
        </w:numPr>
        <w:jc w:val="both"/>
        <w:rPr>
          <w:rFonts w:cs="Arial"/>
        </w:rPr>
      </w:pPr>
      <w:r w:rsidRPr="0537B9E0">
        <w:rPr>
          <w:rFonts w:cs="Arial"/>
        </w:rPr>
        <w:t xml:space="preserve">The weighted average £/MWkm (J in the example above) is then converted </w:t>
      </w:r>
      <w:r w:rsidR="2B9A5001" w:rsidRPr="0537B9E0">
        <w:rPr>
          <w:rFonts w:cs="Arial"/>
        </w:rPr>
        <w:t>into</w:t>
      </w:r>
      <w:r w:rsidRPr="0537B9E0">
        <w:rPr>
          <w:rFonts w:cs="Arial"/>
        </w:rPr>
        <w:t xml:space="preserve"> an annual figure by multiplying it by an annuity factor. The formula used to calculate of the annuity factor is shown below:</w:t>
      </w:r>
    </w:p>
    <w:p w14:paraId="15F04685" w14:textId="77777777" w:rsidR="006661FE" w:rsidRPr="0099632B" w:rsidRDefault="006661FE" w:rsidP="006661FE">
      <w:pPr>
        <w:pStyle w:val="1"/>
        <w:jc w:val="both"/>
        <w:rPr>
          <w:rFonts w:cs="Arial"/>
          <w:szCs w:val="22"/>
        </w:rPr>
      </w:pPr>
    </w:p>
    <w:p w14:paraId="3DCE1D6E" w14:textId="7A98ACA6" w:rsidR="006661FE" w:rsidRDefault="006661FE" w:rsidP="006661FE">
      <w:pPr>
        <w:jc w:val="center"/>
        <w:rPr>
          <w:rFonts w:ascii="Arial" w:hAnsi="Arial" w:cs="Arial"/>
          <w:sz w:val="22"/>
          <w:szCs w:val="22"/>
        </w:rPr>
      </w:pPr>
    </w:p>
    <w:p w14:paraId="274BD8E2" w14:textId="77777777" w:rsidR="006661FE" w:rsidRPr="0099632B" w:rsidRDefault="006661FE" w:rsidP="006661FE">
      <w:pPr>
        <w:jc w:val="center"/>
        <w:rPr>
          <w:rFonts w:ascii="Arial" w:hAnsi="Arial" w:cs="Arial"/>
          <w:sz w:val="22"/>
          <w:szCs w:val="22"/>
        </w:rPr>
      </w:pPr>
    </w:p>
    <w:p w14:paraId="23CC1A5D" w14:textId="0496225C" w:rsidR="006661FE" w:rsidRPr="0099632B" w:rsidRDefault="4DB720A2" w:rsidP="00533333">
      <w:pPr>
        <w:pStyle w:val="1"/>
        <w:numPr>
          <w:ilvl w:val="0"/>
          <w:numId w:val="73"/>
        </w:numPr>
        <w:jc w:val="both"/>
        <w:rPr>
          <w:rFonts w:cs="Arial"/>
        </w:rPr>
      </w:pPr>
      <w:r w:rsidRPr="0537B9E0">
        <w:rPr>
          <w:rFonts w:cs="Arial"/>
        </w:rPr>
        <w:t xml:space="preserve">The Weighted Average Cost of Capital (WACC) and asset life are established at the start of a price control and remain constant throughout a price control period. The WACC used in the calculation of the annuity factor is </w:t>
      </w:r>
      <w:r w:rsidR="28636CA0" w:rsidRPr="0537B9E0">
        <w:rPr>
          <w:rFonts w:cs="Arial"/>
        </w:rPr>
        <w:t>NGET’s</w:t>
      </w:r>
      <w:r w:rsidRPr="0537B9E0">
        <w:rPr>
          <w:rFonts w:cs="Arial"/>
        </w:rPr>
        <w:t xml:space="preserve"> regulated rate of return, this assumes that it will be </w:t>
      </w:r>
      <w:bookmarkStart w:id="283" w:name="_Int_8hGJWSB4"/>
      <w:r w:rsidRPr="0537B9E0">
        <w:rPr>
          <w:rFonts w:cs="Arial"/>
        </w:rPr>
        <w:t>reasonably representative</w:t>
      </w:r>
      <w:bookmarkEnd w:id="283"/>
      <w:r w:rsidRPr="0537B9E0">
        <w:rPr>
          <w:rFonts w:cs="Arial"/>
        </w:rPr>
        <w:t xml:space="preserve"> of all licensees. The asset life used in the calculation is 50 years; the appropriateness of this is reviewed when the annuity factor is recalculated at the start of a price control period</w:t>
      </w:r>
      <w:r w:rsidR="429F02B9" w:rsidRPr="0537B9E0">
        <w:rPr>
          <w:rFonts w:cs="Arial"/>
        </w:rPr>
        <w:t xml:space="preserve">. </w:t>
      </w:r>
      <w:r w:rsidRPr="0537B9E0">
        <w:rPr>
          <w:rFonts w:cs="Arial"/>
        </w:rPr>
        <w:t>These assumptions</w:t>
      </w:r>
      <w:r w:rsidR="22E4F7E3" w:rsidRPr="0537B9E0">
        <w:rPr>
          <w:rFonts w:ascii="Arial" w:hAnsi="Arial" w:cs="Arial"/>
          <w:color w:val="000000" w:themeColor="text1"/>
        </w:rPr>
        <w:t>, applied in accordance with 14.15.64,</w:t>
      </w:r>
      <w:r w:rsidRPr="0537B9E0">
        <w:rPr>
          <w:rFonts w:cs="Arial"/>
          <w:color w:val="000000" w:themeColor="text1"/>
        </w:rPr>
        <w:t xml:space="preserve"> </w:t>
      </w:r>
      <w:r w:rsidRPr="0537B9E0">
        <w:rPr>
          <w:rFonts w:cs="Arial"/>
        </w:rPr>
        <w:t>provide a current annuity factor</w:t>
      </w:r>
      <w:r w:rsidR="01959D7D" w:rsidRPr="0537B9E0">
        <w:rPr>
          <w:rFonts w:ascii="Arial" w:hAnsi="Arial" w:cs="Arial"/>
          <w:color w:val="000000" w:themeColor="text1"/>
        </w:rPr>
        <w:t xml:space="preserve">, as set out in </w:t>
      </w:r>
      <w:r w:rsidR="58867969" w:rsidRPr="0537B9E0">
        <w:rPr>
          <w:rFonts w:ascii="Arial" w:hAnsi="Arial" w:cs="Arial"/>
          <w:b/>
          <w:bCs/>
          <w:color w:val="000000" w:themeColor="text1"/>
        </w:rPr>
        <w:t xml:space="preserve">The </w:t>
      </w:r>
      <w:r w:rsidR="01959D7D" w:rsidRPr="0537B9E0">
        <w:rPr>
          <w:rFonts w:ascii="Arial" w:hAnsi="Arial" w:cs="Arial"/>
          <w:b/>
          <w:bCs/>
          <w:color w:val="000000" w:themeColor="text1"/>
        </w:rPr>
        <w:t xml:space="preserve">Company's Statement of Use of System Charges </w:t>
      </w:r>
      <w:r w:rsidR="01959D7D" w:rsidRPr="0537B9E0">
        <w:rPr>
          <w:rFonts w:ascii="Arial" w:hAnsi="Arial" w:cs="Arial"/>
          <w:color w:val="000000" w:themeColor="text1"/>
        </w:rPr>
        <w:t xml:space="preserve">which is available from the </w:t>
      </w:r>
      <w:r w:rsidR="01959D7D" w:rsidRPr="0537B9E0">
        <w:rPr>
          <w:rFonts w:ascii="Arial" w:hAnsi="Arial" w:cs="Arial"/>
          <w:b/>
          <w:bCs/>
          <w:color w:val="000000" w:themeColor="text1"/>
        </w:rPr>
        <w:t>Charging website</w:t>
      </w:r>
      <w:r w:rsidRPr="0537B9E0">
        <w:rPr>
          <w:rFonts w:cs="Arial"/>
        </w:rPr>
        <w:t xml:space="preserve">. </w:t>
      </w:r>
    </w:p>
    <w:p w14:paraId="681C2777" w14:textId="77777777" w:rsidR="006661FE" w:rsidRPr="0099632B" w:rsidRDefault="006661FE" w:rsidP="006661FE">
      <w:pPr>
        <w:pStyle w:val="1"/>
        <w:jc w:val="both"/>
        <w:rPr>
          <w:rFonts w:cs="Arial"/>
          <w:szCs w:val="22"/>
        </w:rPr>
      </w:pPr>
    </w:p>
    <w:p w14:paraId="1B22FD97" w14:textId="572ED53E" w:rsidR="006661FE" w:rsidRPr="0099632B" w:rsidRDefault="6B913268" w:rsidP="00533333">
      <w:pPr>
        <w:pStyle w:val="1"/>
        <w:numPr>
          <w:ilvl w:val="0"/>
          <w:numId w:val="73"/>
        </w:numPr>
        <w:jc w:val="both"/>
        <w:rPr>
          <w:rFonts w:cs="Arial"/>
        </w:rPr>
      </w:pPr>
      <w:r w:rsidRPr="0537B9E0">
        <w:rPr>
          <w:rFonts w:cs="Arial"/>
        </w:rPr>
        <w:t xml:space="preserve">The </w:t>
      </w:r>
      <w:bookmarkStart w:id="284" w:name="_Int_kqV5a8uD"/>
      <w:r w:rsidRPr="0537B9E0">
        <w:rPr>
          <w:rFonts w:cs="Arial"/>
        </w:rPr>
        <w:t>final step</w:t>
      </w:r>
      <w:bookmarkEnd w:id="284"/>
      <w:r w:rsidRPr="0537B9E0">
        <w:rPr>
          <w:rFonts w:cs="Arial"/>
        </w:rPr>
        <w:t xml:space="preserve"> in calculating the expansion constant is to add a share of the annual transmission overheads (maintenance, rates etc). This is done by multiplying the average weighted cost (J) by an ‘overhead factor</w:t>
      </w:r>
      <w:bookmarkStart w:id="285" w:name="_Int_TxSYtWhU"/>
      <w:r w:rsidRPr="0537B9E0">
        <w:rPr>
          <w:rFonts w:cs="Arial"/>
        </w:rPr>
        <w:t>’.</w:t>
      </w:r>
      <w:bookmarkEnd w:id="285"/>
      <w:r w:rsidRPr="0537B9E0">
        <w:rPr>
          <w:rFonts w:cs="Arial"/>
        </w:rPr>
        <w:t xml:space="preserve"> The ‘overhead factor’ represents the total business overhead in any year divided by the total Gross Asset Value (GAV) of the transmission system. This is recalculated at the start of each price control period. The</w:t>
      </w:r>
      <w:r w:rsidR="6F65503B" w:rsidRPr="0537B9E0">
        <w:rPr>
          <w:rFonts w:cs="Arial"/>
        </w:rPr>
        <w:t xml:space="preserve"> </w:t>
      </w:r>
      <w:r w:rsidR="6F65503B" w:rsidRPr="0537B9E0">
        <w:rPr>
          <w:rFonts w:ascii="Arial" w:hAnsi="Arial" w:cs="Arial"/>
          <w:color w:val="000000" w:themeColor="text1"/>
        </w:rPr>
        <w:t>currently applicable</w:t>
      </w:r>
      <w:r w:rsidRPr="0537B9E0">
        <w:rPr>
          <w:rFonts w:cs="Arial"/>
          <w:color w:val="000000" w:themeColor="text1"/>
        </w:rPr>
        <w:t xml:space="preserve"> </w:t>
      </w:r>
      <w:r w:rsidRPr="0537B9E0">
        <w:rPr>
          <w:rFonts w:cs="Arial"/>
        </w:rPr>
        <w:t>overhead factor used in the calculation of the</w:t>
      </w:r>
      <w:r w:rsidR="78EF2A91" w:rsidRPr="0537B9E0">
        <w:rPr>
          <w:rFonts w:cs="Arial"/>
        </w:rPr>
        <w:t xml:space="preserve"> current</w:t>
      </w:r>
      <w:r w:rsidRPr="0537B9E0">
        <w:rPr>
          <w:rFonts w:cs="Arial"/>
        </w:rPr>
        <w:t xml:space="preserve"> expansion constant </w:t>
      </w:r>
      <w:r w:rsidR="481900D6" w:rsidRPr="0537B9E0">
        <w:rPr>
          <w:rFonts w:ascii="Arial" w:hAnsi="Arial" w:cs="Arial"/>
          <w:color w:val="000000" w:themeColor="text1"/>
        </w:rPr>
        <w:t xml:space="preserve">is, calculated as above, and detailed in </w:t>
      </w:r>
      <w:r w:rsidR="3D96AF96" w:rsidRPr="0537B9E0">
        <w:rPr>
          <w:rFonts w:ascii="Arial" w:hAnsi="Arial" w:cs="Arial"/>
          <w:b/>
          <w:bCs/>
          <w:color w:val="000000" w:themeColor="text1"/>
        </w:rPr>
        <w:t xml:space="preserve">The </w:t>
      </w:r>
      <w:r w:rsidR="481900D6" w:rsidRPr="0537B9E0">
        <w:rPr>
          <w:rFonts w:ascii="Arial" w:hAnsi="Arial" w:cs="Arial"/>
          <w:b/>
          <w:bCs/>
          <w:color w:val="000000" w:themeColor="text1"/>
        </w:rPr>
        <w:t>Company's Statement of Use of System Charges</w:t>
      </w:r>
      <w:r w:rsidR="481900D6" w:rsidRPr="0537B9E0">
        <w:rPr>
          <w:rFonts w:ascii="Arial" w:hAnsi="Arial" w:cs="Arial"/>
          <w:color w:val="000000" w:themeColor="text1"/>
        </w:rPr>
        <w:t xml:space="preserve"> which is available from the </w:t>
      </w:r>
      <w:r w:rsidR="481900D6" w:rsidRPr="0537B9E0">
        <w:rPr>
          <w:rFonts w:ascii="Arial" w:hAnsi="Arial" w:cs="Arial"/>
          <w:b/>
          <w:bCs/>
          <w:color w:val="000000" w:themeColor="text1"/>
        </w:rPr>
        <w:t>Charging website</w:t>
      </w:r>
      <w:r w:rsidRPr="0537B9E0">
        <w:rPr>
          <w:rFonts w:cs="Arial"/>
        </w:rPr>
        <w:t xml:space="preserve">. The overhead and annuitised costs are then added to give the expansion constant. </w:t>
      </w:r>
    </w:p>
    <w:p w14:paraId="286738EA" w14:textId="77777777" w:rsidR="006661FE" w:rsidRPr="0099632B" w:rsidRDefault="006661FE" w:rsidP="006661FE">
      <w:pPr>
        <w:pStyle w:val="1"/>
        <w:jc w:val="both"/>
        <w:rPr>
          <w:rFonts w:cs="Arial"/>
          <w:szCs w:val="22"/>
        </w:rPr>
      </w:pPr>
    </w:p>
    <w:p w14:paraId="1AFF1F2F" w14:textId="73ADF522" w:rsidR="006661FE" w:rsidRPr="0099632B" w:rsidRDefault="006661FE" w:rsidP="00533333">
      <w:pPr>
        <w:pStyle w:val="1"/>
        <w:numPr>
          <w:ilvl w:val="0"/>
          <w:numId w:val="73"/>
        </w:numPr>
        <w:jc w:val="both"/>
        <w:rPr>
          <w:rFonts w:cs="Arial"/>
          <w:szCs w:val="22"/>
        </w:rPr>
      </w:pPr>
      <w:r w:rsidRPr="0099632B">
        <w:rPr>
          <w:rFonts w:cs="Arial"/>
          <w:szCs w:val="22"/>
        </w:rPr>
        <w:t>Using the previous example</w:t>
      </w:r>
      <w:r>
        <w:rPr>
          <w:rFonts w:cs="Arial"/>
          <w:szCs w:val="22"/>
        </w:rPr>
        <w:t>,</w:t>
      </w:r>
      <w:r w:rsidR="00722983" w:rsidRPr="00722983">
        <w:rPr>
          <w:rFonts w:ascii="Arial" w:hAnsi="Arial" w:cs="Arial"/>
          <w:color w:val="000000" w:themeColor="text1"/>
        </w:rPr>
        <w:t xml:space="preserve"> and the 2009/10 values for the annuity factor (6.6%) and overhead factor (1.8%),</w:t>
      </w:r>
      <w:r w:rsidRPr="00722983">
        <w:rPr>
          <w:rFonts w:ascii="Arial" w:hAnsi="Arial" w:cs="Arial"/>
          <w:color w:val="000000" w:themeColor="text1"/>
          <w:szCs w:val="22"/>
        </w:rPr>
        <w:t xml:space="preserve"> </w:t>
      </w:r>
      <w:r w:rsidRPr="0099632B">
        <w:rPr>
          <w:rFonts w:cs="Arial"/>
          <w:szCs w:val="22"/>
        </w:rPr>
        <w:t>the final steps in establishing the expansion constant are demonstrated below:</w:t>
      </w:r>
    </w:p>
    <w:p w14:paraId="485C0E10"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2B2EBD38" w14:textId="77777777" w:rsidTr="006661FE">
        <w:trPr>
          <w:trHeight w:hRule="exact" w:val="360"/>
          <w:jc w:val="center"/>
        </w:trPr>
        <w:tc>
          <w:tcPr>
            <w:tcW w:w="4706" w:type="dxa"/>
            <w:shd w:val="clear" w:color="auto" w:fill="auto"/>
            <w:noWrap/>
            <w:vAlign w:val="center"/>
          </w:tcPr>
          <w:p w14:paraId="0E945A4D" w14:textId="77777777" w:rsidR="006661FE" w:rsidRPr="00887323" w:rsidRDefault="006661FE" w:rsidP="006661FE">
            <w:pPr>
              <w:spacing w:before="100" w:beforeAutospacing="1" w:after="100" w:afterAutospacing="1"/>
              <w:rPr>
                <w:rFonts w:ascii="Arial" w:hAnsi="Arial" w:cs="Arial"/>
                <w:sz w:val="20"/>
                <w:szCs w:val="20"/>
                <w:lang w:val="fr-FR"/>
              </w:rPr>
            </w:pPr>
            <w:r w:rsidRPr="00887323">
              <w:rPr>
                <w:rFonts w:ascii="Arial" w:hAnsi="Arial" w:cs="Arial"/>
                <w:b/>
                <w:bCs/>
                <w:color w:val="0000FF"/>
                <w:sz w:val="20"/>
                <w:szCs w:val="20"/>
                <w:lang w:val="fr-FR"/>
              </w:rPr>
              <w:t>400kV OHL expansion constant calculation</w:t>
            </w:r>
          </w:p>
        </w:tc>
        <w:tc>
          <w:tcPr>
            <w:tcW w:w="1929" w:type="dxa"/>
            <w:shd w:val="clear" w:color="auto" w:fill="auto"/>
            <w:vAlign w:val="center"/>
          </w:tcPr>
          <w:p w14:paraId="6C58F152"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Ave £/MWkm</w:t>
            </w:r>
          </w:p>
        </w:tc>
      </w:tr>
      <w:tr w:rsidR="006661FE" w:rsidRPr="00465A2C" w14:paraId="612282B3" w14:textId="77777777" w:rsidTr="006661FE">
        <w:trPr>
          <w:trHeight w:hRule="exact" w:val="360"/>
          <w:jc w:val="center"/>
        </w:trPr>
        <w:tc>
          <w:tcPr>
            <w:tcW w:w="4706" w:type="dxa"/>
            <w:shd w:val="clear" w:color="auto" w:fill="auto"/>
            <w:noWrap/>
            <w:vAlign w:val="center"/>
          </w:tcPr>
          <w:p w14:paraId="3B1DCC82"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OHL</w:t>
            </w:r>
          </w:p>
        </w:tc>
        <w:tc>
          <w:tcPr>
            <w:tcW w:w="1929" w:type="dxa"/>
            <w:shd w:val="clear" w:color="auto" w:fill="auto"/>
            <w:noWrap/>
            <w:vAlign w:val="center"/>
          </w:tcPr>
          <w:p w14:paraId="013B75CA"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114.160</w:t>
            </w:r>
          </w:p>
        </w:tc>
      </w:tr>
      <w:tr w:rsidR="006661FE" w:rsidRPr="00465A2C" w14:paraId="72464109" w14:textId="77777777" w:rsidTr="006661FE">
        <w:trPr>
          <w:trHeight w:hRule="exact" w:val="360"/>
          <w:jc w:val="center"/>
        </w:trPr>
        <w:tc>
          <w:tcPr>
            <w:tcW w:w="4706" w:type="dxa"/>
            <w:shd w:val="clear" w:color="auto" w:fill="auto"/>
            <w:noWrap/>
            <w:vAlign w:val="center"/>
          </w:tcPr>
          <w:p w14:paraId="03FCEF57"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Annuitised</w:t>
            </w:r>
          </w:p>
        </w:tc>
        <w:tc>
          <w:tcPr>
            <w:tcW w:w="1929" w:type="dxa"/>
            <w:shd w:val="clear" w:color="auto" w:fill="auto"/>
            <w:noWrap/>
            <w:vAlign w:val="center"/>
          </w:tcPr>
          <w:p w14:paraId="1976812C"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7.535</w:t>
            </w:r>
          </w:p>
        </w:tc>
      </w:tr>
      <w:tr w:rsidR="006661FE" w:rsidRPr="00465A2C" w14:paraId="7C36B826" w14:textId="77777777" w:rsidTr="006661FE">
        <w:trPr>
          <w:trHeight w:hRule="exact" w:val="360"/>
          <w:jc w:val="center"/>
        </w:trPr>
        <w:tc>
          <w:tcPr>
            <w:tcW w:w="4706" w:type="dxa"/>
            <w:shd w:val="clear" w:color="auto" w:fill="auto"/>
            <w:noWrap/>
            <w:vAlign w:val="center"/>
          </w:tcPr>
          <w:p w14:paraId="0C39DE20"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Overhead</w:t>
            </w:r>
          </w:p>
        </w:tc>
        <w:tc>
          <w:tcPr>
            <w:tcW w:w="1929" w:type="dxa"/>
            <w:shd w:val="clear" w:color="auto" w:fill="auto"/>
            <w:noWrap/>
            <w:vAlign w:val="center"/>
          </w:tcPr>
          <w:p w14:paraId="230B1BD0"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2.055</w:t>
            </w:r>
          </w:p>
        </w:tc>
      </w:tr>
      <w:tr w:rsidR="006661FE" w:rsidRPr="00465A2C" w14:paraId="22B59D0B" w14:textId="77777777" w:rsidTr="006661FE">
        <w:trPr>
          <w:trHeight w:hRule="exact" w:val="360"/>
          <w:jc w:val="center"/>
        </w:trPr>
        <w:tc>
          <w:tcPr>
            <w:tcW w:w="4706" w:type="dxa"/>
            <w:shd w:val="clear" w:color="auto" w:fill="auto"/>
            <w:noWrap/>
            <w:vAlign w:val="center"/>
          </w:tcPr>
          <w:p w14:paraId="5A4395D8"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 xml:space="preserve">Final </w:t>
            </w:r>
          </w:p>
        </w:tc>
        <w:tc>
          <w:tcPr>
            <w:tcW w:w="1929" w:type="dxa"/>
            <w:shd w:val="clear" w:color="auto" w:fill="auto"/>
            <w:noWrap/>
            <w:vAlign w:val="center"/>
          </w:tcPr>
          <w:p w14:paraId="6DD86C0A"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9.589</w:t>
            </w:r>
          </w:p>
        </w:tc>
      </w:tr>
    </w:tbl>
    <w:p w14:paraId="2C566792" w14:textId="77777777" w:rsidR="006661FE" w:rsidRPr="0099632B" w:rsidRDefault="006661FE" w:rsidP="006661FE">
      <w:pPr>
        <w:rPr>
          <w:rFonts w:ascii="Arial" w:hAnsi="Arial" w:cs="Arial"/>
          <w:sz w:val="22"/>
          <w:szCs w:val="22"/>
        </w:rPr>
      </w:pPr>
    </w:p>
    <w:p w14:paraId="09D004D7" w14:textId="7DC7E9FD" w:rsidR="006661FE" w:rsidRPr="0099632B" w:rsidRDefault="4DB720A2" w:rsidP="0537B9E0">
      <w:pPr>
        <w:pStyle w:val="1"/>
        <w:numPr>
          <w:ilvl w:val="0"/>
          <w:numId w:val="73"/>
        </w:numPr>
        <w:jc w:val="both"/>
        <w:rPr>
          <w:rFonts w:cs="Arial"/>
        </w:rPr>
      </w:pPr>
      <w:r w:rsidRPr="0537B9E0">
        <w:rPr>
          <w:rFonts w:cs="Arial"/>
        </w:rPr>
        <w:t>This process is carried out for each voltage onshore, along with other adjustments to take account of upgrade options, see 14.15.</w:t>
      </w:r>
      <w:r w:rsidR="2E8E678F" w:rsidRPr="0537B9E0">
        <w:rPr>
          <w:rFonts w:cs="Arial"/>
        </w:rPr>
        <w:t>73</w:t>
      </w:r>
      <w:r w:rsidRPr="0537B9E0">
        <w:rPr>
          <w:rFonts w:cs="Arial"/>
        </w:rPr>
        <w:t>, and normalised against the 400KV overhead line cost (the expansion constant) the resulting ratios provide the basis of the onshore expansion factors</w:t>
      </w:r>
      <w:r w:rsidR="7E570EC2" w:rsidRPr="0537B9E0">
        <w:rPr>
          <w:rFonts w:cs="Arial"/>
        </w:rPr>
        <w:t xml:space="preserve">. </w:t>
      </w:r>
      <w:r w:rsidRPr="0537B9E0">
        <w:rPr>
          <w:rFonts w:cs="Arial"/>
        </w:rPr>
        <w:t>The process used to derive circuit expansion factors for Offshore Transmission Owner networks is described in 14.15.</w:t>
      </w:r>
      <w:r w:rsidR="7E1CBD82" w:rsidRPr="0537B9E0">
        <w:rPr>
          <w:rFonts w:cs="Arial"/>
        </w:rPr>
        <w:t>80</w:t>
      </w:r>
      <w:r w:rsidR="6802DE42" w:rsidRPr="0537B9E0">
        <w:rPr>
          <w:rFonts w:cs="Arial"/>
        </w:rPr>
        <w:t>.</w:t>
      </w:r>
    </w:p>
    <w:p w14:paraId="0C565372" w14:textId="77777777" w:rsidR="006661FE" w:rsidRPr="0099632B" w:rsidRDefault="006661FE" w:rsidP="006661FE">
      <w:pPr>
        <w:pStyle w:val="1"/>
        <w:jc w:val="both"/>
        <w:rPr>
          <w:rFonts w:cs="Arial"/>
          <w:szCs w:val="22"/>
        </w:rPr>
      </w:pPr>
    </w:p>
    <w:p w14:paraId="66CBFDC0" w14:textId="696D3835" w:rsidR="008A38A9" w:rsidRDefault="4DB720A2" w:rsidP="00533333">
      <w:pPr>
        <w:pStyle w:val="1"/>
        <w:numPr>
          <w:ilvl w:val="0"/>
          <w:numId w:val="73"/>
        </w:numPr>
        <w:jc w:val="both"/>
        <w:rPr>
          <w:rFonts w:cs="Arial"/>
        </w:rPr>
      </w:pPr>
      <w:r w:rsidRPr="0537B9E0">
        <w:rPr>
          <w:rFonts w:cs="Arial"/>
        </w:rPr>
        <w:t xml:space="preserve">This process of calculating the incremental cost of capacity for a 400kV OHL, along with calculating the onshore expansion factors is carried out for the first year of the price control and is increased by inflation, </w:t>
      </w:r>
      <w:r w:rsidR="0F4DA871" w:rsidRPr="0537B9E0">
        <w:rPr>
          <w:rFonts w:cs="Arial"/>
        </w:rPr>
        <w:t>TOPI</w:t>
      </w:r>
      <w:r w:rsidRPr="0537B9E0">
        <w:rPr>
          <w:rFonts w:cs="Arial"/>
        </w:rPr>
        <w:t xml:space="preserve">, (May–October </w:t>
      </w:r>
      <w:r w:rsidRPr="0537B9E0">
        <w:rPr>
          <w:rFonts w:cs="Arial"/>
        </w:rPr>
        <w:lastRenderedPageBreak/>
        <w:t xml:space="preserve">average increase, as defined in </w:t>
      </w:r>
      <w:r w:rsidR="28636CA0" w:rsidRPr="0537B9E0">
        <w:rPr>
          <w:rFonts w:cs="Arial"/>
        </w:rPr>
        <w:t>the</w:t>
      </w:r>
      <w:r w:rsidR="26125157" w:rsidRPr="0537B9E0">
        <w:rPr>
          <w:rFonts w:cs="Arial"/>
        </w:rPr>
        <w:t xml:space="preserve"> </w:t>
      </w:r>
      <w:r w:rsidRPr="0537B9E0">
        <w:rPr>
          <w:rFonts w:cs="Arial"/>
        </w:rPr>
        <w:t>Transmission Licence) each subsequent year of the price control period</w:t>
      </w:r>
      <w:r w:rsidR="089E2AB9" w:rsidRPr="0537B9E0">
        <w:rPr>
          <w:rFonts w:cs="Arial"/>
        </w:rPr>
        <w:t xml:space="preserve">. </w:t>
      </w:r>
      <w:r w:rsidRPr="0537B9E0">
        <w:rPr>
          <w:rFonts w:cs="Arial"/>
        </w:rPr>
        <w:t xml:space="preserve">The </w:t>
      </w:r>
      <w:r w:rsidR="38C9D2FD" w:rsidRPr="0537B9E0">
        <w:rPr>
          <w:rFonts w:ascii="Arial" w:hAnsi="Arial" w:cs="Arial"/>
          <w:color w:val="000000" w:themeColor="text1"/>
        </w:rPr>
        <w:t xml:space="preserve">current applicable </w:t>
      </w:r>
      <w:r w:rsidRPr="0537B9E0">
        <w:rPr>
          <w:rFonts w:ascii="Arial" w:hAnsi="Arial" w:cs="Arial"/>
          <w:color w:val="000000" w:themeColor="text1"/>
        </w:rPr>
        <w:t xml:space="preserve">expansion constant </w:t>
      </w:r>
      <w:r w:rsidR="38C9D2FD" w:rsidRPr="0537B9E0">
        <w:rPr>
          <w:rFonts w:ascii="Arial" w:hAnsi="Arial" w:cs="Arial"/>
          <w:color w:val="000000" w:themeColor="text1"/>
        </w:rPr>
        <w:t xml:space="preserve">is detailed in </w:t>
      </w:r>
      <w:r w:rsidR="58867969" w:rsidRPr="0537B9E0">
        <w:rPr>
          <w:rFonts w:ascii="Arial" w:hAnsi="Arial" w:cs="Arial"/>
          <w:b/>
          <w:bCs/>
          <w:color w:val="000000" w:themeColor="text1"/>
        </w:rPr>
        <w:t xml:space="preserve">The </w:t>
      </w:r>
      <w:r w:rsidR="38C9D2FD" w:rsidRPr="0537B9E0">
        <w:rPr>
          <w:rFonts w:ascii="Arial" w:hAnsi="Arial" w:cs="Arial"/>
          <w:b/>
          <w:bCs/>
          <w:color w:val="000000" w:themeColor="text1"/>
        </w:rPr>
        <w:t>Company's Statement of Use of System Charges</w:t>
      </w:r>
      <w:r w:rsidR="38C9D2FD" w:rsidRPr="0537B9E0">
        <w:rPr>
          <w:rFonts w:ascii="Arial" w:hAnsi="Arial" w:cs="Arial"/>
          <w:color w:val="000000" w:themeColor="text1"/>
        </w:rPr>
        <w:t xml:space="preserve"> which is available from the </w:t>
      </w:r>
      <w:r w:rsidR="38C9D2FD" w:rsidRPr="0537B9E0">
        <w:rPr>
          <w:rFonts w:ascii="Arial" w:hAnsi="Arial" w:cs="Arial"/>
          <w:b/>
          <w:bCs/>
          <w:color w:val="000000" w:themeColor="text1"/>
        </w:rPr>
        <w:t>Charging website</w:t>
      </w:r>
      <w:r w:rsidRPr="0537B9E0">
        <w:rPr>
          <w:rFonts w:cs="Arial"/>
        </w:rPr>
        <w:t>.</w:t>
      </w:r>
    </w:p>
    <w:p w14:paraId="3AD29793" w14:textId="77777777" w:rsidR="008A38A9" w:rsidRDefault="008A38A9" w:rsidP="00C61F3C">
      <w:pPr>
        <w:pStyle w:val="ListParagraph"/>
        <w:rPr>
          <w:rFonts w:cs="Arial"/>
          <w:szCs w:val="22"/>
        </w:rPr>
      </w:pPr>
    </w:p>
    <w:p w14:paraId="3C0DC0AA" w14:textId="5464534D" w:rsidR="008A38A9" w:rsidRPr="008A38A9" w:rsidRDefault="008A38A9" w:rsidP="00101E15">
      <w:pPr>
        <w:pStyle w:val="1"/>
        <w:ind w:left="1560" w:hanging="851"/>
        <w:jc w:val="both"/>
        <w:rPr>
          <w:rFonts w:cs="Arial"/>
          <w:szCs w:val="22"/>
        </w:rPr>
      </w:pPr>
      <w:r>
        <w:t xml:space="preserve">14.15.69A Notwithstanding Paragraph 14.15.69 from the first year of (and during) the T2 price control (which starts on 1st April 2021), until a further change is made, the Expansion Constant will be that used in the 2020/21 </w:t>
      </w:r>
      <w:r w:rsidR="00267733" w:rsidRPr="00AD4509">
        <w:rPr>
          <w:b/>
          <w:bCs/>
        </w:rPr>
        <w:t>Financial Year</w:t>
      </w:r>
      <w:r>
        <w:t xml:space="preserve"> inflated in accordance with </w:t>
      </w:r>
      <w:r w:rsidR="00C83E01">
        <w:t xml:space="preserve"> TOPI </w:t>
      </w:r>
      <w:r>
        <w:t>as per paragraph 14.15.69; and plus inflation as defined in the Transmission Licence for each subsequent year of the T2 price control.</w:t>
      </w:r>
    </w:p>
    <w:p w14:paraId="76A50090" w14:textId="77777777" w:rsidR="006661FE" w:rsidRDefault="006661FE" w:rsidP="006661FE">
      <w:pPr>
        <w:pStyle w:val="1"/>
        <w:ind w:left="705"/>
        <w:jc w:val="both"/>
        <w:rPr>
          <w:b/>
        </w:rPr>
      </w:pPr>
    </w:p>
    <w:p w14:paraId="3313871B" w14:textId="77777777" w:rsidR="006661FE" w:rsidRDefault="006661FE" w:rsidP="006661FE">
      <w:pPr>
        <w:pStyle w:val="1"/>
        <w:ind w:left="705"/>
        <w:jc w:val="both"/>
        <w:rPr>
          <w:b/>
        </w:rPr>
      </w:pPr>
      <w:r>
        <w:rPr>
          <w:b/>
        </w:rPr>
        <w:t>Onshore Wider Circuit Expansion Factors</w:t>
      </w:r>
    </w:p>
    <w:p w14:paraId="0F32D4C7" w14:textId="77777777" w:rsidR="006661FE" w:rsidRDefault="006661FE" w:rsidP="006661FE">
      <w:pPr>
        <w:pStyle w:val="1"/>
        <w:ind w:left="705"/>
        <w:jc w:val="both"/>
      </w:pPr>
    </w:p>
    <w:p w14:paraId="2C199216" w14:textId="77777777" w:rsidR="006661FE" w:rsidRDefault="4DB720A2" w:rsidP="00533333">
      <w:pPr>
        <w:pStyle w:val="1"/>
        <w:numPr>
          <w:ilvl w:val="0"/>
          <w:numId w:val="73"/>
        </w:numPr>
        <w:jc w:val="both"/>
      </w:pPr>
      <w:r>
        <w:t xml:space="preserve">Base onshore expansion factors are calculated by deriving individual expansion constants for the </w:t>
      </w:r>
      <w:bookmarkStart w:id="286" w:name="_Int_6etKE1eg"/>
      <w:r>
        <w:t>various types</w:t>
      </w:r>
      <w:bookmarkEnd w:id="286"/>
      <w:r>
        <w:t xml:space="preserve">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6C062DE1" w14:textId="77777777" w:rsidR="006661FE" w:rsidRDefault="006661FE" w:rsidP="006661FE">
      <w:pPr>
        <w:ind w:left="709"/>
        <w:jc w:val="both"/>
        <w:rPr>
          <w:rFonts w:ascii="Arial" w:hAnsi="Arial"/>
          <w:sz w:val="22"/>
        </w:rPr>
      </w:pPr>
    </w:p>
    <w:p w14:paraId="441B136A" w14:textId="77777777" w:rsidR="006661FE" w:rsidRDefault="006661FE" w:rsidP="00533333">
      <w:pPr>
        <w:pStyle w:val="1"/>
        <w:numPr>
          <w:ilvl w:val="0"/>
          <w:numId w:val="73"/>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5DC49AF4" w14:textId="77777777" w:rsidR="006661FE" w:rsidRDefault="006661FE" w:rsidP="006661FE">
      <w:pPr>
        <w:pStyle w:val="1"/>
        <w:ind w:left="705"/>
        <w:jc w:val="both"/>
      </w:pPr>
    </w:p>
    <w:p w14:paraId="5A796D7D" w14:textId="77777777" w:rsidR="006661FE" w:rsidRDefault="006661FE" w:rsidP="00533333">
      <w:pPr>
        <w:pStyle w:val="1"/>
        <w:numPr>
          <w:ilvl w:val="0"/>
          <w:numId w:val="73"/>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7F6A2EFF" w14:textId="77777777" w:rsidR="006661FE" w:rsidRDefault="006661FE" w:rsidP="006661FE">
      <w:pPr>
        <w:pStyle w:val="1"/>
        <w:jc w:val="both"/>
      </w:pPr>
      <w:r>
        <w:t xml:space="preserve">  </w:t>
      </w:r>
    </w:p>
    <w:p w14:paraId="2799DDA1" w14:textId="77777777" w:rsidR="006661FE" w:rsidRDefault="006661FE" w:rsidP="00533333">
      <w:pPr>
        <w:pStyle w:val="1"/>
        <w:numPr>
          <w:ilvl w:val="0"/>
          <w:numId w:val="73"/>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54D84008" w14:textId="77777777" w:rsidR="006661FE" w:rsidRDefault="006661FE" w:rsidP="006661FE">
      <w:pPr>
        <w:pStyle w:val="1"/>
        <w:jc w:val="both"/>
      </w:pPr>
    </w:p>
    <w:p w14:paraId="071D44E2" w14:textId="77777777" w:rsidR="006661FE" w:rsidRDefault="006661FE" w:rsidP="00533333">
      <w:pPr>
        <w:pStyle w:val="1"/>
        <w:numPr>
          <w:ilvl w:val="0"/>
          <w:numId w:val="73"/>
        </w:numPr>
        <w:jc w:val="both"/>
      </w:pPr>
      <w:r>
        <w:t>The 400kV onshore circuit expansion factor is applied on a GB basis and reflects the full costs for 400kV cable and overhead lines.</w:t>
      </w:r>
    </w:p>
    <w:p w14:paraId="08E83AA4" w14:textId="77777777" w:rsidR="00BE09DE" w:rsidRDefault="00BE09DE" w:rsidP="000B6C0D">
      <w:pPr>
        <w:pStyle w:val="ListParagraph"/>
      </w:pPr>
    </w:p>
    <w:p w14:paraId="501E6352" w14:textId="09BA831B" w:rsidR="00BE09DE" w:rsidRDefault="6802DE42" w:rsidP="00533333">
      <w:pPr>
        <w:pStyle w:val="1"/>
        <w:numPr>
          <w:ilvl w:val="0"/>
          <w:numId w:val="73"/>
        </w:numPr>
        <w:jc w:val="both"/>
      </w:pPr>
      <w:r>
        <w:t xml:space="preserve">AC sub-sea cable and HVDC circuit expansion factors are calculated on a </w:t>
      </w:r>
      <w:bookmarkStart w:id="287" w:name="_Int_lX2uX5sm"/>
      <w:r>
        <w:t>case by case</w:t>
      </w:r>
      <w:bookmarkEnd w:id="287"/>
      <w:r>
        <w:t xml:space="preserve"> basis using actual project costs (Specific Circuit Expansion Factors)</w:t>
      </w:r>
      <w:r w:rsidR="65FD2285">
        <w:t xml:space="preserve">. </w:t>
      </w:r>
    </w:p>
    <w:p w14:paraId="38D50E0A" w14:textId="77777777" w:rsidR="00BE09DE" w:rsidRDefault="00BE09DE" w:rsidP="00BE09DE">
      <w:pPr>
        <w:pStyle w:val="1"/>
        <w:ind w:left="720"/>
        <w:jc w:val="both"/>
      </w:pPr>
    </w:p>
    <w:p w14:paraId="608879E3" w14:textId="77777777" w:rsidR="00BE09DE" w:rsidRDefault="00215BA8" w:rsidP="00533333">
      <w:pPr>
        <w:pStyle w:val="1"/>
        <w:numPr>
          <w:ilvl w:val="0"/>
          <w:numId w:val="73"/>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p>
    <w:p w14:paraId="6EB8D4A6" w14:textId="77777777" w:rsidR="006661FE" w:rsidRDefault="006661FE" w:rsidP="006661FE">
      <w:pPr>
        <w:pStyle w:val="1"/>
        <w:jc w:val="both"/>
      </w:pPr>
    </w:p>
    <w:p w14:paraId="43C2E6AE" w14:textId="07A11BA8" w:rsidR="006661FE" w:rsidRDefault="3D47CB0D" w:rsidP="00533333">
      <w:pPr>
        <w:pStyle w:val="1"/>
        <w:numPr>
          <w:ilvl w:val="0"/>
          <w:numId w:val="73"/>
        </w:numPr>
        <w:jc w:val="both"/>
      </w:pPr>
      <w:r>
        <w:t xml:space="preserve">The TO specific onshore circuit expansion factors </w:t>
      </w:r>
      <w:r w:rsidR="608DD79B" w:rsidRPr="6D50A407">
        <w:rPr>
          <w:rFonts w:ascii="Arial" w:hAnsi="Arial" w:cs="Arial"/>
          <w:color w:val="000000" w:themeColor="text1"/>
        </w:rPr>
        <w:t xml:space="preserve">which are currently applicable, are detailed in </w:t>
      </w:r>
      <w:r w:rsidR="2EBFAECD" w:rsidRPr="00C94D4B">
        <w:rPr>
          <w:rFonts w:ascii="Arial" w:hAnsi="Arial" w:cs="Arial"/>
          <w:b/>
          <w:bCs/>
          <w:color w:val="000000" w:themeColor="text1"/>
        </w:rPr>
        <w:t xml:space="preserve">The </w:t>
      </w:r>
      <w:r w:rsidR="608DD79B" w:rsidRPr="00C94D4B">
        <w:rPr>
          <w:rFonts w:ascii="Arial" w:hAnsi="Arial" w:cs="Arial"/>
          <w:b/>
          <w:bCs/>
          <w:color w:val="000000" w:themeColor="text1"/>
        </w:rPr>
        <w:t>Company</w:t>
      </w:r>
      <w:r w:rsidR="608DD79B" w:rsidRPr="007219D1">
        <w:rPr>
          <w:rFonts w:ascii="Arial" w:hAnsi="Arial" w:cs="Arial"/>
          <w:b/>
          <w:bCs/>
          <w:color w:val="000000" w:themeColor="text1"/>
        </w:rPr>
        <w:t>'s</w:t>
      </w:r>
      <w:r w:rsidR="608DD79B" w:rsidRPr="6D50A407">
        <w:rPr>
          <w:rFonts w:ascii="Arial" w:hAnsi="Arial" w:cs="Arial"/>
          <w:b/>
          <w:bCs/>
          <w:color w:val="000000" w:themeColor="text1"/>
        </w:rPr>
        <w:t xml:space="preserve"> Statement of Use of System Charges</w:t>
      </w:r>
      <w:r w:rsidR="608DD79B" w:rsidRPr="6D50A407">
        <w:rPr>
          <w:rFonts w:ascii="Arial" w:hAnsi="Arial" w:cs="Arial"/>
          <w:color w:val="000000" w:themeColor="text1"/>
        </w:rPr>
        <w:t xml:space="preserve"> which is available from the </w:t>
      </w:r>
      <w:r w:rsidR="608DD79B" w:rsidRPr="6D50A407">
        <w:rPr>
          <w:rFonts w:ascii="Arial" w:hAnsi="Arial" w:cs="Arial"/>
          <w:b/>
          <w:bCs/>
          <w:color w:val="000000" w:themeColor="text1"/>
        </w:rPr>
        <w:t>Charging website</w:t>
      </w:r>
      <w:r w:rsidR="608DD79B" w:rsidRPr="6D50A407">
        <w:rPr>
          <w:rFonts w:ascii="Arial" w:hAnsi="Arial" w:cs="Arial"/>
          <w:color w:val="000000" w:themeColor="text1"/>
        </w:rPr>
        <w:t>.</w:t>
      </w:r>
    </w:p>
    <w:p w14:paraId="27187D26" w14:textId="77777777" w:rsidR="006661FE" w:rsidRDefault="006661FE" w:rsidP="006661FE">
      <w:pPr>
        <w:pStyle w:val="1"/>
        <w:ind w:left="709"/>
        <w:jc w:val="both"/>
      </w:pPr>
    </w:p>
    <w:p w14:paraId="7E0781BB" w14:textId="77777777" w:rsidR="006661FE" w:rsidRDefault="006661FE" w:rsidP="006661FE">
      <w:pPr>
        <w:pStyle w:val="1"/>
        <w:ind w:left="709"/>
        <w:jc w:val="both"/>
        <w:rPr>
          <w:u w:val="single"/>
        </w:rPr>
      </w:pPr>
    </w:p>
    <w:p w14:paraId="0108E251"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4CDEE8CF" w14:textId="77777777" w:rsidR="006661FE" w:rsidRPr="00397CF5" w:rsidRDefault="006661FE" w:rsidP="006661FE">
      <w:pPr>
        <w:pStyle w:val="1"/>
        <w:ind w:left="709"/>
        <w:jc w:val="both"/>
        <w:rPr>
          <w:color w:val="FF0000"/>
          <w:u w:val="single"/>
        </w:rPr>
      </w:pPr>
    </w:p>
    <w:p w14:paraId="1E962D8F" w14:textId="77777777" w:rsidR="006661FE" w:rsidRPr="00CC223F" w:rsidRDefault="4DB720A2" w:rsidP="00533333">
      <w:pPr>
        <w:pStyle w:val="1"/>
        <w:numPr>
          <w:ilvl w:val="0"/>
          <w:numId w:val="73"/>
        </w:numPr>
        <w:jc w:val="both"/>
      </w:pPr>
      <w:r>
        <w:t xml:space="preserve">The local onshore circuit tariff is calculated using local onshore circuit expansion factors. These expansion factors are calculated using the same methodology as the onshore wider expansion factor but without </w:t>
      </w:r>
      <w:bookmarkStart w:id="288" w:name="_Int_g0oVoDrF"/>
      <w:r>
        <w:t>taking into account</w:t>
      </w:r>
      <w:bookmarkEnd w:id="288"/>
      <w:r>
        <w:t xml:space="preserve"> the proportion of circuit kms that are planned to be uprated. </w:t>
      </w:r>
    </w:p>
    <w:p w14:paraId="025E9C85" w14:textId="77777777" w:rsidR="006661FE" w:rsidRPr="00CC223F" w:rsidRDefault="006661FE" w:rsidP="006661FE">
      <w:pPr>
        <w:pStyle w:val="1"/>
        <w:ind w:left="709" w:hanging="709"/>
        <w:jc w:val="both"/>
      </w:pPr>
    </w:p>
    <w:p w14:paraId="02A75E6E" w14:textId="2A0BA5D9" w:rsidR="006661FE" w:rsidRPr="00CC223F" w:rsidRDefault="006661FE" w:rsidP="00533333">
      <w:pPr>
        <w:pStyle w:val="1"/>
        <w:numPr>
          <w:ilvl w:val="0"/>
          <w:numId w:val="73"/>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expansion factors which are currently applicable, are detailed in </w:t>
      </w:r>
      <w:r w:rsidR="1CE92958" w:rsidRPr="35F371ED">
        <w:rPr>
          <w:rFonts w:ascii="Arial" w:hAnsi="Arial" w:cs="Arial"/>
          <w:b/>
          <w:bCs/>
          <w:color w:val="000000" w:themeColor="text1"/>
        </w:rPr>
        <w:t xml:space="preserve">The </w:t>
      </w:r>
      <w:r w:rsidR="00333FBF" w:rsidRPr="00333FBF">
        <w:rPr>
          <w:rFonts w:ascii="Arial" w:hAnsi="Arial" w:cs="Arial"/>
          <w:b/>
          <w:color w:val="000000" w:themeColor="text1"/>
        </w:rPr>
        <w:t xml:space="preserve">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77777777" w:rsidR="006661FE" w:rsidRPr="00CC223F" w:rsidRDefault="006661FE" w:rsidP="006661FE">
      <w:pPr>
        <w:pStyle w:val="1"/>
        <w:ind w:left="709" w:hanging="709"/>
        <w:jc w:val="both"/>
      </w:pPr>
    </w:p>
    <w:p w14:paraId="0C809280" w14:textId="77777777" w:rsidR="006661FE" w:rsidRPr="00101E15" w:rsidRDefault="006661FE" w:rsidP="006661FE">
      <w:pPr>
        <w:pStyle w:val="1"/>
        <w:ind w:left="709"/>
        <w:jc w:val="both"/>
        <w:rPr>
          <w:b/>
          <w:u w:val="single"/>
        </w:rPr>
      </w:pPr>
    </w:p>
    <w:p w14:paraId="3B80F0FF" w14:textId="77777777" w:rsidR="008A38A9" w:rsidRPr="00101E15" w:rsidRDefault="008A38A9" w:rsidP="00101E15">
      <w:pPr>
        <w:pStyle w:val="Heading3"/>
        <w:ind w:firstLine="720"/>
        <w:jc w:val="both"/>
        <w:rPr>
          <w:rFonts w:ascii="Arial" w:hAnsi="Arial" w:cs="Arial"/>
          <w:b/>
        </w:rPr>
      </w:pPr>
      <w:bookmarkStart w:id="289" w:name="_Toc274049685"/>
      <w:bookmarkStart w:id="290" w:name="_Toc49661113"/>
      <w:r w:rsidRPr="00101E15">
        <w:rPr>
          <w:rFonts w:ascii="Arial" w:hAnsi="Arial" w:cs="Arial"/>
          <w:b/>
        </w:rPr>
        <w:t xml:space="preserve">Onshore Expansion Factors in RIIO-T2 </w:t>
      </w:r>
    </w:p>
    <w:p w14:paraId="5CAA3ED3" w14:textId="607A1624" w:rsidR="008A38A9" w:rsidRPr="008A38A9" w:rsidRDefault="008A38A9" w:rsidP="006E173F">
      <w:pPr>
        <w:pStyle w:val="Heading3"/>
        <w:ind w:left="1701" w:hanging="981"/>
        <w:jc w:val="both"/>
        <w:rPr>
          <w:rFonts w:ascii="Arial" w:hAnsi="Arial" w:cs="Arial"/>
          <w:b/>
        </w:rPr>
      </w:pPr>
      <w:r w:rsidRPr="00101E15">
        <w:rPr>
          <w:rFonts w:ascii="Arial" w:hAnsi="Arial" w:cs="Arial"/>
        </w:rPr>
        <w:t xml:space="preserve">14.15.79A 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267733" w:rsidRPr="00267733">
        <w:rPr>
          <w:rFonts w:ascii="Arial" w:hAnsi="Arial" w:cs="Arial"/>
          <w:b/>
          <w:color w:val="000000" w:themeColor="text1"/>
          <w:szCs w:val="20"/>
        </w:rPr>
        <w:t>Financial Year</w:t>
      </w:r>
      <w:r w:rsidR="006E173F" w:rsidRPr="00101E15">
        <w:rPr>
          <w:rFonts w:ascii="Arial" w:hAnsi="Arial" w:cs="Arial"/>
        </w:rPr>
        <w:t>. For clarity HVDC circuits and sub-sea AC cable will continue to be calculated in accordance with 14.15.75.</w:t>
      </w:r>
    </w:p>
    <w:p w14:paraId="0A391CD7" w14:textId="77777777" w:rsidR="008A38A9" w:rsidRDefault="008A38A9" w:rsidP="006661FE">
      <w:pPr>
        <w:pStyle w:val="Heading3"/>
        <w:ind w:firstLine="709"/>
        <w:jc w:val="both"/>
        <w:rPr>
          <w:rFonts w:ascii="Arial" w:hAnsi="Arial" w:cs="Arial"/>
          <w:b/>
        </w:rPr>
      </w:pPr>
    </w:p>
    <w:p w14:paraId="4C142511"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89"/>
    </w:p>
    <w:p w14:paraId="3BDEE986" w14:textId="3C8FB47D" w:rsidR="006661FE" w:rsidRDefault="4DB720A2" w:rsidP="00533333">
      <w:pPr>
        <w:pStyle w:val="1"/>
        <w:numPr>
          <w:ilvl w:val="0"/>
          <w:numId w:val="73"/>
        </w:numPr>
        <w:jc w:val="both"/>
      </w:pPr>
      <w:r>
        <w:t>Offshore expansion factors (£/MWkm) are derived from information provided by Offshore Transmission Owners for each offshore circuit</w:t>
      </w:r>
      <w:r w:rsidR="31E907FC">
        <w:t xml:space="preserve">. </w:t>
      </w:r>
      <w:r>
        <w:t>Offshore expansion factors are Offshore Transmission Owner and circuit specific</w:t>
      </w:r>
      <w:r w:rsidR="533904E2">
        <w:t xml:space="preserve">. </w:t>
      </w:r>
      <w:r>
        <w:t>Each Offshore Transmission Owner will periodically provide, via the STC, information to derive an annual circuit revenue requirement</w:t>
      </w:r>
      <w:r w:rsidR="02475525">
        <w:t xml:space="preserve">. </w:t>
      </w:r>
      <w:r>
        <w:t>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6661FE">
      <w:pPr>
        <w:pStyle w:val="1"/>
        <w:jc w:val="both"/>
      </w:pPr>
    </w:p>
    <w:p w14:paraId="42757E02" w14:textId="6D23CFCF" w:rsidR="006661FE" w:rsidRDefault="006661FE" w:rsidP="00533333">
      <w:pPr>
        <w:pStyle w:val="1"/>
        <w:numPr>
          <w:ilvl w:val="0"/>
          <w:numId w:val="73"/>
        </w:numPr>
        <w:jc w:val="both"/>
      </w:pPr>
      <w:r>
        <w:t xml:space="preserve">In the year </w:t>
      </w:r>
      <w:r w:rsidR="00EE18A1">
        <w:t>that the offshore transmission assets are transferred to the Offshore Transmission Owner</w:t>
      </w:r>
      <w:r>
        <w:t>, the offshore circuit expansion factor would be calculated as follows:</w:t>
      </w:r>
    </w:p>
    <w:p w14:paraId="306FF0C3" w14:textId="77777777" w:rsidR="006661FE" w:rsidRDefault="006661FE" w:rsidP="006661FE">
      <w:pPr>
        <w:pStyle w:val="1"/>
        <w:jc w:val="both"/>
      </w:pPr>
    </w:p>
    <w:p w14:paraId="5174411B" w14:textId="4E244607" w:rsidR="006661FE" w:rsidRDefault="006661FE" w:rsidP="006661FE">
      <w:pPr>
        <w:pStyle w:val="1"/>
        <w:jc w:val="center"/>
        <w:rPr>
          <w:rFonts w:cs="Arial"/>
          <w:szCs w:val="22"/>
        </w:rPr>
      </w:pPr>
    </w:p>
    <w:p w14:paraId="73F28199" w14:textId="77777777" w:rsidR="006661FE" w:rsidRDefault="006661FE" w:rsidP="006661FE">
      <w:pPr>
        <w:pStyle w:val="1"/>
        <w:ind w:firstLine="709"/>
        <w:jc w:val="both"/>
        <w:rPr>
          <w:rFonts w:cs="Arial"/>
          <w:szCs w:val="22"/>
        </w:rPr>
      </w:pPr>
      <w:r>
        <w:rPr>
          <w:rFonts w:cs="Arial"/>
          <w:szCs w:val="22"/>
        </w:rPr>
        <w:t>Where:</w:t>
      </w:r>
    </w:p>
    <w:p w14:paraId="3962ADCA" w14:textId="77777777" w:rsidR="006661FE" w:rsidRDefault="006661FE" w:rsidP="006661FE">
      <w:pPr>
        <w:pStyle w:val="1"/>
        <w:ind w:firstLine="709"/>
        <w:jc w:val="both"/>
        <w:rPr>
          <w:rFonts w:cs="Arial"/>
          <w:szCs w:val="22"/>
        </w:rPr>
      </w:pPr>
    </w:p>
    <w:p w14:paraId="19B1E4BE"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6661FE">
      <w:pPr>
        <w:pStyle w:val="1"/>
        <w:ind w:firstLine="709"/>
        <w:jc w:val="both"/>
      </w:pPr>
    </w:p>
    <w:p w14:paraId="75C4284B" w14:textId="77777777" w:rsidR="006661FE" w:rsidRDefault="006661FE" w:rsidP="00533333">
      <w:pPr>
        <w:pStyle w:val="1"/>
        <w:numPr>
          <w:ilvl w:val="0"/>
          <w:numId w:val="73"/>
        </w:numPr>
        <w:jc w:val="both"/>
      </w:pPr>
      <w:r>
        <w:t>In all subsequent years, the offshore circuit expansion factor would be calculated as follows:</w:t>
      </w:r>
    </w:p>
    <w:p w14:paraId="014AAA1B" w14:textId="77777777" w:rsidR="006661FE" w:rsidRDefault="006661FE" w:rsidP="006661FE">
      <w:pPr>
        <w:pStyle w:val="1"/>
        <w:jc w:val="both"/>
      </w:pPr>
    </w:p>
    <w:p w14:paraId="286C6DCE" w14:textId="609F5FC5" w:rsidR="006661FE" w:rsidRDefault="006661FE" w:rsidP="006661FE">
      <w:pPr>
        <w:pStyle w:val="1"/>
        <w:jc w:val="center"/>
        <w:rPr>
          <w:rFonts w:cs="Arial"/>
          <w:szCs w:val="22"/>
        </w:rPr>
      </w:pPr>
    </w:p>
    <w:p w14:paraId="62BD40D1" w14:textId="77777777" w:rsidR="006661FE" w:rsidRDefault="006661FE" w:rsidP="006661FE">
      <w:pPr>
        <w:pStyle w:val="1"/>
        <w:rPr>
          <w:rFonts w:cs="Arial"/>
          <w:szCs w:val="22"/>
        </w:rPr>
      </w:pPr>
    </w:p>
    <w:p w14:paraId="116C741F" w14:textId="77777777" w:rsidR="006661FE" w:rsidRDefault="006661FE" w:rsidP="006661FE">
      <w:pPr>
        <w:pStyle w:val="1"/>
        <w:ind w:firstLine="709"/>
        <w:jc w:val="both"/>
        <w:rPr>
          <w:rFonts w:cs="Arial"/>
          <w:szCs w:val="22"/>
        </w:rPr>
      </w:pPr>
      <w:r>
        <w:rPr>
          <w:rFonts w:cs="Arial"/>
          <w:szCs w:val="22"/>
        </w:rPr>
        <w:lastRenderedPageBreak/>
        <w:tab/>
        <w:t>Where:</w:t>
      </w:r>
    </w:p>
    <w:p w14:paraId="08AF917F" w14:textId="77777777" w:rsidR="006661FE" w:rsidRDefault="006661FE" w:rsidP="006661FE">
      <w:pPr>
        <w:pStyle w:val="1"/>
        <w:ind w:firstLine="709"/>
        <w:jc w:val="both"/>
        <w:rPr>
          <w:rFonts w:cs="Arial"/>
          <w:szCs w:val="22"/>
        </w:rPr>
      </w:pPr>
    </w:p>
    <w:p w14:paraId="526D6C82"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6661FE">
      <w:pPr>
        <w:pStyle w:val="1"/>
        <w:tabs>
          <w:tab w:val="left" w:pos="2835"/>
        </w:tabs>
        <w:ind w:firstLine="709"/>
        <w:jc w:val="both"/>
        <w:rPr>
          <w:rFonts w:cs="Arial"/>
          <w:szCs w:val="22"/>
        </w:rPr>
      </w:pPr>
    </w:p>
    <w:p w14:paraId="6389A10F" w14:textId="77777777" w:rsidR="00125177" w:rsidRPr="002052BD" w:rsidRDefault="00125177" w:rsidP="00533333">
      <w:pPr>
        <w:pStyle w:val="1"/>
        <w:numPr>
          <w:ilvl w:val="0"/>
          <w:numId w:val="73"/>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31F4B17D" w14:textId="77777777" w:rsidR="00125177" w:rsidRPr="001646AB" w:rsidRDefault="00125177" w:rsidP="00125177">
      <w:pPr>
        <w:pStyle w:val="1"/>
        <w:ind w:left="720"/>
        <w:jc w:val="both"/>
      </w:pPr>
    </w:p>
    <w:p w14:paraId="1349D79D" w14:textId="15122792" w:rsidR="004F04BE" w:rsidRPr="002052BD" w:rsidRDefault="4DB720A2" w:rsidP="00533333">
      <w:pPr>
        <w:pStyle w:val="1"/>
        <w:numPr>
          <w:ilvl w:val="0"/>
          <w:numId w:val="73"/>
        </w:numPr>
        <w:jc w:val="both"/>
      </w:pPr>
      <w:r>
        <w:t>Prevailing OFFSHORE TRANSMISSION OWNER specific expansion factors will be published in</w:t>
      </w:r>
      <w:r w:rsidR="3FB10C1C">
        <w:t xml:space="preserve"> </w:t>
      </w:r>
      <w:r w:rsidR="58867969" w:rsidRPr="0537B9E0">
        <w:rPr>
          <w:rFonts w:ascii="Arial" w:hAnsi="Arial" w:cs="Arial"/>
          <w:b/>
          <w:bCs/>
          <w:color w:val="000000" w:themeColor="text1"/>
        </w:rPr>
        <w:t xml:space="preserve">The </w:t>
      </w:r>
      <w:r w:rsidR="3FB10C1C" w:rsidRPr="0537B9E0">
        <w:rPr>
          <w:rFonts w:ascii="Arial" w:hAnsi="Arial" w:cs="Arial"/>
          <w:b/>
          <w:bCs/>
          <w:color w:val="000000" w:themeColor="text1"/>
        </w:rPr>
        <w:t>Company's Statement of Use of System Charges</w:t>
      </w:r>
      <w:r w:rsidR="3FB10C1C" w:rsidRPr="0537B9E0">
        <w:rPr>
          <w:rFonts w:ascii="Arial" w:hAnsi="Arial" w:cs="Arial"/>
          <w:color w:val="000000" w:themeColor="text1"/>
        </w:rPr>
        <w:t xml:space="preserve"> </w:t>
      </w:r>
      <w:r w:rsidR="3FB10C1C" w:rsidRPr="0537B9E0">
        <w:rPr>
          <w:rFonts w:ascii="Arial" w:hAnsi="Arial" w:cs="Arial"/>
        </w:rPr>
        <w:t xml:space="preserve">which is available from the </w:t>
      </w:r>
      <w:r w:rsidR="3FB10C1C" w:rsidRPr="0537B9E0">
        <w:rPr>
          <w:rFonts w:ascii="Arial" w:hAnsi="Arial" w:cs="Arial"/>
          <w:b/>
          <w:bCs/>
          <w:color w:val="000000" w:themeColor="text1"/>
        </w:rPr>
        <w:t>Charging website</w:t>
      </w:r>
      <w:r w:rsidR="4BED49A6">
        <w:t xml:space="preserve">. </w:t>
      </w:r>
      <w:r w:rsidR="1FF93439">
        <w:t xml:space="preserve">These shall be recalculated </w:t>
      </w:r>
      <w:r w:rsidR="0F4DA871">
        <w:t xml:space="preserve">for </w:t>
      </w:r>
      <w:r w:rsidR="1FF93439">
        <w:t>the start of</w:t>
      </w:r>
      <w:r w:rsidR="1FF93439" w:rsidRPr="0537B9E0">
        <w:rPr>
          <w:color w:val="3366FF"/>
        </w:rPr>
        <w:t xml:space="preserve"> </w:t>
      </w:r>
      <w:r w:rsidR="1FF93439">
        <w:t>each price control period using the formula in paragraph 14.15.</w:t>
      </w:r>
      <w:r w:rsidR="08E122E6">
        <w:t>82</w:t>
      </w:r>
      <w:r w:rsidR="1FF93439">
        <w:t xml:space="preserve">. For each subsequent year within the price control period, these expansion factors will be adjusted by the annual Offshore Transmission Owner specific indexation factor, </w:t>
      </w:r>
      <w:r w:rsidR="1FF93439" w:rsidRPr="0537B9E0">
        <w:rPr>
          <w:i/>
          <w:iCs/>
        </w:rPr>
        <w:t>OFTOInd</w:t>
      </w:r>
      <w:r w:rsidR="1FF93439">
        <w:t xml:space="preserve">, calculated as follows; </w:t>
      </w:r>
    </w:p>
    <w:p w14:paraId="12E1554A" w14:textId="77777777" w:rsidR="004F04BE" w:rsidRPr="002052BD" w:rsidRDefault="004F04BE" w:rsidP="004F04BE">
      <w:pPr>
        <w:pStyle w:val="1"/>
        <w:jc w:val="both"/>
        <w:rPr>
          <w:rFonts w:ascii="Arial" w:hAnsi="Arial" w:cs="Arial"/>
          <w:szCs w:val="22"/>
        </w:rPr>
      </w:pPr>
    </w:p>
    <w:p w14:paraId="11CDA018" w14:textId="1883618F" w:rsidR="00D452C9" w:rsidRDefault="00D452C9" w:rsidP="004F04BE">
      <w:pPr>
        <w:pStyle w:val="1"/>
        <w:ind w:left="720" w:firstLine="720"/>
        <w:jc w:val="both"/>
        <w:rPr>
          <w:rFonts w:ascii="Arial" w:hAnsi="Arial" w:cs="Arial"/>
          <w:szCs w:val="22"/>
        </w:rPr>
      </w:pPr>
    </w:p>
    <w:p w14:paraId="03425E34" w14:textId="5D29F19D" w:rsidR="00D452C9" w:rsidRPr="002052BD" w:rsidRDefault="00D452C9" w:rsidP="004F04BE">
      <w:pPr>
        <w:pStyle w:val="1"/>
        <w:ind w:left="720" w:firstLine="720"/>
        <w:jc w:val="both"/>
        <w:rPr>
          <w:rFonts w:ascii="Arial" w:hAnsi="Arial" w:cs="Arial"/>
          <w:szCs w:val="22"/>
        </w:rPr>
      </w:pPr>
    </w:p>
    <w:p w14:paraId="15CC2A0F" w14:textId="77777777" w:rsidR="004F04BE" w:rsidRPr="002052BD" w:rsidRDefault="004F04BE" w:rsidP="004F04BE">
      <w:pPr>
        <w:pStyle w:val="1"/>
        <w:ind w:left="720" w:firstLine="720"/>
        <w:jc w:val="both"/>
        <w:rPr>
          <w:rFonts w:ascii="Arial" w:hAnsi="Arial" w:cs="Arial"/>
          <w:szCs w:val="22"/>
        </w:rPr>
      </w:pPr>
    </w:p>
    <w:p w14:paraId="54764E8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4F04BE">
      <w:pPr>
        <w:pStyle w:val="1"/>
        <w:ind w:left="720" w:firstLine="720"/>
        <w:jc w:val="both"/>
        <w:rPr>
          <w:rFonts w:ascii="Arial" w:hAnsi="Arial" w:cs="Arial"/>
          <w:szCs w:val="22"/>
        </w:rPr>
      </w:pPr>
    </w:p>
    <w:p w14:paraId="5B9B8A90"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B209762" w14:textId="77777777" w:rsidR="004F04BE" w:rsidRPr="002052BD" w:rsidRDefault="004F04BE" w:rsidP="004F04BE">
      <w:pPr>
        <w:tabs>
          <w:tab w:val="left" w:pos="4536"/>
        </w:tabs>
        <w:ind w:left="3686" w:hanging="2268"/>
        <w:rPr>
          <w:rFonts w:ascii="Arial" w:hAnsi="Arial" w:cs="Arial"/>
          <w:sz w:val="22"/>
          <w:szCs w:val="22"/>
          <w:lang w:eastAsia="en-US"/>
        </w:rPr>
      </w:pPr>
    </w:p>
    <w:p w14:paraId="3C5C627E"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4F04BE">
      <w:pPr>
        <w:ind w:left="4536"/>
        <w:rPr>
          <w:rFonts w:ascii="Arial" w:hAnsi="Arial" w:cs="Arial"/>
          <w:sz w:val="22"/>
          <w:szCs w:val="22"/>
          <w:lang w:eastAsia="en-US"/>
        </w:rPr>
      </w:pPr>
    </w:p>
    <w:p w14:paraId="71D65488" w14:textId="2C6B04DD" w:rsidR="004F04BE" w:rsidRPr="002052BD" w:rsidRDefault="003E40AA"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BF45BE">
      <w:pPr>
        <w:pStyle w:val="1"/>
        <w:ind w:left="1627"/>
        <w:jc w:val="both"/>
      </w:pPr>
    </w:p>
    <w:p w14:paraId="5D110322" w14:textId="77777777" w:rsidR="00271E09" w:rsidRDefault="00271E09" w:rsidP="00BF45BE">
      <w:pPr>
        <w:pStyle w:val="1"/>
        <w:ind w:left="1627"/>
        <w:jc w:val="both"/>
      </w:pPr>
    </w:p>
    <w:p w14:paraId="70B22390" w14:textId="77777777" w:rsidR="00271E09" w:rsidRDefault="00271E09" w:rsidP="00BF45BE">
      <w:pPr>
        <w:pStyle w:val="1"/>
        <w:ind w:left="1627"/>
        <w:jc w:val="both"/>
      </w:pPr>
    </w:p>
    <w:p w14:paraId="7D0B40F2"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A51DF5">
      <w:pPr>
        <w:pStyle w:val="Default"/>
        <w:rPr>
          <w:color w:val="auto"/>
          <w:sz w:val="22"/>
          <w:szCs w:val="22"/>
        </w:rPr>
      </w:pPr>
    </w:p>
    <w:p w14:paraId="092CB8C0"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77DA2">
      <w:pPr>
        <w:pStyle w:val="Default"/>
        <w:ind w:left="1440" w:hanging="1440"/>
        <w:rPr>
          <w:rFonts w:ascii="Arial (W1)" w:hAnsi="Arial (W1)"/>
          <w:color w:val="auto"/>
          <w:sz w:val="22"/>
          <w:szCs w:val="22"/>
        </w:rPr>
      </w:pPr>
    </w:p>
    <w:p w14:paraId="22B77CBC"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77DA2">
      <w:pPr>
        <w:pStyle w:val="Default"/>
        <w:ind w:left="720" w:firstLine="720"/>
        <w:rPr>
          <w:rFonts w:ascii="Arial (W1)" w:hAnsi="Arial (W1)"/>
          <w:sz w:val="22"/>
          <w:szCs w:val="22"/>
        </w:rPr>
      </w:pPr>
    </w:p>
    <w:p w14:paraId="47DC2F8A"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77DA2">
      <w:pPr>
        <w:pStyle w:val="Default"/>
        <w:ind w:left="1440"/>
        <w:rPr>
          <w:rFonts w:ascii="Arial (W1)" w:hAnsi="Arial (W1)"/>
          <w:sz w:val="22"/>
          <w:szCs w:val="22"/>
        </w:rPr>
      </w:pPr>
    </w:p>
    <w:p w14:paraId="7CCD0AD0"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77DA2">
      <w:pPr>
        <w:pStyle w:val="Default"/>
        <w:ind w:left="1440"/>
        <w:rPr>
          <w:rFonts w:ascii="Arial (W1)" w:hAnsi="Arial (W1)"/>
          <w:sz w:val="22"/>
          <w:szCs w:val="22"/>
        </w:rPr>
      </w:pPr>
    </w:p>
    <w:p w14:paraId="603984AD"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77DA2">
      <w:pPr>
        <w:pStyle w:val="Default"/>
        <w:ind w:left="1440"/>
        <w:rPr>
          <w:rFonts w:ascii="Arial (W1)" w:hAnsi="Arial (W1)"/>
          <w:sz w:val="22"/>
          <w:szCs w:val="22"/>
        </w:rPr>
      </w:pPr>
    </w:p>
    <w:p w14:paraId="3D5134A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77DA2">
      <w:pPr>
        <w:pStyle w:val="Default"/>
        <w:ind w:left="1440"/>
        <w:rPr>
          <w:rFonts w:ascii="Arial (W1)" w:hAnsi="Arial (W1)"/>
          <w:sz w:val="22"/>
          <w:szCs w:val="22"/>
        </w:rPr>
      </w:pPr>
    </w:p>
    <w:p w14:paraId="032DEB6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77DA2">
      <w:pPr>
        <w:pStyle w:val="Default"/>
        <w:ind w:left="1440"/>
        <w:rPr>
          <w:rFonts w:ascii="Arial (W1)" w:hAnsi="Arial (W1)"/>
          <w:sz w:val="22"/>
          <w:szCs w:val="22"/>
        </w:rPr>
      </w:pPr>
    </w:p>
    <w:p w14:paraId="0084D565"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77DA2">
      <w:pPr>
        <w:pStyle w:val="Default"/>
        <w:ind w:left="1440"/>
        <w:rPr>
          <w:rFonts w:ascii="Arial (W1)" w:hAnsi="Arial (W1)"/>
          <w:sz w:val="22"/>
          <w:szCs w:val="22"/>
        </w:rPr>
      </w:pPr>
    </w:p>
    <w:p w14:paraId="589D303C"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09394942" w:rsidR="00926FF8" w:rsidRPr="004D2270" w:rsidRDefault="1A1F2012" w:rsidP="004D2270">
      <w:pPr>
        <w:pStyle w:val="Default"/>
        <w:ind w:left="2835"/>
        <w:rPr>
          <w:rFonts w:ascii="Arial (W1)" w:hAnsi="Arial (W1)"/>
          <w:sz w:val="22"/>
          <w:szCs w:val="22"/>
        </w:rPr>
      </w:pPr>
      <w:r w:rsidRPr="0537B9E0">
        <w:rPr>
          <w:rFonts w:ascii="Arial (W1)" w:hAnsi="Arial (W1)"/>
          <w:sz w:val="22"/>
          <w:szCs w:val="22"/>
        </w:rPr>
        <w:t>The Offshore Interlink Load Factor (ILF) is based on the Annual Load Factor (ALF)</w:t>
      </w:r>
      <w:r w:rsidR="7C83EA0A" w:rsidRPr="0537B9E0">
        <w:rPr>
          <w:rFonts w:ascii="Arial (W1)" w:hAnsi="Arial (W1)"/>
          <w:sz w:val="22"/>
          <w:szCs w:val="22"/>
        </w:rPr>
        <w:t xml:space="preserve">. </w:t>
      </w:r>
      <w:r w:rsidRPr="0537B9E0">
        <w:rPr>
          <w:rFonts w:ascii="Arial (W1)" w:hAnsi="Arial (W1)"/>
          <w:sz w:val="22"/>
          <w:szCs w:val="22"/>
        </w:rPr>
        <w:t>Until all the Users connected to a Single Common Substation have a station specific Annual Load Factor based on five years of data, the generic ALF for the fuel type will be used as the ILF for all stations</w:t>
      </w:r>
      <w:r w:rsidR="07264C2D" w:rsidRPr="0537B9E0">
        <w:rPr>
          <w:rFonts w:ascii="Arial (W1)" w:hAnsi="Arial (W1)"/>
          <w:sz w:val="22"/>
          <w:szCs w:val="22"/>
        </w:rPr>
        <w:t xml:space="preserve">. </w:t>
      </w:r>
      <w:r w:rsidRPr="0537B9E0">
        <w:rPr>
          <w:rFonts w:ascii="Arial (W1)" w:hAnsi="Arial (W1)"/>
          <w:sz w:val="22"/>
          <w:szCs w:val="22"/>
        </w:rPr>
        <w:t xml:space="preserve">When all Users have a station specific ALF, the value of the ALF in the first such year will be used as the ILF in the calculation for all subsequent </w:t>
      </w:r>
      <w:r w:rsidR="472C9378" w:rsidRPr="0537B9E0">
        <w:rPr>
          <w:b/>
          <w:bCs/>
        </w:rPr>
        <w:t>Financial Year</w:t>
      </w:r>
      <w:r w:rsidR="32714E02" w:rsidRPr="0537B9E0">
        <w:rPr>
          <w:b/>
          <w:bCs/>
        </w:rPr>
        <w:t>s</w:t>
      </w:r>
      <w:r w:rsidRPr="0537B9E0">
        <w:rPr>
          <w:rFonts w:ascii="Arial (W1)" w:hAnsi="Arial (W1)"/>
          <w:sz w:val="22"/>
          <w:szCs w:val="22"/>
        </w:rPr>
        <w:t>.</w:t>
      </w:r>
    </w:p>
    <w:p w14:paraId="0533BA8B" w14:textId="77777777" w:rsidR="00277DA2" w:rsidRPr="00277DA2" w:rsidRDefault="00277DA2" w:rsidP="00277DA2">
      <w:pPr>
        <w:pStyle w:val="Default"/>
        <w:ind w:left="1440"/>
        <w:rPr>
          <w:rFonts w:ascii="Arial (W1)" w:hAnsi="Arial (W1)"/>
          <w:sz w:val="22"/>
          <w:szCs w:val="22"/>
        </w:rPr>
      </w:pPr>
    </w:p>
    <w:p w14:paraId="2C881F4B" w14:textId="77777777" w:rsidR="00CD2281" w:rsidRPr="00CD2281" w:rsidRDefault="00CD2281" w:rsidP="00CD2281">
      <w:pPr>
        <w:pStyle w:val="Default"/>
        <w:rPr>
          <w:rFonts w:ascii="Arial (W1)" w:hAnsi="Arial (W1)"/>
          <w:sz w:val="22"/>
          <w:szCs w:val="22"/>
        </w:rPr>
      </w:pPr>
    </w:p>
    <w:p w14:paraId="7D254DF1"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CD2281">
      <w:pPr>
        <w:pStyle w:val="Default"/>
        <w:ind w:left="1440"/>
        <w:rPr>
          <w:rFonts w:ascii="Arial (W1)" w:hAnsi="Arial (W1)"/>
          <w:sz w:val="22"/>
          <w:szCs w:val="22"/>
        </w:rPr>
      </w:pPr>
    </w:p>
    <w:p w14:paraId="078583DD"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w:t>
      </w:r>
      <w:r w:rsidRPr="00CD2281">
        <w:rPr>
          <w:rFonts w:ascii="Arial (W1)" w:hAnsi="Arial (W1)"/>
          <w:sz w:val="22"/>
          <w:szCs w:val="22"/>
        </w:rPr>
        <w:lastRenderedPageBreak/>
        <w:t xml:space="preserve">generator benefiting from the installation of an Offshore Interlink may be agreed between these Users. In this event: </w:t>
      </w:r>
    </w:p>
    <w:p w14:paraId="28206D2F" w14:textId="0E4E24B6" w:rsidR="00CD2281" w:rsidRPr="00CD2281" w:rsidRDefault="44FA4A19" w:rsidP="00CD2281">
      <w:pPr>
        <w:pStyle w:val="Default"/>
        <w:ind w:left="2410" w:hanging="970"/>
        <w:rPr>
          <w:rFonts w:ascii="Arial (W1)" w:hAnsi="Arial (W1)"/>
          <w:sz w:val="22"/>
          <w:szCs w:val="22"/>
        </w:rPr>
      </w:pPr>
      <w:r w:rsidRPr="6D50A407">
        <w:rPr>
          <w:rFonts w:ascii="Arial (W1)" w:hAnsi="Arial (W1)"/>
          <w:sz w:val="22"/>
          <w:szCs w:val="22"/>
        </w:rPr>
        <w:t xml:space="preserve">  a. </w:t>
      </w:r>
      <w:r w:rsidR="00CD2281">
        <w:tab/>
      </w:r>
      <w:r w:rsidRPr="6D50A407">
        <w:rPr>
          <w:rFonts w:ascii="Arial (W1)" w:hAnsi="Arial (W1)"/>
          <w:sz w:val="22"/>
          <w:szCs w:val="22"/>
        </w:rPr>
        <w:t xml:space="preserve">All relevant Users shall notify </w:t>
      </w:r>
      <w:r w:rsidR="2EBFAECD" w:rsidRPr="00C94D4B">
        <w:rPr>
          <w:rFonts w:ascii="Arial (W1)" w:hAnsi="Arial (W1)"/>
          <w:b/>
          <w:bCs/>
          <w:sz w:val="22"/>
          <w:szCs w:val="22"/>
        </w:rPr>
        <w:t>The Company</w:t>
      </w:r>
      <w:r w:rsidRPr="6D50A407">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7F096AE1" w14:textId="66E3087F" w:rsidR="00CD2281" w:rsidRPr="00CD2281" w:rsidRDefault="44FA4A19" w:rsidP="00CD2281">
      <w:pPr>
        <w:pStyle w:val="Default"/>
        <w:ind w:left="2410" w:hanging="840"/>
        <w:rPr>
          <w:rFonts w:ascii="Arial (W1)" w:hAnsi="Arial (W1)"/>
          <w:sz w:val="22"/>
          <w:szCs w:val="22"/>
        </w:rPr>
      </w:pPr>
      <w:r w:rsidRPr="6D50A407">
        <w:rPr>
          <w:rFonts w:ascii="Arial (W1)" w:hAnsi="Arial (W1)"/>
          <w:sz w:val="22"/>
          <w:szCs w:val="22"/>
        </w:rPr>
        <w:t xml:space="preserve">b. </w:t>
      </w:r>
      <w:r w:rsidR="00CD2281">
        <w:tab/>
      </w:r>
      <w:r w:rsidRPr="6D50A407">
        <w:rPr>
          <w:rFonts w:ascii="Arial (W1)" w:hAnsi="Arial (W1)"/>
          <w:sz w:val="22"/>
          <w:szCs w:val="22"/>
        </w:rPr>
        <w:t xml:space="preserve">All relevant Users may agree to vary the proportions notified under (a)   by each writing to </w:t>
      </w:r>
      <w:r w:rsidR="2EBFAECD" w:rsidRPr="00C94D4B">
        <w:rPr>
          <w:rFonts w:ascii="Arial (W1)" w:hAnsi="Arial (W1)"/>
          <w:b/>
          <w:bCs/>
          <w:sz w:val="22"/>
          <w:szCs w:val="22"/>
        </w:rPr>
        <w:t>The Company</w:t>
      </w:r>
      <w:r w:rsidRPr="6D50A407">
        <w:rPr>
          <w:rFonts w:ascii="Arial (W1)" w:hAnsi="Arial (W1)"/>
          <w:sz w:val="22"/>
          <w:szCs w:val="22"/>
        </w:rPr>
        <w:t xml:space="preserve"> three months prior to the charges being set for a given </w:t>
      </w:r>
      <w:r w:rsidR="1A874AD2" w:rsidRPr="6D50A407">
        <w:rPr>
          <w:b/>
          <w:bCs/>
        </w:rPr>
        <w:t>Financial Year</w:t>
      </w:r>
      <w:r w:rsidRPr="6D50A407">
        <w:rPr>
          <w:rFonts w:ascii="Arial (W1)" w:hAnsi="Arial (W1)"/>
          <w:sz w:val="22"/>
          <w:szCs w:val="22"/>
        </w:rPr>
        <w:t xml:space="preserve">. </w:t>
      </w:r>
    </w:p>
    <w:p w14:paraId="27562C88" w14:textId="10D750A8" w:rsidR="00CD2281" w:rsidRPr="00CD2281" w:rsidRDefault="495AC7C3" w:rsidP="00CD2281">
      <w:pPr>
        <w:pStyle w:val="Default"/>
        <w:ind w:left="2410" w:hanging="970"/>
        <w:rPr>
          <w:rFonts w:ascii="Arial (W1)" w:hAnsi="Arial (W1)"/>
          <w:sz w:val="22"/>
          <w:szCs w:val="22"/>
        </w:rPr>
      </w:pPr>
      <w:r w:rsidRPr="0537B9E0">
        <w:rPr>
          <w:rFonts w:ascii="Arial (W1)" w:hAnsi="Arial (W1)"/>
          <w:sz w:val="22"/>
          <w:szCs w:val="22"/>
        </w:rPr>
        <w:t xml:space="preserve">  c. </w:t>
      </w:r>
      <w:r w:rsidR="44FA4A19">
        <w:tab/>
      </w:r>
      <w:r w:rsidRPr="0537B9E0">
        <w:rPr>
          <w:rFonts w:ascii="Arial (W1)" w:hAnsi="Arial (W1)"/>
          <w:sz w:val="22"/>
          <w:szCs w:val="22"/>
        </w:rPr>
        <w:t xml:space="preserve">Once a set of proportions of the OFTO revenue associated with the Offshore Interlink has been provided to </w:t>
      </w:r>
      <w:r w:rsidR="3D96AF96" w:rsidRPr="0537B9E0">
        <w:rPr>
          <w:rFonts w:ascii="Arial (W1)" w:hAnsi="Arial (W1)"/>
          <w:b/>
          <w:bCs/>
          <w:sz w:val="22"/>
          <w:szCs w:val="22"/>
        </w:rPr>
        <w:t>The Company</w:t>
      </w:r>
      <w:r w:rsidRPr="0537B9E0">
        <w:rPr>
          <w:rFonts w:ascii="Arial (W1)" w:hAnsi="Arial (W1)"/>
          <w:sz w:val="22"/>
          <w:szCs w:val="22"/>
        </w:rPr>
        <w:t xml:space="preserve">, these will apply for the next and future </w:t>
      </w:r>
      <w:r w:rsidR="58D5AB05" w:rsidRPr="0537B9E0">
        <w:rPr>
          <w:b/>
          <w:bCs/>
        </w:rPr>
        <w:t>Financial Years</w:t>
      </w:r>
      <w:r w:rsidR="58D5AB05" w:rsidRPr="0537B9E0">
        <w:rPr>
          <w:rFonts w:ascii="Arial (W1)" w:hAnsi="Arial (W1)"/>
          <w:sz w:val="22"/>
          <w:szCs w:val="22"/>
        </w:rPr>
        <w:t xml:space="preserve"> </w:t>
      </w:r>
      <w:r w:rsidRPr="0537B9E0">
        <w:rPr>
          <w:rFonts w:ascii="Arial (W1)" w:hAnsi="Arial (W1)"/>
          <w:sz w:val="22"/>
          <w:szCs w:val="22"/>
        </w:rPr>
        <w:t xml:space="preserve">unless and until </w:t>
      </w:r>
      <w:r w:rsidR="3D96AF96" w:rsidRPr="0537B9E0">
        <w:rPr>
          <w:rFonts w:ascii="Arial (W1)" w:hAnsi="Arial (W1)"/>
          <w:b/>
          <w:bCs/>
          <w:sz w:val="22"/>
          <w:szCs w:val="22"/>
        </w:rPr>
        <w:t>The Company</w:t>
      </w:r>
      <w:r w:rsidRPr="0537B9E0">
        <w:rPr>
          <w:rFonts w:ascii="Arial (W1)" w:hAnsi="Arial (W1)"/>
          <w:b/>
          <w:bCs/>
          <w:sz w:val="22"/>
          <w:szCs w:val="22"/>
        </w:rPr>
        <w:t xml:space="preserve"> </w:t>
      </w:r>
      <w:r w:rsidRPr="0537B9E0">
        <w:rPr>
          <w:rFonts w:ascii="Arial (W1)" w:hAnsi="Arial (W1)"/>
          <w:sz w:val="22"/>
          <w:szCs w:val="22"/>
        </w:rPr>
        <w:t xml:space="preserve">is informed otherwise in accordance with (b) by </w:t>
      </w:r>
      <w:bookmarkStart w:id="291" w:name="_Int_D9GjBCm6"/>
      <w:r w:rsidRPr="0537B9E0">
        <w:rPr>
          <w:rFonts w:ascii="Arial (W1)" w:hAnsi="Arial (W1)"/>
          <w:sz w:val="22"/>
          <w:szCs w:val="22"/>
        </w:rPr>
        <w:t>all of</w:t>
      </w:r>
      <w:bookmarkEnd w:id="291"/>
      <w:r w:rsidRPr="0537B9E0">
        <w:rPr>
          <w:rFonts w:ascii="Arial (W1)" w:hAnsi="Arial (W1)"/>
          <w:sz w:val="22"/>
          <w:szCs w:val="22"/>
        </w:rPr>
        <w:t xml:space="preserve"> the relevant Users. </w:t>
      </w:r>
    </w:p>
    <w:p w14:paraId="2FF71B60"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CD2281">
      <w:pPr>
        <w:pStyle w:val="Default"/>
        <w:ind w:left="1440"/>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292" w:name="_Toc274049686"/>
      <w:r w:rsidRPr="00543982">
        <w:rPr>
          <w:rFonts w:ascii="Arial" w:hAnsi="Arial" w:cs="Arial"/>
          <w:b/>
        </w:rPr>
        <w:t>The Locational Onshore Security Factor</w:t>
      </w:r>
      <w:bookmarkEnd w:id="290"/>
      <w:bookmarkEnd w:id="292"/>
    </w:p>
    <w:p w14:paraId="0E09CCDE" w14:textId="77777777" w:rsidR="006661FE" w:rsidRDefault="4DB720A2" w:rsidP="00533333">
      <w:pPr>
        <w:pStyle w:val="1"/>
        <w:numPr>
          <w:ilvl w:val="0"/>
          <w:numId w:val="89"/>
        </w:numPr>
        <w:jc w:val="both"/>
      </w:pPr>
      <w:r>
        <w:t xml:space="preserve">The locational onshore security factor </w:t>
      </w:r>
      <w:r w:rsidR="24DD74B7" w:rsidRPr="0537B9E0">
        <w:rPr>
          <w:color w:val="000000" w:themeColor="text1"/>
        </w:rPr>
        <w:t xml:space="preserve">for everything other than Identified Onshore Circuits </w:t>
      </w:r>
      <w:r w:rsidRPr="0537B9E0">
        <w:rPr>
          <w:color w:val="000000" w:themeColor="text1"/>
        </w:rPr>
        <w:t xml:space="preserve">is </w:t>
      </w:r>
      <w:r>
        <w:t xml:space="preserve">derived by running a secure DCLF ICRP transport study </w:t>
      </w:r>
      <w:r w:rsidR="10593DBB" w:rsidRPr="0537B9E0">
        <w:rPr>
          <w:color w:val="000000" w:themeColor="text1"/>
        </w:rPr>
        <w:t xml:space="preserve">of the network excluding local circuits and Identified Onshore Circuits </w:t>
      </w:r>
      <w:r>
        <w:t>based on the same market background as used</w:t>
      </w:r>
      <w:r w:rsidR="60510136">
        <w:t xml:space="preserve"> for Zoning</w:t>
      </w:r>
      <w:r>
        <w:t xml:space="preserve"> in the DCLF ICRP transport model. This calculates the nodal marginal costs where peak</w:t>
      </w:r>
      <w:r w:rsidR="2E7CB05B">
        <w:t xml:space="preserve"> net</w:t>
      </w:r>
      <w:r>
        <w:t xml:space="preserve"> demand can be met despite the Security and Quality of Supply Standard contingencies (simulating single and double circuit faults) on the network. </w:t>
      </w:r>
      <w:bookmarkStart w:id="293" w:name="_Int_t1h1z1jt"/>
      <w:r>
        <w:t>Essentially the</w:t>
      </w:r>
      <w:bookmarkEnd w:id="293"/>
      <w:r>
        <w:t xml:space="preserve"> calculation of secured nodal marginal costs is identical to the process outlined above except that the secure DCLF study additionally calculates a nodal marginal cost </w:t>
      </w:r>
      <w:bookmarkStart w:id="294" w:name="_Int_7vaYWgEo"/>
      <w:r>
        <w:t>taking into account</w:t>
      </w:r>
      <w:bookmarkEnd w:id="294"/>
      <w:r>
        <w:t xml:space="preserve">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Default="00510576" w:rsidP="00533333">
      <w:pPr>
        <w:pStyle w:val="1"/>
        <w:numPr>
          <w:ilvl w:val="0"/>
          <w:numId w:val="89"/>
        </w:numPr>
        <w:jc w:val="both"/>
      </w:pPr>
      <w:r w:rsidRPr="00032767">
        <w:rPr>
          <w:color w:val="000000"/>
        </w:rPr>
        <w:t>For the purposes of 14.15.88</w:t>
      </w:r>
      <w:r>
        <w:t xml:space="preserve">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4F7225">
        <w:rPr>
          <w:rStyle w:val="FootnoteReference"/>
          <w:szCs w:val="22"/>
          <w:vertAlign w:val="superscript"/>
        </w:rPr>
        <w:footnoteReference w:id="3"/>
      </w:r>
      <w:r w:rsidR="006661FE">
        <w:t>.</w:t>
      </w:r>
    </w:p>
    <w:p w14:paraId="36FCDF2E" w14:textId="77777777" w:rsidR="006661FE" w:rsidRDefault="006661FE" w:rsidP="006661FE">
      <w:pPr>
        <w:pStyle w:val="1"/>
        <w:jc w:val="both"/>
      </w:pPr>
    </w:p>
    <w:p w14:paraId="1E0ABE41" w14:textId="75B16515" w:rsidR="006661FE" w:rsidRDefault="3DCD06E9" w:rsidP="0537B9E0">
      <w:pPr>
        <w:pStyle w:val="1"/>
        <w:numPr>
          <w:ilvl w:val="0"/>
          <w:numId w:val="89"/>
        </w:numPr>
        <w:jc w:val="both"/>
        <w:rPr>
          <w:rFonts w:ascii="Arial" w:hAnsi="Arial" w:cs="Arial"/>
          <w:b/>
          <w:bCs/>
          <w:color w:val="000000" w:themeColor="text1"/>
        </w:rPr>
      </w:pPr>
      <w:r w:rsidRPr="0537B9E0">
        <w:rPr>
          <w:color w:val="000000" w:themeColor="text1"/>
        </w:rPr>
        <w:t>For the purposes of 14.15.88</w:t>
      </w:r>
      <w:r>
        <w:t xml:space="preserve"> t</w:t>
      </w:r>
      <w:r w:rsidR="6B913268">
        <w:t>he locational onshore security factor</w:t>
      </w:r>
      <w:r w:rsidR="717958F6">
        <w:t>,</w:t>
      </w:r>
      <w:r w:rsidR="6B913268">
        <w:t xml:space="preserve"> derived </w:t>
      </w:r>
      <w:r w:rsidR="72818609" w:rsidRPr="0537B9E0">
        <w:rPr>
          <w:rFonts w:ascii="Arial" w:hAnsi="Arial" w:cs="Arial"/>
          <w:color w:val="000000" w:themeColor="text1"/>
        </w:rPr>
        <w:t>in accordance with paragraphs 14.15.88 and 14.15.89</w:t>
      </w:r>
      <w:r w:rsidR="42FD0C9B" w:rsidRPr="0537B9E0">
        <w:rPr>
          <w:rFonts w:ascii="Arial" w:hAnsi="Arial" w:cs="Arial"/>
          <w:color w:val="000000" w:themeColor="text1"/>
        </w:rPr>
        <w:t xml:space="preserve"> and expressed to </w:t>
      </w:r>
      <w:r w:rsidR="036BBF99" w:rsidRPr="0537B9E0">
        <w:rPr>
          <w:rFonts w:ascii="Arial" w:hAnsi="Arial" w:cs="Arial"/>
          <w:color w:val="000000" w:themeColor="text1"/>
        </w:rPr>
        <w:t>two</w:t>
      </w:r>
      <w:r w:rsidR="42FD0C9B" w:rsidRPr="0537B9E0">
        <w:rPr>
          <w:rFonts w:ascii="Arial" w:hAnsi="Arial" w:cs="Arial"/>
          <w:color w:val="000000" w:themeColor="text1"/>
        </w:rPr>
        <w:t xml:space="preserve"> decimal place</w:t>
      </w:r>
      <w:r w:rsidR="5175F869" w:rsidRPr="0537B9E0">
        <w:rPr>
          <w:rFonts w:ascii="Arial" w:hAnsi="Arial" w:cs="Arial"/>
          <w:color w:val="000000" w:themeColor="text1"/>
        </w:rPr>
        <w:t>s</w:t>
      </w:r>
      <w:r w:rsidR="72818609" w:rsidRPr="0537B9E0">
        <w:rPr>
          <w:rFonts w:ascii="Arial" w:hAnsi="Arial" w:cs="Arial"/>
          <w:color w:val="000000" w:themeColor="text1"/>
        </w:rPr>
        <w:t xml:space="preserve">, </w:t>
      </w:r>
      <w:r w:rsidR="6B913268">
        <w:t xml:space="preserve"> is based on an average from </w:t>
      </w:r>
      <w:bookmarkStart w:id="296" w:name="_Int_uzo9Yqr1"/>
      <w:r w:rsidR="6B913268">
        <w:t>a number of</w:t>
      </w:r>
      <w:bookmarkEnd w:id="296"/>
      <w:r w:rsidR="6B913268">
        <w:t xml:space="preserve"> studies conducted by </w:t>
      </w:r>
      <w:r w:rsidR="3D96AF96" w:rsidRPr="0537B9E0">
        <w:rPr>
          <w:b/>
          <w:bCs/>
        </w:rPr>
        <w:t xml:space="preserve">The </w:t>
      </w:r>
      <w:r w:rsidR="6B913268" w:rsidRPr="0537B9E0">
        <w:rPr>
          <w:b/>
          <w:bCs/>
        </w:rPr>
        <w:t>Company</w:t>
      </w:r>
      <w:r w:rsidR="6B913268">
        <w:t xml:space="preserve"> to account for future network developments. </w:t>
      </w:r>
      <w:r w:rsidR="18C5A30A">
        <w:t>This</w:t>
      </w:r>
      <w:r w:rsidR="6B913268">
        <w:t xml:space="preserve"> security factor is reviewed for each price control period and fixed for the duration.</w:t>
      </w:r>
      <w:r w:rsidR="520589B0">
        <w:t xml:space="preserve"> The locational onshore security factor which is currently applicable, is detailed in </w:t>
      </w:r>
      <w:r w:rsidR="3D96AF96" w:rsidRPr="0537B9E0">
        <w:rPr>
          <w:rFonts w:ascii="Arial" w:hAnsi="Arial" w:cs="Arial"/>
          <w:b/>
          <w:bCs/>
          <w:color w:val="000000" w:themeColor="text1"/>
        </w:rPr>
        <w:t xml:space="preserve">The </w:t>
      </w:r>
      <w:r w:rsidR="520589B0" w:rsidRPr="0537B9E0">
        <w:rPr>
          <w:rFonts w:ascii="Arial" w:hAnsi="Arial" w:cs="Arial"/>
          <w:b/>
          <w:bCs/>
          <w:color w:val="000000" w:themeColor="text1"/>
        </w:rPr>
        <w:t>Company's Statement of Use of System Charges</w:t>
      </w:r>
      <w:r w:rsidR="520589B0">
        <w:t xml:space="preserve">, which is available from the </w:t>
      </w:r>
      <w:r w:rsidR="520589B0" w:rsidRPr="0537B9E0">
        <w:rPr>
          <w:rFonts w:ascii="Arial" w:hAnsi="Arial" w:cs="Arial"/>
          <w:b/>
          <w:bCs/>
          <w:color w:val="000000" w:themeColor="text1"/>
        </w:rPr>
        <w:t>Charging website.</w:t>
      </w:r>
    </w:p>
    <w:p w14:paraId="1D319596" w14:textId="77777777" w:rsidR="00510576" w:rsidRPr="00032767" w:rsidRDefault="00510576" w:rsidP="00510576">
      <w:pPr>
        <w:pStyle w:val="ListParagraph"/>
        <w:rPr>
          <w:color w:val="000000"/>
        </w:rPr>
      </w:pPr>
    </w:p>
    <w:p w14:paraId="12446A65" w14:textId="0F9E03EC" w:rsidR="00510576" w:rsidRPr="00032767" w:rsidRDefault="00510576" w:rsidP="00510576">
      <w:pPr>
        <w:pStyle w:val="1"/>
        <w:ind w:left="1701" w:hanging="992"/>
        <w:jc w:val="both"/>
        <w:rPr>
          <w:color w:val="000000"/>
        </w:rPr>
      </w:pPr>
      <w:r w:rsidRPr="39EF7C5B">
        <w:rPr>
          <w:color w:val="000000" w:themeColor="text1"/>
        </w:rPr>
        <w:lastRenderedPageBreak/>
        <w:t>14.15.90A An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5DE3EE87" w:rsidRPr="39EF7C5B">
        <w:rPr>
          <w:color w:val="000000" w:themeColor="text1"/>
        </w:rPr>
        <w:t>4</w:t>
      </w:r>
      <w:r w:rsidRPr="39EF7C5B">
        <w:rPr>
          <w:color w:val="000000" w:themeColor="text1"/>
        </w:rPr>
        <w:t xml:space="preserve"> and 14.15.9</w:t>
      </w:r>
      <w:r w:rsidR="6E777D50" w:rsidRPr="39EF7C5B">
        <w:rPr>
          <w:color w:val="000000" w:themeColor="text1"/>
        </w:rPr>
        <w:t>5</w:t>
      </w:r>
      <w:r w:rsidRPr="39EF7C5B">
        <w:rPr>
          <w:color w:val="000000" w:themeColor="text1"/>
        </w:rPr>
        <w:t>,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297" w:name="_Hlt506963614"/>
      <w:bookmarkEnd w:id="297"/>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6E12171A" w:rsidR="006661FE" w:rsidRDefault="4DB720A2" w:rsidP="00533333">
      <w:pPr>
        <w:pStyle w:val="1"/>
        <w:numPr>
          <w:ilvl w:val="0"/>
          <w:numId w:val="89"/>
        </w:numPr>
        <w:jc w:val="both"/>
      </w:pPr>
      <w:bookmarkStart w:id="298" w:name="_Ref221008868"/>
      <w:r>
        <w:t>Local onshore security factors are generator specific and are applied to a generator</w:t>
      </w:r>
      <w:r w:rsidR="3DB373B8">
        <w:t>’</w:t>
      </w:r>
      <w:r>
        <w:t>s local onshore circuits</w:t>
      </w:r>
      <w:r w:rsidR="2BFE0DD8">
        <w:t xml:space="preserve">. </w:t>
      </w:r>
      <w:r>
        <w:t xml:space="preserve">If the loss of any one of the local circuits prevents the export of power from the generator to the MITS then a local security factor of 1.0 is applied. For generation with circuit redundancy, a local security factor is applied that is equal to the locational security factor, </w:t>
      </w:r>
      <w:r w:rsidR="5D544C54" w:rsidRPr="0537B9E0">
        <w:rPr>
          <w:rFonts w:ascii="Arial" w:hAnsi="Arial" w:cs="Arial"/>
          <w:color w:val="000000" w:themeColor="text1"/>
        </w:rPr>
        <w:t>derived in accordance with paragraphs 14.15.88 and 14.15.90</w:t>
      </w:r>
      <w:r>
        <w:t>.</w:t>
      </w:r>
      <w:bookmarkEnd w:id="298"/>
    </w:p>
    <w:p w14:paraId="175AD86F" w14:textId="77777777" w:rsidR="006661FE" w:rsidRDefault="006661FE" w:rsidP="006661FE">
      <w:pPr>
        <w:pStyle w:val="1"/>
        <w:jc w:val="both"/>
      </w:pPr>
    </w:p>
    <w:p w14:paraId="132DD6DF" w14:textId="77777777" w:rsidR="0093242F" w:rsidRPr="001646AB" w:rsidRDefault="0093242F" w:rsidP="00533333">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6098D37F" w14:textId="2D270734"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p>
    <w:p w14:paraId="61F68899"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533333">
      <w:pPr>
        <w:pStyle w:val="1"/>
        <w:numPr>
          <w:ilvl w:val="0"/>
          <w:numId w:val="89"/>
        </w:numPr>
        <w:jc w:val="both"/>
      </w:pPr>
      <w:r>
        <w:t>A specific offshore local security factor (LocalSF) will be calculated for each offshore connection using the following methodology:</w:t>
      </w:r>
    </w:p>
    <w:p w14:paraId="07202F4D" w14:textId="77777777" w:rsidR="0033649F" w:rsidRDefault="0033649F" w:rsidP="000B6C0D">
      <w:pPr>
        <w:pStyle w:val="1"/>
        <w:ind w:left="1627"/>
        <w:jc w:val="both"/>
      </w:pPr>
    </w:p>
    <w:p w14:paraId="78C35CA9" w14:textId="4D4C1056" w:rsidR="006661FE" w:rsidRDefault="006661FE" w:rsidP="006661FE">
      <w:pPr>
        <w:pStyle w:val="1"/>
        <w:ind w:left="720" w:firstLine="720"/>
        <w:rPr>
          <w:rFonts w:cs="Arial"/>
          <w:szCs w:val="22"/>
        </w:rPr>
      </w:pP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2AE93894" w:rsidR="006661FE" w:rsidRDefault="00271E09" w:rsidP="002A26AF">
      <w:pPr>
        <w:pStyle w:val="1"/>
        <w:ind w:left="1440" w:hanging="1440"/>
        <w:jc w:val="both"/>
      </w:pPr>
      <w:r>
        <w:t xml:space="preserve">       </w:t>
      </w:r>
      <w:r w:rsidR="008D32D0">
        <w:t>14.15.94</w:t>
      </w:r>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4CED2210"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w:t>
      </w:r>
      <w:r w:rsidR="00277DA2" w:rsidRPr="00277DA2">
        <w:lastRenderedPageBreak/>
        <w:t xml:space="preserve">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7A1B80CA" w:rsidR="00277DA2" w:rsidRDefault="00277DA2" w:rsidP="00870007">
      <w:pPr>
        <w:pStyle w:val="1"/>
        <w:ind w:left="1440" w:hanging="1440"/>
        <w:jc w:val="both"/>
      </w:pP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77777777" w:rsidR="00887323" w:rsidRPr="00887323" w:rsidRDefault="00887323" w:rsidP="006661FE">
      <w:pPr>
        <w:rPr>
          <w:rFonts w:ascii="Arial" w:hAnsi="Arial" w:cs="Arial"/>
          <w:b/>
        </w:rPr>
      </w:pPr>
    </w:p>
    <w:p w14:paraId="10A44022" w14:textId="77777777" w:rsidR="006661FE" w:rsidRPr="00887323" w:rsidRDefault="006661FE" w:rsidP="006661FE">
      <w:pPr>
        <w:pStyle w:val="Heading3"/>
        <w:ind w:left="709"/>
        <w:jc w:val="both"/>
        <w:rPr>
          <w:rFonts w:ascii="Arial" w:hAnsi="Arial" w:cs="Arial"/>
          <w:b/>
        </w:rPr>
      </w:pPr>
      <w:bookmarkStart w:id="299" w:name="_Toc49661114"/>
      <w:bookmarkStart w:id="300" w:name="_Toc274049687"/>
      <w:r w:rsidRPr="00887323">
        <w:rPr>
          <w:rFonts w:ascii="Arial" w:hAnsi="Arial" w:cs="Arial"/>
          <w:b/>
        </w:rPr>
        <w:t>Initial Transport Tariff</w:t>
      </w:r>
      <w:bookmarkEnd w:id="299"/>
      <w:bookmarkEnd w:id="300"/>
    </w:p>
    <w:p w14:paraId="083D05D6" w14:textId="77777777" w:rsidR="006661FE" w:rsidRDefault="006661FE" w:rsidP="00533333">
      <w:pPr>
        <w:pStyle w:val="1"/>
        <w:numPr>
          <w:ilvl w:val="0"/>
          <w:numId w:val="90"/>
        </w:numPr>
        <w:jc w:val="both"/>
      </w:pPr>
      <w:r>
        <w:t>First an Initial Transport Tariff (ITT) must be calculated</w:t>
      </w:r>
      <w:r w:rsidR="0093242F" w:rsidRPr="0093242F">
        <w:t xml:space="preserve"> </w:t>
      </w:r>
      <w:r w:rsidR="0093242F">
        <w:t>for both Peak Security and Year Round backgrounds.</w:t>
      </w:r>
      <w:r>
        <w:t xml:space="preserve"> For Generation</w:t>
      </w:r>
      <w:r w:rsidR="0033649F">
        <w:t>,</w:t>
      </w:r>
      <w:r>
        <w:t xml:space="preserve"> the </w:t>
      </w:r>
      <w:r w:rsidR="0093242F">
        <w:t xml:space="preserve">Peak Security </w:t>
      </w:r>
      <w:r>
        <w:t>zonal marginal km (ZMkm</w:t>
      </w:r>
      <w:r w:rsidR="0093242F" w:rsidRPr="00AC562E">
        <w:rPr>
          <w:vertAlign w:val="subscript"/>
        </w:rPr>
        <w:t>PS</w:t>
      </w:r>
      <w:r>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2815A009" w14:textId="77777777" w:rsidR="006661FE" w:rsidRDefault="006661FE" w:rsidP="006661FE">
      <w:pPr>
        <w:jc w:val="both"/>
        <w:rPr>
          <w:rFonts w:ascii="Arial" w:hAnsi="Arial"/>
        </w:rPr>
      </w:pPr>
    </w:p>
    <w:p w14:paraId="349866F7" w14:textId="77777777" w:rsidR="00660B78" w:rsidRDefault="00660B78" w:rsidP="00660B78">
      <w:pPr>
        <w:jc w:val="both"/>
        <w:rPr>
          <w:rFonts w:ascii="Arial" w:hAnsi="Arial"/>
        </w:rPr>
      </w:pPr>
    </w:p>
    <w:p w14:paraId="55B2DB9C" w14:textId="77777777" w:rsidR="00660B78" w:rsidRDefault="00660B78" w:rsidP="00660B78">
      <w:pPr>
        <w:pStyle w:val="Equation"/>
        <w:jc w:val="center"/>
        <w:rPr>
          <w:rFonts w:ascii="Arial" w:hAnsi="Arial"/>
          <w:sz w:val="22"/>
        </w:rPr>
      </w:pPr>
      <w:r w:rsidRPr="00853B8B">
        <w:rPr>
          <w:rFonts w:ascii="Arial" w:hAnsi="Arial"/>
          <w:noProof/>
          <w:position w:val="-12"/>
          <w:sz w:val="22"/>
        </w:rPr>
        <w:drawing>
          <wp:inline distT="0" distB="0" distL="0" distR="0" wp14:anchorId="0D8D2A44" wp14:editId="7B9B2D4B">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14:paraId="499FCD42"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0B25981A" wp14:editId="3C48C8AE">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p>
    <w:p w14:paraId="129231CC" w14:textId="77777777" w:rsidR="00660B78" w:rsidRDefault="00660B78" w:rsidP="00660B78">
      <w:pPr>
        <w:pStyle w:val="Equation"/>
        <w:jc w:val="center"/>
        <w:rPr>
          <w:rFonts w:ascii="Arial" w:hAnsi="Arial"/>
          <w:sz w:val="22"/>
        </w:rPr>
      </w:pPr>
      <w:r w:rsidRPr="000B6C0D">
        <w:rPr>
          <w:rFonts w:ascii="Arial" w:hAnsi="Arial"/>
          <w:noProof/>
          <w:position w:val="-12"/>
          <w:sz w:val="22"/>
        </w:rPr>
        <w:drawing>
          <wp:inline distT="0" distB="0" distL="0" distR="0" wp14:anchorId="4F478DA2" wp14:editId="07115234">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p>
    <w:p w14:paraId="10B2AFC2" w14:textId="77777777" w:rsidR="006661FE" w:rsidRDefault="006661FE" w:rsidP="006661FE">
      <w:pPr>
        <w:jc w:val="both"/>
        <w:rPr>
          <w:rFonts w:ascii="Arial" w:hAnsi="Arial"/>
        </w:rPr>
      </w:pPr>
    </w:p>
    <w:p w14:paraId="320D6398" w14:textId="77777777" w:rsidR="006661FE" w:rsidRDefault="006661FE" w:rsidP="006661FE">
      <w:pPr>
        <w:ind w:firstLine="720"/>
        <w:jc w:val="both"/>
        <w:rPr>
          <w:rFonts w:ascii="Arial" w:hAnsi="Arial"/>
          <w:sz w:val="22"/>
        </w:rPr>
      </w:pPr>
      <w:r>
        <w:rPr>
          <w:rFonts w:ascii="Arial" w:hAnsi="Arial"/>
          <w:sz w:val="22"/>
        </w:rPr>
        <w:t>Where</w:t>
      </w:r>
    </w:p>
    <w:p w14:paraId="46B287F3"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4A1644ED"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535F1528" w14:textId="77777777" w:rsidR="000E1C2E" w:rsidRDefault="000E1C2E" w:rsidP="006661FE">
      <w:pPr>
        <w:pStyle w:val="Variableexplanation"/>
        <w:tabs>
          <w:tab w:val="clear" w:pos="1134"/>
          <w:tab w:val="clear" w:pos="1418"/>
          <w:tab w:val="clear" w:pos="1701"/>
        </w:tabs>
        <w:rPr>
          <w:rFonts w:ascii="Arial" w:hAnsi="Arial"/>
          <w:sz w:val="22"/>
        </w:rPr>
      </w:pPr>
    </w:p>
    <w:p w14:paraId="01BB904D"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139B9B9D"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53AD8E02"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442DC781"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2B4B8578"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0B4C0BC3" w14:textId="77777777" w:rsidR="00075548" w:rsidRDefault="00075548" w:rsidP="006661FE">
      <w:pPr>
        <w:pStyle w:val="Variableexplanation"/>
        <w:tabs>
          <w:tab w:val="clear" w:pos="1134"/>
          <w:tab w:val="clear" w:pos="1418"/>
          <w:tab w:val="clear" w:pos="1701"/>
        </w:tabs>
        <w:rPr>
          <w:rFonts w:ascii="Arial" w:hAnsi="Arial"/>
          <w:sz w:val="22"/>
        </w:rPr>
      </w:pPr>
    </w:p>
    <w:p w14:paraId="7F6BF008" w14:textId="77777777" w:rsidR="006661FE" w:rsidRDefault="006661FE" w:rsidP="006661FE">
      <w:pPr>
        <w:pStyle w:val="Variableexplanation"/>
        <w:rPr>
          <w:rFonts w:ascii="Arial" w:hAnsi="Arial"/>
          <w:sz w:val="22"/>
        </w:rPr>
      </w:pPr>
    </w:p>
    <w:p w14:paraId="6AE46BF3" w14:textId="77777777" w:rsidR="006661FE" w:rsidRDefault="006661FE" w:rsidP="00533333">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580E2BA8" w14:textId="77777777" w:rsidR="006661FE" w:rsidRDefault="006661FE" w:rsidP="006661FE">
      <w:pPr>
        <w:pStyle w:val="1"/>
        <w:jc w:val="both"/>
      </w:pPr>
    </w:p>
    <w:p w14:paraId="32ADB8E7" w14:textId="2938CB1C" w:rsidR="006661FE" w:rsidRDefault="006661FE" w:rsidP="006661FE">
      <w:pPr>
        <w:pStyle w:val="Equation"/>
        <w:jc w:val="center"/>
        <w:rPr>
          <w:rFonts w:ascii="Arial" w:hAnsi="Arial"/>
          <w:position w:val="-12"/>
          <w:sz w:val="22"/>
        </w:rPr>
      </w:pPr>
    </w:p>
    <w:p w14:paraId="4D9B4CD6" w14:textId="02D4C133" w:rsidR="00075548" w:rsidRDefault="00075548" w:rsidP="006661FE">
      <w:pPr>
        <w:pStyle w:val="Equation"/>
        <w:jc w:val="center"/>
        <w:rPr>
          <w:rFonts w:ascii="Arial" w:hAnsi="Arial"/>
          <w:sz w:val="22"/>
        </w:rPr>
      </w:pPr>
    </w:p>
    <w:p w14:paraId="59DF7C31" w14:textId="77777777" w:rsidR="006661FE" w:rsidRDefault="006661FE" w:rsidP="006661FE">
      <w:pPr>
        <w:ind w:firstLine="720"/>
        <w:jc w:val="both"/>
        <w:rPr>
          <w:rFonts w:ascii="Arial" w:hAnsi="Arial"/>
          <w:sz w:val="22"/>
        </w:rPr>
      </w:pPr>
      <w:r>
        <w:rPr>
          <w:rFonts w:ascii="Arial" w:hAnsi="Arial"/>
          <w:sz w:val="22"/>
        </w:rPr>
        <w:t>Where</w:t>
      </w:r>
    </w:p>
    <w:p w14:paraId="6DAC4475"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04CB227C"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7FF6AAC3" w14:textId="77777777" w:rsidR="006661FE" w:rsidRDefault="006661FE" w:rsidP="006661FE">
      <w:pPr>
        <w:pStyle w:val="Variableexplanation"/>
        <w:tabs>
          <w:tab w:val="clear" w:pos="1134"/>
          <w:tab w:val="clear" w:pos="1418"/>
          <w:tab w:val="clear" w:pos="1701"/>
        </w:tabs>
        <w:rPr>
          <w:rFonts w:ascii="Arial" w:hAnsi="Arial"/>
          <w:sz w:val="22"/>
        </w:rPr>
      </w:pPr>
    </w:p>
    <w:p w14:paraId="3501F220"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6B2960F"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2C338E86" w14:textId="77777777" w:rsidR="006661FE" w:rsidRDefault="006661FE" w:rsidP="006661FE">
      <w:pPr>
        <w:pStyle w:val="Variableexplanation"/>
        <w:rPr>
          <w:rFonts w:ascii="Arial" w:hAnsi="Arial"/>
          <w:sz w:val="22"/>
        </w:rPr>
      </w:pPr>
      <w:r>
        <w:rPr>
          <w:rFonts w:ascii="Arial" w:hAnsi="Arial"/>
          <w:sz w:val="22"/>
        </w:rPr>
        <w:tab/>
      </w:r>
    </w:p>
    <w:p w14:paraId="50EF72AF" w14:textId="77777777" w:rsidR="006661FE" w:rsidRDefault="006661FE" w:rsidP="00533333">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0D0F92C5" w14:textId="77777777" w:rsidR="004633BA" w:rsidRDefault="004633BA" w:rsidP="004633BA">
      <w:pPr>
        <w:pStyle w:val="1"/>
        <w:ind w:left="1627"/>
        <w:jc w:val="both"/>
      </w:pPr>
    </w:p>
    <w:p w14:paraId="297E5853" w14:textId="77777777" w:rsidR="004633BA" w:rsidRDefault="004633BA" w:rsidP="004633BA">
      <w:pPr>
        <w:pStyle w:val="1"/>
        <w:ind w:left="1627"/>
        <w:jc w:val="both"/>
      </w:pPr>
      <w:r>
        <w:t>Metered triad gross GSP group demand is net demand for all GSP groups less embedded exports for all GSP groups.</w:t>
      </w:r>
    </w:p>
    <w:p w14:paraId="6F0F29F0" w14:textId="77777777" w:rsidR="00636937" w:rsidRDefault="00636937" w:rsidP="00533333">
      <w:pPr>
        <w:pStyle w:val="1"/>
        <w:numPr>
          <w:ilvl w:val="1"/>
          <w:numId w:val="90"/>
        </w:numPr>
        <w:jc w:val="both"/>
      </w:pPr>
    </w:p>
    <w:p w14:paraId="33C8C876" w14:textId="77777777" w:rsidR="006661FE" w:rsidRDefault="006661FE" w:rsidP="006661FE">
      <w:pPr>
        <w:jc w:val="both"/>
        <w:rPr>
          <w:rFonts w:ascii="Arial" w:hAnsi="Arial"/>
        </w:rPr>
      </w:pPr>
    </w:p>
    <w:p w14:paraId="38BF1C7A"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16B44459"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1CAEBD83"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76A90063"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4C80BFD7"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024C67E9"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483B1017" w14:textId="77777777" w:rsidR="00BF4F42" w:rsidRPr="00BF4F42" w:rsidRDefault="00BF4F42" w:rsidP="00AB4296">
      <w:pPr>
        <w:ind w:left="2160" w:firstLine="720"/>
        <w:jc w:val="both"/>
        <w:rPr>
          <w:rFonts w:ascii="Arial" w:hAnsi="Arial"/>
        </w:rPr>
      </w:pPr>
      <w:r w:rsidRPr="00BF4F42">
        <w:rPr>
          <w:rFonts w:ascii="Arial" w:hAnsi="Arial"/>
        </w:rPr>
        <w:t>demand</w:t>
      </w:r>
    </w:p>
    <w:p w14:paraId="1CE50FE9"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1AA0280D"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0D2D3C5D" w14:textId="77777777" w:rsidR="00BF4F42" w:rsidRDefault="00BF4F42" w:rsidP="006661FE">
      <w:pPr>
        <w:jc w:val="both"/>
        <w:rPr>
          <w:rFonts w:ascii="Arial" w:hAnsi="Arial"/>
        </w:rPr>
      </w:pPr>
    </w:p>
    <w:p w14:paraId="1B7173C2" w14:textId="77777777" w:rsidR="006661FE" w:rsidRDefault="006661FE" w:rsidP="006661FE">
      <w:pPr>
        <w:jc w:val="both"/>
        <w:rPr>
          <w:rFonts w:ascii="Arial" w:hAnsi="Arial"/>
        </w:rPr>
      </w:pPr>
      <w:r>
        <w:rPr>
          <w:rFonts w:ascii="Arial" w:hAnsi="Arial"/>
        </w:rPr>
        <w:t xml:space="preserve">    </w:t>
      </w:r>
    </w:p>
    <w:p w14:paraId="6A72A740"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4B8730EB" w14:textId="77777777" w:rsidR="006661FE" w:rsidRDefault="006661FE" w:rsidP="006661FE">
      <w:pPr>
        <w:jc w:val="both"/>
        <w:rPr>
          <w:rFonts w:ascii="Arial" w:hAnsi="Arial"/>
        </w:rPr>
      </w:pPr>
    </w:p>
    <w:p w14:paraId="1C6C8C14" w14:textId="77777777" w:rsidR="006661FE" w:rsidRDefault="006661FE" w:rsidP="006661FE">
      <w:pPr>
        <w:jc w:val="both"/>
        <w:rPr>
          <w:rFonts w:ascii="Arial" w:hAnsi="Arial"/>
        </w:rPr>
      </w:pPr>
    </w:p>
    <w:p w14:paraId="0B46938A"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2D96D86B" w14:textId="77777777" w:rsidR="00636937" w:rsidRPr="00E0302B" w:rsidRDefault="00636937" w:rsidP="00636937">
      <w:pPr>
        <w:pStyle w:val="1"/>
        <w:ind w:left="720"/>
        <w:jc w:val="both"/>
        <w:rPr>
          <w:b/>
        </w:rPr>
      </w:pPr>
    </w:p>
    <w:p w14:paraId="0EF95F0F" w14:textId="77777777" w:rsidR="00636937" w:rsidRDefault="5DE50EC8" w:rsidP="00533333">
      <w:pPr>
        <w:pStyle w:val="1"/>
        <w:numPr>
          <w:ilvl w:val="0"/>
          <w:numId w:val="90"/>
        </w:numPr>
        <w:jc w:val="both"/>
      </w:pPr>
      <w:r>
        <w:t xml:space="preserve">The revenue from a specific generator due to the Peak Security locational </w:t>
      </w:r>
      <w:r w:rsidR="756403DF">
        <w:t xml:space="preserve">      </w:t>
      </w:r>
      <w:r>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w:t>
      </w:r>
      <w:bookmarkStart w:id="301" w:name="_Int_B0qss8RX"/>
      <w:r>
        <w:t>significant change</w:t>
      </w:r>
      <w:bookmarkEnd w:id="301"/>
      <w:r>
        <w:t xml:space="preserve"> to the demand security assumptions in the Security Standard, National Grid will review the use of the PS flag.</w:t>
      </w:r>
    </w:p>
    <w:p w14:paraId="0FC0824B"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F61D64" w14:paraId="6F9762AF" w14:textId="77777777" w:rsidTr="00CD2194">
        <w:tc>
          <w:tcPr>
            <w:tcW w:w="0" w:type="auto"/>
          </w:tcPr>
          <w:p w14:paraId="6753216E" w14:textId="77777777" w:rsidR="00636937" w:rsidRPr="00874A70" w:rsidRDefault="00636937" w:rsidP="00CD2194">
            <w:pPr>
              <w:pStyle w:val="1"/>
              <w:jc w:val="both"/>
              <w:rPr>
                <w:szCs w:val="22"/>
              </w:rPr>
            </w:pPr>
            <w:r w:rsidRPr="00874A70">
              <w:rPr>
                <w:szCs w:val="22"/>
              </w:rPr>
              <w:t>Generation Plant Type</w:t>
            </w:r>
          </w:p>
        </w:tc>
        <w:tc>
          <w:tcPr>
            <w:tcW w:w="0" w:type="auto"/>
          </w:tcPr>
          <w:p w14:paraId="7B365CE9" w14:textId="77777777" w:rsidR="00636937" w:rsidRPr="00874A70" w:rsidRDefault="00636937" w:rsidP="00CD2194">
            <w:pPr>
              <w:pStyle w:val="1"/>
              <w:jc w:val="both"/>
              <w:rPr>
                <w:szCs w:val="22"/>
              </w:rPr>
            </w:pPr>
            <w:r w:rsidRPr="00874A70">
              <w:rPr>
                <w:szCs w:val="22"/>
              </w:rPr>
              <w:t>PS flag</w:t>
            </w:r>
          </w:p>
        </w:tc>
      </w:tr>
      <w:tr w:rsidR="00636937" w:rsidRPr="00F61D64" w14:paraId="78393FA2" w14:textId="77777777" w:rsidTr="00CD2194">
        <w:tc>
          <w:tcPr>
            <w:tcW w:w="0" w:type="auto"/>
          </w:tcPr>
          <w:p w14:paraId="1DB1C026" w14:textId="77777777" w:rsidR="00636937" w:rsidRPr="00874A70" w:rsidRDefault="00636937" w:rsidP="00CD2194">
            <w:pPr>
              <w:pStyle w:val="1"/>
              <w:jc w:val="both"/>
              <w:rPr>
                <w:szCs w:val="22"/>
              </w:rPr>
            </w:pPr>
            <w:r w:rsidRPr="00874A70">
              <w:rPr>
                <w:szCs w:val="22"/>
              </w:rPr>
              <w:t>Intermittent</w:t>
            </w:r>
          </w:p>
        </w:tc>
        <w:tc>
          <w:tcPr>
            <w:tcW w:w="0" w:type="auto"/>
          </w:tcPr>
          <w:p w14:paraId="47252CEC" w14:textId="77777777" w:rsidR="00636937" w:rsidRPr="00874A70" w:rsidRDefault="00636937" w:rsidP="00CD2194">
            <w:pPr>
              <w:pStyle w:val="1"/>
              <w:jc w:val="center"/>
              <w:rPr>
                <w:szCs w:val="22"/>
              </w:rPr>
            </w:pPr>
            <w:r w:rsidRPr="00874A70">
              <w:rPr>
                <w:szCs w:val="22"/>
              </w:rPr>
              <w:t>0</w:t>
            </w:r>
          </w:p>
        </w:tc>
      </w:tr>
      <w:tr w:rsidR="00636937" w:rsidRPr="00F61D64" w14:paraId="58C065FC" w14:textId="77777777" w:rsidTr="00CD2194">
        <w:tc>
          <w:tcPr>
            <w:tcW w:w="0" w:type="auto"/>
          </w:tcPr>
          <w:p w14:paraId="474B2B41" w14:textId="77777777" w:rsidR="00636937" w:rsidRPr="00874A70" w:rsidRDefault="00636937" w:rsidP="00CD2194">
            <w:pPr>
              <w:pStyle w:val="1"/>
              <w:jc w:val="both"/>
              <w:rPr>
                <w:szCs w:val="22"/>
              </w:rPr>
            </w:pPr>
            <w:r w:rsidRPr="00874A70">
              <w:rPr>
                <w:szCs w:val="22"/>
              </w:rPr>
              <w:lastRenderedPageBreak/>
              <w:t>Other</w:t>
            </w:r>
          </w:p>
        </w:tc>
        <w:tc>
          <w:tcPr>
            <w:tcW w:w="0" w:type="auto"/>
          </w:tcPr>
          <w:p w14:paraId="29C72AC4" w14:textId="77777777" w:rsidR="00636937" w:rsidRPr="00874A70" w:rsidRDefault="00636937" w:rsidP="00CD2194">
            <w:pPr>
              <w:pStyle w:val="1"/>
              <w:jc w:val="center"/>
              <w:rPr>
                <w:szCs w:val="22"/>
              </w:rPr>
            </w:pPr>
            <w:r w:rsidRPr="00874A70">
              <w:rPr>
                <w:szCs w:val="22"/>
              </w:rPr>
              <w:t>1</w:t>
            </w:r>
          </w:p>
        </w:tc>
      </w:tr>
    </w:tbl>
    <w:p w14:paraId="68156B02" w14:textId="77777777" w:rsidR="00636937" w:rsidRDefault="00636937" w:rsidP="00636937">
      <w:pPr>
        <w:pStyle w:val="1"/>
        <w:ind w:left="720"/>
        <w:jc w:val="both"/>
      </w:pPr>
    </w:p>
    <w:p w14:paraId="18B70C3D" w14:textId="77777777" w:rsidR="002B4948" w:rsidRDefault="002B4948" w:rsidP="002B4948">
      <w:pPr>
        <w:pStyle w:val="1"/>
        <w:ind w:left="720"/>
        <w:jc w:val="both"/>
        <w:rPr>
          <w:b/>
        </w:rPr>
      </w:pPr>
      <w:r>
        <w:rPr>
          <w:b/>
        </w:rPr>
        <w:t xml:space="preserve">Year Round Not Shared (YRNS) </w:t>
      </w:r>
      <w:r w:rsidRPr="00E0302B">
        <w:rPr>
          <w:b/>
        </w:rPr>
        <w:t>Flag</w:t>
      </w:r>
    </w:p>
    <w:p w14:paraId="415D31D6" w14:textId="77777777" w:rsidR="002B4948" w:rsidRPr="00E0302B" w:rsidRDefault="002B4948" w:rsidP="002B4948">
      <w:pPr>
        <w:pStyle w:val="1"/>
        <w:ind w:left="720"/>
        <w:jc w:val="both"/>
        <w:rPr>
          <w:b/>
        </w:rPr>
      </w:pPr>
    </w:p>
    <w:p w14:paraId="2F4DC8FE" w14:textId="77777777" w:rsidR="002B4948" w:rsidRDefault="002B4948" w:rsidP="00533333">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5624817A"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F61D64" w14:paraId="04C43128" w14:textId="77777777" w:rsidTr="00970793">
        <w:trPr>
          <w:jc w:val="center"/>
        </w:trPr>
        <w:tc>
          <w:tcPr>
            <w:tcW w:w="0" w:type="auto"/>
          </w:tcPr>
          <w:p w14:paraId="518810EB" w14:textId="77777777" w:rsidR="002B4948" w:rsidRPr="00874A70" w:rsidRDefault="002B4948" w:rsidP="00DE092B">
            <w:pPr>
              <w:pStyle w:val="1"/>
              <w:jc w:val="both"/>
              <w:rPr>
                <w:szCs w:val="22"/>
              </w:rPr>
            </w:pPr>
            <w:r w:rsidRPr="00874A70">
              <w:rPr>
                <w:szCs w:val="22"/>
              </w:rPr>
              <w:t>Generation Plant Type</w:t>
            </w:r>
          </w:p>
        </w:tc>
        <w:tc>
          <w:tcPr>
            <w:tcW w:w="0" w:type="auto"/>
          </w:tcPr>
          <w:p w14:paraId="6BFDDAEA"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F61D64" w14:paraId="71BC0EB7" w14:textId="77777777" w:rsidTr="00970793">
        <w:trPr>
          <w:jc w:val="center"/>
        </w:trPr>
        <w:tc>
          <w:tcPr>
            <w:tcW w:w="0" w:type="auto"/>
          </w:tcPr>
          <w:p w14:paraId="759E7F9A" w14:textId="77777777" w:rsidR="002B4948" w:rsidRPr="00874A70" w:rsidRDefault="002B4948" w:rsidP="00DE092B">
            <w:pPr>
              <w:pStyle w:val="1"/>
              <w:jc w:val="both"/>
              <w:rPr>
                <w:szCs w:val="22"/>
              </w:rPr>
            </w:pPr>
            <w:r>
              <w:rPr>
                <w:szCs w:val="22"/>
              </w:rPr>
              <w:t>Non Conventional Carbon</w:t>
            </w:r>
          </w:p>
        </w:tc>
        <w:tc>
          <w:tcPr>
            <w:tcW w:w="0" w:type="auto"/>
          </w:tcPr>
          <w:p w14:paraId="5C92405D" w14:textId="77777777" w:rsidR="002B4948" w:rsidRPr="00874A70" w:rsidRDefault="002B4948" w:rsidP="00DE092B">
            <w:pPr>
              <w:pStyle w:val="1"/>
              <w:jc w:val="center"/>
              <w:rPr>
                <w:szCs w:val="22"/>
              </w:rPr>
            </w:pPr>
            <w:r>
              <w:rPr>
                <w:szCs w:val="22"/>
              </w:rPr>
              <w:t>1</w:t>
            </w:r>
          </w:p>
        </w:tc>
      </w:tr>
      <w:tr w:rsidR="002B4948" w:rsidRPr="00F61D64" w14:paraId="45897941" w14:textId="77777777" w:rsidTr="00970793">
        <w:trPr>
          <w:jc w:val="center"/>
        </w:trPr>
        <w:tc>
          <w:tcPr>
            <w:tcW w:w="0" w:type="auto"/>
          </w:tcPr>
          <w:p w14:paraId="568D8800" w14:textId="77777777" w:rsidR="002B4948" w:rsidRPr="00874A70" w:rsidRDefault="002B4948" w:rsidP="00DE092B">
            <w:pPr>
              <w:pStyle w:val="1"/>
              <w:jc w:val="both"/>
              <w:rPr>
                <w:szCs w:val="22"/>
              </w:rPr>
            </w:pPr>
            <w:r>
              <w:rPr>
                <w:szCs w:val="22"/>
              </w:rPr>
              <w:t>Conventional Carbon</w:t>
            </w:r>
          </w:p>
        </w:tc>
        <w:tc>
          <w:tcPr>
            <w:tcW w:w="0" w:type="auto"/>
          </w:tcPr>
          <w:p w14:paraId="0EA75C38" w14:textId="77777777" w:rsidR="002B4948" w:rsidRPr="00874A70" w:rsidRDefault="002B4948" w:rsidP="00DE092B">
            <w:pPr>
              <w:pStyle w:val="1"/>
              <w:jc w:val="center"/>
              <w:rPr>
                <w:szCs w:val="22"/>
              </w:rPr>
            </w:pPr>
            <w:r>
              <w:rPr>
                <w:szCs w:val="22"/>
              </w:rPr>
              <w:t>ALF</w:t>
            </w:r>
          </w:p>
        </w:tc>
      </w:tr>
    </w:tbl>
    <w:p w14:paraId="45FD9332" w14:textId="77777777" w:rsidR="002B4948" w:rsidRDefault="002B4948" w:rsidP="00636937">
      <w:pPr>
        <w:pStyle w:val="1"/>
        <w:ind w:left="720"/>
        <w:jc w:val="both"/>
      </w:pPr>
    </w:p>
    <w:p w14:paraId="2C04C42D" w14:textId="77777777" w:rsidR="00636937" w:rsidRDefault="00636937" w:rsidP="00636937">
      <w:pPr>
        <w:pStyle w:val="1"/>
        <w:ind w:left="720"/>
        <w:jc w:val="both"/>
      </w:pPr>
    </w:p>
    <w:p w14:paraId="4DE6B21C" w14:textId="77777777" w:rsidR="00636937" w:rsidRDefault="00636937" w:rsidP="00636937">
      <w:pPr>
        <w:pStyle w:val="1"/>
        <w:ind w:left="720"/>
        <w:jc w:val="both"/>
        <w:rPr>
          <w:b/>
        </w:rPr>
      </w:pPr>
      <w:r w:rsidRPr="00891501">
        <w:rPr>
          <w:b/>
        </w:rPr>
        <w:t>Annual Load Factor</w:t>
      </w:r>
      <w:r>
        <w:rPr>
          <w:b/>
        </w:rPr>
        <w:t xml:space="preserve"> (ALF)</w:t>
      </w:r>
    </w:p>
    <w:p w14:paraId="264BCC1E" w14:textId="77777777" w:rsidR="00636937" w:rsidRDefault="00636937" w:rsidP="00636937">
      <w:pPr>
        <w:pStyle w:val="1"/>
        <w:ind w:left="720"/>
        <w:jc w:val="both"/>
        <w:rPr>
          <w:b/>
        </w:rPr>
      </w:pPr>
    </w:p>
    <w:p w14:paraId="44E25C9C" w14:textId="77777777" w:rsidR="00636937" w:rsidRPr="00532403" w:rsidRDefault="00636937" w:rsidP="00533333">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3B07B1FA" w14:textId="77777777" w:rsidR="00636937" w:rsidRPr="00891501" w:rsidRDefault="00636937" w:rsidP="00636937">
      <w:pPr>
        <w:pStyle w:val="1"/>
        <w:jc w:val="both"/>
      </w:pPr>
      <w:r>
        <w:tab/>
      </w:r>
    </w:p>
    <w:p w14:paraId="31438D7A" w14:textId="73D002B6" w:rsidR="00636937" w:rsidRDefault="00636937" w:rsidP="00533333">
      <w:pPr>
        <w:pStyle w:val="1"/>
        <w:numPr>
          <w:ilvl w:val="0"/>
          <w:numId w:val="90"/>
        </w:numPr>
        <w:jc w:val="both"/>
      </w:pPr>
      <w:r>
        <w:t xml:space="preserve">For a given </w:t>
      </w:r>
      <w:r w:rsidR="00267733" w:rsidRPr="00AD4509">
        <w:rPr>
          <w:b/>
          <w:bCs/>
        </w:rPr>
        <w:t>Financial Year</w:t>
      </w:r>
      <w:r w:rsidR="00267733">
        <w:t xml:space="preserve"> </w:t>
      </w:r>
      <w:r>
        <w:t xml:space="preserve">“t” the Power Station ALF will be based on information from the previous five </w:t>
      </w:r>
      <w:r w:rsidR="00267733" w:rsidRPr="00AD4509">
        <w:rPr>
          <w:b/>
          <w:bCs/>
        </w:rPr>
        <w:t>Financial Year</w:t>
      </w:r>
      <w:r w:rsidR="00267733">
        <w:rPr>
          <w:b/>
          <w:bCs/>
        </w:rPr>
        <w:t>s</w:t>
      </w:r>
      <w:r>
        <w:t xml:space="preserve">, calculated for each </w:t>
      </w:r>
      <w:r w:rsidR="00267733" w:rsidRPr="00AD4509">
        <w:rPr>
          <w:b/>
          <w:bCs/>
        </w:rPr>
        <w:t>Financial Year</w:t>
      </w:r>
      <w:r w:rsidR="00267733">
        <w:t xml:space="preserve"> </w:t>
      </w:r>
      <w:r>
        <w:t>as set out below.</w:t>
      </w:r>
    </w:p>
    <w:p w14:paraId="07974A01" w14:textId="77777777" w:rsidR="00636937" w:rsidRDefault="00636937" w:rsidP="00636937">
      <w:pPr>
        <w:pStyle w:val="1"/>
        <w:ind w:left="720"/>
        <w:jc w:val="both"/>
      </w:pPr>
    </w:p>
    <w:p w14:paraId="51FEC32E" w14:textId="6033D251" w:rsidR="00636937" w:rsidRDefault="0057073C" w:rsidP="00636937">
      <w:pPr>
        <w:pStyle w:val="1"/>
        <w:ind w:left="720"/>
        <w:jc w:val="center"/>
      </w:pPr>
      <w:r w:rsidRPr="00BF6AF1">
        <w:rPr>
          <w:noProof/>
          <w:position w:val="-64"/>
        </w:rPr>
        <w:drawing>
          <wp:inline distT="0" distB="0" distL="0" distR="0" wp14:anchorId="3F184923" wp14:editId="21BAAA25">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3592AC1B" w14:textId="77777777" w:rsidR="00636937" w:rsidRDefault="00636937" w:rsidP="00636937">
      <w:pPr>
        <w:pStyle w:val="1"/>
        <w:ind w:left="720"/>
      </w:pPr>
      <w:r>
        <w:tab/>
      </w:r>
    </w:p>
    <w:p w14:paraId="56E14CF7" w14:textId="77777777" w:rsidR="00636937" w:rsidRDefault="00636937" w:rsidP="00636937">
      <w:pPr>
        <w:pStyle w:val="1"/>
        <w:ind w:left="1440"/>
      </w:pPr>
      <w:r>
        <w:t>Where:</w:t>
      </w:r>
    </w:p>
    <w:p w14:paraId="1C5292AC"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26D19C63"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2695BE1" w14:textId="77777777" w:rsidR="00636937" w:rsidRDefault="00636937" w:rsidP="00636937">
      <w:pPr>
        <w:pStyle w:val="1"/>
        <w:ind w:left="1440"/>
      </w:pPr>
    </w:p>
    <w:p w14:paraId="2EF69F61" w14:textId="77777777" w:rsidR="00636937" w:rsidRPr="00891501" w:rsidRDefault="00636937" w:rsidP="00636937">
      <w:pPr>
        <w:pStyle w:val="1"/>
        <w:ind w:left="720"/>
        <w:jc w:val="both"/>
      </w:pPr>
    </w:p>
    <w:p w14:paraId="464D2182" w14:textId="4912F1DD" w:rsidR="00636937" w:rsidRPr="00823D2E" w:rsidRDefault="4C6B28F3" w:rsidP="00533333">
      <w:pPr>
        <w:pStyle w:val="1"/>
        <w:numPr>
          <w:ilvl w:val="0"/>
          <w:numId w:val="90"/>
        </w:numPr>
        <w:jc w:val="both"/>
        <w:rPr>
          <w:b/>
          <w:bCs/>
        </w:rPr>
      </w:pPr>
      <w:r>
        <w:t xml:space="preserve">The appropriate output (FPN or actual metered) figure is derived from </w:t>
      </w:r>
      <w:r w:rsidRPr="6D50A407">
        <w:rPr>
          <w:b/>
          <w:bCs/>
        </w:rPr>
        <w:t>BM Unit</w:t>
      </w:r>
      <w:r>
        <w:t xml:space="preserve"> data available to </w:t>
      </w:r>
      <w:r w:rsidR="2EBFAECD" w:rsidRPr="009F4595">
        <w:rPr>
          <w:b/>
          <w:bCs/>
        </w:rPr>
        <w:t>The Company</w:t>
      </w:r>
      <w:r w:rsidR="76750A66">
        <w:t xml:space="preserve"> </w:t>
      </w:r>
      <w:r>
        <w:t xml:space="preserve">and relates to the total TEC of the Power Station. </w:t>
      </w:r>
    </w:p>
    <w:p w14:paraId="180B46D4" w14:textId="77777777" w:rsidR="00636937" w:rsidRPr="00823D2E" w:rsidRDefault="00636937" w:rsidP="00636937">
      <w:pPr>
        <w:pStyle w:val="1"/>
        <w:ind w:left="720"/>
        <w:jc w:val="both"/>
        <w:rPr>
          <w:b/>
        </w:rPr>
      </w:pPr>
    </w:p>
    <w:p w14:paraId="03A8FB40" w14:textId="242750B0" w:rsidR="00636937" w:rsidRPr="00B53D38" w:rsidRDefault="00636937" w:rsidP="00533333">
      <w:pPr>
        <w:pStyle w:val="1"/>
        <w:numPr>
          <w:ilvl w:val="0"/>
          <w:numId w:val="90"/>
        </w:numPr>
        <w:jc w:val="both"/>
        <w:rPr>
          <w:b/>
        </w:rPr>
      </w:pPr>
      <w:r w:rsidRPr="00891501">
        <w:t xml:space="preserve">Once all five </w:t>
      </w:r>
      <w:r w:rsidR="00E71FFB"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04BB7DA0" w14:textId="77777777" w:rsidR="00636937" w:rsidRDefault="00636937" w:rsidP="00636937">
      <w:pPr>
        <w:pStyle w:val="1"/>
        <w:ind w:left="720"/>
        <w:jc w:val="both"/>
      </w:pPr>
    </w:p>
    <w:p w14:paraId="27CF1F85" w14:textId="3EFF65E0" w:rsidR="00636937" w:rsidRDefault="5DE50EC8" w:rsidP="00533333">
      <w:pPr>
        <w:pStyle w:val="1"/>
        <w:numPr>
          <w:ilvl w:val="0"/>
          <w:numId w:val="90"/>
        </w:numPr>
        <w:jc w:val="both"/>
      </w:pPr>
      <w:bookmarkStart w:id="302" w:name="_Int_oYDw9wgR"/>
      <w:r>
        <w:t>In the event that</w:t>
      </w:r>
      <w:bookmarkEnd w:id="302"/>
      <w:r>
        <w:t xml:space="preserve"> only four </w:t>
      </w:r>
      <w:r w:rsidR="091DC3A0" w:rsidRPr="0537B9E0">
        <w:rPr>
          <w:b/>
          <w:bCs/>
        </w:rPr>
        <w:t>Financial Years</w:t>
      </w:r>
      <w:r w:rsidR="091DC3A0">
        <w:t xml:space="preserve"> </w:t>
      </w:r>
      <w:r>
        <w:t xml:space="preserve">of complete output (FPN or actual metered) data are available for an individual Power Station then the higher three </w:t>
      </w:r>
      <w:r w:rsidR="4EE60627" w:rsidRPr="0537B9E0">
        <w:rPr>
          <w:b/>
          <w:bCs/>
        </w:rPr>
        <w:t>Financial Years</w:t>
      </w:r>
      <w:r w:rsidR="4EE60627">
        <w:t xml:space="preserve"> </w:t>
      </w:r>
      <w:r>
        <w:t xml:space="preserve">ALF would be used in the calculation of the final ALF. </w:t>
      </w:r>
      <w:bookmarkStart w:id="303" w:name="_Int_AhFPs34W"/>
      <w:r>
        <w:t>In the event that</w:t>
      </w:r>
      <w:bookmarkEnd w:id="303"/>
      <w:r>
        <w:t xml:space="preserve"> only three </w:t>
      </w:r>
      <w:r w:rsidR="4C74463D" w:rsidRPr="0537B9E0">
        <w:rPr>
          <w:b/>
          <w:bCs/>
        </w:rPr>
        <w:t>Financial Years</w:t>
      </w:r>
      <w:r w:rsidR="4C74463D">
        <w:t xml:space="preserve"> </w:t>
      </w:r>
      <w:r>
        <w:t xml:space="preserve">of </w:t>
      </w:r>
      <w:r>
        <w:lastRenderedPageBreak/>
        <w:t xml:space="preserve">complete output (FPN or actual metered) data are available then these three </w:t>
      </w:r>
      <w:r w:rsidR="091DC3A0" w:rsidRPr="0537B9E0">
        <w:rPr>
          <w:b/>
          <w:bCs/>
        </w:rPr>
        <w:t>Financial Years</w:t>
      </w:r>
      <w:r>
        <w:t xml:space="preserve"> would be used.</w:t>
      </w:r>
    </w:p>
    <w:p w14:paraId="4FF8F43A" w14:textId="77777777" w:rsidR="00636937" w:rsidRDefault="00636937" w:rsidP="00636937">
      <w:pPr>
        <w:pStyle w:val="1"/>
        <w:ind w:left="720"/>
        <w:jc w:val="both"/>
      </w:pPr>
    </w:p>
    <w:p w14:paraId="1CBE36C7" w14:textId="77777777" w:rsidR="00636937" w:rsidRDefault="00636937" w:rsidP="00533333">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84844BD" w14:textId="77777777" w:rsidR="00636937" w:rsidRPr="00891501" w:rsidRDefault="00636937" w:rsidP="00636937">
      <w:pPr>
        <w:pStyle w:val="1"/>
        <w:ind w:left="720"/>
        <w:jc w:val="both"/>
      </w:pPr>
    </w:p>
    <w:p w14:paraId="1781D556" w14:textId="37EBF055" w:rsidR="00636937" w:rsidRDefault="5DE50EC8" w:rsidP="00533333">
      <w:pPr>
        <w:pStyle w:val="1"/>
        <w:numPr>
          <w:ilvl w:val="0"/>
          <w:numId w:val="90"/>
        </w:numPr>
        <w:jc w:val="both"/>
      </w:pPr>
      <w:bookmarkStart w:id="304" w:name="_Int_g3bx84gf"/>
      <w:r>
        <w:t>In the event that</w:t>
      </w:r>
      <w:bookmarkEnd w:id="304"/>
      <w:r>
        <w:t xml:space="preserve"> there are not three full </w:t>
      </w:r>
      <w:r w:rsidR="71D7A72C" w:rsidRPr="0537B9E0">
        <w:rPr>
          <w:b/>
          <w:bCs/>
        </w:rPr>
        <w:t>Fin</w:t>
      </w:r>
      <w:r w:rsidR="4B4C8397" w:rsidRPr="0537B9E0">
        <w:rPr>
          <w:b/>
          <w:bCs/>
        </w:rPr>
        <w:t>ancial Years</w:t>
      </w:r>
      <w:r>
        <w:t xml:space="preserve"> of an individual power station’s output available, missing output (FPN or actual metered) data would be replaced by generic data for that generation plant type to ensure three </w:t>
      </w:r>
      <w:r w:rsidR="4B4C8397" w:rsidRPr="0537B9E0">
        <w:rPr>
          <w:b/>
          <w:bCs/>
        </w:rPr>
        <w:t>Financial Years</w:t>
      </w:r>
      <w:r>
        <w:t xml:space="preserve"> of information are available for the Power Station. The derivation of the generic data is described in paragraphs 14.15.</w:t>
      </w:r>
      <w:r w:rsidR="207DAA1D">
        <w:t>11</w:t>
      </w:r>
      <w:r w:rsidR="50A7592B">
        <w:t>1</w:t>
      </w:r>
      <w:r>
        <w:t>-14.15.1</w:t>
      </w:r>
      <w:r w:rsidR="2CFD880A">
        <w:t>1</w:t>
      </w:r>
      <w:r w:rsidR="50A7592B">
        <w:t>4</w:t>
      </w:r>
      <w:r>
        <w:t>.</w:t>
      </w:r>
    </w:p>
    <w:p w14:paraId="6AE21370" w14:textId="77777777" w:rsidR="00636937" w:rsidRDefault="00636937" w:rsidP="00636937">
      <w:pPr>
        <w:pStyle w:val="1"/>
        <w:ind w:left="720"/>
        <w:jc w:val="both"/>
      </w:pPr>
    </w:p>
    <w:p w14:paraId="7E10AFA9" w14:textId="4F72A84E" w:rsidR="00636937" w:rsidRPr="00334D5B" w:rsidRDefault="00636937" w:rsidP="00533333">
      <w:pPr>
        <w:pStyle w:val="1"/>
        <w:numPr>
          <w:ilvl w:val="0"/>
          <w:numId w:val="90"/>
        </w:numPr>
        <w:jc w:val="both"/>
      </w:pPr>
      <w:r>
        <w:t>Users will receive draft ALFs before 25</w:t>
      </w:r>
      <w:r w:rsidRPr="008F688B">
        <w:rPr>
          <w:vertAlign w:val="superscript"/>
        </w:rPr>
        <w:t>th</w:t>
      </w:r>
      <w:r>
        <w:t xml:space="preserve"> December of the </w:t>
      </w:r>
      <w:r w:rsidR="00E71FFB" w:rsidRPr="00AD4509">
        <w:rPr>
          <w:b/>
          <w:bCs/>
        </w:rPr>
        <w:t>Financial Year</w:t>
      </w:r>
      <w:r w:rsidR="00E71FFB">
        <w:t xml:space="preserve"> </w:t>
      </w:r>
      <w:r>
        <w:t xml:space="preserve">(t-1) </w:t>
      </w:r>
      <w:r w:rsidRPr="009B0384">
        <w:t xml:space="preserve">for the </w:t>
      </w:r>
      <w:r w:rsidR="00E71FFB" w:rsidRPr="00AD4509">
        <w:rPr>
          <w:b/>
          <w:bCs/>
        </w:rPr>
        <w:t>Financial Year</w:t>
      </w:r>
      <w:r w:rsidR="00E71FFB" w:rsidRPr="009B0384">
        <w:t xml:space="preserve"> </w:t>
      </w:r>
      <w:r w:rsidRPr="009B0384">
        <w:t xml:space="preserve">(t) </w:t>
      </w:r>
      <w:r w:rsidRPr="001646AB">
        <w:t>and</w:t>
      </w:r>
      <w:r>
        <w:t xml:space="preserve"> will have a period of 15 </w:t>
      </w:r>
      <w:r w:rsidR="00E71FFB" w:rsidRPr="00E71FFB">
        <w:rPr>
          <w:b/>
          <w:bCs/>
        </w:rPr>
        <w:t>Business Days</w:t>
      </w:r>
      <w:r>
        <w:t xml:space="preserve"> </w:t>
      </w:r>
    </w:p>
    <w:p w14:paraId="3BCC4C88" w14:textId="77777777" w:rsidR="00334D5B" w:rsidRDefault="00334D5B" w:rsidP="00334D5B">
      <w:pPr>
        <w:pStyle w:val="ListParagraph"/>
      </w:pPr>
    </w:p>
    <w:p w14:paraId="54F0FAA4" w14:textId="76D580B3" w:rsidR="00334D5B" w:rsidRDefault="3F1613E6" w:rsidP="00533333">
      <w:pPr>
        <w:pStyle w:val="1"/>
        <w:numPr>
          <w:ilvl w:val="0"/>
          <w:numId w:val="90"/>
        </w:numPr>
        <w:jc w:val="both"/>
      </w:pPr>
      <w:r w:rsidRPr="6D50A407">
        <w:rPr>
          <w:rFonts w:ascii="Arial" w:hAnsi="Arial" w:cs="Arial"/>
        </w:rPr>
        <w:t xml:space="preserve">from date of publishing to notify </w:t>
      </w:r>
      <w:r w:rsidR="2EBFAECD" w:rsidRPr="00EC52BD">
        <w:rPr>
          <w:rFonts w:ascii="Arial" w:hAnsi="Arial" w:cs="Arial"/>
          <w:b/>
          <w:bCs/>
        </w:rPr>
        <w:t>The Company</w:t>
      </w:r>
      <w:r w:rsidRPr="6D50A407">
        <w:rPr>
          <w:rFonts w:ascii="Arial" w:hAnsi="Arial" w:cs="Arial"/>
        </w:rPr>
        <w:t xml:space="preserve"> of any errors. Failure to agree changes relating to errors will be treated as a charging dispute under the CUSC.</w:t>
      </w:r>
    </w:p>
    <w:p w14:paraId="612FEFE3" w14:textId="77777777" w:rsidR="00636937" w:rsidRPr="008F688B" w:rsidRDefault="00636937" w:rsidP="00636937">
      <w:pPr>
        <w:pStyle w:val="1"/>
        <w:ind w:left="720"/>
        <w:jc w:val="both"/>
      </w:pPr>
    </w:p>
    <w:p w14:paraId="0712BD4C" w14:textId="77777777" w:rsidR="00636937" w:rsidRDefault="00636937" w:rsidP="00533333">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74F4BA50" w14:textId="77777777" w:rsidR="00636937" w:rsidRPr="00891501" w:rsidRDefault="00636937" w:rsidP="00636937">
      <w:pPr>
        <w:pStyle w:val="1"/>
        <w:ind w:left="720"/>
        <w:jc w:val="both"/>
      </w:pPr>
    </w:p>
    <w:p w14:paraId="6B9C879F" w14:textId="77777777" w:rsidR="00636937" w:rsidRPr="00112FAA" w:rsidRDefault="00636937" w:rsidP="00636937">
      <w:pPr>
        <w:pStyle w:val="1"/>
        <w:ind w:left="720"/>
        <w:jc w:val="both"/>
        <w:rPr>
          <w:b/>
        </w:rPr>
      </w:pPr>
      <w:r w:rsidRPr="00112FAA">
        <w:rPr>
          <w:b/>
        </w:rPr>
        <w:t xml:space="preserve">Derivation of Generic </w:t>
      </w:r>
      <w:r>
        <w:rPr>
          <w:b/>
        </w:rPr>
        <w:t>ALFs</w:t>
      </w:r>
    </w:p>
    <w:p w14:paraId="6F0BC2A3" w14:textId="77777777" w:rsidR="00636937" w:rsidRPr="00891501" w:rsidRDefault="00636937" w:rsidP="00636937">
      <w:pPr>
        <w:pStyle w:val="1"/>
        <w:jc w:val="both"/>
      </w:pPr>
    </w:p>
    <w:p w14:paraId="3136EC5D" w14:textId="02011E93" w:rsidR="00636937" w:rsidRDefault="5DE50EC8" w:rsidP="00533333">
      <w:pPr>
        <w:pStyle w:val="1"/>
        <w:numPr>
          <w:ilvl w:val="0"/>
          <w:numId w:val="90"/>
        </w:numPr>
        <w:jc w:val="both"/>
      </w:pPr>
      <w:r>
        <w:t xml:space="preserve">The generic ALF is derived from the average annual output of the ten most recently commissioned GB generation of a particular generation plant type that have at least five </w:t>
      </w:r>
      <w:r w:rsidR="091DC3A0" w:rsidRPr="0537B9E0">
        <w:rPr>
          <w:b/>
          <w:bCs/>
        </w:rPr>
        <w:t>Financial Years</w:t>
      </w:r>
      <w:r>
        <w:t xml:space="preserve">’ data, using an identical methodology to that used for the Power Station specific calculation described above. Where less than ten GB generators of a particular generation plant type exist, then data from all existing generators of that </w:t>
      </w:r>
      <w:bookmarkStart w:id="305" w:name="_Int_1fSEnc34"/>
      <w:r>
        <w:t>particular generation</w:t>
      </w:r>
      <w:bookmarkEnd w:id="305"/>
      <w:r>
        <w:t xml:space="preserve"> plant type will be used. Example generation plant type categories are listed below;</w:t>
      </w:r>
    </w:p>
    <w:p w14:paraId="23167D16"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14:paraId="3A2F6FF7" w14:textId="77777777" w:rsidTr="00CD2194">
        <w:tc>
          <w:tcPr>
            <w:tcW w:w="2397" w:type="dxa"/>
          </w:tcPr>
          <w:p w14:paraId="30C96B8B" w14:textId="77777777" w:rsidR="00636937" w:rsidRPr="00874A70" w:rsidRDefault="00636937" w:rsidP="00CD2194">
            <w:pPr>
              <w:pStyle w:val="1"/>
              <w:jc w:val="both"/>
              <w:rPr>
                <w:b/>
                <w:szCs w:val="22"/>
              </w:rPr>
            </w:pPr>
            <w:r w:rsidRPr="00874A70">
              <w:rPr>
                <w:b/>
                <w:szCs w:val="22"/>
              </w:rPr>
              <w:t>Fuel Type</w:t>
            </w:r>
          </w:p>
        </w:tc>
      </w:tr>
      <w:tr w:rsidR="00636937" w14:paraId="65DADE41" w14:textId="77777777" w:rsidTr="00CD2194">
        <w:tc>
          <w:tcPr>
            <w:tcW w:w="2397" w:type="dxa"/>
          </w:tcPr>
          <w:p w14:paraId="48E7209C" w14:textId="77777777" w:rsidR="00636937" w:rsidRPr="00874A70" w:rsidRDefault="00636937" w:rsidP="00CD2194">
            <w:pPr>
              <w:pStyle w:val="1"/>
              <w:jc w:val="both"/>
              <w:rPr>
                <w:szCs w:val="22"/>
              </w:rPr>
            </w:pPr>
            <w:r w:rsidRPr="00874A70">
              <w:rPr>
                <w:szCs w:val="22"/>
              </w:rPr>
              <w:t>Biomass</w:t>
            </w:r>
          </w:p>
        </w:tc>
      </w:tr>
      <w:tr w:rsidR="00636937" w14:paraId="027A8344" w14:textId="77777777" w:rsidTr="00CD2194">
        <w:tc>
          <w:tcPr>
            <w:tcW w:w="2397" w:type="dxa"/>
          </w:tcPr>
          <w:p w14:paraId="188D5ECC" w14:textId="77777777" w:rsidR="00636937" w:rsidRPr="00874A70" w:rsidRDefault="00636937" w:rsidP="00CD2194">
            <w:pPr>
              <w:pStyle w:val="1"/>
              <w:jc w:val="both"/>
              <w:rPr>
                <w:szCs w:val="22"/>
              </w:rPr>
            </w:pPr>
            <w:r w:rsidRPr="00874A70">
              <w:rPr>
                <w:szCs w:val="22"/>
              </w:rPr>
              <w:t xml:space="preserve">Coal </w:t>
            </w:r>
          </w:p>
        </w:tc>
      </w:tr>
      <w:tr w:rsidR="00636937" w14:paraId="7B357919" w14:textId="77777777" w:rsidTr="00CD2194">
        <w:tc>
          <w:tcPr>
            <w:tcW w:w="2397" w:type="dxa"/>
          </w:tcPr>
          <w:p w14:paraId="310A824C" w14:textId="77777777" w:rsidR="00636937" w:rsidRPr="00874A70" w:rsidRDefault="00636937" w:rsidP="00CD2194">
            <w:pPr>
              <w:pStyle w:val="1"/>
              <w:jc w:val="both"/>
              <w:rPr>
                <w:szCs w:val="22"/>
              </w:rPr>
            </w:pPr>
            <w:r w:rsidRPr="00874A70">
              <w:rPr>
                <w:szCs w:val="22"/>
              </w:rPr>
              <w:t xml:space="preserve">Gas </w:t>
            </w:r>
          </w:p>
        </w:tc>
      </w:tr>
      <w:tr w:rsidR="00636937" w14:paraId="674BCF22" w14:textId="77777777" w:rsidTr="00CD2194">
        <w:tc>
          <w:tcPr>
            <w:tcW w:w="2397" w:type="dxa"/>
          </w:tcPr>
          <w:p w14:paraId="4D739C9B" w14:textId="77777777" w:rsidR="00636937" w:rsidRPr="00874A70" w:rsidRDefault="00636937" w:rsidP="00CD2194">
            <w:pPr>
              <w:pStyle w:val="1"/>
              <w:jc w:val="both"/>
              <w:rPr>
                <w:szCs w:val="22"/>
              </w:rPr>
            </w:pPr>
            <w:r w:rsidRPr="00874A70">
              <w:rPr>
                <w:szCs w:val="22"/>
              </w:rPr>
              <w:t>Hydro</w:t>
            </w:r>
          </w:p>
        </w:tc>
      </w:tr>
      <w:tr w:rsidR="00636937" w14:paraId="1E8732D8" w14:textId="77777777" w:rsidTr="00CD2194">
        <w:tc>
          <w:tcPr>
            <w:tcW w:w="2397" w:type="dxa"/>
          </w:tcPr>
          <w:p w14:paraId="6256299C" w14:textId="77777777" w:rsidR="00636937" w:rsidRPr="00874A70" w:rsidRDefault="00636937" w:rsidP="00CD2194">
            <w:pPr>
              <w:pStyle w:val="1"/>
              <w:jc w:val="both"/>
              <w:rPr>
                <w:szCs w:val="22"/>
              </w:rPr>
            </w:pPr>
            <w:r w:rsidRPr="00874A70">
              <w:rPr>
                <w:szCs w:val="22"/>
              </w:rPr>
              <w:t>Nuclear (by reactor type)</w:t>
            </w:r>
          </w:p>
        </w:tc>
      </w:tr>
      <w:tr w:rsidR="00636937" w14:paraId="44E3B985" w14:textId="77777777" w:rsidTr="00CD2194">
        <w:tc>
          <w:tcPr>
            <w:tcW w:w="2397" w:type="dxa"/>
          </w:tcPr>
          <w:p w14:paraId="43B654E5" w14:textId="77777777" w:rsidR="00636937" w:rsidRPr="00874A70" w:rsidRDefault="00636937" w:rsidP="00CD2194">
            <w:pPr>
              <w:pStyle w:val="1"/>
              <w:jc w:val="both"/>
              <w:rPr>
                <w:szCs w:val="22"/>
              </w:rPr>
            </w:pPr>
            <w:r w:rsidRPr="00874A70">
              <w:rPr>
                <w:szCs w:val="22"/>
              </w:rPr>
              <w:t>Oil &amp; OCGTs</w:t>
            </w:r>
          </w:p>
        </w:tc>
      </w:tr>
      <w:tr w:rsidR="00636937" w14:paraId="124BCADA" w14:textId="77777777" w:rsidTr="00CD2194">
        <w:tc>
          <w:tcPr>
            <w:tcW w:w="2397" w:type="dxa"/>
          </w:tcPr>
          <w:p w14:paraId="6F510578" w14:textId="77777777" w:rsidR="00636937" w:rsidRPr="00874A70" w:rsidRDefault="00636937" w:rsidP="00CD2194">
            <w:pPr>
              <w:pStyle w:val="1"/>
              <w:jc w:val="both"/>
              <w:rPr>
                <w:szCs w:val="22"/>
              </w:rPr>
            </w:pPr>
            <w:r w:rsidRPr="00874A70">
              <w:rPr>
                <w:szCs w:val="22"/>
              </w:rPr>
              <w:t>Pumped Storage</w:t>
            </w:r>
          </w:p>
        </w:tc>
      </w:tr>
      <w:tr w:rsidR="00636937" w14:paraId="3E9B13C2" w14:textId="77777777" w:rsidTr="00CD2194">
        <w:tc>
          <w:tcPr>
            <w:tcW w:w="2397" w:type="dxa"/>
          </w:tcPr>
          <w:p w14:paraId="00B1C339" w14:textId="77777777" w:rsidR="00636937" w:rsidRPr="00874A70" w:rsidRDefault="00636937" w:rsidP="00CD2194">
            <w:pPr>
              <w:pStyle w:val="1"/>
              <w:jc w:val="both"/>
              <w:rPr>
                <w:szCs w:val="22"/>
              </w:rPr>
            </w:pPr>
            <w:r w:rsidRPr="00874A70">
              <w:rPr>
                <w:szCs w:val="22"/>
              </w:rPr>
              <w:t>Onshore Wind</w:t>
            </w:r>
          </w:p>
        </w:tc>
      </w:tr>
      <w:tr w:rsidR="00636937" w14:paraId="06131152" w14:textId="77777777" w:rsidTr="00CD2194">
        <w:tc>
          <w:tcPr>
            <w:tcW w:w="2397" w:type="dxa"/>
          </w:tcPr>
          <w:p w14:paraId="5E51E034" w14:textId="77777777" w:rsidR="00636937" w:rsidRPr="00874A70" w:rsidRDefault="00636937" w:rsidP="00CD2194">
            <w:pPr>
              <w:pStyle w:val="1"/>
              <w:jc w:val="both"/>
              <w:rPr>
                <w:szCs w:val="22"/>
              </w:rPr>
            </w:pPr>
            <w:r w:rsidRPr="00874A70">
              <w:rPr>
                <w:szCs w:val="22"/>
              </w:rPr>
              <w:t>Offshore Wind</w:t>
            </w:r>
          </w:p>
        </w:tc>
      </w:tr>
      <w:tr w:rsidR="00636937" w14:paraId="31FBD055" w14:textId="77777777" w:rsidTr="00CD2194">
        <w:tc>
          <w:tcPr>
            <w:tcW w:w="2397" w:type="dxa"/>
          </w:tcPr>
          <w:p w14:paraId="248C35E1" w14:textId="77777777" w:rsidR="00636937" w:rsidRPr="00874A70" w:rsidRDefault="00636937" w:rsidP="00CD2194">
            <w:pPr>
              <w:pStyle w:val="1"/>
              <w:jc w:val="both"/>
              <w:rPr>
                <w:szCs w:val="22"/>
              </w:rPr>
            </w:pPr>
            <w:r w:rsidRPr="00874A70">
              <w:rPr>
                <w:szCs w:val="22"/>
              </w:rPr>
              <w:t>CHP</w:t>
            </w:r>
          </w:p>
        </w:tc>
      </w:tr>
    </w:tbl>
    <w:p w14:paraId="24740D52" w14:textId="77777777" w:rsidR="00636937" w:rsidRDefault="00636937" w:rsidP="00636937">
      <w:pPr>
        <w:pStyle w:val="1"/>
        <w:ind w:left="720"/>
        <w:jc w:val="both"/>
      </w:pPr>
    </w:p>
    <w:p w14:paraId="132FBE5C" w14:textId="77777777" w:rsidR="00636937" w:rsidRDefault="00636937" w:rsidP="00636937">
      <w:pPr>
        <w:pStyle w:val="1"/>
        <w:ind w:left="720"/>
        <w:jc w:val="both"/>
      </w:pPr>
    </w:p>
    <w:p w14:paraId="29A69269" w14:textId="77B755ED" w:rsidR="00636937" w:rsidRDefault="3D96AF96" w:rsidP="00533333">
      <w:pPr>
        <w:pStyle w:val="1"/>
        <w:numPr>
          <w:ilvl w:val="0"/>
          <w:numId w:val="90"/>
        </w:numPr>
        <w:jc w:val="both"/>
      </w:pPr>
      <w:r w:rsidRPr="0537B9E0">
        <w:rPr>
          <w:b/>
          <w:bCs/>
        </w:rPr>
        <w:t>The</w:t>
      </w:r>
      <w:r w:rsidR="4A24E6D7" w:rsidRPr="0537B9E0">
        <w:rPr>
          <w:b/>
          <w:bCs/>
        </w:rPr>
        <w:t xml:space="preserve"> Company</w:t>
      </w:r>
      <w:r w:rsidR="4A24E6D7">
        <w:t xml:space="preserve"> will keep these categories under review and </w:t>
      </w:r>
      <w:bookmarkStart w:id="306" w:name="_Int_j4ivt4hG"/>
      <w:r w:rsidR="4A24E6D7">
        <w:t>update</w:t>
      </w:r>
      <w:bookmarkEnd w:id="306"/>
      <w:r w:rsidR="4A24E6D7">
        <w:t xml:space="preserve"> as necessary. Where within a category there is a significant locational </w:t>
      </w:r>
      <w:r w:rsidR="4A24E6D7">
        <w:lastRenderedPageBreak/>
        <w:t>difference consideration will be given to zonal generic factors. The factors used will be published in the Statement of Use of System Charges and will be reviewed annually.</w:t>
      </w:r>
    </w:p>
    <w:p w14:paraId="764B8874" w14:textId="77777777" w:rsidR="00636937" w:rsidRDefault="00636937" w:rsidP="00636937">
      <w:pPr>
        <w:pStyle w:val="1"/>
        <w:ind w:left="720"/>
        <w:jc w:val="both"/>
      </w:pPr>
    </w:p>
    <w:p w14:paraId="4ABEC0D4" w14:textId="77777777" w:rsidR="00636937" w:rsidRDefault="00636937" w:rsidP="00533333">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12F85411" w14:textId="77777777" w:rsidR="00636937" w:rsidRDefault="00636937" w:rsidP="00636937">
      <w:pPr>
        <w:pStyle w:val="1"/>
        <w:ind w:left="720"/>
        <w:jc w:val="both"/>
      </w:pPr>
    </w:p>
    <w:p w14:paraId="5BBDDBDA" w14:textId="4F684B86" w:rsidR="00636937" w:rsidRDefault="4C6B28F3" w:rsidP="00533333">
      <w:pPr>
        <w:pStyle w:val="1"/>
        <w:numPr>
          <w:ilvl w:val="0"/>
          <w:numId w:val="90"/>
        </w:numPr>
        <w:jc w:val="both"/>
      </w:pPr>
      <w:r>
        <w:t xml:space="preserve">For new and emerging generation plant types, where insufficient data is available to allow a generic ALF to be developed, </w:t>
      </w:r>
      <w:r w:rsidR="2EBFAECD" w:rsidRPr="00EC52BD">
        <w:rPr>
          <w:b/>
          <w:bCs/>
        </w:rPr>
        <w:t>The Company</w:t>
      </w:r>
      <w:r>
        <w:t xml:space="preserve"> will use the  best information available e.g. from manufactu</w:t>
      </w:r>
      <w:r w:rsidR="0AC22D9E">
        <w:t>er</w:t>
      </w:r>
      <w:r>
        <w:t xml:space="preserve">s and data from use of similar technologies outside GB. The factor will be agreed with the relevant Generator. In the event of a disagreement the standard provisions for dispute in the CUSC will apply. </w:t>
      </w:r>
    </w:p>
    <w:p w14:paraId="1DA82592" w14:textId="77777777" w:rsidR="00AB4296" w:rsidRDefault="00AB4296" w:rsidP="00AB4296">
      <w:pPr>
        <w:pStyle w:val="ListParagraph"/>
      </w:pPr>
    </w:p>
    <w:p w14:paraId="56B610AE" w14:textId="77777777" w:rsidR="00AB4296" w:rsidRDefault="00AB4296" w:rsidP="00AB4296">
      <w:pPr>
        <w:pStyle w:val="1"/>
        <w:ind w:left="1627"/>
        <w:jc w:val="both"/>
      </w:pPr>
    </w:p>
    <w:p w14:paraId="21AAB75C"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2D48F73A" w14:textId="77777777" w:rsidR="00481157" w:rsidRDefault="00481157" w:rsidP="00AB4296">
      <w:pPr>
        <w:pStyle w:val="ListParagraph"/>
      </w:pPr>
    </w:p>
    <w:p w14:paraId="63412563" w14:textId="77777777" w:rsidR="00481157" w:rsidRDefault="00481157" w:rsidP="00533333">
      <w:pPr>
        <w:pStyle w:val="1"/>
        <w:numPr>
          <w:ilvl w:val="0"/>
          <w:numId w:val="90"/>
        </w:numPr>
        <w:jc w:val="both"/>
      </w:pPr>
      <w:r>
        <w:t>Embedded exports are exports measured on a half-hourly basis by Metering Systems, in accordance with the BSC, that are not subject to generation TNUoS.</w:t>
      </w:r>
    </w:p>
    <w:p w14:paraId="55444571" w14:textId="77777777" w:rsidR="00481157" w:rsidRDefault="00481157" w:rsidP="00AB4296">
      <w:pPr>
        <w:pStyle w:val="1"/>
        <w:ind w:left="1627"/>
        <w:jc w:val="both"/>
      </w:pPr>
    </w:p>
    <w:p w14:paraId="3728F145" w14:textId="77777777" w:rsidR="00481157" w:rsidRDefault="00481157" w:rsidP="00533333">
      <w:pPr>
        <w:pStyle w:val="1"/>
        <w:numPr>
          <w:ilvl w:val="0"/>
          <w:numId w:val="90"/>
        </w:numPr>
        <w:jc w:val="both"/>
      </w:pPr>
      <w:r>
        <w:t>The embedded export tariff will be applied to the metered Triad volumes of Embedded Exports for each demand zone as follows:</w:t>
      </w:r>
    </w:p>
    <w:p w14:paraId="38BCA927" w14:textId="77777777" w:rsidR="00F248BB" w:rsidRDefault="00F248BB" w:rsidP="00AB4296">
      <w:pPr>
        <w:pStyle w:val="ListParagraph"/>
      </w:pPr>
    </w:p>
    <w:p w14:paraId="38B202C7" w14:textId="418D70B0" w:rsidR="00F248BB" w:rsidRPr="00575BBD" w:rsidRDefault="00B428B8"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20215C52"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3ADF68F7"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27CAA7E5"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2497BFB4"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CA2291D" w14:textId="2810C2EF"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E71FFB"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24103DBD"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1E1D4D69" w14:textId="60E230FE" w:rsidR="00143668" w:rsidRPr="00575BBD" w:rsidRDefault="00575BBD"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652F6F23" w14:textId="77777777" w:rsidR="00F248BB" w:rsidRDefault="00F248BB" w:rsidP="00143668">
      <w:pPr>
        <w:spacing w:line="191" w:lineRule="exact"/>
        <w:ind w:left="576"/>
        <w:textAlignment w:val="baseline"/>
        <w:rPr>
          <w:rFonts w:ascii="Arial" w:eastAsia="Arial" w:hAnsi="Arial"/>
          <w:sz w:val="22"/>
          <w:szCs w:val="22"/>
          <w:u w:val="single"/>
        </w:rPr>
      </w:pPr>
    </w:p>
    <w:p w14:paraId="67C7822E" w14:textId="59EF94AE"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6BDA1133" w14:textId="77777777" w:rsidR="00F248BB" w:rsidRDefault="00F248BB" w:rsidP="00EE1A26">
      <w:pPr>
        <w:spacing w:before="1" w:line="195" w:lineRule="exact"/>
        <w:ind w:left="576"/>
        <w:textAlignment w:val="baseline"/>
        <w:rPr>
          <w:rFonts w:ascii="Arial" w:eastAsia="Arial" w:hAnsi="Arial"/>
          <w:sz w:val="22"/>
          <w:szCs w:val="22"/>
        </w:rPr>
      </w:pPr>
    </w:p>
    <w:p w14:paraId="27D2C059" w14:textId="77777777" w:rsidR="00F248BB" w:rsidRDefault="00F248BB" w:rsidP="00AB4296">
      <w:pPr>
        <w:spacing w:before="1" w:line="195" w:lineRule="exact"/>
        <w:ind w:left="576"/>
        <w:jc w:val="center"/>
        <w:textAlignment w:val="baseline"/>
        <w:rPr>
          <w:rFonts w:ascii="Arial" w:eastAsia="Arial" w:hAnsi="Arial"/>
          <w:sz w:val="22"/>
          <w:szCs w:val="22"/>
        </w:rPr>
      </w:pPr>
    </w:p>
    <w:p w14:paraId="5B29E2AF" w14:textId="5D85E05E" w:rsidR="00F248BB" w:rsidRPr="00575BBD" w:rsidRDefault="00575BBD"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70EA30EF" w14:textId="77777777" w:rsidR="00F248BB" w:rsidRDefault="00F248BB" w:rsidP="00AB4296">
      <w:pPr>
        <w:spacing w:before="1" w:line="195" w:lineRule="exact"/>
        <w:ind w:left="576"/>
        <w:jc w:val="center"/>
        <w:textAlignment w:val="baseline"/>
        <w:rPr>
          <w:rFonts w:ascii="Arial" w:eastAsia="Arial" w:hAnsi="Arial"/>
          <w:sz w:val="22"/>
          <w:szCs w:val="22"/>
        </w:rPr>
      </w:pPr>
    </w:p>
    <w:p w14:paraId="63642719" w14:textId="77777777" w:rsidR="00EE1A26" w:rsidRDefault="00EE1A26" w:rsidP="00EE1A26">
      <w:pPr>
        <w:spacing w:before="1" w:line="195" w:lineRule="exact"/>
        <w:ind w:left="576"/>
        <w:textAlignment w:val="baseline"/>
        <w:rPr>
          <w:rFonts w:ascii="Arial" w:eastAsia="Arial" w:hAnsi="Arial"/>
          <w:sz w:val="22"/>
          <w:szCs w:val="22"/>
        </w:rPr>
      </w:pPr>
    </w:p>
    <w:p w14:paraId="143CE80A" w14:textId="64CCD65A"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E71FFB"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00E71FFB" w:rsidRPr="00E71FFB">
        <w:rPr>
          <w:rFonts w:ascii="Arial" w:hAnsi="Arial" w:cs="Arial"/>
          <w:b/>
          <w:sz w:val="22"/>
          <w:lang w:eastAsia="en-US"/>
        </w:rPr>
        <w:t>Financial Year</w:t>
      </w:r>
      <w:r w:rsidRPr="00AB4296">
        <w:rPr>
          <w:rFonts w:ascii="Arial" w:eastAsia="Arial" w:hAnsi="Arial"/>
          <w:sz w:val="22"/>
          <w:szCs w:val="22"/>
        </w:rPr>
        <w:t xml:space="preserve">: </w:t>
      </w:r>
    </w:p>
    <w:p w14:paraId="7F9E881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7FD6FC77"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75A07104" w14:textId="426F0B88"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271C962C" w14:textId="77777777" w:rsidR="0057184C" w:rsidRPr="00AB4296" w:rsidRDefault="34D616CE" w:rsidP="0057184C">
      <w:pPr>
        <w:tabs>
          <w:tab w:val="left" w:pos="1728"/>
        </w:tabs>
        <w:spacing w:before="2" w:line="208" w:lineRule="exact"/>
        <w:ind w:left="576" w:right="72"/>
        <w:jc w:val="both"/>
        <w:textAlignment w:val="baseline"/>
        <w:rPr>
          <w:rFonts w:ascii="Arial" w:eastAsia="Arial" w:hAnsi="Arial"/>
          <w:sz w:val="22"/>
          <w:szCs w:val="22"/>
        </w:rPr>
      </w:pPr>
      <w:r w:rsidRPr="0537B9E0">
        <w:rPr>
          <w:rFonts w:ascii="Arial" w:eastAsia="Arial" w:hAnsi="Arial"/>
          <w:sz w:val="22"/>
          <w:szCs w:val="22"/>
        </w:rPr>
        <w:t>AGIC =</w:t>
      </w:r>
      <w:r w:rsidR="0057184C">
        <w:tab/>
      </w:r>
      <w:r w:rsidRPr="0537B9E0">
        <w:rPr>
          <w:rFonts w:ascii="Arial" w:eastAsia="Arial" w:hAnsi="Arial"/>
          <w:sz w:val="22"/>
          <w:szCs w:val="22"/>
        </w:rPr>
        <w:t xml:space="preserve">The Avoided GSP Infrastructure Credit (AGIC) which represents the unit </w:t>
      </w:r>
      <w:r w:rsidR="0057184C">
        <w:br/>
      </w:r>
      <w:r w:rsidRPr="0537B9E0">
        <w:rPr>
          <w:rFonts w:ascii="Arial" w:eastAsia="Arial" w:hAnsi="Arial"/>
          <w:sz w:val="22"/>
          <w:szCs w:val="22"/>
        </w:rPr>
        <w:t xml:space="preserve">cost of infrastructure reinforcement at GSPs which is avoided </w:t>
      </w:r>
      <w:bookmarkStart w:id="307" w:name="_Int_JIbR17bL"/>
      <w:r w:rsidRPr="0537B9E0">
        <w:rPr>
          <w:rFonts w:ascii="Arial" w:eastAsia="Arial" w:hAnsi="Arial"/>
          <w:sz w:val="22"/>
          <w:szCs w:val="22"/>
        </w:rPr>
        <w:t>as a consequence of</w:t>
      </w:r>
      <w:bookmarkEnd w:id="307"/>
      <w:r w:rsidRPr="0537B9E0">
        <w:rPr>
          <w:rFonts w:ascii="Arial" w:eastAsia="Arial" w:hAnsi="Arial"/>
          <w:sz w:val="22"/>
          <w:szCs w:val="22"/>
        </w:rPr>
        <w:t xml:space="preserve"> embedded generation connected to the distribution networks served by those GSPs. It is calculated from the average annuitised cost of that infrastructure reinforcement divided by the average capacity delivered by a supergrid transformer. </w:t>
      </w:r>
    </w:p>
    <w:p w14:paraId="0EB9E93C" w14:textId="7CF3B189"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price  control process and indexed each year by the </w:t>
      </w:r>
      <w:r w:rsidR="003E40AA">
        <w:rPr>
          <w:rFonts w:ascii="Arial" w:eastAsia="Arial" w:hAnsi="Arial"/>
          <w:sz w:val="22"/>
          <w:szCs w:val="22"/>
        </w:rPr>
        <w:t>TOPI</w:t>
      </w:r>
      <w:r w:rsidR="003E40AA"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r w:rsidRPr="00AB4296">
        <w:rPr>
          <w:rFonts w:ascii="Arial" w:eastAsia="Arial" w:hAnsi="Arial"/>
          <w:sz w:val="22"/>
          <w:szCs w:val="22"/>
        </w:rPr>
        <w:lastRenderedPageBreak/>
        <w:t xml:space="preserve">supergrid transformers or any other connection assets as they are paid for by the relevant DNOs thorough their connection charges. </w:t>
      </w:r>
    </w:p>
    <w:p w14:paraId="0D354EB5"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51193A2A" w14:textId="40FDF98E" w:rsidR="0057184C" w:rsidRDefault="0057184C" w:rsidP="00AB4296">
      <w:pPr>
        <w:spacing w:before="1" w:line="208" w:lineRule="exact"/>
        <w:ind w:left="576" w:right="72"/>
        <w:jc w:val="both"/>
        <w:textAlignment w:val="baseline"/>
        <w:rPr>
          <w:rFonts w:ascii="Arial" w:eastAsia="Arial" w:hAnsi="Arial"/>
          <w:sz w:val="22"/>
          <w:szCs w:val="22"/>
        </w:rPr>
      </w:pPr>
    </w:p>
    <w:p w14:paraId="4FD930E1" w14:textId="77777777" w:rsidR="0057184C"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p>
    <w:p w14:paraId="5A34F67D" w14:textId="77777777" w:rsidR="00636937" w:rsidRDefault="00636937" w:rsidP="00636937">
      <w:pPr>
        <w:pStyle w:val="Heading3"/>
        <w:ind w:left="709"/>
        <w:jc w:val="both"/>
        <w:rPr>
          <w:rFonts w:ascii="Arial" w:hAnsi="Arial" w:cs="Arial"/>
          <w:b/>
        </w:rPr>
      </w:pPr>
      <w:r>
        <w:rPr>
          <w:rFonts w:ascii="Arial" w:hAnsi="Arial" w:cs="Arial"/>
          <w:b/>
        </w:rPr>
        <w:t>Initial Revenue Recovery</w:t>
      </w:r>
    </w:p>
    <w:p w14:paraId="3CE0EF94" w14:textId="77777777" w:rsidR="00636937" w:rsidRPr="0039630E" w:rsidRDefault="00636937" w:rsidP="00533333">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1C53D643" w14:textId="6A5B9719" w:rsidR="00636937" w:rsidRDefault="00636937" w:rsidP="00636937">
      <w:pPr>
        <w:pStyle w:val="1"/>
        <w:ind w:left="2880"/>
        <w:jc w:val="both"/>
        <w:rPr>
          <w:rFonts w:ascii="Arial" w:hAnsi="Arial"/>
        </w:rPr>
      </w:pPr>
    </w:p>
    <w:p w14:paraId="574F857B" w14:textId="77777777" w:rsidR="00E30829" w:rsidRDefault="00E30829" w:rsidP="00636937">
      <w:pPr>
        <w:pStyle w:val="1"/>
        <w:ind w:left="2880"/>
        <w:jc w:val="both"/>
        <w:rPr>
          <w:rFonts w:ascii="Arial" w:hAnsi="Arial"/>
        </w:rPr>
      </w:pPr>
    </w:p>
    <w:p w14:paraId="20C0A1EB"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19106CDF"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262D58D7"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34B601EE"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4574C86C"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2C39C395" w14:textId="77777777" w:rsidR="00E30829" w:rsidRDefault="00E30829" w:rsidP="00E30829">
      <w:pPr>
        <w:pStyle w:val="1"/>
        <w:ind w:left="720"/>
        <w:jc w:val="both"/>
      </w:pPr>
      <w:r>
        <w:t>n</w:t>
      </w:r>
      <w:r>
        <w:tab/>
      </w:r>
      <w:r>
        <w:tab/>
        <w:t>=          Number of generation zones</w:t>
      </w:r>
    </w:p>
    <w:p w14:paraId="3F10F7A2" w14:textId="77777777" w:rsidR="00E30829" w:rsidRDefault="00E30829" w:rsidP="00E30829">
      <w:pPr>
        <w:pStyle w:val="1"/>
        <w:ind w:left="720"/>
        <w:jc w:val="both"/>
      </w:pPr>
    </w:p>
    <w:p w14:paraId="08F8C6CA"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4AEEEB0E" w14:textId="77777777" w:rsidR="00E30829" w:rsidRDefault="00E30829" w:rsidP="00E30829">
      <w:pPr>
        <w:pStyle w:val="1"/>
        <w:ind w:left="1440"/>
        <w:jc w:val="both"/>
      </w:pPr>
    </w:p>
    <w:p w14:paraId="4ABC505A" w14:textId="56C0841B" w:rsidR="00E30829" w:rsidRDefault="00E30829" w:rsidP="00E30829">
      <w:pPr>
        <w:pStyle w:val="1"/>
        <w:ind w:left="1440"/>
        <w:jc w:val="both"/>
        <w:rPr>
          <w:rFonts w:ascii="Arial" w:hAnsi="Arial"/>
        </w:rPr>
      </w:pPr>
    </w:p>
    <w:p w14:paraId="3563657C" w14:textId="77777777" w:rsidR="00E30829" w:rsidRDefault="00E30829" w:rsidP="000B6C0D">
      <w:pPr>
        <w:pStyle w:val="1"/>
        <w:jc w:val="both"/>
        <w:rPr>
          <w:rFonts w:ascii="Arial" w:hAnsi="Arial"/>
        </w:rPr>
      </w:pPr>
    </w:p>
    <w:p w14:paraId="41392941" w14:textId="77777777" w:rsidR="00E30829" w:rsidRDefault="00E30829" w:rsidP="000B6C0D">
      <w:pPr>
        <w:pStyle w:val="1"/>
        <w:jc w:val="both"/>
      </w:pPr>
      <w:r>
        <w:rPr>
          <w:rFonts w:ascii="Arial" w:hAnsi="Arial"/>
        </w:rPr>
        <w:tab/>
        <w:t>Where:</w:t>
      </w:r>
    </w:p>
    <w:p w14:paraId="48F068F9"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49F7E170"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45905C61"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4E34D52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5BE1D976"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026068BA" w14:textId="77777777" w:rsidR="00E30829" w:rsidRDefault="0C010581" w:rsidP="00533333">
      <w:pPr>
        <w:pStyle w:val="Heading3"/>
        <w:numPr>
          <w:ilvl w:val="0"/>
          <w:numId w:val="90"/>
        </w:numPr>
        <w:jc w:val="both"/>
        <w:rPr>
          <w:rFonts w:ascii="Arial" w:hAnsi="Arial" w:cs="Arial"/>
        </w:rPr>
      </w:pPr>
      <w:r w:rsidRPr="0537B9E0">
        <w:rPr>
          <w:rFonts w:ascii="Arial" w:hAnsi="Arial" w:cs="Arial"/>
        </w:rPr>
        <w:t>For the Year Round background</w:t>
      </w:r>
      <w:r>
        <w:t xml:space="preserve">, </w:t>
      </w:r>
      <w:r w:rsidRPr="0537B9E0">
        <w:rPr>
          <w:rFonts w:ascii="Arial" w:hAnsi="Arial" w:cs="Arial"/>
        </w:rPr>
        <w:t>the initial tariff for generation is multiplied by the total forecast generation capacity whilst calculating Initial Recovery for</w:t>
      </w:r>
      <w:r w:rsidR="71D56782" w:rsidRPr="0537B9E0">
        <w:rPr>
          <w:rFonts w:ascii="Arial" w:hAnsi="Arial" w:cs="Arial"/>
        </w:rPr>
        <w:t xml:space="preserve"> the</w:t>
      </w:r>
      <w:r w:rsidRPr="0537B9E0">
        <w:rPr>
          <w:rFonts w:ascii="Arial" w:hAnsi="Arial" w:cs="Arial"/>
        </w:rPr>
        <w:t xml:space="preserve"> Not-Shared component</w:t>
      </w:r>
      <w:r w:rsidR="71D56782" w:rsidRPr="0537B9E0">
        <w:rPr>
          <w:rFonts w:ascii="Arial" w:hAnsi="Arial" w:cs="Arial"/>
        </w:rPr>
        <w:t xml:space="preserve"> from Non Conventional Carbon. For Conventional </w:t>
      </w:r>
      <w:bookmarkStart w:id="308" w:name="_Int_zfdA2ilm"/>
      <w:r w:rsidR="71D56782" w:rsidRPr="0537B9E0">
        <w:rPr>
          <w:rFonts w:ascii="Arial" w:hAnsi="Arial" w:cs="Arial"/>
        </w:rPr>
        <w:t>Carbon</w:t>
      </w:r>
      <w:bookmarkEnd w:id="308"/>
      <w:r w:rsidR="71D56782" w:rsidRPr="0537B9E0">
        <w:rPr>
          <w:rFonts w:ascii="Arial" w:hAnsi="Arial" w:cs="Arial"/>
        </w:rPr>
        <w:t xml:space="preserve"> the initial tariff for the Not Shared component is multiplied by both, the total forecast generation </w:t>
      </w:r>
      <w:bookmarkStart w:id="309" w:name="_Int_fuFWXSg0"/>
      <w:r w:rsidR="71D56782" w:rsidRPr="0537B9E0">
        <w:rPr>
          <w:rFonts w:ascii="Arial" w:hAnsi="Arial" w:cs="Arial"/>
        </w:rPr>
        <w:t>capacity</w:t>
      </w:r>
      <w:bookmarkEnd w:id="309"/>
      <w:r w:rsidR="71D56782" w:rsidRPr="0537B9E0">
        <w:rPr>
          <w:rFonts w:ascii="Arial" w:hAnsi="Arial" w:cs="Arial"/>
        </w:rPr>
        <w:t xml:space="preserve"> and the ALF to give the initial revenue recovery.</w:t>
      </w:r>
      <w:r w:rsidRPr="0537B9E0">
        <w:rPr>
          <w:rFonts w:ascii="Arial" w:hAnsi="Arial" w:cs="Arial"/>
        </w:rPr>
        <w:t xml:space="preserve"> </w:t>
      </w:r>
      <w:r w:rsidR="71D56782" w:rsidRPr="0537B9E0">
        <w:rPr>
          <w:rFonts w:ascii="Arial" w:hAnsi="Arial" w:cs="Arial"/>
        </w:rPr>
        <w:t>T</w:t>
      </w:r>
      <w:r w:rsidRPr="0537B9E0">
        <w:rPr>
          <w:rFonts w:ascii="Arial" w:hAnsi="Arial" w:cs="Arial"/>
        </w:rPr>
        <w:t>he initial tariff for</w:t>
      </w:r>
      <w:r w:rsidR="71D56782" w:rsidRPr="0537B9E0">
        <w:rPr>
          <w:rFonts w:ascii="Arial" w:hAnsi="Arial" w:cs="Arial"/>
        </w:rPr>
        <w:t xml:space="preserve"> the</w:t>
      </w:r>
      <w:r w:rsidRPr="0537B9E0">
        <w:rPr>
          <w:rFonts w:ascii="Arial" w:hAnsi="Arial" w:cs="Arial"/>
        </w:rPr>
        <w:t xml:space="preserve"> Shared component is multiplied by both, the total forecast generation </w:t>
      </w:r>
      <w:bookmarkStart w:id="310" w:name="_Int_sLMVxweX"/>
      <w:r w:rsidRPr="0537B9E0">
        <w:rPr>
          <w:rFonts w:ascii="Arial" w:hAnsi="Arial" w:cs="Arial"/>
        </w:rPr>
        <w:t>capacity</w:t>
      </w:r>
      <w:bookmarkEnd w:id="310"/>
      <w:r w:rsidRPr="0537B9E0">
        <w:rPr>
          <w:rFonts w:ascii="Arial" w:hAnsi="Arial" w:cs="Arial"/>
        </w:rPr>
        <w:t xml:space="preserve"> and the ALF to give the initial revenue recovery:</w:t>
      </w:r>
    </w:p>
    <w:p w14:paraId="479E476A" w14:textId="77777777" w:rsidR="0079786A" w:rsidRDefault="0079786A" w:rsidP="00970793">
      <w:pPr>
        <w:ind w:left="1627"/>
        <w:jc w:val="center"/>
        <w:rPr>
          <w:rFonts w:ascii="Arial" w:hAnsi="Arial"/>
          <w:position w:val="-28"/>
        </w:rPr>
      </w:pPr>
    </w:p>
    <w:p w14:paraId="1E268EEB" w14:textId="68680C22" w:rsidR="00B676A0" w:rsidRPr="00575BBD" w:rsidRDefault="00B428B8"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48459CF2" w14:textId="77777777" w:rsidR="00B676A0" w:rsidRDefault="00B676A0" w:rsidP="00970793">
      <w:pPr>
        <w:ind w:left="1627"/>
        <w:jc w:val="center"/>
      </w:pPr>
    </w:p>
    <w:p w14:paraId="31A2C602" w14:textId="77777777" w:rsidR="004D3E10" w:rsidRDefault="004D3E10" w:rsidP="00970793">
      <w:pPr>
        <w:ind w:left="1627"/>
        <w:jc w:val="center"/>
      </w:pPr>
    </w:p>
    <w:p w14:paraId="4C930940" w14:textId="77777777" w:rsidR="004D3E10" w:rsidRDefault="004D3E10" w:rsidP="000B6C0D">
      <w:pPr>
        <w:ind w:left="1627"/>
        <w:jc w:val="both"/>
      </w:pPr>
    </w:p>
    <w:p w14:paraId="3FD6C3E0" w14:textId="5097882F" w:rsidR="004D3E10" w:rsidRPr="00575BBD" w:rsidRDefault="00B428B8"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m:t>
              </m:r>
              <m:r>
                <w:rPr>
                  <w:rFonts w:ascii="Cambria Math" w:hAnsi="Cambria Math"/>
                </w:rPr>
                <m:t>RNSCC</m:t>
              </m:r>
            </m:sub>
          </m:sSub>
        </m:oMath>
      </m:oMathPara>
    </w:p>
    <w:p w14:paraId="2D254A3C" w14:textId="77777777" w:rsidR="004D3E10" w:rsidRDefault="004D3E10" w:rsidP="00970793">
      <w:pPr>
        <w:ind w:left="1627"/>
        <w:jc w:val="center"/>
        <w:rPr>
          <w:rFonts w:ascii="Arial" w:hAnsi="Arial"/>
        </w:rPr>
      </w:pPr>
    </w:p>
    <w:p w14:paraId="0A9D9BD1" w14:textId="3298DA79" w:rsidR="0079786A" w:rsidRDefault="0079786A" w:rsidP="00970793">
      <w:pPr>
        <w:tabs>
          <w:tab w:val="left" w:pos="2268"/>
          <w:tab w:val="left" w:pos="7088"/>
        </w:tabs>
        <w:ind w:left="1627"/>
        <w:jc w:val="center"/>
        <w:rPr>
          <w:rFonts w:ascii="Arial" w:hAnsi="Arial"/>
        </w:rPr>
      </w:pPr>
    </w:p>
    <w:p w14:paraId="5B6F675B" w14:textId="77777777" w:rsidR="0079786A" w:rsidRDefault="0079786A" w:rsidP="000B6C0D">
      <w:pPr>
        <w:ind w:left="1627"/>
        <w:rPr>
          <w:rFonts w:ascii="Arial" w:hAnsi="Arial"/>
        </w:rPr>
      </w:pPr>
    </w:p>
    <w:p w14:paraId="5BDD045E" w14:textId="1BD57E5D" w:rsidR="004D3E10" w:rsidRPr="00575BBD" w:rsidRDefault="00575BBD"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48FD8315" w14:textId="77777777" w:rsidR="0079786A" w:rsidRDefault="0079786A" w:rsidP="000B6C0D">
      <w:pPr>
        <w:tabs>
          <w:tab w:val="left" w:pos="2268"/>
          <w:tab w:val="left" w:pos="7088"/>
        </w:tabs>
        <w:ind w:left="1627"/>
        <w:rPr>
          <w:rFonts w:ascii="Arial" w:hAnsi="Arial"/>
        </w:rPr>
      </w:pPr>
    </w:p>
    <w:p w14:paraId="409A9CE9" w14:textId="77777777" w:rsidR="0079786A" w:rsidRDefault="00423464" w:rsidP="0079786A">
      <w:pPr>
        <w:jc w:val="both"/>
        <w:rPr>
          <w:rFonts w:ascii="Arial" w:hAnsi="Arial"/>
        </w:rPr>
      </w:pPr>
      <w:r>
        <w:rPr>
          <w:rFonts w:ascii="Arial" w:hAnsi="Arial"/>
          <w:sz w:val="22"/>
          <w:szCs w:val="20"/>
          <w:lang w:eastAsia="en-US"/>
        </w:rPr>
        <w:tab/>
      </w:r>
      <w:r w:rsidR="0079786A" w:rsidRPr="00EE71EE">
        <w:rPr>
          <w:rFonts w:ascii="Arial" w:hAnsi="Arial"/>
          <w:sz w:val="22"/>
          <w:szCs w:val="20"/>
          <w:lang w:eastAsia="en-US"/>
        </w:rPr>
        <w:t>Where</w:t>
      </w:r>
      <w:r w:rsidR="0079786A">
        <w:rPr>
          <w:rFonts w:ascii="Arial" w:hAnsi="Arial"/>
        </w:rPr>
        <w:t>:</w:t>
      </w:r>
    </w:p>
    <w:p w14:paraId="0682802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577ADBB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F4ADD62"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161BC867"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2E3DC0D"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3A7DC74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0651A4A4"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0525D88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17EFBE28"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635ED095" w14:textId="77777777" w:rsidR="004D3E10" w:rsidRPr="004D3E10" w:rsidRDefault="004D3E10" w:rsidP="004D3E10">
      <w:pPr>
        <w:tabs>
          <w:tab w:val="left" w:pos="2160"/>
        </w:tabs>
        <w:jc w:val="both"/>
        <w:rPr>
          <w:rFonts w:ascii="Arial" w:hAnsi="Arial" w:cs="Arial"/>
          <w:sz w:val="22"/>
          <w:szCs w:val="22"/>
        </w:rPr>
      </w:pPr>
    </w:p>
    <w:p w14:paraId="4774CBFB" w14:textId="77777777" w:rsidR="0079786A" w:rsidRDefault="0079786A" w:rsidP="0079786A">
      <w:pPr>
        <w:jc w:val="both"/>
        <w:rPr>
          <w:rFonts w:ascii="Arial" w:hAnsi="Arial"/>
        </w:rPr>
      </w:pPr>
    </w:p>
    <w:p w14:paraId="66C22C94" w14:textId="77777777" w:rsidR="0079786A" w:rsidRDefault="7A8BCEE0" w:rsidP="00533333">
      <w:pPr>
        <w:pStyle w:val="1"/>
        <w:numPr>
          <w:ilvl w:val="0"/>
          <w:numId w:val="90"/>
        </w:numPr>
        <w:jc w:val="both"/>
      </w:pPr>
      <w:bookmarkStart w:id="311" w:name="_Int_Yq2KmU2U"/>
      <w:r w:rsidRPr="0537B9E0">
        <w:rPr>
          <w:rFonts w:ascii="Arial" w:hAnsi="Arial"/>
        </w:rPr>
        <w:t>Similar to</w:t>
      </w:r>
      <w:bookmarkEnd w:id="311"/>
      <w:r w:rsidRPr="0537B9E0">
        <w:rPr>
          <w:rFonts w:ascii="Arial" w:hAnsi="Arial"/>
        </w:rPr>
        <w:t xml:space="preserve"> the Peak Security background, t</w:t>
      </w:r>
      <w:r>
        <w:t>he initial revenue recovery for</w:t>
      </w:r>
      <w:r w:rsidR="34D616CE">
        <w:t xml:space="preserve"> gross  GSP group</w:t>
      </w:r>
      <w:r>
        <w:t xml:space="preserve"> demand for the Year Round background is calculated by multiplying the initial tariff by the total forecast metered triad</w:t>
      </w:r>
      <w:r w:rsidR="34D616CE">
        <w:t xml:space="preserve"> gross GSP group</w:t>
      </w:r>
      <w:r>
        <w:t xml:space="preserve"> demand:</w:t>
      </w:r>
    </w:p>
    <w:p w14:paraId="42352626" w14:textId="77777777" w:rsidR="0079786A" w:rsidRDefault="0079786A" w:rsidP="000B6C0D">
      <w:pPr>
        <w:tabs>
          <w:tab w:val="left" w:pos="2268"/>
          <w:tab w:val="left" w:pos="7088"/>
        </w:tabs>
        <w:ind w:left="1627"/>
        <w:rPr>
          <w:rFonts w:ascii="Arial" w:hAnsi="Arial"/>
        </w:rPr>
      </w:pPr>
    </w:p>
    <w:p w14:paraId="0C05475D" w14:textId="77777777" w:rsidR="0079786A" w:rsidRDefault="0079786A" w:rsidP="000B6C0D">
      <w:pPr>
        <w:tabs>
          <w:tab w:val="left" w:pos="2268"/>
          <w:tab w:val="left" w:pos="7088"/>
        </w:tabs>
        <w:ind w:left="1627"/>
        <w:rPr>
          <w:rFonts w:ascii="Arial" w:hAnsi="Arial"/>
        </w:rPr>
      </w:pPr>
    </w:p>
    <w:p w14:paraId="418F802B" w14:textId="2D02258E" w:rsidR="0079786A" w:rsidRDefault="0079786A" w:rsidP="000B6C0D">
      <w:pPr>
        <w:tabs>
          <w:tab w:val="left" w:pos="2268"/>
          <w:tab w:val="left" w:pos="7088"/>
        </w:tabs>
        <w:ind w:left="1627"/>
        <w:rPr>
          <w:rFonts w:ascii="Arial" w:hAnsi="Arial"/>
        </w:rPr>
      </w:pPr>
    </w:p>
    <w:p w14:paraId="3934D31B" w14:textId="77777777" w:rsidR="00E30829" w:rsidRPr="0039630E" w:rsidRDefault="00E30829" w:rsidP="000B6C0D">
      <w:pPr>
        <w:pStyle w:val="Heading3"/>
        <w:ind w:left="1627"/>
        <w:jc w:val="both"/>
        <w:rPr>
          <w:rFonts w:ascii="Arial" w:hAnsi="Arial" w:cs="Arial"/>
        </w:rPr>
      </w:pPr>
    </w:p>
    <w:p w14:paraId="3A937259" w14:textId="77777777" w:rsidR="006661FE" w:rsidRDefault="006661FE" w:rsidP="006661FE">
      <w:pPr>
        <w:pStyle w:val="Variableexplanation"/>
        <w:tabs>
          <w:tab w:val="clear" w:pos="1134"/>
          <w:tab w:val="clear" w:pos="1418"/>
          <w:tab w:val="clear" w:pos="1701"/>
        </w:tabs>
        <w:rPr>
          <w:rFonts w:ascii="Arial" w:hAnsi="Arial"/>
          <w:sz w:val="22"/>
        </w:rPr>
      </w:pPr>
    </w:p>
    <w:p w14:paraId="45969B5F" w14:textId="77777777" w:rsidR="006661FE" w:rsidRDefault="006661FE" w:rsidP="006661FE">
      <w:pPr>
        <w:jc w:val="both"/>
        <w:rPr>
          <w:rFonts w:ascii="Arial" w:hAnsi="Arial"/>
        </w:rPr>
      </w:pPr>
      <w:r>
        <w:rPr>
          <w:rFonts w:ascii="Arial" w:hAnsi="Arial"/>
        </w:rPr>
        <w:tab/>
        <w:t xml:space="preserve">            </w:t>
      </w:r>
    </w:p>
    <w:p w14:paraId="3DD35996" w14:textId="77777777" w:rsidR="0079786A" w:rsidRDefault="0079786A" w:rsidP="0079786A">
      <w:pPr>
        <w:pStyle w:val="Variableexplanation"/>
        <w:tabs>
          <w:tab w:val="clear" w:pos="1134"/>
          <w:tab w:val="clear" w:pos="1418"/>
          <w:tab w:val="clear" w:pos="1701"/>
        </w:tabs>
        <w:rPr>
          <w:rFonts w:ascii="Arial" w:hAnsi="Arial"/>
          <w:sz w:val="22"/>
        </w:rPr>
      </w:pPr>
      <w:bookmarkStart w:id="312" w:name="_Hlt511625695"/>
      <w:r>
        <w:rPr>
          <w:rFonts w:ascii="Arial" w:hAnsi="Arial"/>
          <w:sz w:val="22"/>
        </w:rPr>
        <w:t>Where:</w:t>
      </w:r>
    </w:p>
    <w:p w14:paraId="7020B3AB"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3199A1B4"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6DDD5685" w14:textId="77777777" w:rsidR="006661FE" w:rsidRDefault="006661FE" w:rsidP="006661FE"/>
    <w:p w14:paraId="5F4D2E3E" w14:textId="77777777" w:rsidR="0057184C" w:rsidRDefault="0057184C" w:rsidP="00533333">
      <w:pPr>
        <w:pStyle w:val="1"/>
        <w:numPr>
          <w:ilvl w:val="0"/>
          <w:numId w:val="90"/>
        </w:numPr>
        <w:jc w:val="both"/>
      </w:pPr>
      <w:r>
        <w:t>The initial revenue recovery for Embedded Exports is the Embedded Export Tariff multiplied by the total forecast volume of Embedded Export at triad:</w:t>
      </w:r>
    </w:p>
    <w:p w14:paraId="2EF3D92A" w14:textId="77777777" w:rsidR="00A26D6E" w:rsidRDefault="00A26D6E" w:rsidP="00AB4296">
      <w:pPr>
        <w:pStyle w:val="1"/>
        <w:jc w:val="both"/>
      </w:pPr>
    </w:p>
    <w:p w14:paraId="5BDEF586" w14:textId="6F2E7638" w:rsidR="00A26D6E" w:rsidRPr="00575BBD" w:rsidRDefault="00B428B8"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m:t>
                  </m:r>
                  <m:r>
                    <w:rPr>
                      <w:rFonts w:ascii="Cambria Math" w:hAnsi="Cambria Math" w:cs="Arial"/>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137E0AA5" w14:textId="77777777" w:rsidR="00A26D6E" w:rsidRPr="00AB4296" w:rsidRDefault="00A26D6E" w:rsidP="00AB4296">
      <w:pPr>
        <w:pStyle w:val="1"/>
        <w:jc w:val="both"/>
      </w:pPr>
    </w:p>
    <w:p w14:paraId="656B242C" w14:textId="77777777" w:rsidR="0057184C" w:rsidRDefault="000C762C" w:rsidP="00AB4296">
      <w:pPr>
        <w:pStyle w:val="1"/>
        <w:jc w:val="both"/>
      </w:pPr>
      <w:r>
        <w:t xml:space="preserve">Where </w:t>
      </w:r>
    </w:p>
    <w:p w14:paraId="5A5789B8" w14:textId="77777777" w:rsidR="000C762C" w:rsidRDefault="000C762C" w:rsidP="00AB4296">
      <w:pPr>
        <w:pStyle w:val="1"/>
        <w:jc w:val="both"/>
      </w:pPr>
    </w:p>
    <w:p w14:paraId="6B4B3A9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013E8DB"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56D8FB57"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D2F1404"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721FCE5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93CE216"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3FBA3C3C" w14:textId="77777777" w:rsidR="000C762C" w:rsidRPr="0057184C" w:rsidRDefault="000C762C" w:rsidP="00AB4296">
      <w:pPr>
        <w:pStyle w:val="1"/>
        <w:jc w:val="both"/>
      </w:pPr>
    </w:p>
    <w:p w14:paraId="66A5A642" w14:textId="77777777" w:rsidR="0057184C" w:rsidRPr="00D76842" w:rsidRDefault="0057184C" w:rsidP="006661FE"/>
    <w:p w14:paraId="7BE8115B" w14:textId="77777777" w:rsidR="006661FE" w:rsidRDefault="006661FE" w:rsidP="006661FE">
      <w:pPr>
        <w:pStyle w:val="Heading2"/>
        <w:ind w:left="720"/>
        <w:rPr>
          <w:color w:val="auto"/>
        </w:rPr>
      </w:pPr>
      <w:bookmarkStart w:id="313" w:name="_Toc208554779"/>
      <w:bookmarkStart w:id="314" w:name="_Toc208745842"/>
      <w:bookmarkStart w:id="315" w:name="_Toc274049688"/>
      <w:r w:rsidRPr="00D76842">
        <w:rPr>
          <w:color w:val="auto"/>
        </w:rPr>
        <w:t>Deriving the Final Local Tariff</w:t>
      </w:r>
      <w:bookmarkEnd w:id="313"/>
      <w:bookmarkEnd w:id="314"/>
      <w:r>
        <w:rPr>
          <w:color w:val="auto"/>
        </w:rPr>
        <w:t xml:space="preserve"> (</w:t>
      </w:r>
      <w:r w:rsidRPr="00D76842">
        <w:rPr>
          <w:color w:val="auto"/>
        </w:rPr>
        <w:t>£/kW</w:t>
      </w:r>
      <w:r>
        <w:rPr>
          <w:color w:val="auto"/>
        </w:rPr>
        <w:t>)</w:t>
      </w:r>
      <w:bookmarkEnd w:id="315"/>
    </w:p>
    <w:p w14:paraId="10EED908" w14:textId="77777777" w:rsidR="006661FE" w:rsidRPr="00736F0E" w:rsidRDefault="006661FE" w:rsidP="006661FE"/>
    <w:p w14:paraId="3608BCE2" w14:textId="77777777" w:rsidR="006661FE" w:rsidRPr="009F4FB0" w:rsidRDefault="006661FE" w:rsidP="006661FE">
      <w:pPr>
        <w:pStyle w:val="Heading2"/>
        <w:ind w:left="720"/>
        <w:rPr>
          <w:i/>
          <w:color w:val="auto"/>
        </w:rPr>
      </w:pPr>
      <w:bookmarkStart w:id="316" w:name="_Toc208554780"/>
      <w:bookmarkStart w:id="317" w:name="_Toc208745843"/>
      <w:bookmarkStart w:id="318" w:name="_Toc274049689"/>
      <w:r w:rsidRPr="009F4FB0">
        <w:rPr>
          <w:i/>
          <w:color w:val="auto"/>
        </w:rPr>
        <w:t>Local Circuit Tariff</w:t>
      </w:r>
      <w:bookmarkEnd w:id="316"/>
      <w:bookmarkEnd w:id="317"/>
      <w:bookmarkEnd w:id="318"/>
    </w:p>
    <w:p w14:paraId="0842EDB1" w14:textId="77777777" w:rsidR="006661FE" w:rsidRPr="00D76842" w:rsidRDefault="006661FE" w:rsidP="006661FE"/>
    <w:p w14:paraId="0AA54CA3" w14:textId="77777777" w:rsidR="006661FE" w:rsidRDefault="006661FE" w:rsidP="00533333">
      <w:pPr>
        <w:pStyle w:val="1"/>
        <w:numPr>
          <w:ilvl w:val="0"/>
          <w:numId w:val="90"/>
        </w:numPr>
        <w:jc w:val="both"/>
      </w:pPr>
      <w:r w:rsidRPr="00D76842">
        <w:lastRenderedPageBreak/>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72ACBE02" w14:textId="77777777" w:rsidR="006C4437" w:rsidRPr="00D76842" w:rsidRDefault="006C4437" w:rsidP="00E47487">
      <w:pPr>
        <w:pStyle w:val="1"/>
        <w:ind w:left="2478"/>
        <w:jc w:val="both"/>
      </w:pPr>
    </w:p>
    <w:p w14:paraId="0279B893" w14:textId="3A13A411" w:rsidR="006661FE" w:rsidRPr="00D76842" w:rsidRDefault="006C4437" w:rsidP="006C4437">
      <w:pPr>
        <w:ind w:left="1985"/>
        <w:jc w:val="both"/>
      </w:pPr>
      <w:r w:rsidRPr="00DC47D5">
        <w:rPr>
          <w:rFonts w:ascii="Arial" w:hAnsi="Arial"/>
          <w:noProof/>
          <w:position w:val="-28"/>
          <w:sz w:val="22"/>
        </w:rPr>
        <w:drawing>
          <wp:inline distT="0" distB="0" distL="0" distR="0" wp14:anchorId="1E89FEAA" wp14:editId="2EFB751C">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p>
    <w:p w14:paraId="12AA8B17" w14:textId="46678B02" w:rsidR="006661FE" w:rsidRPr="00D76842" w:rsidRDefault="006661FE" w:rsidP="006661FE">
      <w:pPr>
        <w:pStyle w:val="Equation"/>
        <w:jc w:val="center"/>
        <w:rPr>
          <w:rFonts w:ascii="Arial" w:hAnsi="Arial"/>
          <w:sz w:val="22"/>
        </w:rPr>
      </w:pPr>
    </w:p>
    <w:p w14:paraId="33A6A0DD" w14:textId="77777777" w:rsidR="006661FE" w:rsidRPr="00D76842" w:rsidRDefault="006661FE" w:rsidP="006661FE">
      <w:pPr>
        <w:jc w:val="both"/>
      </w:pPr>
    </w:p>
    <w:p w14:paraId="1A760EE9" w14:textId="77777777" w:rsidR="006661FE" w:rsidRPr="00D76842" w:rsidRDefault="006661FE" w:rsidP="006661FE">
      <w:pPr>
        <w:ind w:firstLine="720"/>
        <w:jc w:val="both"/>
      </w:pPr>
      <w:r w:rsidRPr="009F4FB0">
        <w:rPr>
          <w:rFonts w:ascii="Arial" w:hAnsi="Arial"/>
          <w:sz w:val="22"/>
        </w:rPr>
        <w:t>Where</w:t>
      </w:r>
    </w:p>
    <w:p w14:paraId="3E26C534"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70683D72"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6A0A2B48"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32B6683"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53088502"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08E37A44" w14:textId="77777777" w:rsidR="006661FE" w:rsidRDefault="006661FE" w:rsidP="006661FE">
      <w:pPr>
        <w:pStyle w:val="Heading3"/>
        <w:ind w:left="709"/>
      </w:pPr>
      <w:bookmarkStart w:id="319" w:name="_Toc208554781"/>
      <w:bookmarkStart w:id="320" w:name="_Toc208745844"/>
    </w:p>
    <w:p w14:paraId="19D642B2" w14:textId="77777777" w:rsidR="006661FE" w:rsidRPr="00543982" w:rsidRDefault="006661FE" w:rsidP="006661FE">
      <w:pPr>
        <w:pStyle w:val="Heading3"/>
        <w:ind w:left="709"/>
        <w:rPr>
          <w:rFonts w:ascii="Arial" w:hAnsi="Arial" w:cs="Arial"/>
          <w:b/>
        </w:rPr>
      </w:pPr>
      <w:bookmarkStart w:id="321" w:name="_Toc274049690"/>
      <w:r w:rsidRPr="00543982">
        <w:rPr>
          <w:rFonts w:ascii="Arial" w:hAnsi="Arial" w:cs="Arial"/>
          <w:b/>
        </w:rPr>
        <w:t>Onshore Local Substation Tariff</w:t>
      </w:r>
      <w:bookmarkEnd w:id="319"/>
      <w:bookmarkEnd w:id="320"/>
      <w:bookmarkEnd w:id="321"/>
      <w:r w:rsidRPr="00543982">
        <w:rPr>
          <w:rFonts w:ascii="Arial" w:hAnsi="Arial" w:cs="Arial"/>
          <w:b/>
        </w:rPr>
        <w:t xml:space="preserve"> </w:t>
      </w:r>
    </w:p>
    <w:p w14:paraId="4BC95EC9" w14:textId="77777777" w:rsidR="006661FE" w:rsidRPr="00D76842" w:rsidRDefault="006661FE" w:rsidP="00533333">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074620BC" w14:textId="77777777" w:rsidR="006661FE" w:rsidRPr="00D76842" w:rsidRDefault="006661FE" w:rsidP="006661FE">
      <w:pPr>
        <w:pStyle w:val="1"/>
        <w:keepNext/>
        <w:ind w:left="709" w:hanging="709"/>
        <w:jc w:val="both"/>
      </w:pPr>
      <w:r w:rsidRPr="00D76842">
        <w:tab/>
      </w:r>
    </w:p>
    <w:p w14:paraId="28628C5D"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67AF8ADF" w14:textId="77777777" w:rsidR="006661FE" w:rsidRPr="00D76842" w:rsidRDefault="006661FE" w:rsidP="006661FE">
      <w:pPr>
        <w:pStyle w:val="1"/>
        <w:keepNext/>
        <w:ind w:left="1440" w:hanging="720"/>
        <w:jc w:val="both"/>
      </w:pPr>
    </w:p>
    <w:p w14:paraId="546F8AF7"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56330C88" w14:textId="77777777" w:rsidR="006661FE" w:rsidRPr="00D76842" w:rsidRDefault="006661FE" w:rsidP="006661FE">
      <w:pPr>
        <w:pStyle w:val="1"/>
        <w:keepNext/>
        <w:ind w:left="1440" w:hanging="720"/>
        <w:jc w:val="both"/>
      </w:pPr>
    </w:p>
    <w:p w14:paraId="7F749F55"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38118F98" w14:textId="77777777" w:rsidR="006661FE" w:rsidRPr="00D76842" w:rsidRDefault="006661FE" w:rsidP="006661FE">
      <w:pPr>
        <w:jc w:val="both"/>
        <w:rPr>
          <w:rFonts w:cs="Arial"/>
          <w:szCs w:val="22"/>
        </w:rPr>
      </w:pPr>
    </w:p>
    <w:p w14:paraId="14BE7CAF" w14:textId="286D84D1" w:rsidR="006661FE" w:rsidRPr="00D76842" w:rsidRDefault="3D47CB0D" w:rsidP="00533333">
      <w:pPr>
        <w:pStyle w:val="1"/>
        <w:numPr>
          <w:ilvl w:val="0"/>
          <w:numId w:val="90"/>
        </w:numPr>
        <w:jc w:val="both"/>
      </w:pPr>
      <w:r>
        <w:t xml:space="preserve">Using the above factors, the corresponding £/kW tariffs that </w:t>
      </w:r>
      <w:r w:rsidR="341F4044" w:rsidRPr="6D50A407">
        <w:rPr>
          <w:rFonts w:ascii="Arial" w:hAnsi="Arial" w:cs="Arial"/>
        </w:rPr>
        <w:t xml:space="preserve">are currently applicable, are detailed in </w:t>
      </w:r>
      <w:r w:rsidR="2EBFAECD" w:rsidRPr="00EC52BD">
        <w:rPr>
          <w:rFonts w:ascii="Arial" w:hAnsi="Arial" w:cs="Arial"/>
          <w:b/>
          <w:bCs/>
          <w:color w:val="000000" w:themeColor="text1"/>
        </w:rPr>
        <w:t xml:space="preserve">The </w:t>
      </w:r>
      <w:r w:rsidR="341F4044" w:rsidRPr="00EC52BD">
        <w:rPr>
          <w:rFonts w:ascii="Arial" w:hAnsi="Arial" w:cs="Arial"/>
          <w:b/>
          <w:bCs/>
          <w:color w:val="000000" w:themeColor="text1"/>
        </w:rPr>
        <w:t>Company</w:t>
      </w:r>
      <w:r w:rsidR="341F4044" w:rsidRPr="007219D1">
        <w:rPr>
          <w:rFonts w:ascii="Arial" w:hAnsi="Arial" w:cs="Arial"/>
          <w:b/>
          <w:bCs/>
          <w:color w:val="000000" w:themeColor="text1"/>
        </w:rPr>
        <w:t xml:space="preserve">'s </w:t>
      </w:r>
      <w:r w:rsidR="341F4044" w:rsidRPr="6D50A407">
        <w:rPr>
          <w:rFonts w:ascii="Arial" w:hAnsi="Arial" w:cs="Arial"/>
          <w:b/>
          <w:bCs/>
          <w:color w:val="000000" w:themeColor="text1"/>
        </w:rPr>
        <w:t>Statement of Use of System Charges</w:t>
      </w:r>
      <w:r w:rsidR="341F4044" w:rsidRPr="6D50A407">
        <w:rPr>
          <w:rFonts w:ascii="Arial" w:hAnsi="Arial" w:cs="Arial"/>
          <w:color w:val="000000" w:themeColor="text1"/>
        </w:rPr>
        <w:t xml:space="preserve"> </w:t>
      </w:r>
      <w:r w:rsidR="341F4044" w:rsidRPr="6D50A407">
        <w:rPr>
          <w:rFonts w:ascii="Arial" w:hAnsi="Arial" w:cs="Arial"/>
        </w:rPr>
        <w:t xml:space="preserve">which is available from the </w:t>
      </w:r>
      <w:r w:rsidR="341F4044" w:rsidRPr="6D50A407">
        <w:rPr>
          <w:rFonts w:ascii="Arial" w:hAnsi="Arial" w:cs="Arial"/>
          <w:b/>
          <w:bCs/>
          <w:color w:val="000000" w:themeColor="text1"/>
        </w:rPr>
        <w:t>Charging website</w:t>
      </w:r>
      <w:r w:rsidR="341F4044" w:rsidRPr="6D50A407">
        <w:rPr>
          <w:rFonts w:ascii="Arial" w:hAnsi="Arial" w:cs="Arial"/>
        </w:rPr>
        <w:t xml:space="preserve">. </w:t>
      </w:r>
    </w:p>
    <w:p w14:paraId="6AC1FD78" w14:textId="77777777" w:rsidR="006661FE" w:rsidRPr="00D76842" w:rsidRDefault="006661FE" w:rsidP="006661FE">
      <w:pPr>
        <w:pStyle w:val="1"/>
        <w:ind w:left="709" w:hanging="709"/>
        <w:jc w:val="both"/>
      </w:pPr>
    </w:p>
    <w:p w14:paraId="6A4C9CEB" w14:textId="77777777" w:rsidR="006661FE" w:rsidRPr="00D76842" w:rsidRDefault="006661FE" w:rsidP="006661FE">
      <w:pPr>
        <w:pStyle w:val="1"/>
        <w:ind w:left="709" w:hanging="709"/>
        <w:jc w:val="both"/>
      </w:pPr>
    </w:p>
    <w:p w14:paraId="182CD830" w14:textId="42006AC8" w:rsidR="006661FE" w:rsidRDefault="006661FE" w:rsidP="00533333">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3E40AA">
        <w:t xml:space="preserve">TOPI </w:t>
      </w:r>
      <w:r w:rsidRPr="00D76842">
        <w:t xml:space="preserve">for each subsequent year of the price control period. </w:t>
      </w:r>
    </w:p>
    <w:p w14:paraId="0B6E63BC" w14:textId="77777777" w:rsidR="006661FE" w:rsidRDefault="006661FE" w:rsidP="006661FE">
      <w:pPr>
        <w:pStyle w:val="1"/>
        <w:jc w:val="both"/>
      </w:pPr>
    </w:p>
    <w:p w14:paraId="24F4E2EA" w14:textId="77777777" w:rsidR="006661FE" w:rsidRPr="00D76842" w:rsidRDefault="006661FE" w:rsidP="00533333">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61B1E6A6" w14:textId="77777777" w:rsidR="006661FE" w:rsidRPr="00D76842" w:rsidRDefault="006661FE" w:rsidP="006661FE">
      <w:pPr>
        <w:pStyle w:val="1"/>
        <w:ind w:left="709" w:hanging="709"/>
        <w:jc w:val="both"/>
      </w:pPr>
    </w:p>
    <w:p w14:paraId="00EA5EA0" w14:textId="0D4C9E14" w:rsidR="006661FE" w:rsidRPr="00D76842" w:rsidRDefault="006661FE" w:rsidP="006661FE">
      <w:pPr>
        <w:pStyle w:val="1"/>
        <w:ind w:left="709" w:hanging="709"/>
        <w:jc w:val="both"/>
      </w:pPr>
      <w:r w:rsidRPr="00D76842">
        <w:tab/>
      </w:r>
      <w:r w:rsidRPr="00D76842">
        <w:tab/>
      </w:r>
      <w:r w:rsidRPr="00D76842">
        <w:tab/>
      </w:r>
      <w:r w:rsidRPr="00D76842">
        <w:tab/>
      </w:r>
    </w:p>
    <w:p w14:paraId="3A3CDE51" w14:textId="77777777" w:rsidR="006661FE" w:rsidRPr="00D76842" w:rsidRDefault="006661FE" w:rsidP="006661FE"/>
    <w:p w14:paraId="4C299A20" w14:textId="77777777" w:rsidR="006661FE" w:rsidRPr="00D76842" w:rsidRDefault="006661FE" w:rsidP="006661FE">
      <w:pPr>
        <w:pStyle w:val="1"/>
        <w:ind w:left="709"/>
        <w:jc w:val="both"/>
        <w:rPr>
          <w:szCs w:val="22"/>
        </w:rPr>
      </w:pPr>
      <w:r w:rsidRPr="00D76842">
        <w:rPr>
          <w:szCs w:val="22"/>
        </w:rPr>
        <w:t>Where</w:t>
      </w:r>
    </w:p>
    <w:p w14:paraId="730A949D"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7F446D0"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714D9C76" w14:textId="77777777" w:rsidR="006661FE" w:rsidRPr="00D76842" w:rsidRDefault="006661FE" w:rsidP="006661FE">
      <w:pPr>
        <w:pStyle w:val="1"/>
        <w:ind w:left="709"/>
        <w:jc w:val="both"/>
        <w:rPr>
          <w:szCs w:val="22"/>
        </w:rPr>
      </w:pPr>
    </w:p>
    <w:p w14:paraId="4978414B" w14:textId="4EF4C9D4" w:rsidR="006661FE" w:rsidRDefault="006661FE" w:rsidP="00533333">
      <w:pPr>
        <w:pStyle w:val="1"/>
        <w:numPr>
          <w:ilvl w:val="0"/>
          <w:numId w:val="90"/>
        </w:numPr>
        <w:jc w:val="both"/>
        <w:rPr>
          <w:szCs w:val="22"/>
        </w:rPr>
      </w:pPr>
      <w:bookmarkStart w:id="322" w:name="_Ref221008896"/>
      <w:r>
        <w:rPr>
          <w:szCs w:val="22"/>
        </w:rPr>
        <w:lastRenderedPageBreak/>
        <w:t xml:space="preserve">Where tariffs do not change mid way through a </w:t>
      </w:r>
      <w:r w:rsidR="00E71FFB" w:rsidRPr="00E71FFB">
        <w:rPr>
          <w:rFonts w:ascii="Arial" w:hAnsi="Arial" w:cs="Arial"/>
          <w:b/>
        </w:rPr>
        <w:t>Financial Year</w:t>
      </w:r>
      <w:r>
        <w:rPr>
          <w:szCs w:val="22"/>
        </w:rPr>
        <w:t>, final local tariffs will be the same as the effective tariffs:</w:t>
      </w:r>
    </w:p>
    <w:p w14:paraId="256DBFC7"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7E62ED7C" w14:textId="77777777" w:rsidR="006661FE" w:rsidRPr="00D76842" w:rsidRDefault="006661FE" w:rsidP="006661FE">
      <w:pPr>
        <w:pStyle w:val="1"/>
        <w:ind w:left="709"/>
        <w:jc w:val="both"/>
        <w:rPr>
          <w:szCs w:val="22"/>
        </w:rPr>
      </w:pPr>
      <w:r w:rsidRPr="00D76842">
        <w:rPr>
          <w:szCs w:val="22"/>
        </w:rPr>
        <w:t>Where</w:t>
      </w:r>
    </w:p>
    <w:p w14:paraId="343DB717"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3EA5CFBD" w14:textId="77777777" w:rsidR="006661FE" w:rsidRDefault="006661FE" w:rsidP="006661FE">
      <w:pPr>
        <w:pStyle w:val="1"/>
        <w:ind w:left="720"/>
        <w:jc w:val="both"/>
        <w:rPr>
          <w:szCs w:val="22"/>
        </w:rPr>
      </w:pPr>
    </w:p>
    <w:p w14:paraId="7A1F4C17" w14:textId="77777777" w:rsidR="006661FE" w:rsidRDefault="006661FE" w:rsidP="00533333">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DB704AB" w14:textId="25EC3BA8" w:rsidR="006661FE" w:rsidRDefault="00511C82" w:rsidP="006661FE">
      <w:pPr>
        <w:ind w:firstLine="720"/>
        <w:jc w:val="both"/>
        <w:rPr>
          <w:rFonts w:ascii="Arial" w:hAnsi="Arial"/>
        </w:rPr>
      </w:pPr>
      <w:r>
        <w:t xml:space="preserve">      </w:t>
      </w:r>
      <w:r>
        <w:rPr>
          <w:rFonts w:ascii="Arial" w:hAnsi="Arial"/>
        </w:rPr>
        <w:t xml:space="preserve">and                        </w:t>
      </w:r>
      <w:r w:rsidR="006661FE">
        <w:rPr>
          <w:rFonts w:ascii="Arial" w:hAnsi="Arial"/>
        </w:rPr>
        <w:t xml:space="preserve">        </w:t>
      </w:r>
    </w:p>
    <w:p w14:paraId="113AE6C5" w14:textId="77777777" w:rsidR="006661FE" w:rsidRDefault="006661FE" w:rsidP="006661FE">
      <w:pPr>
        <w:pStyle w:val="1"/>
        <w:ind w:left="720"/>
        <w:jc w:val="both"/>
      </w:pPr>
      <w:r>
        <w:t>Where:</w:t>
      </w:r>
    </w:p>
    <w:p w14:paraId="1BB3D475" w14:textId="77777777" w:rsidR="006661FE" w:rsidRDefault="006661FE" w:rsidP="006661FE">
      <w:pPr>
        <w:pStyle w:val="1"/>
        <w:ind w:left="720"/>
        <w:jc w:val="both"/>
      </w:pPr>
      <w:r>
        <w:t>b = number of months the revised tariff is applicable for</w:t>
      </w:r>
    </w:p>
    <w:p w14:paraId="5CEA4B84" w14:textId="77777777" w:rsidR="006661FE" w:rsidRDefault="006661FE" w:rsidP="006661FE">
      <w:pPr>
        <w:pStyle w:val="1"/>
        <w:ind w:left="709" w:firstLine="11"/>
        <w:jc w:val="both"/>
      </w:pPr>
      <w:r>
        <w:t>FLL = Forecast local liability incurred over the period that the original tariff is applicable for</w:t>
      </w:r>
    </w:p>
    <w:p w14:paraId="235FFDF1" w14:textId="77777777" w:rsidR="006661FE" w:rsidRDefault="006661FE" w:rsidP="006661FE">
      <w:pPr>
        <w:pStyle w:val="1"/>
        <w:ind w:left="709" w:firstLine="11"/>
        <w:jc w:val="both"/>
        <w:rPr>
          <w:szCs w:val="22"/>
        </w:rPr>
      </w:pPr>
    </w:p>
    <w:p w14:paraId="349DCB1C" w14:textId="77777777" w:rsidR="006661FE" w:rsidRPr="00D76842" w:rsidRDefault="006661FE" w:rsidP="00533333">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22"/>
    </w:p>
    <w:p w14:paraId="2485D2BB" w14:textId="77777777" w:rsidR="006661FE" w:rsidRPr="00D76842" w:rsidRDefault="006661FE" w:rsidP="006661FE">
      <w:pPr>
        <w:rPr>
          <w:szCs w:val="22"/>
        </w:rPr>
      </w:pPr>
    </w:p>
    <w:p w14:paraId="3CF21671" w14:textId="72B96B27" w:rsidR="006661FE" w:rsidRPr="00D76842" w:rsidRDefault="006661FE" w:rsidP="006661FE">
      <w:pPr>
        <w:ind w:left="1440" w:firstLine="720"/>
        <w:rPr>
          <w:szCs w:val="22"/>
        </w:rPr>
      </w:pPr>
    </w:p>
    <w:p w14:paraId="2E53C3F8" w14:textId="77777777" w:rsidR="006661FE" w:rsidRPr="00D76842" w:rsidRDefault="006661FE" w:rsidP="006661FE">
      <w:pPr>
        <w:pStyle w:val="1"/>
        <w:ind w:left="709"/>
        <w:jc w:val="both"/>
        <w:rPr>
          <w:szCs w:val="22"/>
        </w:rPr>
      </w:pPr>
      <w:r w:rsidRPr="00D76842">
        <w:rPr>
          <w:szCs w:val="22"/>
        </w:rPr>
        <w:tab/>
        <w:t>Where</w:t>
      </w:r>
    </w:p>
    <w:p w14:paraId="5E91CF8B"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1AD3E828"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4E7E0625" w14:textId="77777777" w:rsidR="006661FE" w:rsidRPr="00D76842" w:rsidRDefault="006661FE" w:rsidP="006661FE">
      <w:pPr>
        <w:pStyle w:val="1"/>
        <w:ind w:left="709"/>
        <w:jc w:val="both"/>
        <w:rPr>
          <w:szCs w:val="22"/>
        </w:rPr>
      </w:pPr>
    </w:p>
    <w:p w14:paraId="53BE9B72" w14:textId="77777777" w:rsidR="006661FE" w:rsidRPr="00543982" w:rsidRDefault="006661FE" w:rsidP="006661FE">
      <w:pPr>
        <w:pStyle w:val="Heading3"/>
        <w:ind w:firstLine="709"/>
        <w:jc w:val="both"/>
        <w:rPr>
          <w:rFonts w:ascii="Arial" w:hAnsi="Arial" w:cs="Arial"/>
          <w:b/>
        </w:rPr>
      </w:pPr>
      <w:bookmarkStart w:id="323" w:name="_Toc274049691"/>
      <w:r w:rsidRPr="00543982">
        <w:rPr>
          <w:rFonts w:ascii="Arial" w:hAnsi="Arial" w:cs="Arial"/>
          <w:b/>
        </w:rPr>
        <w:t>Offshore substation local tariff</w:t>
      </w:r>
      <w:bookmarkEnd w:id="323"/>
    </w:p>
    <w:p w14:paraId="525E54BB" w14:textId="77777777" w:rsidR="006661FE" w:rsidRDefault="4DB720A2" w:rsidP="00533333">
      <w:pPr>
        <w:pStyle w:val="1"/>
        <w:numPr>
          <w:ilvl w:val="0"/>
          <w:numId w:val="90"/>
        </w:numPr>
        <w:jc w:val="both"/>
      </w:pPr>
      <w:r>
        <w:t>All offshore chargeable generation is subject to an offshore substation tariff</w:t>
      </w:r>
      <w:bookmarkStart w:id="324" w:name="_Int_Hjc5z51g"/>
      <w:r>
        <w:t xml:space="preserve">.  </w:t>
      </w:r>
      <w:bookmarkEnd w:id="324"/>
      <w:r>
        <w:t xml:space="preserve">The offshore substation tariff shall be the sum of transformer, </w:t>
      </w:r>
      <w:bookmarkStart w:id="325" w:name="_Int_dy5hICxK"/>
      <w:r>
        <w:t>switchgear</w:t>
      </w:r>
      <w:bookmarkEnd w:id="325"/>
      <w:r>
        <w:t xml:space="preserve"> and platform components.</w:t>
      </w:r>
    </w:p>
    <w:p w14:paraId="07E56E7E" w14:textId="77777777" w:rsidR="006661FE" w:rsidRDefault="006661FE" w:rsidP="006661FE">
      <w:pPr>
        <w:pStyle w:val="1"/>
        <w:jc w:val="both"/>
      </w:pPr>
    </w:p>
    <w:p w14:paraId="07CC821D" w14:textId="1EFA807C" w:rsidR="006661FE" w:rsidRDefault="4DB720A2" w:rsidP="00533333">
      <w:pPr>
        <w:pStyle w:val="1"/>
        <w:numPr>
          <w:ilvl w:val="0"/>
          <w:numId w:val="90"/>
        </w:numPr>
        <w:jc w:val="both"/>
      </w:pPr>
      <w:r>
        <w:t xml:space="preserve">Each tariff component, expressed in £/kW, shall be the ratio of the Offshore Transmission Owner revenue (£) and rating associated with the transformers, </w:t>
      </w:r>
      <w:bookmarkStart w:id="326" w:name="_Int_DVHoRYRC"/>
      <w:r>
        <w:t>switchgear</w:t>
      </w:r>
      <w:bookmarkEnd w:id="326"/>
      <w:r>
        <w:t xml:space="preserve"> or platform (kW) at each offshore substation</w:t>
      </w:r>
      <w:r w:rsidR="067298D6">
        <w:t xml:space="preserve">. </w:t>
      </w:r>
      <w:r>
        <w:t>The Offshore Transmission Owner revenue of each tariff component shall include that associated with asset spares</w:t>
      </w:r>
      <w:r w:rsidR="719C0F23">
        <w:t xml:space="preserve">. </w:t>
      </w:r>
      <w:r>
        <w:t>In the case of the platform component, the relevant rating shall be the lower of the transformer or switchgear ratings</w:t>
      </w:r>
      <w:r w:rsidR="649C1865">
        <w:t xml:space="preserve">. </w:t>
      </w:r>
      <w:r>
        <w:t>As with the offshore circuit expansion factors, the Offshore Transmission Owner revenue associated with each tariff component shall be averaged over the remaining years of the NETSO price control.</w:t>
      </w:r>
    </w:p>
    <w:p w14:paraId="4BA837B3" w14:textId="77777777" w:rsidR="006661FE" w:rsidRDefault="006661FE" w:rsidP="006661FE">
      <w:pPr>
        <w:pStyle w:val="1"/>
        <w:jc w:val="both"/>
      </w:pPr>
    </w:p>
    <w:p w14:paraId="0F6DAB77" w14:textId="55DF8A83" w:rsidR="006661FE" w:rsidRDefault="4DB720A2" w:rsidP="00533333">
      <w:pPr>
        <w:pStyle w:val="1"/>
        <w:numPr>
          <w:ilvl w:val="0"/>
          <w:numId w:val="90"/>
        </w:numPr>
        <w:jc w:val="both"/>
      </w:pPr>
      <w:r>
        <w:t>Offshore Transmission Owner revenue associated with interest during construction and project development overheads will be attributed to the relevant asset category with which it is associated</w:t>
      </w:r>
      <w:r w:rsidR="6498EA1E">
        <w:t xml:space="preserve">. </w:t>
      </w:r>
      <w:r>
        <w:t>If these or any other costs included in the Offshore Transmission Owner revenue are not readily attributable to a given asset category, they will be pro-rated across the various asset categories based on their relative cost.</w:t>
      </w:r>
    </w:p>
    <w:p w14:paraId="7D57BB1C" w14:textId="77777777" w:rsidR="006661FE" w:rsidRDefault="006661FE" w:rsidP="006661FE">
      <w:pPr>
        <w:pStyle w:val="1"/>
        <w:jc w:val="both"/>
      </w:pPr>
    </w:p>
    <w:p w14:paraId="29B21AEF" w14:textId="18A1A693" w:rsidR="006661FE" w:rsidRDefault="48236724" w:rsidP="00533333">
      <w:pPr>
        <w:pStyle w:val="1"/>
        <w:numPr>
          <w:ilvl w:val="0"/>
          <w:numId w:val="90"/>
        </w:numPr>
        <w:jc w:val="both"/>
      </w:pPr>
      <w:r>
        <w:t>A</w:t>
      </w:r>
      <w:r w:rsidR="56D814B8">
        <w:t xml:space="preserve"> </w:t>
      </w:r>
      <w:r w:rsidR="3D47CB0D">
        <w:t xml:space="preserve">discount shall be provided to the offshore substation tariff to reflect the average cost of civil engineering for onshore substations. </w:t>
      </w:r>
      <w:r w:rsidR="3B08B593" w:rsidRPr="6D50A407">
        <w:rPr>
          <w:rFonts w:ascii="Arial" w:hAnsi="Arial" w:cs="Arial"/>
          <w:color w:val="000000" w:themeColor="text1"/>
        </w:rPr>
        <w:t xml:space="preserve">The currently applicable discount is detailed in </w:t>
      </w:r>
      <w:r w:rsidR="2EBFAECD" w:rsidRPr="00EC52BD">
        <w:rPr>
          <w:rFonts w:ascii="Arial" w:hAnsi="Arial" w:cs="Arial"/>
          <w:b/>
          <w:bCs/>
          <w:color w:val="000000" w:themeColor="text1"/>
        </w:rPr>
        <w:t xml:space="preserve">The </w:t>
      </w:r>
      <w:r w:rsidR="3B08B593" w:rsidRPr="00EC52BD">
        <w:rPr>
          <w:rFonts w:ascii="Arial" w:hAnsi="Arial" w:cs="Arial"/>
          <w:b/>
          <w:bCs/>
          <w:color w:val="000000" w:themeColor="text1"/>
        </w:rPr>
        <w:t>Compan</w:t>
      </w:r>
      <w:r w:rsidR="3B08B593" w:rsidRPr="007219D1">
        <w:rPr>
          <w:rFonts w:ascii="Arial" w:hAnsi="Arial" w:cs="Arial"/>
          <w:color w:val="000000" w:themeColor="text1"/>
        </w:rPr>
        <w:t xml:space="preserve">y's </w:t>
      </w:r>
      <w:r w:rsidR="3B08B593" w:rsidRPr="6D50A407">
        <w:rPr>
          <w:rFonts w:ascii="Arial" w:hAnsi="Arial" w:cs="Arial"/>
          <w:b/>
          <w:bCs/>
          <w:color w:val="000000" w:themeColor="text1"/>
        </w:rPr>
        <w:t>Statement of Use of System Charges</w:t>
      </w:r>
      <w:r w:rsidR="3B08B593" w:rsidRPr="6D50A407">
        <w:rPr>
          <w:rFonts w:ascii="Arial" w:hAnsi="Arial" w:cs="Arial"/>
          <w:color w:val="000000" w:themeColor="text1"/>
        </w:rPr>
        <w:t xml:space="preserve"> which is available from the</w:t>
      </w:r>
      <w:r w:rsidR="3B08B593" w:rsidRPr="6D50A407">
        <w:rPr>
          <w:color w:val="000000" w:themeColor="text1"/>
        </w:rPr>
        <w:t xml:space="preserve"> </w:t>
      </w:r>
      <w:r w:rsidR="3B08B593" w:rsidRPr="6D50A407">
        <w:rPr>
          <w:rFonts w:ascii="Arial" w:hAnsi="Arial" w:cs="Arial"/>
          <w:b/>
          <w:bCs/>
          <w:color w:val="000000" w:themeColor="text1"/>
        </w:rPr>
        <w:t>Charging website</w:t>
      </w:r>
      <w:r w:rsidR="3B08B593">
        <w:t>.</w:t>
      </w:r>
      <w:r w:rsidR="3D47CB0D">
        <w:t xml:space="preserve"> This will be inflated by </w:t>
      </w:r>
      <w:r w:rsidR="325393F7">
        <w:t xml:space="preserve">TOPI </w:t>
      </w:r>
      <w:r w:rsidR="3D47CB0D">
        <w:t>each year and reviewed every price control period.</w:t>
      </w:r>
    </w:p>
    <w:p w14:paraId="30BFFCBF" w14:textId="77777777" w:rsidR="006661FE" w:rsidRDefault="006661FE" w:rsidP="006661FE">
      <w:pPr>
        <w:pStyle w:val="1"/>
        <w:jc w:val="both"/>
      </w:pPr>
    </w:p>
    <w:p w14:paraId="504FEE86" w14:textId="77777777" w:rsidR="006661FE" w:rsidRDefault="006661FE" w:rsidP="00533333">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257E5AEE" w14:textId="77777777" w:rsidR="006661FE" w:rsidRDefault="006661FE" w:rsidP="006661FE">
      <w:pPr>
        <w:pStyle w:val="1"/>
        <w:jc w:val="both"/>
      </w:pPr>
    </w:p>
    <w:p w14:paraId="7B73248A" w14:textId="77777777" w:rsidR="006661FE" w:rsidRDefault="006661FE" w:rsidP="00533333">
      <w:pPr>
        <w:pStyle w:val="1"/>
        <w:numPr>
          <w:ilvl w:val="0"/>
          <w:numId w:val="90"/>
        </w:numPr>
        <w:jc w:val="both"/>
      </w:pPr>
      <w:r>
        <w:t>The revenue from the offshore substation local tariff is calculated by:</w:t>
      </w:r>
    </w:p>
    <w:p w14:paraId="0B4DB84C" w14:textId="4E50B02D" w:rsidR="006661FE" w:rsidRDefault="006661FE" w:rsidP="006661FE">
      <w:pPr>
        <w:pStyle w:val="1"/>
        <w:ind w:left="720" w:firstLine="720"/>
        <w:rPr>
          <w:rFonts w:cs="Arial"/>
          <w:szCs w:val="22"/>
        </w:rPr>
      </w:pPr>
    </w:p>
    <w:p w14:paraId="3FA40052" w14:textId="77777777" w:rsidR="006661FE" w:rsidRDefault="006661FE" w:rsidP="006661FE">
      <w:pPr>
        <w:pStyle w:val="1"/>
        <w:rPr>
          <w:rFonts w:cs="Arial"/>
          <w:szCs w:val="22"/>
        </w:rPr>
      </w:pPr>
    </w:p>
    <w:p w14:paraId="11AD12EC" w14:textId="77777777" w:rsidR="006661FE" w:rsidRDefault="006661FE" w:rsidP="006661FE">
      <w:pPr>
        <w:pStyle w:val="1"/>
        <w:ind w:firstLine="709"/>
        <w:jc w:val="both"/>
        <w:rPr>
          <w:rFonts w:cs="Arial"/>
          <w:szCs w:val="22"/>
        </w:rPr>
      </w:pPr>
      <w:r>
        <w:rPr>
          <w:rFonts w:cs="Arial"/>
          <w:szCs w:val="22"/>
        </w:rPr>
        <w:tab/>
        <w:t>Where:</w:t>
      </w:r>
    </w:p>
    <w:p w14:paraId="37BBA600"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34DC25AB"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7C9DD886" w14:textId="77777777" w:rsidR="006661FE" w:rsidRPr="00D76842" w:rsidRDefault="006661FE" w:rsidP="006661FE">
      <w:pPr>
        <w:pStyle w:val="1"/>
        <w:ind w:left="709"/>
        <w:jc w:val="both"/>
        <w:rPr>
          <w:szCs w:val="22"/>
        </w:rPr>
      </w:pPr>
    </w:p>
    <w:p w14:paraId="4E8890DA" w14:textId="77777777" w:rsidR="006661FE" w:rsidRPr="00887323" w:rsidRDefault="006661FE" w:rsidP="006661FE">
      <w:pPr>
        <w:pStyle w:val="Heading3"/>
        <w:keepNext/>
        <w:ind w:left="709"/>
        <w:rPr>
          <w:rFonts w:ascii="Arial" w:hAnsi="Arial" w:cs="Arial"/>
          <w:b/>
        </w:rPr>
      </w:pPr>
      <w:bookmarkStart w:id="327" w:name="_Toc49661115"/>
      <w:bookmarkStart w:id="328" w:name="_Toc274049692"/>
      <w:bookmarkEnd w:id="312"/>
      <w:r w:rsidRPr="00887323">
        <w:rPr>
          <w:rFonts w:ascii="Arial" w:hAnsi="Arial" w:cs="Arial"/>
          <w:b/>
        </w:rPr>
        <w:t>The Residual Tariff</w:t>
      </w:r>
      <w:bookmarkEnd w:id="327"/>
      <w:bookmarkEnd w:id="328"/>
    </w:p>
    <w:p w14:paraId="55359CB7" w14:textId="2F8B501E" w:rsidR="005E56F0" w:rsidRDefault="005E56F0" w:rsidP="00C86B3F">
      <w:pPr>
        <w:pStyle w:val="1"/>
        <w:numPr>
          <w:ilvl w:val="0"/>
          <w:numId w:val="90"/>
        </w:numPr>
        <w:jc w:val="both"/>
        <w:rPr>
          <w:ins w:id="329" w:author="Alex Aristodemou" w:date="2023-10-05T21:43:00Z"/>
        </w:rPr>
      </w:pPr>
      <w:ins w:id="330" w:author="Alex Aristodemou" w:date="2023-10-05T21:43:00Z">
        <w:r>
          <w:t xml:space="preserve">The </w:t>
        </w:r>
      </w:ins>
      <w:ins w:id="331" w:author="Alex Aristodemou" w:date="2023-11-03T16:23:00Z">
        <w:r w:rsidR="004C5929">
          <w:t>Maximum Revenue</w:t>
        </w:r>
      </w:ins>
      <w:ins w:id="332" w:author="Alex Aristodemou" w:date="2023-10-05T21:43:00Z">
        <w:r>
          <w:t xml:space="preserve"> to be recovered through TNUoS</w:t>
        </w:r>
        <w:r>
          <w:fldChar w:fldCharType="begin"/>
        </w:r>
        <w:r>
          <w:instrText xml:space="preserve"> “E "TN”oS" </w:instrText>
        </w:r>
        <w:r>
          <w:fldChar w:fldCharType="end"/>
        </w:r>
        <w:r>
          <w:t xml:space="preserve"> charges is determined each year with reference to </w:t>
        </w:r>
      </w:ins>
      <w:ins w:id="333" w:author="Alex Aristodemou" w:date="2023-11-03T16:23:00Z">
        <w:r w:rsidR="004C5929">
          <w:rPr>
            <w:b/>
            <w:bCs/>
          </w:rPr>
          <w:t xml:space="preserve">The Company’s </w:t>
        </w:r>
      </w:ins>
      <w:ins w:id="334" w:author="Alex Aristodemou" w:date="2023-10-05T21:43:00Z">
        <w:r>
          <w:t xml:space="preserve">Price Control formulae. </w:t>
        </w:r>
      </w:ins>
      <w:ins w:id="335" w:author="Craig Bell" w:date="2023-11-06T08:28:00Z">
        <w:r w:rsidR="006B5B89">
          <w:t>For the purpose of setting charges, f</w:t>
        </w:r>
      </w:ins>
      <w:ins w:id="336" w:author="Alex Aristodemou" w:date="2023-10-12T12:53:00Z">
        <w:del w:id="337" w:author="Craig Bell" w:date="2023-11-06T08:28:00Z">
          <w:r w:rsidR="00E405B2" w:rsidDel="006B5B89">
            <w:delText>F</w:delText>
          </w:r>
        </w:del>
      </w:ins>
      <w:ins w:id="338" w:author="Alex Aristodemou" w:date="2023-10-05T21:43:00Z">
        <w:r>
          <w:t xml:space="preserve">orecast inputs for revenue will be determined 15 months before the </w:t>
        </w:r>
        <w:r>
          <w:rPr>
            <w:b/>
            <w:bCs/>
          </w:rPr>
          <w:t xml:space="preserve">Financial Year </w:t>
        </w:r>
        <w:r>
          <w:t xml:space="preserve">and subsequently reconciled and recovered through succeeding </w:t>
        </w:r>
        <w:r>
          <w:rPr>
            <w:b/>
            <w:bCs/>
          </w:rPr>
          <w:t xml:space="preserve">Financial Years </w:t>
        </w:r>
        <w:r>
          <w:t xml:space="preserve">once revenue requirements are known. </w:t>
        </w:r>
      </w:ins>
    </w:p>
    <w:p w14:paraId="6829E4EB" w14:textId="16E4196C" w:rsidR="006661FE" w:rsidDel="000619F8" w:rsidRDefault="4DB720A2" w:rsidP="000619F8">
      <w:pPr>
        <w:pStyle w:val="1"/>
        <w:numPr>
          <w:ilvl w:val="0"/>
          <w:numId w:val="165"/>
        </w:numPr>
        <w:jc w:val="both"/>
        <w:rPr>
          <w:del w:id="339" w:author="Alex Aristodemou" w:date="2023-10-05T21:33:00Z"/>
        </w:rPr>
      </w:pPr>
      <w:del w:id="340" w:author="Alex Aristodemou" w:date="2023-10-05T21:33:00Z">
        <w:r w:rsidDel="000619F8">
          <w:delText>The total revenue to be recovered through TNUoS</w:delText>
        </w:r>
        <w:r w:rsidR="006661FE" w:rsidDel="000619F8">
          <w:fldChar w:fldCharType="begin"/>
        </w:r>
        <w:r w:rsidR="006661FE" w:rsidDel="000619F8">
          <w:delInstrText xml:space="preserve"> XE "TNUoS" </w:delInstrText>
        </w:r>
        <w:r w:rsidR="006661FE" w:rsidDel="000619F8">
          <w:fldChar w:fldCharType="end"/>
        </w:r>
        <w:r w:rsidDel="000619F8">
          <w:delText xml:space="preserve"> charges is determined each year with reference to the Transmission Licensees’ Price Control formulas less the costs expected to be recovered through Pre-Vesting connection charges.  Hence in any given year t, a target revenue figure for TNUoS charges (TRR</w:delText>
        </w:r>
        <w:r w:rsidRPr="0537B9E0" w:rsidDel="000619F8">
          <w:rPr>
            <w:vertAlign w:val="subscript"/>
          </w:rPr>
          <w:delText>t</w:delText>
        </w:r>
        <w:r w:rsidDel="000619F8">
          <w:delText>) is set after adjusting for any under or over recovery for and including, the small generators discount is as follows:</w:delText>
        </w:r>
      </w:del>
    </w:p>
    <w:p w14:paraId="2A3FF087" w14:textId="16E4196C" w:rsidR="006661FE" w:rsidDel="000619F8" w:rsidRDefault="00777969" w:rsidP="00777969">
      <w:pPr>
        <w:pStyle w:val="1"/>
        <w:ind w:left="2478"/>
        <w:jc w:val="both"/>
        <w:rPr>
          <w:del w:id="341" w:author="Alex Aristodemou" w:date="2023-10-05T21:33:00Z"/>
        </w:rPr>
      </w:pPr>
      <w:del w:id="342" w:author="Alex Aristodemou" w:date="2023-10-05T21:33:00Z">
        <w:r w:rsidDel="000619F8">
          <w:br/>
        </w:r>
        <w:r w:rsidDel="000619F8">
          <w:rPr>
            <w:noProof/>
            <w:position w:val="-12"/>
          </w:rPr>
          <w:drawing>
            <wp:inline distT="0" distB="0" distL="0" distR="0" wp14:anchorId="6A098D39" wp14:editId="0B7BB23B">
              <wp:extent cx="1590675" cy="2286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90675" cy="228600"/>
                      </a:xfrm>
                      <a:prstGeom prst="rect">
                        <a:avLst/>
                      </a:prstGeom>
                      <a:noFill/>
                      <a:ln>
                        <a:noFill/>
                      </a:ln>
                    </pic:spPr>
                  </pic:pic>
                </a:graphicData>
              </a:graphic>
            </wp:inline>
          </w:drawing>
        </w:r>
      </w:del>
    </w:p>
    <w:p w14:paraId="71FB26C2" w14:textId="4ABD6E49" w:rsidR="006661FE" w:rsidDel="000619F8" w:rsidRDefault="006661FE" w:rsidP="006661FE">
      <w:pPr>
        <w:pStyle w:val="1"/>
        <w:jc w:val="center"/>
        <w:rPr>
          <w:del w:id="343" w:author="Alex Aristodemou" w:date="2023-10-05T21:33:00Z"/>
        </w:rPr>
      </w:pPr>
    </w:p>
    <w:p w14:paraId="4B0AD7C3" w14:textId="1783DCE4" w:rsidR="006661FE" w:rsidDel="000619F8" w:rsidRDefault="006661FE" w:rsidP="006661FE">
      <w:pPr>
        <w:pStyle w:val="1"/>
        <w:ind w:firstLine="720"/>
        <w:jc w:val="both"/>
        <w:rPr>
          <w:del w:id="344" w:author="Alex Aristodemou" w:date="2023-10-05T21:33:00Z"/>
        </w:rPr>
      </w:pPr>
      <w:del w:id="345" w:author="Alex Aristodemou" w:date="2023-10-05T21:33:00Z">
        <w:r w:rsidDel="000619F8">
          <w:delText>Where</w:delText>
        </w:r>
      </w:del>
    </w:p>
    <w:p w14:paraId="7A043445" w14:textId="769BEBCB" w:rsidR="006661FE" w:rsidDel="000619F8" w:rsidRDefault="006661FE" w:rsidP="006661FE">
      <w:pPr>
        <w:pStyle w:val="1"/>
        <w:tabs>
          <w:tab w:val="left" w:pos="1440"/>
        </w:tabs>
        <w:ind w:firstLine="720"/>
        <w:jc w:val="both"/>
        <w:rPr>
          <w:del w:id="346" w:author="Alex Aristodemou" w:date="2023-10-05T21:33:00Z"/>
        </w:rPr>
      </w:pPr>
      <w:del w:id="347" w:author="Alex Aristodemou" w:date="2023-10-05T21:33:00Z">
        <w:r w:rsidDel="000619F8">
          <w:delText>TRR</w:delText>
        </w:r>
        <w:r w:rsidDel="000619F8">
          <w:rPr>
            <w:vertAlign w:val="subscript"/>
          </w:rPr>
          <w:delText xml:space="preserve">t </w:delText>
        </w:r>
        <w:r w:rsidDel="000619F8">
          <w:rPr>
            <w:vertAlign w:val="subscript"/>
          </w:rPr>
          <w:tab/>
        </w:r>
        <w:r w:rsidDel="000619F8">
          <w:delText>=</w:delText>
        </w:r>
        <w:r w:rsidDel="000619F8">
          <w:tab/>
          <w:delText>TNUoS</w:delText>
        </w:r>
        <w:r w:rsidDel="000619F8">
          <w:fldChar w:fldCharType="begin"/>
        </w:r>
        <w:r w:rsidDel="000619F8">
          <w:delInstrText xml:space="preserve"> XE "TNUoS" </w:delInstrText>
        </w:r>
        <w:r w:rsidDel="000619F8">
          <w:fldChar w:fldCharType="end"/>
        </w:r>
        <w:r w:rsidDel="000619F8">
          <w:delText xml:space="preserve"> Revenue Recovery target for year t</w:delText>
        </w:r>
      </w:del>
    </w:p>
    <w:p w14:paraId="0E563281" w14:textId="1A266FF0" w:rsidR="006661FE" w:rsidDel="000619F8" w:rsidRDefault="6B913268" w:rsidP="006661FE">
      <w:pPr>
        <w:pStyle w:val="1"/>
        <w:tabs>
          <w:tab w:val="left" w:pos="1440"/>
        </w:tabs>
        <w:ind w:left="2170" w:hanging="1461"/>
        <w:jc w:val="both"/>
        <w:rPr>
          <w:del w:id="348" w:author="Alex Aristodemou" w:date="2023-10-05T21:33:00Z"/>
        </w:rPr>
      </w:pPr>
      <w:del w:id="349" w:author="Alex Aristodemou" w:date="2023-10-05T21:33:00Z">
        <w:r w:rsidDel="000619F8">
          <w:delText>R</w:delText>
        </w:r>
        <w:r w:rsidRPr="0537B9E0" w:rsidDel="000619F8">
          <w:rPr>
            <w:i/>
            <w:iCs/>
            <w:vertAlign w:val="subscript"/>
          </w:rPr>
          <w:delText>t</w:delText>
        </w:r>
        <w:r w:rsidR="3D47CB0D" w:rsidDel="000619F8">
          <w:tab/>
        </w:r>
        <w:r w:rsidDel="000619F8">
          <w:delText>=</w:delText>
        </w:r>
        <w:r w:rsidR="3D47CB0D" w:rsidDel="000619F8">
          <w:tab/>
        </w:r>
        <w:r w:rsidDel="000619F8">
          <w:delText xml:space="preserve">Forecast Revenue allowed under </w:delText>
        </w:r>
        <w:r w:rsidR="3D96AF96" w:rsidRPr="0537B9E0" w:rsidDel="000619F8">
          <w:rPr>
            <w:b/>
            <w:bCs/>
          </w:rPr>
          <w:delText xml:space="preserve">The </w:delText>
        </w:r>
        <w:r w:rsidRPr="0537B9E0" w:rsidDel="000619F8">
          <w:rPr>
            <w:b/>
            <w:bCs/>
          </w:rPr>
          <w:delText>Compan</w:delText>
        </w:r>
        <w:r w:rsidDel="000619F8">
          <w:delText>y</w:delText>
        </w:r>
        <w:r w:rsidRPr="0537B9E0" w:rsidDel="000619F8">
          <w:rPr>
            <w:b/>
            <w:bCs/>
          </w:rPr>
          <w:delText xml:space="preserve">’s </w:delText>
        </w:r>
        <w:r w:rsidDel="000619F8">
          <w:delText xml:space="preserve">Price Control  for year t (this term includes a number of adjustments, including for over/under recovery from the previous year).  For further information, refer to Special Condition D2 of </w:delText>
        </w:r>
        <w:r w:rsidR="3D96AF96" w:rsidRPr="0537B9E0" w:rsidDel="000619F8">
          <w:rPr>
            <w:b/>
            <w:bCs/>
          </w:rPr>
          <w:delText xml:space="preserve">The </w:delText>
        </w:r>
        <w:r w:rsidRPr="0537B9E0" w:rsidDel="000619F8">
          <w:rPr>
            <w:b/>
            <w:bCs/>
          </w:rPr>
          <w:delText xml:space="preserve">Company’s </w:delText>
        </w:r>
        <w:r w:rsidDel="000619F8">
          <w:delText>Transmission Licence.</w:delText>
        </w:r>
      </w:del>
    </w:p>
    <w:p w14:paraId="1BDC4706" w14:textId="5AF9A94D" w:rsidR="006661FE" w:rsidDel="000619F8" w:rsidRDefault="006661FE" w:rsidP="006661FE">
      <w:pPr>
        <w:pStyle w:val="1"/>
        <w:tabs>
          <w:tab w:val="left" w:pos="1440"/>
        </w:tabs>
        <w:ind w:left="1440" w:hanging="720"/>
        <w:jc w:val="both"/>
        <w:rPr>
          <w:del w:id="350" w:author="Alex Aristodemou" w:date="2023-10-05T21:33:00Z"/>
        </w:rPr>
      </w:pPr>
      <w:del w:id="351" w:author="Alex Aristodemou" w:date="2023-10-05T21:33:00Z">
        <w:r w:rsidDel="000619F8">
          <w:delText>PVC</w:delText>
        </w:r>
        <w:r w:rsidDel="000619F8">
          <w:rPr>
            <w:i/>
            <w:vertAlign w:val="subscript"/>
          </w:rPr>
          <w:delText>t</w:delText>
        </w:r>
        <w:r w:rsidDel="000619F8">
          <w:rPr>
            <w:i/>
            <w:vertAlign w:val="subscript"/>
          </w:rPr>
          <w:tab/>
        </w:r>
        <w:r w:rsidDel="000619F8">
          <w:delText>=</w:delText>
        </w:r>
        <w:r w:rsidDel="000619F8">
          <w:tab/>
          <w:delText>Forecast Revenue from Pre-Vesting connection charges for year t</w:delText>
        </w:r>
      </w:del>
    </w:p>
    <w:p w14:paraId="6C9D6195" w14:textId="75249147" w:rsidR="006661FE" w:rsidRDefault="3D47CB0D" w:rsidP="006661FE">
      <w:pPr>
        <w:pStyle w:val="1"/>
        <w:tabs>
          <w:tab w:val="left" w:pos="1440"/>
        </w:tabs>
        <w:ind w:left="2127" w:hanging="1418"/>
        <w:jc w:val="both"/>
      </w:pPr>
      <w:del w:id="352" w:author="Alex Aristodemou" w:date="2023-10-05T21:33:00Z">
        <w:r w:rsidDel="000619F8">
          <w:delText>SG</w:delText>
        </w:r>
        <w:r w:rsidRPr="6D50A407" w:rsidDel="000619F8">
          <w:rPr>
            <w:i/>
            <w:iCs/>
            <w:vertAlign w:val="subscript"/>
          </w:rPr>
          <w:delText>t-1</w:delText>
        </w:r>
        <w:r w:rsidR="006661FE" w:rsidDel="000619F8">
          <w:tab/>
        </w:r>
        <w:r w:rsidDel="000619F8">
          <w:delText>=</w:delText>
        </w:r>
        <w:r w:rsidR="006661FE" w:rsidDel="000619F8">
          <w:tab/>
        </w:r>
        <w:r w:rsidDel="000619F8">
          <w:delText>The proportion of the under/over recovery included within R</w:delText>
        </w:r>
        <w:r w:rsidRPr="6D50A407" w:rsidDel="000619F8">
          <w:rPr>
            <w:vertAlign w:val="subscript"/>
          </w:rPr>
          <w:delText xml:space="preserve">t </w:delText>
        </w:r>
        <w:r w:rsidDel="000619F8">
          <w:delText xml:space="preserve">which relates to the operation of statement C13 of </w:delText>
        </w:r>
        <w:r w:rsidR="2EBFAECD" w:rsidRPr="00EC52BD" w:rsidDel="000619F8">
          <w:rPr>
            <w:b/>
            <w:bCs/>
          </w:rPr>
          <w:delText>The Company</w:delText>
        </w:r>
        <w:r w:rsidRPr="00EC52BD" w:rsidDel="000619F8">
          <w:rPr>
            <w:b/>
            <w:bCs/>
          </w:rPr>
          <w:delText xml:space="preserve"> </w:delText>
        </w:r>
        <w:r w:rsidDel="000619F8">
          <w:delText>Transmission Licence. Should the operation of statement C13 result in an under recovery in year t – 1, the SG figure will be positive and vice versa for an over recovery</w:delText>
        </w:r>
      </w:del>
      <w:r>
        <w:t xml:space="preserve">. </w:t>
      </w:r>
    </w:p>
    <w:p w14:paraId="6CB57801" w14:textId="77777777" w:rsidR="006661FE" w:rsidRDefault="006661FE" w:rsidP="006661FE">
      <w:pPr>
        <w:pStyle w:val="1"/>
        <w:jc w:val="both"/>
        <w:rPr>
          <w:vertAlign w:val="subscript"/>
        </w:rPr>
      </w:pPr>
    </w:p>
    <w:p w14:paraId="08C9A757" w14:textId="77777777" w:rsidR="006661FE" w:rsidRDefault="4DB720A2" w:rsidP="005607B6">
      <w:pPr>
        <w:pStyle w:val="1"/>
        <w:numPr>
          <w:ilvl w:val="0"/>
          <w:numId w:val="90"/>
        </w:numPr>
        <w:jc w:val="both"/>
      </w:pPr>
      <w:r>
        <w:t xml:space="preserve">In normal circumstances, the revenue forecast to be recovered from the </w:t>
      </w:r>
      <w:r w:rsidR="7A8BCEE0">
        <w:t xml:space="preserve">initial </w:t>
      </w:r>
      <w:r>
        <w:t xml:space="preserve">transport tariffs will not equate to the total revenue target. This is due to </w:t>
      </w:r>
      <w:bookmarkStart w:id="353" w:name="_Int_yQC2CqvJ"/>
      <w:r>
        <w:t>a number of</w:t>
      </w:r>
      <w:bookmarkEnd w:id="353"/>
      <w:r>
        <w:t xml:space="preserve"> factors</w:t>
      </w:r>
      <w:bookmarkStart w:id="354" w:name="_Int_JJtRjYC1"/>
      <w:r>
        <w:t xml:space="preserve">.  </w:t>
      </w:r>
      <w:bookmarkEnd w:id="354"/>
      <w:r>
        <w:t>For example, the transport model</w:t>
      </w:r>
      <w:r w:rsidR="006661FE">
        <w:fldChar w:fldCharType="begin"/>
      </w:r>
      <w:r w:rsidR="006661FE">
        <w:instrText xml:space="preserve"> XE "transport model" </w:instrText>
      </w:r>
      <w:r w:rsidR="006661FE">
        <w:fldChar w:fldCharType="end"/>
      </w:r>
      <w:r>
        <w:t xml:space="preserve"> assumes, for simplicity, smooth incremental transmission investments can be made. </w:t>
      </w:r>
      <w:bookmarkStart w:id="355" w:name="_Int_HDqHKKdx"/>
      <w:r>
        <w:t>In reality, transmission</w:t>
      </w:r>
      <w:bookmarkEnd w:id="355"/>
      <w:r>
        <w:t xml:space="preserve"> investment can only be made in discrete 'lumps'. The transmission system has been planned and developed over </w:t>
      </w:r>
      <w:bookmarkStart w:id="356" w:name="_Int_zKRjQ32D"/>
      <w:r>
        <w:t>a long period</w:t>
      </w:r>
      <w:bookmarkEnd w:id="356"/>
      <w:r>
        <w:t xml:space="preserve"> of time</w:t>
      </w:r>
      <w:bookmarkStart w:id="357" w:name="_Int_tSZPfNWA"/>
      <w:r>
        <w:t xml:space="preserve">.  </w:t>
      </w:r>
      <w:bookmarkEnd w:id="357"/>
      <w:r>
        <w:t>Forecasts and assessments used for planning purposes will not have been borne out precisely by events and therefore some distinction between an optimal system for one year and the actual system can be expected.</w:t>
      </w:r>
    </w:p>
    <w:p w14:paraId="3B257A84" w14:textId="77777777" w:rsidR="006661FE" w:rsidRDefault="006661FE" w:rsidP="006661FE">
      <w:pPr>
        <w:pStyle w:val="1"/>
        <w:jc w:val="both"/>
      </w:pPr>
    </w:p>
    <w:p w14:paraId="27D9DF7D" w14:textId="77777777" w:rsidR="006661FE" w:rsidRDefault="006661FE" w:rsidP="006661FE">
      <w:pPr>
        <w:pStyle w:val="1"/>
        <w:jc w:val="both"/>
      </w:pPr>
    </w:p>
    <w:p w14:paraId="6C5F8776" w14:textId="4A33E46E" w:rsidR="006661FE" w:rsidRDefault="502CD0E8" w:rsidP="005607B6">
      <w:pPr>
        <w:pStyle w:val="1"/>
        <w:numPr>
          <w:ilvl w:val="0"/>
          <w:numId w:val="90"/>
        </w:numPr>
        <w:jc w:val="both"/>
      </w:pPr>
      <w:r>
        <w:lastRenderedPageBreak/>
        <w:t xml:space="preserve">As a result of the factors above, </w:t>
      </w:r>
      <w:bookmarkStart w:id="358" w:name="_Int_fkxcJiz8"/>
      <w:r>
        <w:t>in order to</w:t>
      </w:r>
      <w:bookmarkEnd w:id="358"/>
      <w:r>
        <w:t xml:space="preserve"> ensure adequate recovery of total Transmission Owner revenue, a </w:t>
      </w:r>
      <w:r w:rsidR="3A2097F6">
        <w:t xml:space="preserve"> set of </w:t>
      </w:r>
      <w:r>
        <w:t xml:space="preserve">non-locational </w:t>
      </w:r>
      <w:r w:rsidR="5D6E49A2" w:rsidRPr="0537B9E0">
        <w:rPr>
          <w:b/>
          <w:bCs/>
        </w:rPr>
        <w:t>Trans</w:t>
      </w:r>
      <w:r w:rsidR="152EF4BC" w:rsidRPr="0537B9E0">
        <w:rPr>
          <w:b/>
          <w:bCs/>
        </w:rPr>
        <w:t>mission</w:t>
      </w:r>
      <w:r w:rsidR="15706952" w:rsidRPr="0537B9E0">
        <w:rPr>
          <w:b/>
          <w:bCs/>
        </w:rPr>
        <w:t xml:space="preserve"> Demand</w:t>
      </w:r>
      <w:r w:rsidR="15706952">
        <w:t xml:space="preserve"> </w:t>
      </w:r>
      <w:r w:rsidRPr="0537B9E0">
        <w:rPr>
          <w:b/>
          <w:bCs/>
        </w:rPr>
        <w:t>Residual Tariff</w:t>
      </w:r>
      <w:r w:rsidR="00D14615" w:rsidRPr="0537B9E0">
        <w:rPr>
          <w:b/>
          <w:bCs/>
        </w:rPr>
        <w:fldChar w:fldCharType="begin"/>
      </w:r>
      <w:r w:rsidR="00D14615">
        <w:instrText xml:space="preserve"> XE "</w:instrText>
      </w:r>
      <w:r w:rsidR="00D14615" w:rsidRPr="0537B9E0">
        <w:rPr>
          <w:b/>
          <w:bCs/>
        </w:rPr>
        <w:instrText>Security and Residual Tariff</w:instrText>
      </w:r>
      <w:r w:rsidR="00D14615">
        <w:instrText xml:space="preserve">" </w:instrText>
      </w:r>
      <w:r w:rsidR="00D14615" w:rsidRPr="0537B9E0">
        <w:rPr>
          <w:b/>
          <w:bCs/>
        </w:rPr>
        <w:fldChar w:fldCharType="end"/>
      </w:r>
      <w:r>
        <w:t xml:space="preserve"> for demand </w:t>
      </w:r>
      <w:r w:rsidR="228B7D3C">
        <w:t xml:space="preserve">are </w:t>
      </w:r>
      <w:r>
        <w:t xml:space="preserve"> calculated, which includes infrastructure substation asset costs</w:t>
      </w:r>
      <w:bookmarkStart w:id="359" w:name="_Int_RYkjr2eV"/>
      <w:r>
        <w:t xml:space="preserve">.  </w:t>
      </w:r>
      <w:bookmarkEnd w:id="359"/>
      <w:r>
        <w:t>Th</w:t>
      </w:r>
      <w:r w:rsidR="7613A7A4">
        <w:t xml:space="preserve">ese </w:t>
      </w:r>
      <w:r>
        <w:t xml:space="preserve"> tariff</w:t>
      </w:r>
      <w:r w:rsidR="2E69AFFD">
        <w:t>s</w:t>
      </w:r>
      <w:r>
        <w:t xml:space="preserve"> </w:t>
      </w:r>
      <w:r w:rsidR="5A01BBC1">
        <w:t xml:space="preserve"> are</w:t>
      </w:r>
      <w:r>
        <w:t xml:space="preserve"> </w:t>
      </w:r>
      <w:r w:rsidR="33451D48">
        <w:t>billed alongside</w:t>
      </w:r>
      <w:r w:rsidR="018B3A27">
        <w:t xml:space="preserve"> </w:t>
      </w:r>
      <w:r>
        <w:t xml:space="preserve"> the initial transport tariffs for demand only so that the total revenue recovery is achieved. </w:t>
      </w:r>
      <w:r w:rsidR="5DC4EF00">
        <w:t xml:space="preserve">The total amount of revenue to be recovered through </w:t>
      </w:r>
      <w:r w:rsidR="5DC4EF00" w:rsidRPr="0537B9E0">
        <w:rPr>
          <w:b/>
          <w:bCs/>
        </w:rPr>
        <w:t>Transmission Demand Residual Tariffs</w:t>
      </w:r>
      <w:r w:rsidR="5DC4EF00">
        <w:t xml:space="preserve"> is defined as the </w:t>
      </w:r>
      <w:r w:rsidR="5DC4EF00" w:rsidRPr="0537B9E0">
        <w:rPr>
          <w:b/>
          <w:bCs/>
        </w:rPr>
        <w:t>Transmission Demand Residual</w:t>
      </w:r>
      <w:r w:rsidR="5DC4EF00">
        <w:t>.</w:t>
      </w:r>
    </w:p>
    <w:p w14:paraId="27DCBDE5" w14:textId="77777777" w:rsidR="006661FE" w:rsidRDefault="006661FE" w:rsidP="006661FE">
      <w:pPr>
        <w:keepNext/>
        <w:tabs>
          <w:tab w:val="left" w:pos="2268"/>
        </w:tabs>
        <w:jc w:val="both"/>
        <w:rPr>
          <w:rFonts w:ascii="Arial" w:hAnsi="Arial"/>
        </w:rPr>
      </w:pPr>
      <w:r>
        <w:rPr>
          <w:rFonts w:ascii="Arial" w:hAnsi="Arial"/>
        </w:rPr>
        <w:tab/>
      </w:r>
    </w:p>
    <w:p w14:paraId="45B2C630" w14:textId="664EE332" w:rsidR="00EB263E" w:rsidRDefault="00EB263E" w:rsidP="00C43D1A">
      <w:pPr>
        <w:pStyle w:val="Equation"/>
        <w:rPr>
          <w:rFonts w:ascii="Arial" w:hAnsi="Arial"/>
          <w:sz w:val="22"/>
        </w:rPr>
      </w:pPr>
    </w:p>
    <w:p w14:paraId="5D8D7445" w14:textId="7B6EF55D" w:rsidR="00EB263E" w:rsidRDefault="00EB263E" w:rsidP="006661FE">
      <w:pPr>
        <w:pStyle w:val="Equation"/>
        <w:jc w:val="center"/>
        <w:rPr>
          <w:rFonts w:ascii="Arial" w:hAnsi="Arial"/>
          <w:sz w:val="22"/>
        </w:rPr>
      </w:pPr>
    </w:p>
    <w:p w14:paraId="5652AD35" w14:textId="7C2A7EA9" w:rsidR="00EB263E" w:rsidRDefault="00B428B8" w:rsidP="006661FE">
      <w:pPr>
        <w:pStyle w:val="Equation"/>
        <w:jc w:val="center"/>
        <w:rPr>
          <w:rFonts w:ascii="Arial" w:hAnsi="Arial"/>
          <w:sz w:val="22"/>
        </w:rPr>
      </w:pPr>
      <m:oMathPara>
        <m:oMath>
          <m:f>
            <m:fPr>
              <m:ctrlPr>
                <w:rPr>
                  <w:rFonts w:ascii="Cambria Math" w:hAnsi="Cambria Math"/>
                  <w:i/>
                </w:rPr>
              </m:ctrlPr>
            </m:fPr>
            <m:num>
              <m:r>
                <w:rPr>
                  <w:rFonts w:ascii="Cambria Math" w:hAnsi="Cambria Math" w:cs="Arial"/>
                </w:rPr>
                <m:t>TDR</m:t>
              </m:r>
              <m:r>
                <w:rPr>
                  <w:rFonts w:ascii="Cambria Math" w:hAnsi="Cambria Math" w:cs="Arial"/>
                </w:rPr>
                <m:t>=</m:t>
              </m:r>
              <m:r>
                <w:rPr>
                  <w:rFonts w:ascii="Cambria Math" w:hAnsi="Cambria Math" w:cs="Arial"/>
                </w:rPr>
                <m:t>TRR</m:t>
              </m:r>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DPS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DYR</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GYRNS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GYRS</m:t>
                  </m:r>
                  <m:r>
                    <w:rPr>
                      <w:rFonts w:ascii="Cambria Math" w:hAnsi="Cambria Math" w:cs="Arial"/>
                    </w:rPr>
                    <m:t xml:space="preserve"> </m:t>
                  </m:r>
                </m:sub>
              </m:sSub>
              <m:r>
                <w:rPr>
                  <w:rFonts w:ascii="Cambria Math" w:hAnsi="Cambria Math" w:cs="Arial"/>
                </w:rPr>
                <m:t>-</m:t>
              </m:r>
              <m:sSub>
                <m:sSubPr>
                  <m:ctrlPr>
                    <w:rPr>
                      <w:rFonts w:ascii="Cambria Math" w:hAnsi="Cambria Math" w:cs="Arial"/>
                      <w:i/>
                    </w:rPr>
                  </m:ctrlPr>
                </m:sSubPr>
                <m:e>
                  <m:r>
                    <w:rPr>
                      <w:rFonts w:ascii="Cambria Math" w:hAnsi="Cambria Math" w:cs="Arial"/>
                    </w:rPr>
                    <m:t>LCRR</m:t>
                  </m:r>
                </m:e>
                <m:sub>
                  <m:r>
                    <w:rPr>
                      <w:rFonts w:ascii="Cambria Math" w:hAnsi="Cambria Math" w:cs="Arial"/>
                    </w:rPr>
                    <m:t>GG</m:t>
                  </m:r>
                </m:sub>
              </m:sSub>
              <m:r>
                <w:rPr>
                  <w:rFonts w:ascii="Cambria Math" w:hAnsi="Cambria Math" w:cs="Arial"/>
                </w:rPr>
                <m:t>-</m:t>
              </m:r>
              <m:r>
                <w:rPr>
                  <w:rFonts w:ascii="Cambria Math" w:hAnsi="Cambria Math" w:cs="Arial"/>
                </w:rPr>
                <m:t>AdjRevenue</m:t>
              </m:r>
            </m:num>
            <m:den/>
          </m:f>
        </m:oMath>
      </m:oMathPara>
    </w:p>
    <w:p w14:paraId="4E48FD9E" w14:textId="77777777" w:rsidR="006661FE" w:rsidRDefault="006661FE" w:rsidP="006661FE">
      <w:pPr>
        <w:pStyle w:val="Header"/>
        <w:keepNext/>
        <w:ind w:firstLine="720"/>
        <w:jc w:val="both"/>
      </w:pPr>
      <w:r>
        <w:t>Where</w:t>
      </w:r>
    </w:p>
    <w:p w14:paraId="613672A2" w14:textId="3B8540E8"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T</w:t>
      </w:r>
      <w:r w:rsidR="000C35EF">
        <w:rPr>
          <w:rFonts w:ascii="Arial" w:hAnsi="Arial"/>
          <w:sz w:val="22"/>
        </w:rPr>
        <w:t>DR</w:t>
      </w:r>
      <w:r>
        <w:rPr>
          <w:rFonts w:ascii="Arial" w:hAnsi="Arial"/>
          <w:sz w:val="22"/>
        </w:rPr>
        <w:tab/>
      </w:r>
      <w:r>
        <w:rPr>
          <w:rFonts w:ascii="Arial" w:hAnsi="Arial"/>
          <w:sz w:val="22"/>
        </w:rPr>
        <w:tab/>
        <w:t>=</w:t>
      </w:r>
      <w:r>
        <w:rPr>
          <w:rFonts w:ascii="Arial" w:hAnsi="Arial"/>
          <w:sz w:val="22"/>
        </w:rPr>
        <w:tab/>
      </w:r>
      <w:r w:rsidR="00FC6963" w:rsidRPr="00FC6963">
        <w:rPr>
          <w:rFonts w:ascii="Arial" w:hAnsi="Arial" w:cs="Arial"/>
          <w:b/>
        </w:rPr>
        <w:t xml:space="preserve"> </w:t>
      </w:r>
      <w:r w:rsidR="00FC6963">
        <w:rPr>
          <w:rFonts w:ascii="Arial" w:hAnsi="Arial" w:cs="Arial"/>
          <w:b/>
        </w:rPr>
        <w:t>Transmission Demand Residual</w:t>
      </w:r>
    </w:p>
    <w:p w14:paraId="2B268B2D" w14:textId="7EACE1BC" w:rsidR="00D04576" w:rsidRDefault="006661FE" w:rsidP="00B428B8">
      <w:pPr>
        <w:pStyle w:val="1"/>
        <w:tabs>
          <w:tab w:val="left" w:pos="2127"/>
        </w:tabs>
        <w:ind w:left="2977" w:hanging="2257"/>
        <w:jc w:val="both"/>
        <w:rPr>
          <w:ins w:id="360" w:author="Alex Aristodemou" w:date="2023-11-03T16:25:00Z"/>
        </w:rPr>
      </w:pPr>
      <w:del w:id="361" w:author="Craig Bell" w:date="2023-11-06T08:30:00Z">
        <w:r w:rsidDel="00231C36">
          <w:rPr>
            <w:rFonts w:ascii="Arial" w:hAnsi="Arial"/>
          </w:rPr>
          <w:tab/>
        </w:r>
      </w:del>
      <w:ins w:id="362" w:author="Alex Aristodemou" w:date="2023-11-03T16:25:00Z">
        <w:del w:id="363" w:author="Craig Bell" w:date="2023-11-06T08:30:00Z">
          <w:r w:rsidR="00D04576" w:rsidDel="00231C36">
            <w:rPr>
              <w:rFonts w:ascii="Arial" w:hAnsi="Arial"/>
            </w:rPr>
            <w:tab/>
          </w:r>
          <w:r w:rsidR="00D04576" w:rsidDel="00231C36">
            <w:rPr>
              <w:rFonts w:ascii="Arial" w:hAnsi="Arial"/>
            </w:rPr>
            <w:tab/>
          </w:r>
        </w:del>
        <w:r w:rsidR="00D04576">
          <w:t>TRR</w:t>
        </w:r>
        <w:r w:rsidR="00D04576">
          <w:rPr>
            <w:vertAlign w:val="subscript"/>
          </w:rPr>
          <w:t xml:space="preserve"> </w:t>
        </w:r>
        <w:r w:rsidR="00D04576">
          <w:rPr>
            <w:vertAlign w:val="subscript"/>
          </w:rPr>
          <w:tab/>
        </w:r>
        <w:r w:rsidR="00D04576">
          <w:t>=</w:t>
        </w:r>
        <w:r w:rsidR="00D04576">
          <w:tab/>
          <w:t>the forecast of Maximum Revenue at the point where charges are set for a period</w:t>
        </w:r>
      </w:ins>
      <w:ins w:id="364" w:author="Craig Bell" w:date="2023-11-06T08:29:00Z">
        <w:r w:rsidR="00B819FF">
          <w:t xml:space="preserve"> (as calculated in line with </w:t>
        </w:r>
        <w:r w:rsidR="00231C36">
          <w:t>paragraph 14.15.135)</w:t>
        </w:r>
      </w:ins>
    </w:p>
    <w:p w14:paraId="00D8A1B3" w14:textId="00B61432" w:rsidR="006661FE" w:rsidRDefault="006661FE" w:rsidP="006661FE">
      <w:pPr>
        <w:pStyle w:val="Variableexplanation"/>
        <w:tabs>
          <w:tab w:val="clear" w:pos="1134"/>
          <w:tab w:val="clear" w:pos="1418"/>
          <w:tab w:val="clear" w:pos="1701"/>
        </w:tabs>
        <w:rPr>
          <w:rFonts w:ascii="Arial" w:hAnsi="Arial"/>
          <w:sz w:val="22"/>
        </w:rPr>
      </w:pPr>
    </w:p>
    <w:p w14:paraId="3B690763" w14:textId="5BEB80FF" w:rsidR="00660EF7" w:rsidRDefault="00660EF7" w:rsidP="00660EF7">
      <w:pPr>
        <w:pStyle w:val="Variableexplanation"/>
        <w:tabs>
          <w:tab w:val="clear" w:pos="1134"/>
          <w:tab w:val="clear" w:pos="1418"/>
          <w:tab w:val="clear" w:pos="1701"/>
        </w:tabs>
        <w:ind w:left="2160" w:hanging="1440"/>
        <w:rPr>
          <w:rFonts w:ascii="Arial" w:hAnsi="Arial"/>
          <w:sz w:val="22"/>
        </w:rPr>
      </w:pPr>
      <w:r>
        <w:rPr>
          <w:rFonts w:ascii="Arial" w:hAnsi="Arial"/>
          <w:sz w:val="22"/>
        </w:rPr>
        <w:t>AdjRevenue</w:t>
      </w:r>
      <w:r>
        <w:rPr>
          <w:rFonts w:ascii="Arial" w:hAnsi="Arial"/>
          <w:sz w:val="22"/>
        </w:rPr>
        <w:tab/>
        <w:t xml:space="preserve">=          </w:t>
      </w:r>
      <w:r w:rsidRPr="00A419B0">
        <w:rPr>
          <w:rFonts w:ascii="Arial" w:hAnsi="Arial"/>
          <w:sz w:val="22"/>
          <w:szCs w:val="22"/>
        </w:rPr>
        <w:t>Adjustment Revenue as per paragraph 14.14.5</w:t>
      </w:r>
    </w:p>
    <w:p w14:paraId="21E3CE2B" w14:textId="77777777" w:rsidR="00660EF7" w:rsidRDefault="00660EF7" w:rsidP="006661FE">
      <w:pPr>
        <w:pStyle w:val="Variableexplanation"/>
        <w:tabs>
          <w:tab w:val="clear" w:pos="1134"/>
          <w:tab w:val="clear" w:pos="1418"/>
          <w:tab w:val="clear" w:pos="1701"/>
        </w:tabs>
        <w:rPr>
          <w:rFonts w:ascii="Arial" w:hAnsi="Arial"/>
          <w:sz w:val="22"/>
        </w:rPr>
      </w:pPr>
    </w:p>
    <w:p w14:paraId="2666838A" w14:textId="77777777" w:rsidR="00E8334E" w:rsidRDefault="00E8334E" w:rsidP="00E8334E">
      <w:pPr>
        <w:pStyle w:val="Heading2"/>
      </w:pPr>
      <w:r>
        <w:t>Creation of Charging Bands for use in Transmission Demand Residual Tariff Setting</w:t>
      </w:r>
    </w:p>
    <w:p w14:paraId="45D0FB9B" w14:textId="77777777" w:rsidR="00E8334E" w:rsidRDefault="00E8334E" w:rsidP="00E8334E">
      <w:pPr>
        <w:rPr>
          <w:sz w:val="22"/>
          <w:lang w:eastAsia="en-US"/>
        </w:rPr>
      </w:pPr>
    </w:p>
    <w:p w14:paraId="31D776FC" w14:textId="781EB708" w:rsidR="00E8334E" w:rsidRPr="001D3D15" w:rsidRDefault="00E8334E" w:rsidP="001D3D15">
      <w:pPr>
        <w:pStyle w:val="Variableexplanation"/>
        <w:tabs>
          <w:tab w:val="left" w:pos="720"/>
        </w:tabs>
        <w:rPr>
          <w:rFonts w:ascii="Arial" w:hAnsi="Arial"/>
          <w:sz w:val="22"/>
        </w:rPr>
      </w:pPr>
      <w:r>
        <w:rPr>
          <w:rFonts w:ascii="Arial" w:hAnsi="Arial"/>
          <w:sz w:val="22"/>
        </w:rPr>
        <w:t>14.15.13</w:t>
      </w:r>
      <w:r w:rsidR="001D3D15">
        <w:rPr>
          <w:rFonts w:ascii="Arial" w:hAnsi="Arial"/>
          <w:sz w:val="22"/>
        </w:rPr>
        <w:t xml:space="preserve">8  </w:t>
      </w:r>
      <w:r>
        <w:rPr>
          <w:rFonts w:ascii="Arial" w:hAnsi="Arial" w:cs="Arial"/>
          <w:sz w:val="22"/>
        </w:rPr>
        <w:t xml:space="preserve">To produce the </w:t>
      </w:r>
      <w:r>
        <w:rPr>
          <w:rFonts w:ascii="Arial" w:hAnsi="Arial" w:cs="Arial"/>
          <w:b/>
          <w:sz w:val="22"/>
        </w:rPr>
        <w:t>Transmission Demand Residual Tariffs</w:t>
      </w:r>
      <w:r>
        <w:rPr>
          <w:rFonts w:ascii="Arial" w:hAnsi="Arial" w:cs="Arial"/>
          <w:sz w:val="22"/>
        </w:rPr>
        <w:t xml:space="preserve"> a set of </w:t>
      </w:r>
      <w:r>
        <w:rPr>
          <w:rFonts w:ascii="Arial" w:hAnsi="Arial" w:cs="Arial"/>
          <w:b/>
          <w:sz w:val="22"/>
        </w:rPr>
        <w:t>Charging Bands</w:t>
      </w:r>
      <w:r>
        <w:rPr>
          <w:rFonts w:ascii="Arial" w:hAnsi="Arial" w:cs="Arial"/>
          <w:sz w:val="22"/>
        </w:rPr>
        <w:t xml:space="preserve"> are to be created for each of the </w:t>
      </w:r>
      <w:r>
        <w:rPr>
          <w:rFonts w:ascii="Arial" w:hAnsi="Arial" w:cs="Arial"/>
          <w:b/>
          <w:sz w:val="22"/>
        </w:rPr>
        <w:t xml:space="preserve">Residual Charging Groups </w:t>
      </w:r>
      <w:r>
        <w:rPr>
          <w:rFonts w:ascii="Arial" w:hAnsi="Arial" w:cs="Arial"/>
          <w:sz w:val="22"/>
        </w:rPr>
        <w:t>using the following methodology.</w:t>
      </w:r>
    </w:p>
    <w:p w14:paraId="31FC7ED5" w14:textId="77777777" w:rsidR="00E8334E" w:rsidRDefault="00E8334E" w:rsidP="00E8334E">
      <w:pPr>
        <w:rPr>
          <w:rFonts w:ascii="Arial" w:hAnsi="Arial" w:cs="Arial"/>
          <w:sz w:val="22"/>
          <w:lang w:eastAsia="en-US"/>
        </w:rPr>
      </w:pPr>
    </w:p>
    <w:p w14:paraId="3E9A90B0"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domestic </w:t>
      </w:r>
      <w:r>
        <w:rPr>
          <w:rFonts w:ascii="Arial" w:hAnsi="Arial" w:cs="Arial"/>
          <w:b/>
          <w:sz w:val="22"/>
          <w:lang w:eastAsia="en-US"/>
        </w:rPr>
        <w:t>Final Demand Sites</w:t>
      </w:r>
      <w:r>
        <w:rPr>
          <w:rFonts w:ascii="Arial" w:hAnsi="Arial" w:cs="Arial"/>
          <w:sz w:val="22"/>
          <w:lang w:eastAsia="en-US"/>
        </w:rPr>
        <w:t xml:space="preserve"> whether connected to the </w:t>
      </w:r>
      <w:r>
        <w:rPr>
          <w:rFonts w:ascii="Arial" w:hAnsi="Arial" w:cs="Arial"/>
          <w:b/>
          <w:sz w:val="22"/>
          <w:lang w:eastAsia="en-US"/>
        </w:rPr>
        <w:t>Distribution</w:t>
      </w:r>
      <w:r>
        <w:rPr>
          <w:rFonts w:ascii="Arial" w:hAnsi="Arial" w:cs="Arial"/>
          <w:sz w:val="22"/>
          <w:lang w:eastAsia="en-US"/>
        </w:rPr>
        <w:t xml:space="preserve"> system or </w:t>
      </w:r>
      <w:r>
        <w:rPr>
          <w:rFonts w:ascii="Arial" w:hAnsi="Arial" w:cs="Arial"/>
          <w:b/>
          <w:sz w:val="22"/>
          <w:lang w:eastAsia="en-US"/>
        </w:rPr>
        <w:t>Transmission</w:t>
      </w:r>
      <w:r>
        <w:rPr>
          <w:rFonts w:ascii="Arial" w:hAnsi="Arial" w:cs="Arial"/>
          <w:sz w:val="22"/>
          <w:lang w:eastAsia="en-US"/>
        </w:rPr>
        <w:t xml:space="preserve"> system there will be one </w:t>
      </w:r>
      <w:r>
        <w:rPr>
          <w:rFonts w:ascii="Arial" w:hAnsi="Arial" w:cs="Arial"/>
          <w:b/>
          <w:sz w:val="22"/>
          <w:lang w:eastAsia="en-US"/>
        </w:rPr>
        <w:t xml:space="preserve">Charging Band </w:t>
      </w:r>
      <w:r>
        <w:rPr>
          <w:rFonts w:ascii="Arial" w:hAnsi="Arial" w:cs="Arial"/>
          <w:sz w:val="22"/>
          <w:lang w:eastAsia="en-US"/>
        </w:rPr>
        <w:t>and;</w:t>
      </w:r>
    </w:p>
    <w:p w14:paraId="4AAD8B93" w14:textId="77777777" w:rsidR="00E8334E" w:rsidRDefault="00E8334E" w:rsidP="00E8334E">
      <w:pPr>
        <w:pStyle w:val="ListParagraph"/>
        <w:rPr>
          <w:rFonts w:ascii="Arial" w:hAnsi="Arial" w:cs="Arial"/>
          <w:sz w:val="22"/>
          <w:lang w:eastAsia="en-US"/>
        </w:rPr>
      </w:pPr>
    </w:p>
    <w:p w14:paraId="7ED065DC"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non-domestic </w:t>
      </w:r>
      <w:r>
        <w:rPr>
          <w:rFonts w:ascii="Arial" w:hAnsi="Arial" w:cs="Arial"/>
          <w:b/>
          <w:sz w:val="22"/>
          <w:lang w:eastAsia="en-US"/>
        </w:rPr>
        <w:t>Final Demand Sites</w:t>
      </w:r>
      <w:r>
        <w:rPr>
          <w:rFonts w:ascii="Arial" w:hAnsi="Arial" w:cs="Arial"/>
          <w:sz w:val="22"/>
          <w:lang w:eastAsia="en-US"/>
        </w:rPr>
        <w:t xml:space="preserve"> connected to the </w:t>
      </w:r>
      <w:r>
        <w:rPr>
          <w:rFonts w:ascii="Arial" w:hAnsi="Arial" w:cs="Arial"/>
          <w:b/>
          <w:sz w:val="22"/>
          <w:lang w:eastAsia="en-US"/>
        </w:rPr>
        <w:t>Distribution</w:t>
      </w:r>
      <w:r>
        <w:rPr>
          <w:rFonts w:ascii="Arial" w:hAnsi="Arial" w:cs="Arial"/>
          <w:sz w:val="22"/>
          <w:lang w:eastAsia="en-US"/>
        </w:rPr>
        <w:t xml:space="preserve"> system there will be four </w:t>
      </w:r>
      <w:r>
        <w:rPr>
          <w:rFonts w:ascii="Arial" w:hAnsi="Arial" w:cs="Arial"/>
          <w:b/>
          <w:sz w:val="22"/>
          <w:lang w:eastAsia="en-US"/>
        </w:rPr>
        <w:t>Charging Bands</w:t>
      </w:r>
      <w:r>
        <w:rPr>
          <w:rFonts w:ascii="Arial" w:hAnsi="Arial" w:cs="Arial"/>
          <w:sz w:val="22"/>
          <w:lang w:eastAsia="en-US"/>
        </w:rPr>
        <w:t xml:space="preserve"> for each of the </w:t>
      </w:r>
      <w:r>
        <w:rPr>
          <w:rFonts w:ascii="Arial" w:hAnsi="Arial" w:cs="Arial"/>
          <w:b/>
          <w:sz w:val="22"/>
          <w:lang w:eastAsia="en-US"/>
        </w:rPr>
        <w:t>Residual Charging Groups</w:t>
      </w:r>
      <w:r>
        <w:rPr>
          <w:rFonts w:ascii="Arial" w:hAnsi="Arial" w:cs="Arial"/>
          <w:sz w:val="22"/>
          <w:lang w:eastAsia="en-US"/>
        </w:rPr>
        <w:t xml:space="preserve"> according to the methodology introduced to Schedule 32  of the </w:t>
      </w:r>
      <w:r>
        <w:rPr>
          <w:rFonts w:ascii="Arial" w:hAnsi="Arial" w:cs="Arial"/>
          <w:b/>
          <w:sz w:val="22"/>
          <w:lang w:eastAsia="en-US"/>
        </w:rPr>
        <w:t>DCUSA</w:t>
      </w:r>
      <w:r>
        <w:rPr>
          <w:rFonts w:ascii="Arial" w:hAnsi="Arial" w:cs="Arial"/>
          <w:sz w:val="22"/>
          <w:lang w:eastAsia="en-US"/>
        </w:rPr>
        <w:t xml:space="preserve"> via DCUSA modification DCP358 and entitled ‘RESIDUAL CHARGING BANDS’ 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 and;</w:t>
      </w:r>
    </w:p>
    <w:p w14:paraId="1BE09280" w14:textId="77777777" w:rsidR="00E8334E" w:rsidRDefault="00E8334E" w:rsidP="00E8334E">
      <w:pPr>
        <w:pStyle w:val="ListParagraph"/>
        <w:rPr>
          <w:rFonts w:ascii="Arial" w:hAnsi="Arial" w:cs="Arial"/>
          <w:sz w:val="22"/>
          <w:lang w:eastAsia="en-US"/>
        </w:rPr>
      </w:pPr>
    </w:p>
    <w:p w14:paraId="1160E96E" w14:textId="77777777" w:rsidR="00E8334E" w:rsidRDefault="00E8334E" w:rsidP="00E8334E">
      <w:pPr>
        <w:pStyle w:val="ListParagraph"/>
        <w:numPr>
          <w:ilvl w:val="0"/>
          <w:numId w:val="143"/>
        </w:numPr>
        <w:rPr>
          <w:rFonts w:ascii="Arial" w:hAnsi="Arial" w:cs="Arial"/>
          <w:sz w:val="22"/>
          <w:szCs w:val="22"/>
          <w:lang w:eastAsia="en-US"/>
        </w:rPr>
      </w:pPr>
      <w:r>
        <w:rPr>
          <w:rFonts w:ascii="Arial" w:hAnsi="Arial" w:cs="Arial"/>
          <w:sz w:val="22"/>
          <w:szCs w:val="22"/>
          <w:lang w:eastAsia="en-US"/>
        </w:rPr>
        <w:t xml:space="preserve">For </w:t>
      </w:r>
      <w:r>
        <w:rPr>
          <w:rFonts w:ascii="Arial" w:hAnsi="Arial" w:cs="Arial"/>
          <w:b/>
          <w:bCs/>
          <w:sz w:val="22"/>
          <w:szCs w:val="22"/>
          <w:lang w:eastAsia="en-US"/>
        </w:rPr>
        <w:t>Final Demand Sites</w:t>
      </w:r>
      <w:r>
        <w:rPr>
          <w:rFonts w:ascii="Arial" w:hAnsi="Arial" w:cs="Arial"/>
          <w:sz w:val="22"/>
          <w:szCs w:val="22"/>
          <w:lang w:eastAsia="en-US"/>
        </w:rPr>
        <w:t xml:space="preserve"> directly connected to the </w:t>
      </w:r>
      <w:r>
        <w:rPr>
          <w:rFonts w:ascii="Arial" w:hAnsi="Arial" w:cs="Arial"/>
          <w:b/>
          <w:sz w:val="22"/>
          <w:szCs w:val="22"/>
          <w:lang w:eastAsia="en-US"/>
        </w:rPr>
        <w:t xml:space="preserve">Transmission </w:t>
      </w:r>
      <w:r>
        <w:rPr>
          <w:rFonts w:ascii="Arial" w:hAnsi="Arial" w:cs="Arial"/>
          <w:sz w:val="22"/>
          <w:szCs w:val="22"/>
          <w:lang w:eastAsia="en-US"/>
        </w:rPr>
        <w:t xml:space="preserve">system there will be four </w:t>
      </w:r>
      <w:r>
        <w:rPr>
          <w:rFonts w:ascii="Arial" w:hAnsi="Arial" w:cs="Arial"/>
          <w:b/>
          <w:bCs/>
          <w:sz w:val="22"/>
          <w:szCs w:val="22"/>
          <w:lang w:eastAsia="en-US"/>
        </w:rPr>
        <w:t>Charging Bands</w:t>
      </w:r>
      <w:r>
        <w:rPr>
          <w:rFonts w:ascii="Arial" w:hAnsi="Arial" w:cs="Arial"/>
          <w:sz w:val="22"/>
          <w:szCs w:val="22"/>
          <w:lang w:eastAsia="en-US"/>
        </w:rPr>
        <w:t xml:space="preserve"> using gross </w:t>
      </w:r>
      <w:r>
        <w:rPr>
          <w:rFonts w:ascii="Arial" w:hAnsi="Arial" w:cs="Arial"/>
          <w:b/>
          <w:sz w:val="22"/>
          <w:szCs w:val="22"/>
          <w:lang w:eastAsia="en-US"/>
        </w:rPr>
        <w:t>Consumption</w:t>
      </w:r>
      <w:r>
        <w:rPr>
          <w:rFonts w:ascii="Arial" w:hAnsi="Arial" w:cs="Arial"/>
          <w:sz w:val="22"/>
          <w:szCs w:val="22"/>
          <w:lang w:eastAsia="en-US"/>
        </w:rPr>
        <w:t xml:space="preserve"> data </w:t>
      </w:r>
      <w:r>
        <w:rPr>
          <w:rFonts w:ascii="Arial" w:hAnsi="Arial" w:cs="Arial"/>
          <w:sz w:val="22"/>
          <w:lang w:eastAsia="en-US"/>
        </w:rPr>
        <w:t>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w:t>
      </w:r>
      <w:r>
        <w:rPr>
          <w:rFonts w:ascii="Arial" w:hAnsi="Arial" w:cs="Arial"/>
          <w:sz w:val="22"/>
          <w:szCs w:val="22"/>
          <w:lang w:eastAsia="en-US"/>
        </w:rPr>
        <w:t xml:space="preserve"> and;</w:t>
      </w:r>
    </w:p>
    <w:p w14:paraId="4DE7EBE4" w14:textId="77777777" w:rsidR="00E8334E" w:rsidRDefault="00E8334E" w:rsidP="00E8334E">
      <w:pPr>
        <w:pStyle w:val="ListParagraph"/>
        <w:rPr>
          <w:rFonts w:ascii="Arial" w:hAnsi="Arial" w:cs="Arial"/>
          <w:sz w:val="22"/>
          <w:lang w:eastAsia="en-US"/>
        </w:rPr>
      </w:pPr>
    </w:p>
    <w:p w14:paraId="555155E1"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w:t>
      </w:r>
      <w:r>
        <w:rPr>
          <w:rFonts w:ascii="Arial" w:hAnsi="Arial" w:cs="Arial"/>
          <w:b/>
          <w:sz w:val="22"/>
          <w:lang w:eastAsia="en-US"/>
        </w:rPr>
        <w:t>Unmetered Supplies</w:t>
      </w:r>
      <w:r>
        <w:rPr>
          <w:rFonts w:ascii="Arial" w:hAnsi="Arial" w:cs="Arial"/>
          <w:sz w:val="22"/>
          <w:lang w:eastAsia="en-US"/>
        </w:rPr>
        <w:t xml:space="preserve"> there will be one </w:t>
      </w:r>
      <w:r>
        <w:rPr>
          <w:rFonts w:ascii="Arial" w:hAnsi="Arial" w:cs="Arial"/>
          <w:b/>
          <w:sz w:val="22"/>
          <w:lang w:eastAsia="en-US"/>
        </w:rPr>
        <w:t>Charging Band.</w:t>
      </w:r>
    </w:p>
    <w:tbl>
      <w:tblPr>
        <w:tblStyle w:val="TableGrid"/>
        <w:tblpPr w:leftFromText="180" w:rightFromText="180" w:vertAnchor="text" w:horzAnchor="margin" w:tblpY="386"/>
        <w:tblOverlap w:val="never"/>
        <w:tblW w:w="0" w:type="auto"/>
        <w:tblLook w:val="04A0" w:firstRow="1" w:lastRow="0" w:firstColumn="1" w:lastColumn="0" w:noHBand="0" w:noVBand="1"/>
      </w:tblPr>
      <w:tblGrid>
        <w:gridCol w:w="3679"/>
        <w:gridCol w:w="5659"/>
      </w:tblGrid>
      <w:tr w:rsidR="00B45A6D" w14:paraId="548C8131"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56D7E22" w14:textId="77777777" w:rsidR="00B45A6D" w:rsidRDefault="00B45A6D">
            <w:pPr>
              <w:pStyle w:val="NoSpacing"/>
              <w:jc w:val="center"/>
              <w:rPr>
                <w:rFonts w:ascii="Arial" w:hAnsi="Arial" w:cs="Arial"/>
                <w:sz w:val="22"/>
              </w:rPr>
            </w:pPr>
            <w:r>
              <w:rPr>
                <w:rFonts w:ascii="Arial" w:hAnsi="Arial" w:cs="Arial"/>
                <w:sz w:val="22"/>
              </w:rPr>
              <w:t xml:space="preserve">Domestic </w:t>
            </w:r>
            <w:r>
              <w:rPr>
                <w:rFonts w:ascii="Arial" w:hAnsi="Arial" w:cs="Arial"/>
                <w:b/>
                <w:sz w:val="22"/>
              </w:rPr>
              <w:t>Final Demand Sites</w:t>
            </w:r>
          </w:p>
        </w:tc>
      </w:tr>
      <w:tr w:rsidR="00B45A6D" w14:paraId="146827BB"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D452066" w14:textId="77777777" w:rsidR="00B45A6D" w:rsidRDefault="00B45A6D">
            <w:pPr>
              <w:pStyle w:val="NoSpacing"/>
              <w:jc w:val="center"/>
              <w:rPr>
                <w:rFonts w:ascii="Arial" w:hAnsi="Arial" w:cs="Arial"/>
                <w:sz w:val="22"/>
              </w:rPr>
            </w:pPr>
            <w:r>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4FF8BC9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B2EE3A9" w14:textId="77777777" w:rsidTr="00B45A6D">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8E4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00A10B"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BD817BA"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09A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3A213A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4A5C1F5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3076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210EA852"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0DF7C7E"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4B2B265F" w14:textId="77777777" w:rsidR="00B45A6D" w:rsidRDefault="00B45A6D">
            <w:pPr>
              <w:pStyle w:val="NoSpacing"/>
              <w:jc w:val="center"/>
              <w:rPr>
                <w:rFonts w:ascii="Arial" w:hAnsi="Arial" w:cs="Arial"/>
                <w:sz w:val="22"/>
              </w:rPr>
            </w:pPr>
            <w:r>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516BD53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6FA001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7BBA1"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BA5B867"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FE33C5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BA939"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547D5D7"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891268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DFD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150EC96"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810B148"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637F3845" w14:textId="77777777" w:rsidR="00B45A6D" w:rsidRDefault="00B45A6D">
            <w:pPr>
              <w:pStyle w:val="NoSpacing"/>
              <w:jc w:val="center"/>
              <w:rPr>
                <w:rFonts w:ascii="Arial" w:hAnsi="Arial" w:cs="Arial"/>
                <w:sz w:val="22"/>
              </w:rPr>
            </w:pPr>
            <w:r>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229E9040"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769DE6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DDC5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8A9DC00"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BC9D34E"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6705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79149D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5321CC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C4542"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9B9BA70"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52F769F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E86B9B7" w14:textId="77777777" w:rsidR="00B45A6D" w:rsidRDefault="00B45A6D">
            <w:pPr>
              <w:pStyle w:val="NoSpacing"/>
              <w:jc w:val="center"/>
              <w:rPr>
                <w:rFonts w:ascii="Arial" w:hAnsi="Arial" w:cs="Arial"/>
                <w:sz w:val="22"/>
              </w:rPr>
            </w:pPr>
            <w:r>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8F568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DD8E88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8D1F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F8AE0A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6745A9F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DE4C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E1F712E"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7D3B0296"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6EBD4"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16E22891"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243840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5BDF325F" w14:textId="77777777" w:rsidR="00B45A6D" w:rsidRDefault="00B45A6D">
            <w:pPr>
              <w:pStyle w:val="NoSpacing"/>
              <w:jc w:val="center"/>
              <w:rPr>
                <w:rFonts w:ascii="Arial" w:hAnsi="Arial" w:cs="Arial"/>
                <w:sz w:val="22"/>
              </w:rPr>
            </w:pPr>
            <w:r>
              <w:rPr>
                <w:rFonts w:ascii="Arial" w:hAnsi="Arial" w:cs="Arial"/>
                <w:b/>
                <w:sz w:val="22"/>
              </w:rPr>
              <w:t>Directly Connected Users</w:t>
            </w:r>
            <w:r>
              <w:rPr>
                <w:rFonts w:ascii="Arial" w:hAnsi="Arial" w:cs="Arial"/>
                <w:sz w:val="22"/>
              </w:rPr>
              <w:t xml:space="preserve"> </w:t>
            </w:r>
            <w:r>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1C9C465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44C5BB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C9CCA"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4187DD9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68344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6688D7"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9C7D65" w14:textId="77777777" w:rsidR="00B45A6D" w:rsidRDefault="00B45A6D">
            <w:pPr>
              <w:pStyle w:val="NoSpacing"/>
              <w:jc w:val="center"/>
              <w:rPr>
                <w:rFonts w:ascii="Arial" w:hAnsi="Arial" w:cs="Arial"/>
                <w:b/>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354DCE1D"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CFC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2AD16BB" w14:textId="77777777" w:rsidR="00B45A6D" w:rsidRDefault="00B45A6D">
            <w:pPr>
              <w:pStyle w:val="NoSpacing"/>
              <w:jc w:val="center"/>
              <w:rPr>
                <w:rFonts w:ascii="Arial" w:hAnsi="Arial" w:cs="Arial"/>
                <w:b/>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79F0682F"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4E901A2" w14:textId="77777777" w:rsidR="00B45A6D" w:rsidRDefault="00B45A6D">
            <w:pPr>
              <w:pStyle w:val="NoSpacing"/>
              <w:jc w:val="center"/>
              <w:rPr>
                <w:rFonts w:ascii="Arial" w:hAnsi="Arial" w:cs="Arial"/>
                <w:b/>
                <w:sz w:val="22"/>
              </w:rPr>
            </w:pPr>
            <w:r>
              <w:rPr>
                <w:rFonts w:ascii="Arial" w:hAnsi="Arial" w:cs="Arial"/>
                <w:b/>
                <w:sz w:val="22"/>
              </w:rPr>
              <w:t>Unmetered Supplies</w:t>
            </w:r>
          </w:p>
        </w:tc>
      </w:tr>
    </w:tbl>
    <w:p w14:paraId="11BFF246" w14:textId="77777777" w:rsidR="006661FE" w:rsidRDefault="006661FE" w:rsidP="006661FE">
      <w:pPr>
        <w:pStyle w:val="Heading2"/>
      </w:pPr>
    </w:p>
    <w:p w14:paraId="64A34B4B" w14:textId="77777777" w:rsidR="00E8334E" w:rsidRPr="00D37770" w:rsidRDefault="00E8334E" w:rsidP="00741921"/>
    <w:p w14:paraId="3C5A17B7" w14:textId="38C278A5" w:rsidR="00E707CA" w:rsidRDefault="00E707CA" w:rsidP="00E707CA">
      <w:pPr>
        <w:rPr>
          <w:rFonts w:ascii="Arial" w:hAnsi="Arial" w:cs="Arial"/>
          <w:sz w:val="22"/>
          <w:lang w:eastAsia="en-US"/>
        </w:rPr>
      </w:pPr>
      <w:bookmarkStart w:id="365" w:name="_Toc32201079"/>
      <w:bookmarkStart w:id="366" w:name="_Toc49661116"/>
      <w:bookmarkStart w:id="367" w:name="_Toc274049693"/>
      <w:r>
        <w:rPr>
          <w:rFonts w:ascii="Arial" w:hAnsi="Arial" w:cs="Arial"/>
          <w:sz w:val="22"/>
          <w:lang w:eastAsia="en-US"/>
        </w:rPr>
        <w:t>14.15.13</w:t>
      </w:r>
      <w:r w:rsidR="001D3D15">
        <w:rPr>
          <w:rFonts w:ascii="Arial" w:hAnsi="Arial" w:cs="Arial"/>
          <w:sz w:val="22"/>
          <w:lang w:eastAsia="en-US"/>
        </w:rPr>
        <w:t>9</w:t>
      </w:r>
      <w:r>
        <w:rPr>
          <w:rFonts w:ascii="Arial" w:hAnsi="Arial" w:cs="Arial"/>
          <w:sz w:val="22"/>
          <w:lang w:eastAsia="en-US"/>
        </w:rPr>
        <w:tab/>
      </w:r>
    </w:p>
    <w:p w14:paraId="674CA5D0" w14:textId="2E031666" w:rsidR="00E707CA" w:rsidRDefault="1C721591" w:rsidP="0537B9E0">
      <w:pPr>
        <w:ind w:left="720"/>
        <w:rPr>
          <w:rFonts w:ascii="Arial" w:hAnsi="Arial" w:cs="Arial"/>
          <w:sz w:val="22"/>
          <w:szCs w:val="22"/>
          <w:lang w:eastAsia="en-US"/>
        </w:rPr>
      </w:pPr>
      <w:r w:rsidRPr="0537B9E0">
        <w:rPr>
          <w:rFonts w:ascii="Arial" w:hAnsi="Arial" w:cs="Arial"/>
          <w:sz w:val="22"/>
          <w:szCs w:val="22"/>
          <w:lang w:eastAsia="en-US"/>
        </w:rPr>
        <w:t xml:space="preserve">These </w:t>
      </w:r>
      <w:r w:rsidRPr="0537B9E0">
        <w:rPr>
          <w:rFonts w:ascii="Arial" w:hAnsi="Arial" w:cs="Arial"/>
          <w:b/>
          <w:bCs/>
          <w:sz w:val="22"/>
          <w:szCs w:val="22"/>
          <w:lang w:eastAsia="en-US"/>
        </w:rPr>
        <w:t>Charging Bands</w:t>
      </w:r>
      <w:r w:rsidRPr="0537B9E0">
        <w:rPr>
          <w:rFonts w:ascii="Arial" w:hAnsi="Arial" w:cs="Arial"/>
          <w:sz w:val="22"/>
          <w:szCs w:val="22"/>
          <w:lang w:eastAsia="en-US"/>
        </w:rPr>
        <w:t xml:space="preserve"> will be reviewed periodically and be implemented effective from the beginning of each </w:t>
      </w:r>
      <w:r w:rsidRPr="0537B9E0">
        <w:rPr>
          <w:rFonts w:ascii="Arial" w:hAnsi="Arial" w:cs="Arial"/>
          <w:b/>
          <w:bCs/>
          <w:sz w:val="22"/>
          <w:szCs w:val="22"/>
          <w:lang w:eastAsia="en-US"/>
        </w:rPr>
        <w:t>Onshore</w:t>
      </w:r>
      <w:r w:rsidRPr="0537B9E0">
        <w:rPr>
          <w:rFonts w:ascii="Arial" w:hAnsi="Arial" w:cs="Arial"/>
          <w:sz w:val="22"/>
          <w:szCs w:val="22"/>
          <w:lang w:eastAsia="en-US"/>
        </w:rPr>
        <w:t xml:space="preserve"> </w:t>
      </w:r>
      <w:r w:rsidRPr="0537B9E0">
        <w:rPr>
          <w:rFonts w:ascii="Arial" w:hAnsi="Arial" w:cs="Arial"/>
          <w:b/>
          <w:bCs/>
          <w:sz w:val="22"/>
          <w:szCs w:val="22"/>
          <w:lang w:eastAsia="en-US"/>
        </w:rPr>
        <w:t xml:space="preserve">Transmission Owner </w:t>
      </w:r>
      <w:r w:rsidRPr="0537B9E0">
        <w:rPr>
          <w:rFonts w:ascii="Arial" w:hAnsi="Arial" w:cs="Arial"/>
          <w:sz w:val="22"/>
          <w:szCs w:val="22"/>
          <w:lang w:eastAsia="en-US"/>
        </w:rPr>
        <w:t>price control period</w:t>
      </w:r>
      <w:r w:rsidR="461D1866" w:rsidRPr="0537B9E0">
        <w:rPr>
          <w:rFonts w:ascii="Arial" w:hAnsi="Arial" w:cs="Arial"/>
          <w:sz w:val="22"/>
          <w:szCs w:val="22"/>
          <w:lang w:eastAsia="en-US"/>
        </w:rPr>
        <w:t xml:space="preserve">. </w:t>
      </w:r>
    </w:p>
    <w:p w14:paraId="028210B5" w14:textId="77777777" w:rsidR="00E707CA" w:rsidRDefault="00E707CA" w:rsidP="00E707CA">
      <w:pPr>
        <w:rPr>
          <w:rFonts w:ascii="Arial" w:hAnsi="Arial" w:cs="Arial"/>
          <w:lang w:eastAsia="en-US"/>
        </w:rPr>
      </w:pPr>
    </w:p>
    <w:p w14:paraId="52C791B2" w14:textId="77777777" w:rsidR="00E707CA" w:rsidRDefault="00E707CA" w:rsidP="00E707CA">
      <w:pPr>
        <w:rPr>
          <w:rFonts w:ascii="Arial Bold" w:hAnsi="Arial Bold"/>
          <w:sz w:val="22"/>
        </w:rPr>
      </w:pPr>
      <w:r>
        <w:rPr>
          <w:rFonts w:ascii="Arial Bold" w:hAnsi="Arial Bold"/>
          <w:sz w:val="22"/>
        </w:rPr>
        <w:t>Transmission Demand Residual Tariff Setting</w:t>
      </w:r>
    </w:p>
    <w:p w14:paraId="4D2D3E5F" w14:textId="77777777" w:rsidR="00E707CA" w:rsidRDefault="00E707CA" w:rsidP="00E707CA">
      <w:pPr>
        <w:rPr>
          <w:rFonts w:ascii="Arial Bold" w:hAnsi="Arial Bold"/>
          <w:sz w:val="22"/>
        </w:rPr>
      </w:pPr>
    </w:p>
    <w:p w14:paraId="5BBE91C9" w14:textId="43092A49" w:rsidR="00E707CA" w:rsidRDefault="00E707CA" w:rsidP="00E707CA">
      <w:pPr>
        <w:rPr>
          <w:rFonts w:ascii="Arial" w:hAnsi="Arial" w:cs="Arial"/>
          <w:sz w:val="22"/>
        </w:rPr>
      </w:pPr>
      <w:r>
        <w:rPr>
          <w:rFonts w:ascii="Arial" w:hAnsi="Arial" w:cs="Arial"/>
          <w:sz w:val="22"/>
        </w:rPr>
        <w:t>14.15.1</w:t>
      </w:r>
      <w:r w:rsidR="001D3D15">
        <w:rPr>
          <w:rFonts w:ascii="Arial" w:hAnsi="Arial" w:cs="Arial"/>
          <w:sz w:val="22"/>
        </w:rPr>
        <w:t>40</w:t>
      </w:r>
    </w:p>
    <w:p w14:paraId="38EBAC9A" w14:textId="77777777" w:rsidR="00E707CA" w:rsidRDefault="00E707CA" w:rsidP="00E707CA">
      <w:pPr>
        <w:ind w:left="720"/>
        <w:rPr>
          <w:rFonts w:ascii="Arial" w:hAnsi="Arial" w:cs="Arial"/>
          <w:sz w:val="22"/>
        </w:rPr>
      </w:pPr>
      <w:r>
        <w:rPr>
          <w:rFonts w:ascii="Arial" w:hAnsi="Arial" w:cs="Arial"/>
          <w:sz w:val="22"/>
        </w:rPr>
        <w:t xml:space="preserve">The </w:t>
      </w:r>
      <w:r>
        <w:rPr>
          <w:rFonts w:ascii="Arial" w:hAnsi="Arial" w:cs="Arial"/>
          <w:b/>
          <w:sz w:val="22"/>
        </w:rPr>
        <w:t>Transmission Demand Residual Tariffs</w:t>
      </w:r>
      <w:r>
        <w:rPr>
          <w:rFonts w:ascii="Arial" w:hAnsi="Arial" w:cs="Arial"/>
          <w:sz w:val="22"/>
        </w:rPr>
        <w:t xml:space="preserve"> are derived from the </w:t>
      </w:r>
      <w:r>
        <w:rPr>
          <w:rFonts w:ascii="Arial" w:hAnsi="Arial" w:cs="Arial"/>
          <w:b/>
          <w:sz w:val="22"/>
        </w:rPr>
        <w:t>Transmission Demand Residual</w:t>
      </w:r>
      <w:r>
        <w:rPr>
          <w:rFonts w:ascii="Arial" w:hAnsi="Arial" w:cs="Arial"/>
          <w:sz w:val="22"/>
        </w:rPr>
        <w:t xml:space="preserve"> value calculated in 14.15.136 and the total annual consumption of all </w:t>
      </w:r>
      <w:r>
        <w:rPr>
          <w:rFonts w:ascii="Arial" w:hAnsi="Arial" w:cs="Arial"/>
          <w:b/>
          <w:sz w:val="22"/>
        </w:rPr>
        <w:t>Final Demand Sites</w:t>
      </w:r>
      <w:r>
        <w:rPr>
          <w:rFonts w:ascii="Arial" w:hAnsi="Arial" w:cs="Arial"/>
          <w:sz w:val="22"/>
        </w:rPr>
        <w:t xml:space="preserve"> and </w:t>
      </w:r>
      <w:r>
        <w:rPr>
          <w:rFonts w:ascii="Arial" w:hAnsi="Arial" w:cs="Arial"/>
          <w:b/>
          <w:sz w:val="22"/>
        </w:rPr>
        <w:t>Unmetered Supplies</w:t>
      </w:r>
      <w:r>
        <w:rPr>
          <w:rFonts w:ascii="Arial" w:hAnsi="Arial" w:cs="Arial"/>
          <w:sz w:val="22"/>
        </w:rPr>
        <w:t>.</w:t>
      </w:r>
    </w:p>
    <w:p w14:paraId="44496EF4" w14:textId="77777777" w:rsidR="00E707CA" w:rsidRDefault="00E707CA" w:rsidP="00E707CA">
      <w:pPr>
        <w:rPr>
          <w:rFonts w:ascii="Arial" w:hAnsi="Arial" w:cs="Arial"/>
          <w:sz w:val="22"/>
        </w:rPr>
      </w:pPr>
    </w:p>
    <w:p w14:paraId="39838B26" w14:textId="42FD2150" w:rsidR="00E707CA" w:rsidRDefault="00E707CA" w:rsidP="001D3D15">
      <w:pPr>
        <w:rPr>
          <w:rFonts w:ascii="Arial" w:hAnsi="Arial" w:cs="Arial"/>
          <w:sz w:val="22"/>
        </w:rPr>
      </w:pPr>
      <w:r>
        <w:rPr>
          <w:rFonts w:ascii="Arial" w:hAnsi="Arial" w:cs="Arial"/>
          <w:sz w:val="22"/>
        </w:rPr>
        <w:t>14.15.14</w:t>
      </w:r>
      <w:r w:rsidR="001D3D15">
        <w:rPr>
          <w:rFonts w:ascii="Arial" w:hAnsi="Arial" w:cs="Arial"/>
          <w:sz w:val="22"/>
        </w:rPr>
        <w:t xml:space="preserve">1 </w:t>
      </w:r>
      <w:r>
        <w:rPr>
          <w:rFonts w:ascii="Arial" w:hAnsi="Arial" w:cs="Arial"/>
          <w:sz w:val="22"/>
        </w:rPr>
        <w:t xml:space="preserve">To determine the proportion of the </w:t>
      </w:r>
      <w:r>
        <w:rPr>
          <w:rFonts w:ascii="Arial" w:hAnsi="Arial" w:cs="Arial"/>
          <w:b/>
          <w:sz w:val="22"/>
        </w:rPr>
        <w:t xml:space="preserve">Transmission Demand Residual </w:t>
      </w:r>
      <w:r>
        <w:rPr>
          <w:rFonts w:ascii="Arial" w:hAnsi="Arial" w:cs="Arial"/>
          <w:sz w:val="22"/>
        </w:rPr>
        <w:t xml:space="preserve">to be recovered from each </w:t>
      </w:r>
      <w:r>
        <w:rPr>
          <w:rFonts w:ascii="Arial" w:hAnsi="Arial" w:cs="Arial"/>
          <w:b/>
          <w:sz w:val="22"/>
        </w:rPr>
        <w:t>Charging Band</w:t>
      </w:r>
      <w:r>
        <w:rPr>
          <w:rFonts w:ascii="Arial" w:hAnsi="Arial" w:cs="Arial"/>
          <w:sz w:val="22"/>
        </w:rPr>
        <w:t>:</w:t>
      </w:r>
    </w:p>
    <w:p w14:paraId="067DF285" w14:textId="77777777" w:rsidR="00E707CA" w:rsidRDefault="00E707CA" w:rsidP="00E707CA">
      <w:pPr>
        <w:ind w:left="720"/>
        <w:rPr>
          <w:rFonts w:ascii="Arial" w:hAnsi="Arial" w:cs="Arial"/>
          <w:sz w:val="22"/>
        </w:rPr>
      </w:pPr>
    </w:p>
    <w:p w14:paraId="28CD9742"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Final Demand Sites</w:t>
      </w:r>
      <w:r>
        <w:rPr>
          <w:rFonts w:ascii="Arial" w:hAnsi="Arial" w:cs="Arial"/>
          <w:sz w:val="22"/>
        </w:rPr>
        <w:t xml:space="preserve"> 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723088A1" w14:textId="77777777" w:rsidR="00E707CA" w:rsidRDefault="00E707CA" w:rsidP="00E707CA">
      <w:pPr>
        <w:pStyle w:val="ListParagraph"/>
        <w:ind w:left="1080"/>
        <w:rPr>
          <w:rFonts w:ascii="Arial" w:hAnsi="Arial" w:cs="Arial"/>
          <w:sz w:val="22"/>
        </w:rPr>
      </w:pPr>
    </w:p>
    <w:p w14:paraId="4AF67788"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 xml:space="preserve">Unmetered Supplies </w:t>
      </w:r>
      <w:r>
        <w:rPr>
          <w:rFonts w:ascii="Arial" w:hAnsi="Arial" w:cs="Arial"/>
          <w:sz w:val="22"/>
        </w:rPr>
        <w:t xml:space="preserve">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6C547DBC" w14:textId="77777777" w:rsidR="00E707CA" w:rsidRDefault="00E707CA" w:rsidP="00E707CA">
      <w:pPr>
        <w:ind w:left="720"/>
        <w:rPr>
          <w:rFonts w:ascii="Arial" w:hAnsi="Arial" w:cs="Arial"/>
          <w:sz w:val="22"/>
        </w:rPr>
      </w:pPr>
    </w:p>
    <w:p w14:paraId="006893A1" w14:textId="77777777" w:rsidR="00E707CA" w:rsidRDefault="00E707CA" w:rsidP="00E707CA">
      <w:pPr>
        <w:ind w:left="720"/>
        <w:rPr>
          <w:rFonts w:ascii="Arial" w:hAnsi="Arial" w:cs="Arial"/>
          <w:sz w:val="22"/>
        </w:rPr>
      </w:pPr>
      <w:r>
        <w:rPr>
          <w:rFonts w:ascii="Arial" w:hAnsi="Arial" w:cs="Arial"/>
          <w:sz w:val="22"/>
        </w:rPr>
        <w:t xml:space="preserve">This percentage is multiplied by the </w:t>
      </w:r>
      <w:r>
        <w:rPr>
          <w:rFonts w:ascii="Arial" w:hAnsi="Arial" w:cs="Arial"/>
          <w:b/>
          <w:sz w:val="22"/>
        </w:rPr>
        <w:t>Transmission Demand Residual</w:t>
      </w:r>
      <w:r>
        <w:rPr>
          <w:rFonts w:ascii="Arial" w:hAnsi="Arial" w:cs="Arial"/>
          <w:sz w:val="22"/>
        </w:rPr>
        <w:t xml:space="preserve"> to give the total value to be recovered from the </w:t>
      </w:r>
      <w:r>
        <w:rPr>
          <w:rFonts w:ascii="Arial" w:hAnsi="Arial" w:cs="Arial"/>
          <w:b/>
          <w:sz w:val="22"/>
        </w:rPr>
        <w:t>Charging Band</w:t>
      </w:r>
      <w:r>
        <w:rPr>
          <w:rFonts w:ascii="Arial" w:hAnsi="Arial" w:cs="Arial"/>
          <w:sz w:val="22"/>
        </w:rPr>
        <w:t>.</w:t>
      </w:r>
    </w:p>
    <w:p w14:paraId="46F4448E" w14:textId="77777777" w:rsidR="00E707CA" w:rsidRDefault="00E707CA" w:rsidP="00E707CA">
      <w:pPr>
        <w:ind w:left="720"/>
        <w:rPr>
          <w:rFonts w:ascii="Arial" w:hAnsi="Arial" w:cs="Arial"/>
          <w:sz w:val="22"/>
        </w:rPr>
      </w:pPr>
    </w:p>
    <w:p w14:paraId="23F6D6DA" w14:textId="16B89186" w:rsidR="00E707CA" w:rsidRDefault="00E707CA" w:rsidP="00E707CA">
      <w:pPr>
        <w:rPr>
          <w:rFonts w:ascii="Arial" w:hAnsi="Arial" w:cs="Arial"/>
          <w:sz w:val="22"/>
        </w:rPr>
      </w:pPr>
      <w:r>
        <w:rPr>
          <w:rFonts w:ascii="Arial" w:hAnsi="Arial" w:cs="Arial"/>
          <w:sz w:val="22"/>
        </w:rPr>
        <w:t>14.15.14</w:t>
      </w:r>
      <w:r w:rsidR="005629C5">
        <w:rPr>
          <w:rFonts w:ascii="Arial" w:hAnsi="Arial" w:cs="Arial"/>
          <w:sz w:val="22"/>
        </w:rPr>
        <w:t>2</w:t>
      </w:r>
    </w:p>
    <w:p w14:paraId="5CE85B8C" w14:textId="47650924" w:rsidR="00E707CA" w:rsidRDefault="00E707CA" w:rsidP="00E707CA">
      <w:pPr>
        <w:pStyle w:val="Heading2"/>
      </w:pPr>
      <w:r>
        <w:rPr>
          <w:rFonts w:ascii="Arial" w:hAnsi="Arial" w:cs="Arial"/>
        </w:rPr>
        <w:t>To set the Transmission Demand Residual Tariff for each Charging Band:</w:t>
      </w:r>
    </w:p>
    <w:p w14:paraId="590CED96" w14:textId="0A1C71F0"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Final Demand Sites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CC7A5E">
        <w:rPr>
          <w:rFonts w:ascii="Arial" w:hAnsi="Arial" w:cs="Arial"/>
          <w:sz w:val="22"/>
        </w:rPr>
        <w:t>45</w:t>
      </w:r>
      <w:r>
        <w:rPr>
          <w:rFonts w:ascii="Arial" w:hAnsi="Arial" w:cs="Arial"/>
          <w:sz w:val="22"/>
        </w:rPr>
        <w:t xml:space="preserve"> is divided by the number of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to create a £/site annual charge. This charge is further divided by the number of days in the charging year for which this tariff applies to produce the </w:t>
      </w:r>
      <w:r>
        <w:rPr>
          <w:rFonts w:ascii="Arial" w:hAnsi="Arial" w:cs="Arial"/>
          <w:b/>
          <w:sz w:val="22"/>
        </w:rPr>
        <w:t>Transmission Demand Residual Tariff</w:t>
      </w:r>
      <w:r>
        <w:rPr>
          <w:rFonts w:ascii="Arial" w:hAnsi="Arial" w:cs="Arial"/>
          <w:sz w:val="22"/>
        </w:rPr>
        <w:t xml:space="preserve"> for the </w:t>
      </w:r>
      <w:r>
        <w:rPr>
          <w:rFonts w:ascii="Arial" w:hAnsi="Arial" w:cs="Arial"/>
          <w:b/>
          <w:sz w:val="22"/>
        </w:rPr>
        <w:t>Charging Band</w:t>
      </w:r>
      <w:r>
        <w:rPr>
          <w:rFonts w:ascii="Arial" w:hAnsi="Arial" w:cs="Arial"/>
          <w:sz w:val="22"/>
        </w:rPr>
        <w:t xml:space="preserve"> (£/site/day).</w:t>
      </w:r>
    </w:p>
    <w:p w14:paraId="60038AA0" w14:textId="77777777" w:rsidR="00E707CA" w:rsidRDefault="00E707CA" w:rsidP="00E707CA">
      <w:pPr>
        <w:pStyle w:val="ListParagraph"/>
        <w:ind w:left="1080"/>
        <w:rPr>
          <w:rFonts w:ascii="Arial" w:hAnsi="Arial" w:cs="Arial"/>
          <w:sz w:val="22"/>
        </w:rPr>
      </w:pPr>
    </w:p>
    <w:p w14:paraId="02EA14FD" w14:textId="004BBF16"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Unmetered Supplies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B86220">
        <w:rPr>
          <w:rFonts w:ascii="Arial" w:hAnsi="Arial" w:cs="Arial"/>
          <w:sz w:val="22"/>
        </w:rPr>
        <w:t>45</w:t>
      </w:r>
      <w:r>
        <w:rPr>
          <w:rFonts w:ascii="Arial" w:hAnsi="Arial" w:cs="Arial"/>
          <w:sz w:val="22"/>
        </w:rPr>
        <w:t xml:space="preserve"> is divided by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to create a p/kWh charge. This tariff is also defined as the </w:t>
      </w:r>
      <w:r>
        <w:rPr>
          <w:rFonts w:ascii="Arial" w:hAnsi="Arial" w:cs="Arial"/>
          <w:b/>
          <w:sz w:val="22"/>
        </w:rPr>
        <w:t>UMS Tariff</w:t>
      </w:r>
      <w:r>
        <w:rPr>
          <w:rFonts w:ascii="Arial" w:hAnsi="Arial" w:cs="Arial"/>
          <w:sz w:val="22"/>
        </w:rPr>
        <w:t>.</w:t>
      </w:r>
    </w:p>
    <w:p w14:paraId="6FA272ED" w14:textId="77777777" w:rsidR="00E707CA" w:rsidRDefault="00E707CA" w:rsidP="006661FE">
      <w:pPr>
        <w:pStyle w:val="Heading2"/>
      </w:pPr>
    </w:p>
    <w:p w14:paraId="0BBE1B49" w14:textId="73647326" w:rsidR="006661FE" w:rsidRDefault="006661FE" w:rsidP="006661FE">
      <w:pPr>
        <w:pStyle w:val="Heading2"/>
      </w:pPr>
      <w:r>
        <w:t>Final £/kW Tariff</w:t>
      </w:r>
      <w:bookmarkEnd w:id="365"/>
      <w:bookmarkEnd w:id="366"/>
      <w:bookmarkEnd w:id="367"/>
    </w:p>
    <w:p w14:paraId="172972D0" w14:textId="77777777" w:rsidR="006661FE" w:rsidRDefault="006661FE" w:rsidP="006661FE">
      <w:pPr>
        <w:keepNext/>
        <w:rPr>
          <w:rFonts w:ascii="Arial" w:hAnsi="Arial"/>
        </w:rPr>
      </w:pPr>
    </w:p>
    <w:p w14:paraId="2C2642A2" w14:textId="1C4CF7F6" w:rsidR="006661FE" w:rsidRDefault="006661FE" w:rsidP="00741921">
      <w:pPr>
        <w:pStyle w:val="1"/>
        <w:numPr>
          <w:ilvl w:val="0"/>
          <w:numId w:val="159"/>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3D00D4">
        <w:t xml:space="preserve"> and</w:t>
      </w:r>
      <w:r>
        <w:t xml:space="preserve"> </w:t>
      </w:r>
      <w:r w:rsidR="00F31A9A">
        <w:t xml:space="preserve"> Adjustment Tariff and</w:t>
      </w:r>
      <w:r>
        <w:t xml:space="preserve"> </w:t>
      </w:r>
      <w:r w:rsidR="004F5278">
        <w:t xml:space="preserve">the </w:t>
      </w:r>
      <w:r>
        <w:t>local tariff</w:t>
      </w:r>
      <w:r w:rsidR="00C43D1A">
        <w:t xml:space="preserve"> </w:t>
      </w:r>
      <w:r w:rsidR="0039188A">
        <w:t>(for generation)</w:t>
      </w:r>
      <w:r>
        <w:t>:</w:t>
      </w:r>
    </w:p>
    <w:p w14:paraId="52D7115C" w14:textId="77777777" w:rsidR="006661FE" w:rsidRDefault="006661FE" w:rsidP="006661FE">
      <w:pPr>
        <w:ind w:firstLine="720"/>
        <w:jc w:val="both"/>
        <w:rPr>
          <w:rFonts w:ascii="Arial" w:hAnsi="Arial"/>
        </w:rPr>
      </w:pPr>
    </w:p>
    <w:p w14:paraId="1FC1EA13" w14:textId="5D0E0218" w:rsidR="000C762C" w:rsidRDefault="006661FE" w:rsidP="00AB4296">
      <w:pPr>
        <w:ind w:left="1440" w:firstLine="60"/>
        <w:jc w:val="both"/>
        <w:rPr>
          <w:rFonts w:ascii="Arial" w:hAnsi="Arial"/>
        </w:rPr>
      </w:pPr>
      <w:r>
        <w:rPr>
          <w:rFonts w:ascii="Arial" w:hAnsi="Arial"/>
        </w:rPr>
        <w:t xml:space="preserve">                  </w:t>
      </w:r>
    </w:p>
    <w:p w14:paraId="0332AFF1" w14:textId="77777777" w:rsidR="00E61855" w:rsidRDefault="00B428B8" w:rsidP="00E61855">
      <w:pPr>
        <w:ind w:left="1440" w:firstLine="60"/>
        <w:jc w:val="both"/>
        <w:rPr>
          <w:rFonts w:ascii="Arial" w:hAnsi="Arial"/>
        </w:rPr>
      </w:pPr>
      <m:oMathPara>
        <m:oMath>
          <m:sSub>
            <m:sSubPr>
              <m:ctrlPr>
                <w:rPr>
                  <w:rFonts w:ascii="Cambria Math" w:hAnsi="Cambria Math"/>
                  <w:i/>
                  <w:color w:val="4472C4" w:themeColor="accent1"/>
                </w:rPr>
              </m:ctrlPr>
            </m:sSubPr>
            <m:e>
              <m:r>
                <w:rPr>
                  <w:rFonts w:ascii="Cambria Math" w:hAnsi="Cambria Math"/>
                  <w:color w:val="4472C4" w:themeColor="accent1"/>
                </w:rPr>
                <m:t>ET</m:t>
              </m:r>
            </m:e>
            <m:sub>
              <m:r>
                <w:rPr>
                  <w:rFonts w:ascii="Cambria Math" w:hAnsi="Cambria Math"/>
                  <w:color w:val="4472C4" w:themeColor="accent1"/>
                </w:rPr>
                <m:t>Gi</m:t>
              </m:r>
            </m:sub>
          </m:sSub>
          <m:r>
            <w:rPr>
              <w:rFonts w:ascii="Cambria Math" w:hAnsi="Cambria Math"/>
              <w:color w:val="4472C4" w:themeColor="accent1"/>
            </w:rPr>
            <m:t xml:space="preserve">= </m:t>
          </m:r>
          <m:f>
            <m:fPr>
              <m:ctrlPr>
                <w:rPr>
                  <w:rFonts w:ascii="Cambria Math" w:hAnsi="Cambria Math"/>
                  <w:i/>
                  <w:color w:val="4472C4" w:themeColor="accent1"/>
                </w:rPr>
              </m:ctrlPr>
            </m:fPr>
            <m:num>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GiPS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GiYRNS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IFF</m:t>
                  </m:r>
                </m:e>
                <m:sub>
                  <m:r>
                    <w:rPr>
                      <w:rFonts w:ascii="Cambria Math" w:hAnsi="Cambria Math"/>
                      <w:color w:val="4472C4" w:themeColor="accent1"/>
                    </w:rPr>
                    <m:t>GiYRS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AdjTariff</m:t>
                  </m:r>
                </m:e>
                <m:sub>
                  <m:r>
                    <w:rPr>
                      <w:rFonts w:ascii="Cambria Math" w:hAnsi="Cambria Math"/>
                      <w:color w:val="4472C4" w:themeColor="accent1"/>
                    </w:rPr>
                    <m:t>i</m:t>
                  </m:r>
                </m:sub>
              </m:sSub>
            </m:num>
            <m:den>
              <m:r>
                <w:rPr>
                  <w:rFonts w:ascii="Cambria Math" w:hAnsi="Cambria Math"/>
                  <w:color w:val="4472C4" w:themeColor="accent1"/>
                </w:rPr>
                <m:t>1000</m:t>
              </m:r>
            </m:den>
          </m:f>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LT</m:t>
              </m:r>
            </m:e>
            <m:sub>
              <m:r>
                <w:rPr>
                  <w:rFonts w:ascii="Cambria Math" w:hAnsi="Cambria Math"/>
                  <w:color w:val="4472C4" w:themeColor="accent1"/>
                </w:rPr>
                <m:t>Gi</m:t>
              </m:r>
            </m:sub>
          </m:sSub>
        </m:oMath>
      </m:oMathPara>
    </w:p>
    <w:p w14:paraId="727F97E0" w14:textId="6CCA3231" w:rsidR="000C762C" w:rsidRDefault="006661FE" w:rsidP="00AB4296">
      <w:pPr>
        <w:ind w:left="1440" w:firstLine="60"/>
        <w:jc w:val="both"/>
        <w:rPr>
          <w:rFonts w:ascii="Arial" w:hAnsi="Arial"/>
        </w:rPr>
      </w:pPr>
      <w:r>
        <w:rPr>
          <w:rFonts w:ascii="Arial" w:hAnsi="Arial"/>
        </w:rPr>
        <w:t xml:space="preserve">and                              </w:t>
      </w:r>
    </w:p>
    <w:p w14:paraId="7A0BC535" w14:textId="77777777" w:rsidR="00D8741B" w:rsidRDefault="00D8741B" w:rsidP="00D8741B">
      <w:pPr>
        <w:pStyle w:val="1"/>
        <w:ind w:left="960"/>
        <w:jc w:val="both"/>
      </w:pPr>
    </w:p>
    <w:p w14:paraId="70D5EE5C" w14:textId="76A6DA25" w:rsidR="00D8741B" w:rsidRDefault="00D8741B" w:rsidP="00D8741B">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5A2645B1" w14:textId="77777777" w:rsidR="00D8741B" w:rsidRDefault="00D8741B" w:rsidP="00D8741B">
      <w:pPr>
        <w:ind w:left="1440" w:firstLine="60"/>
        <w:jc w:val="both"/>
        <w:rPr>
          <w:rFonts w:ascii="Arial" w:hAnsi="Arial"/>
        </w:rPr>
      </w:pPr>
      <w:r>
        <w:rPr>
          <w:rFonts w:ascii="Arial" w:hAnsi="Arial"/>
        </w:rPr>
        <w:t xml:space="preserve">                         </w:t>
      </w:r>
    </w:p>
    <w:p w14:paraId="23F25DE5" w14:textId="77777777" w:rsidR="000C762C" w:rsidRDefault="000C762C" w:rsidP="00AB4296">
      <w:pPr>
        <w:ind w:left="1440" w:firstLine="60"/>
        <w:jc w:val="both"/>
        <w:rPr>
          <w:rFonts w:ascii="Arial" w:hAnsi="Arial"/>
        </w:rPr>
      </w:pPr>
    </w:p>
    <w:p w14:paraId="5799C635" w14:textId="77777777" w:rsidR="006877AB" w:rsidRDefault="00B428B8" w:rsidP="006877AB">
      <w:pPr>
        <w:ind w:left="1440" w:firstLine="720"/>
        <w:jc w:val="both"/>
        <w:rPr>
          <w:rFonts w:ascii="Arial" w:hAnsi="Arial"/>
        </w:rPr>
      </w:pPr>
      <m:oMathPara>
        <m:oMath>
          <m:sSub>
            <m:sSubPr>
              <m:ctrlPr>
                <w:rPr>
                  <w:rFonts w:ascii="Cambria Math" w:hAnsi="Cambria Math"/>
                  <w:i/>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IT</m:t>
                  </m:r>
                  <m:r>
                    <w:rPr>
                      <w:rFonts w:ascii="Cambria Math" w:hAnsi="Cambria Math"/>
                    </w:rPr>
                    <m:t>T</m:t>
                  </m:r>
                </m:e>
                <m:sub>
                  <m:r>
                    <w:rPr>
                      <w:rFonts w:ascii="Cambria Math" w:hAnsi="Cambria Math"/>
                    </w:rPr>
                    <m:t>DiPS</m:t>
                  </m:r>
                </m:sub>
              </m:sSub>
              <m:r>
                <w:rPr>
                  <w:rFonts w:ascii="Cambria Math" w:hAnsi="Cambria Math"/>
                </w:rPr>
                <m:t>+</m:t>
              </m:r>
              <m:sSub>
                <m:sSubPr>
                  <m:ctrlPr>
                    <w:rPr>
                      <w:rFonts w:ascii="Cambria Math" w:hAnsi="Cambria Math"/>
                      <w:i/>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01DADE62" w14:textId="77777777" w:rsidR="006661FE" w:rsidRDefault="006661FE" w:rsidP="006661FE">
      <w:pPr>
        <w:jc w:val="both"/>
        <w:rPr>
          <w:rFonts w:ascii="Arial" w:hAnsi="Arial"/>
        </w:rPr>
      </w:pPr>
    </w:p>
    <w:p w14:paraId="28BA36D9" w14:textId="77777777" w:rsidR="00204263" w:rsidRDefault="00204263" w:rsidP="006661FE">
      <w:pPr>
        <w:jc w:val="both"/>
        <w:rPr>
          <w:rFonts w:ascii="Arial" w:hAnsi="Arial"/>
        </w:rPr>
      </w:pPr>
    </w:p>
    <w:p w14:paraId="4491FCA4"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2F95EB69" w14:textId="47C02CED"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2886746" w14:textId="77777777" w:rsidR="00E4346C" w:rsidRDefault="00E4346C" w:rsidP="00B56030">
      <w:pPr>
        <w:pStyle w:val="Variableexplanation"/>
        <w:tabs>
          <w:tab w:val="left" w:pos="720"/>
        </w:tabs>
        <w:ind w:left="1627" w:hanging="1365"/>
        <w:rPr>
          <w:rFonts w:ascii="Arial" w:hAnsi="Arial"/>
          <w:sz w:val="22"/>
        </w:rPr>
      </w:pPr>
    </w:p>
    <w:p w14:paraId="2574DEBB" w14:textId="74AFD3FA" w:rsidR="000C762C" w:rsidRDefault="00116BD3" w:rsidP="00B56030">
      <w:pPr>
        <w:pStyle w:val="Variableexplanation"/>
        <w:tabs>
          <w:tab w:val="left" w:pos="720"/>
        </w:tabs>
        <w:ind w:left="1627" w:hanging="1365"/>
        <w:rPr>
          <w:rFonts w:ascii="Arial" w:hAnsi="Arial"/>
          <w:sz w:val="22"/>
        </w:rPr>
      </w:pPr>
      <w:r>
        <w:rPr>
          <w:rFonts w:ascii="Arial" w:hAnsi="Arial"/>
          <w:sz w:val="22"/>
        </w:rPr>
        <w:t xml:space="preserve">C </w:t>
      </w:r>
    </w:p>
    <w:p w14:paraId="0F917FA2" w14:textId="16463512"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t xml:space="preserve">Effective </w:t>
      </w:r>
      <w:r w:rsidR="005C46FC">
        <w:rPr>
          <w:rFonts w:ascii="Arial" w:hAnsi="Arial"/>
          <w:sz w:val="22"/>
        </w:rPr>
        <w:t>HH</w:t>
      </w:r>
      <w:r>
        <w:rPr>
          <w:rFonts w:ascii="Arial" w:hAnsi="Arial"/>
          <w:sz w:val="22"/>
        </w:rPr>
        <w:t xml:space="preserve"> Demand</w:t>
      </w:r>
      <w:r w:rsidR="00D35FEA">
        <w:rPr>
          <w:rFonts w:ascii="Arial" w:hAnsi="Arial"/>
          <w:sz w:val="22"/>
        </w:rPr>
        <w:t xml:space="preserve"> Locational</w:t>
      </w:r>
      <w:r>
        <w:rPr>
          <w:rFonts w:ascii="Arial" w:hAnsi="Arial"/>
          <w:sz w:val="22"/>
        </w:rPr>
        <w:t xml:space="preserve"> TNUoS Tariff expressed in £/kW</w:t>
      </w:r>
    </w:p>
    <w:p w14:paraId="5BDA1934" w14:textId="77777777" w:rsidR="000C762C" w:rsidRDefault="000C762C" w:rsidP="00B56030">
      <w:pPr>
        <w:pStyle w:val="Variableexplanation"/>
        <w:tabs>
          <w:tab w:val="left" w:pos="720"/>
        </w:tabs>
        <w:ind w:left="1627" w:hanging="1365"/>
        <w:rPr>
          <w:rFonts w:ascii="Arial" w:hAnsi="Arial"/>
          <w:sz w:val="22"/>
        </w:rPr>
      </w:pPr>
    </w:p>
    <w:p w14:paraId="5905D84D"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5047D7D7" w14:textId="77777777" w:rsidR="00A26D6E" w:rsidRDefault="00A26D6E" w:rsidP="00A26D6E">
      <w:pPr>
        <w:pStyle w:val="Variableexplanation"/>
        <w:tabs>
          <w:tab w:val="left" w:pos="720"/>
        </w:tabs>
        <w:ind w:left="1627" w:hanging="1365"/>
        <w:rPr>
          <w:rFonts w:ascii="Arial" w:hAnsi="Arial"/>
          <w:sz w:val="22"/>
        </w:rPr>
      </w:pPr>
    </w:p>
    <w:p w14:paraId="6F303316" w14:textId="0FC4EA5A" w:rsidR="00A26D6E" w:rsidRPr="00575BBD" w:rsidRDefault="00B428B8"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2724C6FC" w14:textId="77777777" w:rsidR="00F248BB" w:rsidRDefault="00F248BB" w:rsidP="00F248BB">
      <w:pPr>
        <w:pStyle w:val="Variableexplanation"/>
        <w:tabs>
          <w:tab w:val="left" w:pos="720"/>
        </w:tabs>
        <w:ind w:left="1627" w:hanging="1365"/>
        <w:rPr>
          <w:rFonts w:ascii="Arial" w:hAnsi="Arial"/>
          <w:sz w:val="22"/>
        </w:rPr>
      </w:pPr>
    </w:p>
    <w:p w14:paraId="48F26BEA"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1722DCF5"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2F835A87" w14:textId="77777777" w:rsidR="00F248BB" w:rsidRDefault="00F248BB" w:rsidP="00F248BB">
      <w:pPr>
        <w:pStyle w:val="Variableexplanation"/>
        <w:tabs>
          <w:tab w:val="left" w:pos="720"/>
        </w:tabs>
        <w:ind w:left="1627" w:hanging="1365"/>
        <w:rPr>
          <w:rFonts w:ascii="Arial" w:hAnsi="Arial"/>
          <w:sz w:val="22"/>
        </w:rPr>
      </w:pPr>
    </w:p>
    <w:p w14:paraId="5D34B75F" w14:textId="77777777" w:rsidR="00B56030" w:rsidRDefault="00B56030" w:rsidP="00B56030">
      <w:pPr>
        <w:pStyle w:val="Variableexplanation"/>
        <w:tabs>
          <w:tab w:val="left" w:pos="720"/>
        </w:tabs>
        <w:ind w:left="1627" w:hanging="1365"/>
        <w:rPr>
          <w:rFonts w:ascii="Arial" w:hAnsi="Arial"/>
          <w:sz w:val="22"/>
        </w:rPr>
      </w:pPr>
    </w:p>
    <w:p w14:paraId="4A6B988B" w14:textId="1E38AC99"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RT</w:t>
      </w:r>
      <w:r>
        <w:rPr>
          <w:rFonts w:ascii="Arial" w:hAnsi="Arial"/>
          <w:sz w:val="22"/>
          <w:vertAlign w:val="subscript"/>
        </w:rPr>
        <w:t>G</w:t>
      </w:r>
      <w:r>
        <w:rPr>
          <w:rFonts w:ascii="Arial" w:hAnsi="Arial"/>
          <w:sz w:val="22"/>
        </w:rPr>
        <w:t xml:space="preserve"> and LT</w:t>
      </w:r>
      <w:r w:rsidRPr="00EA7EDB">
        <w:rPr>
          <w:rFonts w:ascii="Arial" w:hAnsi="Arial"/>
          <w:sz w:val="22"/>
          <w:vertAlign w:val="subscript"/>
        </w:rPr>
        <w:t>Gi</w:t>
      </w:r>
      <w:r>
        <w:rPr>
          <w:rFonts w:ascii="Arial" w:hAnsi="Arial"/>
          <w:sz w:val="22"/>
          <w:vertAlign w:val="subscript"/>
        </w:rPr>
        <w:t xml:space="preserve">  </w:t>
      </w:r>
      <w:r w:rsidR="00A4028F">
        <w:rPr>
          <w:rFonts w:ascii="Arial" w:hAnsi="Arial"/>
          <w:sz w:val="22"/>
        </w:rPr>
        <w:t>and AdjTariff</w:t>
      </w:r>
      <w:r w:rsidR="00A4028F" w:rsidRPr="008B5A73">
        <w:rPr>
          <w:rFonts w:ascii="Arial" w:hAnsi="Arial"/>
          <w:sz w:val="22"/>
          <w:vertAlign w:val="subscript"/>
        </w:rPr>
        <w:t>i</w:t>
      </w:r>
      <w:r w:rsidR="00A4028F">
        <w:rPr>
          <w:rFonts w:ascii="Arial" w:hAnsi="Arial"/>
          <w:sz w:val="22"/>
        </w:rPr>
        <w:t xml:space="preserve"> (if required)</w:t>
      </w:r>
    </w:p>
    <w:p w14:paraId="1CC7EEF4" w14:textId="77777777" w:rsidR="006661FE" w:rsidRDefault="006661FE" w:rsidP="006661FE">
      <w:pPr>
        <w:pStyle w:val="Variableexplanation"/>
        <w:tabs>
          <w:tab w:val="clear" w:pos="1134"/>
          <w:tab w:val="left" w:pos="720"/>
        </w:tabs>
        <w:rPr>
          <w:rFonts w:ascii="Arial" w:hAnsi="Arial"/>
          <w:sz w:val="22"/>
        </w:rPr>
      </w:pPr>
    </w:p>
    <w:p w14:paraId="3D26D40B" w14:textId="6CE7D8DD" w:rsidR="006661FE" w:rsidRDefault="4DB720A2" w:rsidP="00741921">
      <w:pPr>
        <w:pStyle w:val="1"/>
        <w:numPr>
          <w:ilvl w:val="0"/>
          <w:numId w:val="159"/>
        </w:numPr>
        <w:jc w:val="both"/>
      </w:pPr>
      <w:r>
        <w:t xml:space="preserve">Where tariffs do not change mid way through a </w:t>
      </w:r>
      <w:r w:rsidR="091DC3A0" w:rsidRPr="0537B9E0">
        <w:rPr>
          <w:rFonts w:ascii="Arial" w:hAnsi="Arial" w:cs="Arial"/>
          <w:b/>
          <w:bCs/>
        </w:rPr>
        <w:t>Financial Year</w:t>
      </w:r>
      <w:r>
        <w:t>, final demand and generation tariffs will be the same as the effective tariffs</w:t>
      </w:r>
      <w:r w:rsidR="34C956AC">
        <w:t xml:space="preserve">. </w:t>
      </w:r>
    </w:p>
    <w:p w14:paraId="15A175D4" w14:textId="3B11D3D5" w:rsidR="00A26D6E" w:rsidRDefault="00A26D6E" w:rsidP="00AB4296">
      <w:pPr>
        <w:ind w:firstLine="720"/>
        <w:jc w:val="center"/>
        <w:rPr>
          <w:rFonts w:ascii="Arial" w:hAnsi="Arial"/>
        </w:rPr>
      </w:pPr>
    </w:p>
    <w:p w14:paraId="6E31F298" w14:textId="35F85EE2" w:rsidR="00A26D6E" w:rsidRDefault="00A26D6E" w:rsidP="00AB4296">
      <w:pPr>
        <w:ind w:firstLine="720"/>
        <w:jc w:val="center"/>
        <w:rPr>
          <w:rFonts w:ascii="Arial" w:hAnsi="Arial"/>
        </w:rPr>
      </w:pPr>
    </w:p>
    <w:p w14:paraId="0D34B459" w14:textId="03B722E5" w:rsidR="006661FE" w:rsidRPr="00575BBD" w:rsidRDefault="00575BBD"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39F76903" w14:textId="77777777" w:rsidR="006661FE" w:rsidRDefault="006661FE" w:rsidP="006661FE">
      <w:pPr>
        <w:pStyle w:val="1"/>
        <w:ind w:left="720"/>
        <w:jc w:val="both"/>
      </w:pPr>
    </w:p>
    <w:p w14:paraId="63847825" w14:textId="77777777" w:rsidR="006661FE" w:rsidRDefault="006661FE" w:rsidP="00741921">
      <w:pPr>
        <w:pStyle w:val="1"/>
        <w:numPr>
          <w:ilvl w:val="0"/>
          <w:numId w:val="159"/>
        </w:numPr>
        <w:jc w:val="both"/>
      </w:pPr>
      <w:r>
        <w:lastRenderedPageBreak/>
        <w:t>Where tariffs are changed part way through the year, the final tariffs will be calculated by scaling the effective tariffs to reflect that the tariffs are only applicable for part of the year and parties may have already incurred TNUoS liability.</w:t>
      </w:r>
    </w:p>
    <w:p w14:paraId="6C021E65" w14:textId="145CC90A" w:rsidR="00A26D6E" w:rsidRDefault="006661FE" w:rsidP="00B67876">
      <w:pPr>
        <w:ind w:firstLine="720"/>
        <w:jc w:val="center"/>
        <w:rPr>
          <w:rFonts w:ascii="Arial" w:hAnsi="Arial"/>
        </w:rPr>
      </w:pPr>
      <w:r>
        <w:rPr>
          <w:rFonts w:ascii="Arial" w:hAnsi="Arial"/>
        </w:rPr>
        <w:t xml:space="preserve">  </w:t>
      </w:r>
    </w:p>
    <w:p w14:paraId="28550BAB" w14:textId="46993C4E" w:rsidR="006661FE" w:rsidRDefault="006661FE" w:rsidP="006661FE">
      <w:pPr>
        <w:ind w:firstLine="720"/>
        <w:jc w:val="both"/>
        <w:rPr>
          <w:rFonts w:ascii="Arial" w:hAnsi="Arial"/>
        </w:rPr>
      </w:pPr>
      <w:r>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Pr>
          <w:rFonts w:ascii="Arial" w:hAnsi="Arial"/>
        </w:rPr>
        <w:t xml:space="preserve">     </w:t>
      </w:r>
    </w:p>
    <w:p w14:paraId="61AD6614" w14:textId="77777777" w:rsidR="006661FE" w:rsidRDefault="006661FE" w:rsidP="006661FE">
      <w:pPr>
        <w:pStyle w:val="1"/>
        <w:ind w:left="720"/>
        <w:jc w:val="both"/>
      </w:pPr>
      <w:r>
        <w:t>Where:</w:t>
      </w:r>
    </w:p>
    <w:p w14:paraId="5431E7A1" w14:textId="77777777" w:rsidR="006661FE" w:rsidRDefault="006661FE" w:rsidP="006661FE">
      <w:pPr>
        <w:pStyle w:val="1"/>
        <w:ind w:left="720"/>
        <w:jc w:val="both"/>
      </w:pPr>
      <w:r>
        <w:t>b = number of months the revised tariff is applicable for</w:t>
      </w:r>
    </w:p>
    <w:p w14:paraId="198FE794" w14:textId="77777777" w:rsidR="006661FE" w:rsidRDefault="006661FE" w:rsidP="006661FE">
      <w:pPr>
        <w:pStyle w:val="1"/>
        <w:ind w:left="720"/>
        <w:jc w:val="both"/>
      </w:pPr>
      <w:r>
        <w:t>FL = Forecast liability incurred over the period that the original tariff is applicable for</w:t>
      </w:r>
    </w:p>
    <w:p w14:paraId="40B3D54F" w14:textId="77777777" w:rsidR="006661FE" w:rsidRDefault="006661FE" w:rsidP="006661FE">
      <w:pPr>
        <w:pStyle w:val="Variableexplanation"/>
        <w:rPr>
          <w:rFonts w:ascii="Arial" w:hAnsi="Arial"/>
          <w:sz w:val="22"/>
        </w:rPr>
      </w:pPr>
    </w:p>
    <w:p w14:paraId="4E0B088C"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1853BC54" w14:textId="77777777" w:rsidR="006224F9" w:rsidRDefault="006224F9" w:rsidP="006661FE">
      <w:pPr>
        <w:pStyle w:val="Variableexplanation"/>
        <w:rPr>
          <w:rFonts w:ascii="Arial" w:hAnsi="Arial"/>
          <w:sz w:val="22"/>
        </w:rPr>
      </w:pPr>
    </w:p>
    <w:p w14:paraId="053EF4CE" w14:textId="0040DAAA" w:rsidR="00F627EC" w:rsidRDefault="00F627EC" w:rsidP="00741921">
      <w:pPr>
        <w:pStyle w:val="1"/>
        <w:numPr>
          <w:ilvl w:val="0"/>
          <w:numId w:val="159"/>
        </w:numPr>
        <w:jc w:val="both"/>
      </w:pPr>
      <w:r>
        <w:t xml:space="preserve">If the final </w:t>
      </w:r>
      <w:r w:rsidR="003C7F7D">
        <w:t xml:space="preserve"> HH</w:t>
      </w:r>
      <w:r>
        <w:t xml:space="preserve"> </w:t>
      </w:r>
      <w:r w:rsidR="00410A8A">
        <w:t>D</w:t>
      </w:r>
      <w:r>
        <w:t xml:space="preserve">emand TNUoS Tariff results in a negative number then this is collared to £0/kW with the resultant revenue </w:t>
      </w:r>
      <w:r w:rsidR="00410A8A">
        <w:t xml:space="preserve">to be refunded to </w:t>
      </w:r>
      <w:r w:rsidR="00410A8A" w:rsidRPr="00741921">
        <w:rPr>
          <w:b/>
          <w:bCs/>
        </w:rPr>
        <w:t>Final Demand</w:t>
      </w:r>
      <w:r w:rsidR="00410A8A">
        <w:t xml:space="preserve"> </w:t>
      </w:r>
      <w:r>
        <w:t>smeared over the remaining demand zones</w:t>
      </w:r>
      <w:r w:rsidR="00D11052">
        <w:t xml:space="preserve"> via the Transmission Demand Residual</w:t>
      </w:r>
      <w:r>
        <w:t>:</w:t>
      </w:r>
    </w:p>
    <w:p w14:paraId="5B422F58" w14:textId="77777777" w:rsidR="00F627EC" w:rsidRDefault="00F627EC" w:rsidP="00F627EC">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Pr>
          <w:rFonts w:ascii="Arial" w:hAnsi="Arial"/>
          <w:noProof/>
          <w:position w:val="-12"/>
        </w:rPr>
        <w:drawing>
          <wp:inline distT="0" distB="0" distL="0" distR="0" wp14:anchorId="7B6998BE" wp14:editId="1D15BBA5">
            <wp:extent cx="561975" cy="2286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151F18C4" w14:textId="77777777" w:rsidR="00F627EC" w:rsidRDefault="00F627EC" w:rsidP="00F627EC">
      <w:pPr>
        <w:pStyle w:val="Variableexplanation"/>
        <w:tabs>
          <w:tab w:val="clear" w:pos="1134"/>
          <w:tab w:val="right" w:pos="709"/>
        </w:tabs>
        <w:rPr>
          <w:rFonts w:ascii="Arial" w:hAnsi="Arial"/>
        </w:rPr>
      </w:pPr>
    </w:p>
    <w:p w14:paraId="6505C9DA" w14:textId="77777777" w:rsidR="00F627EC" w:rsidRDefault="00F627EC" w:rsidP="00F627EC">
      <w:pPr>
        <w:pStyle w:val="Variableexplanation"/>
        <w:tabs>
          <w:tab w:val="clear" w:pos="1134"/>
          <w:tab w:val="right" w:pos="709"/>
        </w:tabs>
      </w:pPr>
      <w:r>
        <w:tab/>
      </w:r>
      <w:r>
        <w:tab/>
      </w:r>
      <w:r>
        <w:tab/>
      </w:r>
      <w:r>
        <w:rPr>
          <w:rFonts w:ascii="Arial" w:hAnsi="Arial"/>
          <w:sz w:val="22"/>
        </w:rPr>
        <w:t>Therefore,</w:t>
      </w:r>
      <w:r>
        <w:tab/>
        <w:t xml:space="preserve"> </w:t>
      </w:r>
      <w:r>
        <w:tab/>
      </w:r>
      <w:r>
        <w:rPr>
          <w:noProof/>
          <w:position w:val="-60"/>
        </w:rPr>
        <w:drawing>
          <wp:inline distT="0" distB="0" distL="0" distR="0" wp14:anchorId="65CC5DEA" wp14:editId="6C3BC3F4">
            <wp:extent cx="1590675" cy="8382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p w14:paraId="2A1DA84F" w14:textId="77777777" w:rsidR="00F627EC" w:rsidRDefault="00F627EC" w:rsidP="00F627EC">
      <w:pPr>
        <w:pStyle w:val="Variableexplanation"/>
        <w:tabs>
          <w:tab w:val="clear" w:pos="1134"/>
          <w:tab w:val="right" w:pos="709"/>
        </w:tabs>
      </w:pPr>
    </w:p>
    <w:p w14:paraId="4ECE98B1" w14:textId="77777777" w:rsidR="00F627EC" w:rsidRDefault="00F627EC" w:rsidP="00F627EC">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Therefore the revised Final Tariff for the gross demand zones with positive Final tariffs is given by:</w:t>
      </w:r>
    </w:p>
    <w:p w14:paraId="66C4AEC4" w14:textId="77777777" w:rsidR="00F627EC" w:rsidRDefault="00F627EC" w:rsidP="00F627EC">
      <w:pPr>
        <w:pStyle w:val="Variableexplanation"/>
        <w:tabs>
          <w:tab w:val="clear" w:pos="1134"/>
          <w:tab w:val="right" w:pos="709"/>
        </w:tabs>
      </w:pPr>
    </w:p>
    <w:p w14:paraId="227187B2" w14:textId="77777777" w:rsidR="00F627EC" w:rsidRPr="00375D43" w:rsidRDefault="00F627EC" w:rsidP="00F627EC">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Pr>
          <w:noProof/>
          <w:position w:val="-12"/>
        </w:rPr>
        <w:drawing>
          <wp:inline distT="0" distB="0" distL="0" distR="0" wp14:anchorId="4BD961B3" wp14:editId="6D85E5D1">
            <wp:extent cx="657225"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14:paraId="786F801E" w14:textId="77777777" w:rsidR="00F627EC" w:rsidRPr="00375D43" w:rsidRDefault="00F627EC" w:rsidP="00F627EC">
      <w:pPr>
        <w:pStyle w:val="Variableexplanation"/>
        <w:tabs>
          <w:tab w:val="clear" w:pos="1134"/>
          <w:tab w:val="right" w:pos="709"/>
        </w:tabs>
        <w:rPr>
          <w:lang w:val="pl-PL"/>
        </w:rPr>
      </w:pPr>
    </w:p>
    <w:p w14:paraId="6892F189" w14:textId="77777777" w:rsidR="00F627EC" w:rsidRPr="00375D43" w:rsidRDefault="00F627EC" w:rsidP="00F627EC">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Pr>
          <w:noProof/>
          <w:position w:val="-12"/>
        </w:rPr>
        <w:drawing>
          <wp:inline distT="0" distB="0" distL="0" distR="0" wp14:anchorId="44CE824E" wp14:editId="4169BC15">
            <wp:extent cx="1457325"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57325" cy="228600"/>
                    </a:xfrm>
                    <a:prstGeom prst="rect">
                      <a:avLst/>
                    </a:prstGeom>
                    <a:noFill/>
                    <a:ln>
                      <a:noFill/>
                    </a:ln>
                  </pic:spPr>
                </pic:pic>
              </a:graphicData>
            </a:graphic>
          </wp:inline>
        </w:drawing>
      </w:r>
    </w:p>
    <w:p w14:paraId="684911AC" w14:textId="77777777" w:rsidR="00F627EC" w:rsidRPr="00375D43" w:rsidRDefault="00F627EC" w:rsidP="00F627EC">
      <w:pPr>
        <w:pStyle w:val="Variableexplanation"/>
        <w:tabs>
          <w:tab w:val="clear" w:pos="1134"/>
          <w:tab w:val="right" w:pos="709"/>
        </w:tabs>
        <w:rPr>
          <w:rFonts w:ascii="Arial" w:hAnsi="Arial"/>
          <w:sz w:val="22"/>
          <w:lang w:val="pl-PL"/>
        </w:rPr>
      </w:pPr>
    </w:p>
    <w:p w14:paraId="5637EBD1" w14:textId="77777777" w:rsidR="00F627EC" w:rsidRDefault="00F627EC" w:rsidP="00F627EC">
      <w:pPr>
        <w:pStyle w:val="Variableexplanation"/>
        <w:tabs>
          <w:tab w:val="clear" w:pos="1134"/>
          <w:tab w:val="right" w:pos="709"/>
        </w:tabs>
        <w:ind w:left="709"/>
        <w:rPr>
          <w:rFonts w:ascii="Arial" w:hAnsi="Arial"/>
          <w:sz w:val="22"/>
        </w:rPr>
      </w:pPr>
      <w:r>
        <w:rPr>
          <w:rFonts w:ascii="Arial" w:hAnsi="Arial"/>
          <w:sz w:val="22"/>
        </w:rPr>
        <w:t>Where</w:t>
      </w:r>
    </w:p>
    <w:p w14:paraId="3A5EA630"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5C1A638A"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1DF7E79C" w14:textId="77777777" w:rsidR="006661FE" w:rsidRDefault="006661FE" w:rsidP="006661FE">
      <w:pPr>
        <w:pStyle w:val="1"/>
        <w:keepNext/>
        <w:ind w:left="720" w:hanging="720"/>
        <w:jc w:val="both"/>
      </w:pPr>
    </w:p>
    <w:p w14:paraId="4A7D04C4" w14:textId="53115DE2" w:rsidR="006661FE" w:rsidRDefault="3D47CB0D" w:rsidP="00741921">
      <w:pPr>
        <w:pStyle w:val="1"/>
        <w:numPr>
          <w:ilvl w:val="0"/>
          <w:numId w:val="159"/>
        </w:numPr>
        <w:jc w:val="both"/>
        <w:rPr>
          <w:b/>
          <w:bCs/>
        </w:rPr>
      </w:pPr>
      <w:r>
        <w:t xml:space="preserve">The tariffs applicable for any particular year are detailed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which is available </w:t>
      </w:r>
      <w:r w:rsidR="006661FE">
        <w:fldChar w:fldCharType="begin"/>
      </w:r>
      <w:r w:rsidR="006661FE">
        <w:instrText xml:space="preserve"> XE "website" </w:instrText>
      </w:r>
      <w:r w:rsidR="006661FE">
        <w:fldChar w:fldCharType="end"/>
      </w:r>
      <w:r>
        <w:t xml:space="preserve">from the </w:t>
      </w:r>
      <w:r w:rsidRPr="6D50A407">
        <w:rPr>
          <w:b/>
          <w:bCs/>
        </w:rPr>
        <w:t xml:space="preserve">Charging website. </w:t>
      </w:r>
      <w:r>
        <w:t>Archived tariff information may also be obtained from the Charging website</w:t>
      </w:r>
      <w:r w:rsidRPr="6D50A407">
        <w:rPr>
          <w:b/>
          <w:bCs/>
        </w:rPr>
        <w:t>.</w:t>
      </w:r>
    </w:p>
    <w:p w14:paraId="392CBCC7" w14:textId="77777777" w:rsidR="006661FE" w:rsidRDefault="006661FE" w:rsidP="006661FE">
      <w:pPr>
        <w:pStyle w:val="1"/>
        <w:jc w:val="both"/>
      </w:pPr>
    </w:p>
    <w:p w14:paraId="0452F583" w14:textId="5C4B94CC" w:rsidR="006661FE" w:rsidRDefault="3D47CB0D" w:rsidP="00741921">
      <w:pPr>
        <w:pStyle w:val="1"/>
        <w:numPr>
          <w:ilvl w:val="0"/>
          <w:numId w:val="159"/>
        </w:numPr>
        <w:jc w:val="both"/>
      </w:pPr>
      <w:r>
        <w:t xml:space="preserve">The zonal maps referenced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and available on the </w:t>
      </w:r>
      <w:r w:rsidRPr="6D50A407">
        <w:rPr>
          <w:b/>
          <w:bCs/>
        </w:rPr>
        <w:t xml:space="preserve">Charging website </w:t>
      </w:r>
      <w:r>
        <w:t xml:space="preserve">contain detailed information for the </w:t>
      </w:r>
      <w:r w:rsidR="63950B7B" w:rsidRPr="6D50A407">
        <w:rPr>
          <w:rFonts w:ascii="Arial" w:hAnsi="Arial" w:cs="Arial"/>
          <w:b/>
          <w:bCs/>
        </w:rPr>
        <w:t>Financial Year</w:t>
      </w:r>
      <w:r>
        <w:t xml:space="preserve"> in question of which Grid Supply Points fall into which TNUoS</w:t>
      </w:r>
      <w:r w:rsidR="006661FE">
        <w:fldChar w:fldCharType="begin"/>
      </w:r>
      <w:r w:rsidR="006661FE">
        <w:instrText xml:space="preserve"> XE "TNUoS" </w:instrText>
      </w:r>
      <w:r w:rsidR="006661FE">
        <w:fldChar w:fldCharType="end"/>
      </w:r>
      <w:r>
        <w:t xml:space="preserve"> zones</w:t>
      </w:r>
      <w:r w:rsidRPr="6D50A407">
        <w:rPr>
          <w:i/>
          <w:iCs/>
        </w:rPr>
        <w:t>.</w:t>
      </w:r>
    </w:p>
    <w:p w14:paraId="7DA1668C" w14:textId="77777777" w:rsidR="006661FE" w:rsidRDefault="006661FE" w:rsidP="006661FE">
      <w:pPr>
        <w:pStyle w:val="1"/>
        <w:jc w:val="both"/>
      </w:pPr>
    </w:p>
    <w:p w14:paraId="33E7FF66" w14:textId="77777777" w:rsidR="006661FE" w:rsidRDefault="006661FE" w:rsidP="00741921">
      <w:pPr>
        <w:pStyle w:val="1"/>
        <w:numPr>
          <w:ilvl w:val="0"/>
          <w:numId w:val="159"/>
        </w:numPr>
        <w:jc w:val="both"/>
      </w:pPr>
      <w:r>
        <w:t>New Grid Supply Points will be classified into zones on the following basis:</w:t>
      </w:r>
    </w:p>
    <w:p w14:paraId="663DAD51" w14:textId="77777777" w:rsidR="006661FE" w:rsidRDefault="006661FE" w:rsidP="006661FE">
      <w:pPr>
        <w:pStyle w:val="1"/>
        <w:jc w:val="both"/>
      </w:pPr>
    </w:p>
    <w:p w14:paraId="672EDE48" w14:textId="77777777" w:rsidR="006661FE" w:rsidRDefault="006661FE" w:rsidP="00533333">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0C12528A" w14:textId="77777777" w:rsidR="006661FE" w:rsidRDefault="006661FE" w:rsidP="006661FE">
      <w:pPr>
        <w:pStyle w:val="1"/>
        <w:tabs>
          <w:tab w:val="num" w:pos="1134"/>
        </w:tabs>
        <w:ind w:left="1134" w:hanging="425"/>
        <w:jc w:val="both"/>
      </w:pPr>
    </w:p>
    <w:p w14:paraId="35F53E91" w14:textId="06E600EE" w:rsidR="006661FE" w:rsidRDefault="4DB720A2" w:rsidP="00533333">
      <w:pPr>
        <w:pStyle w:val="1"/>
        <w:numPr>
          <w:ilvl w:val="0"/>
          <w:numId w:val="53"/>
        </w:numPr>
        <w:tabs>
          <w:tab w:val="clear" w:pos="360"/>
          <w:tab w:val="num" w:pos="1134"/>
        </w:tabs>
        <w:ind w:left="1134" w:hanging="425"/>
        <w:jc w:val="both"/>
      </w:pPr>
      <w:r>
        <w:lastRenderedPageBreak/>
        <w:t>For generation zones, with reference to the geographic proximity to existing zones and, where close to a boundary between existing zones, with reference to the marginal costs arising from transport model</w:t>
      </w:r>
      <w:r w:rsidR="006661FE">
        <w:fldChar w:fldCharType="begin"/>
      </w:r>
      <w:r w:rsidR="006661FE">
        <w:instrText xml:space="preserve"> XE "transport model" </w:instrText>
      </w:r>
      <w:r w:rsidR="006661FE">
        <w:fldChar w:fldCharType="end"/>
      </w:r>
      <w:r>
        <w:t xml:space="preserve"> studies</w:t>
      </w:r>
      <w:r w:rsidR="238A4072">
        <w:t xml:space="preserve">. </w:t>
      </w:r>
      <w:r>
        <w:t>The GSP will then be allocated to the zone, which contains the most similar marginal costs.</w:t>
      </w:r>
    </w:p>
    <w:p w14:paraId="1C6E10A0" w14:textId="77777777" w:rsidR="006661FE" w:rsidRDefault="006661FE" w:rsidP="006661FE">
      <w:pPr>
        <w:pStyle w:val="1"/>
        <w:ind w:left="720"/>
        <w:jc w:val="both"/>
      </w:pPr>
    </w:p>
    <w:p w14:paraId="45809CB2" w14:textId="2D6648C8" w:rsidR="006661FE" w:rsidRDefault="3D96AF96" w:rsidP="0537B9E0">
      <w:pPr>
        <w:pStyle w:val="1"/>
        <w:numPr>
          <w:ilvl w:val="0"/>
          <w:numId w:val="159"/>
        </w:numPr>
        <w:jc w:val="both"/>
        <w:rPr>
          <w:sz w:val="20"/>
        </w:rPr>
      </w:pPr>
      <w:r w:rsidRPr="0537B9E0">
        <w:rPr>
          <w:b/>
          <w:bCs/>
        </w:rPr>
        <w:t>The</w:t>
      </w:r>
      <w:r w:rsidR="6B913268" w:rsidRPr="0537B9E0">
        <w:rPr>
          <w:b/>
          <w:bCs/>
        </w:rPr>
        <w:t xml:space="preserve"> Company</w:t>
      </w:r>
      <w:r w:rsidR="6B913268">
        <w:t xml:space="preserve"> has available, upon request, the DCLF ICRP</w:t>
      </w:r>
      <w:r w:rsidR="2EBFAECD">
        <w:fldChar w:fldCharType="begin"/>
      </w:r>
      <w:r w:rsidR="2EBFAECD">
        <w:instrText xml:space="preserve"> XE "ICRP" </w:instrText>
      </w:r>
      <w:r w:rsidR="2EBFAECD">
        <w:fldChar w:fldCharType="end"/>
      </w:r>
      <w:r w:rsidR="6B913268">
        <w:t xml:space="preserve"> transport model</w:t>
      </w:r>
      <w:r w:rsidR="2EBFAECD">
        <w:fldChar w:fldCharType="begin"/>
      </w:r>
      <w:r w:rsidR="2EBFAECD">
        <w:instrText xml:space="preserve"> XE "transport model" </w:instrText>
      </w:r>
      <w:r w:rsidR="2EBFAECD">
        <w:fldChar w:fldCharType="end"/>
      </w:r>
      <w:r w:rsidR="6B913268">
        <w:t>,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w:t>
      </w:r>
      <w:r w:rsidR="250C7833">
        <w:t xml:space="preserve">. </w:t>
      </w:r>
      <w:r w:rsidR="6B913268">
        <w:t>The model is available from the Charging Team and whilst it is free of charge, it is provided under licence to restrict its distribution and commercial use.</w:t>
      </w:r>
    </w:p>
    <w:p w14:paraId="720838F2"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07D856A" w14:textId="1D293B4B" w:rsidR="006661FE" w:rsidRDefault="2EBFAECD" w:rsidP="00741921">
      <w:pPr>
        <w:pStyle w:val="1"/>
        <w:numPr>
          <w:ilvl w:val="0"/>
          <w:numId w:val="159"/>
        </w:numPr>
        <w:jc w:val="both"/>
      </w:pPr>
      <w:r w:rsidRPr="00EC52BD">
        <w:rPr>
          <w:b/>
          <w:bCs/>
        </w:rPr>
        <w:t>The</w:t>
      </w:r>
      <w:r w:rsidR="3D47CB0D" w:rsidRPr="00EC52BD">
        <w:rPr>
          <w:b/>
          <w:bCs/>
        </w:rPr>
        <w:t xml:space="preserve"> Company </w:t>
      </w:r>
      <w:r w:rsidR="3D47CB0D">
        <w:t xml:space="preserve">will be pleased to run specific sensitivity studies for Users under a separate study contract in line with the fees set out in the </w:t>
      </w:r>
      <w:r w:rsidR="3D47CB0D" w:rsidRPr="6D50A407">
        <w:rPr>
          <w:b/>
          <w:bCs/>
        </w:rPr>
        <w:t>Statement of Use of System Charges</w:t>
      </w:r>
      <w:r w:rsidR="3D47CB0D">
        <w:t xml:space="preserve">. Please contact the </w:t>
      </w:r>
      <w:r w:rsidR="3D47CB0D" w:rsidRPr="6D50A407">
        <w:rPr>
          <w:b/>
          <w:bCs/>
        </w:rPr>
        <w:t>Charging Team</w:t>
      </w:r>
      <w:r w:rsidR="3D47CB0D">
        <w:t>.</w:t>
      </w:r>
    </w:p>
    <w:p w14:paraId="2A7403C2" w14:textId="77777777" w:rsidR="006661FE" w:rsidRDefault="006661FE" w:rsidP="006661FE">
      <w:pPr>
        <w:pStyle w:val="1"/>
        <w:jc w:val="both"/>
      </w:pPr>
    </w:p>
    <w:p w14:paraId="3FC0F18F" w14:textId="20DE37E0" w:rsidR="00B56030" w:rsidRDefault="006661FE" w:rsidP="00741921">
      <w:pPr>
        <w:pStyle w:val="1"/>
        <w:numPr>
          <w:ilvl w:val="0"/>
          <w:numId w:val="159"/>
        </w:numPr>
        <w:jc w:val="both"/>
      </w:pPr>
      <w:r>
        <w:t>The factors which will affect the level of TNUoS charges from year to year include</w:t>
      </w:r>
      <w:r w:rsidR="00B65DA9">
        <w:t xml:space="preserve"> but are not limited to </w:t>
      </w:r>
      <w:r w:rsidR="00B56030">
        <w:t>-;</w:t>
      </w:r>
    </w:p>
    <w:p w14:paraId="67FFCABF" w14:textId="77777777" w:rsidR="00B56030" w:rsidRDefault="00B56030" w:rsidP="000B6C0D">
      <w:pPr>
        <w:pStyle w:val="ListParagraph"/>
      </w:pPr>
    </w:p>
    <w:p w14:paraId="5B11EC62" w14:textId="77777777" w:rsidR="00B56030" w:rsidRDefault="006661FE" w:rsidP="000B6C0D">
      <w:pPr>
        <w:pStyle w:val="1"/>
        <w:numPr>
          <w:ilvl w:val="0"/>
          <w:numId w:val="51"/>
        </w:numPr>
        <w:ind w:left="2347"/>
        <w:jc w:val="both"/>
      </w:pPr>
      <w:r>
        <w:t xml:space="preserve"> the forecast level of peak demand on the system</w:t>
      </w:r>
    </w:p>
    <w:p w14:paraId="59A6542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5CF63860" w14:textId="77777777" w:rsidR="00B56030" w:rsidRDefault="006661FE" w:rsidP="000B6C0D">
      <w:pPr>
        <w:pStyle w:val="1"/>
        <w:numPr>
          <w:ilvl w:val="0"/>
          <w:numId w:val="51"/>
        </w:numPr>
        <w:ind w:left="2347"/>
        <w:jc w:val="both"/>
      </w:pPr>
      <w:r>
        <w:t xml:space="preserve"> the expansion constant,</w:t>
      </w:r>
    </w:p>
    <w:p w14:paraId="6CDD922A" w14:textId="77777777" w:rsidR="00B56030" w:rsidRDefault="006661FE" w:rsidP="000B6C0D">
      <w:pPr>
        <w:pStyle w:val="1"/>
        <w:numPr>
          <w:ilvl w:val="0"/>
          <w:numId w:val="51"/>
        </w:numPr>
        <w:ind w:left="2347"/>
        <w:jc w:val="both"/>
      </w:pPr>
      <w:r>
        <w:t xml:space="preserve"> the locational security factor,</w:t>
      </w:r>
    </w:p>
    <w:p w14:paraId="0B3D468E" w14:textId="77777777" w:rsidR="00C14B15" w:rsidRDefault="00B56030" w:rsidP="00B67876">
      <w:pPr>
        <w:pStyle w:val="1"/>
        <w:numPr>
          <w:ilvl w:val="0"/>
          <w:numId w:val="51"/>
        </w:numPr>
        <w:ind w:left="2347"/>
        <w:jc w:val="both"/>
      </w:pPr>
      <w:r>
        <w:t>the PS flag</w:t>
      </w:r>
    </w:p>
    <w:p w14:paraId="48C85B46" w14:textId="77777777" w:rsidR="00C14B15" w:rsidRDefault="00C14B15" w:rsidP="00C14B15">
      <w:pPr>
        <w:pStyle w:val="1"/>
        <w:numPr>
          <w:ilvl w:val="0"/>
          <w:numId w:val="51"/>
        </w:numPr>
        <w:ind w:left="2347"/>
        <w:jc w:val="both"/>
      </w:pPr>
      <w:r w:rsidRPr="00C14B15">
        <w:t>the Year Round Not Shared (YRNS) Flag</w:t>
      </w:r>
    </w:p>
    <w:p w14:paraId="49627448" w14:textId="77777777" w:rsidR="00B56030" w:rsidRDefault="00B56030" w:rsidP="000B6C0D">
      <w:pPr>
        <w:pStyle w:val="1"/>
        <w:numPr>
          <w:ilvl w:val="0"/>
          <w:numId w:val="51"/>
        </w:numPr>
        <w:ind w:left="2347"/>
        <w:jc w:val="both"/>
      </w:pPr>
      <w:r>
        <w:t>the ALF of a generator</w:t>
      </w:r>
    </w:p>
    <w:p w14:paraId="6113BE8D" w14:textId="77777777" w:rsidR="00B56030" w:rsidRDefault="006661FE" w:rsidP="000B6C0D">
      <w:pPr>
        <w:pStyle w:val="1"/>
        <w:numPr>
          <w:ilvl w:val="0"/>
          <w:numId w:val="51"/>
        </w:numPr>
        <w:ind w:left="2347"/>
        <w:jc w:val="both"/>
      </w:pPr>
      <w:r>
        <w:t xml:space="preserve">changes in the transmission network </w:t>
      </w:r>
    </w:p>
    <w:p w14:paraId="4D82239A" w14:textId="77777777" w:rsidR="00B56030" w:rsidRDefault="00B56030" w:rsidP="000B6C0D">
      <w:pPr>
        <w:pStyle w:val="1"/>
        <w:numPr>
          <w:ilvl w:val="0"/>
          <w:numId w:val="51"/>
        </w:numPr>
        <w:ind w:left="2347"/>
        <w:jc w:val="both"/>
      </w:pPr>
      <w:r>
        <w:t>HVDC circuit impedance calculation</w:t>
      </w:r>
    </w:p>
    <w:p w14:paraId="149CB8DE" w14:textId="41A1897D" w:rsidR="006661FE" w:rsidRDefault="008468AA" w:rsidP="0040373D">
      <w:pPr>
        <w:pStyle w:val="1"/>
        <w:numPr>
          <w:ilvl w:val="0"/>
          <w:numId w:val="51"/>
        </w:numPr>
        <w:ind w:left="1440" w:firstLine="545"/>
        <w:jc w:val="both"/>
      </w:pPr>
      <w:r>
        <w:t xml:space="preserve">   c</w:t>
      </w:r>
      <w:r w:rsidR="006661FE">
        <w:t>hanges in the pattern of generation capacity and demand.</w:t>
      </w:r>
    </w:p>
    <w:p w14:paraId="5B6CE208" w14:textId="6C9B0388" w:rsidR="00A26D6E" w:rsidRDefault="008468AA" w:rsidP="008468AA">
      <w:pPr>
        <w:pStyle w:val="1"/>
        <w:numPr>
          <w:ilvl w:val="0"/>
          <w:numId w:val="51"/>
        </w:numPr>
        <w:ind w:left="1440" w:firstLine="545"/>
        <w:jc w:val="both"/>
      </w:pPr>
      <w:r>
        <w:t xml:space="preserve">   c</w:t>
      </w:r>
      <w:r w:rsidR="00A26D6E">
        <w:t>hange</w:t>
      </w:r>
      <w:r w:rsidR="00552A83">
        <w:t>s</w:t>
      </w:r>
      <w:r w:rsidR="00A26D6E">
        <w:t xml:space="preserve"> in the patter</w:t>
      </w:r>
      <w:r w:rsidR="00552A83">
        <w:t>n</w:t>
      </w:r>
      <w:r w:rsidR="00A26D6E">
        <w:t xml:space="preserve"> of embedded exports</w:t>
      </w:r>
    </w:p>
    <w:p w14:paraId="57412058" w14:textId="0DC39D96" w:rsidR="0040373D" w:rsidRDefault="0040373D" w:rsidP="008468AA">
      <w:pPr>
        <w:pStyle w:val="1"/>
        <w:numPr>
          <w:ilvl w:val="0"/>
          <w:numId w:val="51"/>
        </w:numPr>
        <w:ind w:left="2347"/>
        <w:jc w:val="both"/>
      </w:pPr>
      <w:r>
        <w:t>the £/€ exchange rate and expected Generator Output</w:t>
      </w:r>
    </w:p>
    <w:p w14:paraId="105393B8" w14:textId="141734AE" w:rsidR="002A0109" w:rsidRPr="00741921" w:rsidRDefault="0017541A" w:rsidP="008468AA">
      <w:pPr>
        <w:pStyle w:val="1"/>
        <w:numPr>
          <w:ilvl w:val="0"/>
          <w:numId w:val="51"/>
        </w:numPr>
        <w:ind w:left="2347"/>
        <w:jc w:val="both"/>
      </w:pPr>
      <w:r>
        <w:t xml:space="preserve">Number of </w:t>
      </w:r>
      <w:r w:rsidRPr="00741921">
        <w:rPr>
          <w:b/>
          <w:bCs/>
        </w:rPr>
        <w:t>Final Demand Site</w:t>
      </w:r>
      <w:r>
        <w:t xml:space="preserve">s per </w:t>
      </w:r>
      <w:r w:rsidRPr="00741921">
        <w:rPr>
          <w:b/>
          <w:bCs/>
        </w:rPr>
        <w:t>Charging Band</w:t>
      </w:r>
    </w:p>
    <w:p w14:paraId="60AECDF6" w14:textId="6FE25119" w:rsidR="00D05C1C" w:rsidRDefault="00D05C1C" w:rsidP="008468AA">
      <w:pPr>
        <w:pStyle w:val="1"/>
        <w:numPr>
          <w:ilvl w:val="0"/>
          <w:numId w:val="51"/>
        </w:numPr>
        <w:ind w:left="2347"/>
        <w:jc w:val="both"/>
      </w:pPr>
      <w:r>
        <w:t>Volume (in kWh) apportioned to each Charging Band</w:t>
      </w:r>
    </w:p>
    <w:p w14:paraId="7B282E62" w14:textId="77777777" w:rsidR="006661FE" w:rsidRDefault="006661FE" w:rsidP="006661FE">
      <w:pPr>
        <w:pStyle w:val="1"/>
        <w:jc w:val="both"/>
      </w:pPr>
    </w:p>
    <w:p w14:paraId="4F8871DE" w14:textId="77777777" w:rsidR="006661FE" w:rsidRDefault="4DB720A2" w:rsidP="00741921">
      <w:pPr>
        <w:pStyle w:val="1"/>
        <w:numPr>
          <w:ilvl w:val="0"/>
          <w:numId w:val="159"/>
        </w:numPr>
        <w:jc w:val="both"/>
      </w:pPr>
      <w:r>
        <w:t xml:space="preserve">In accordance with Standard Licence Condition C13, generation directly connected to the NETS 132kV transmission network which would normally be subject to generation TNUoS charges but would not, </w:t>
      </w:r>
      <w:bookmarkStart w:id="368" w:name="_Int_Sz9Q4bof"/>
      <w:r>
        <w:t>on the basis of</w:t>
      </w:r>
      <w:bookmarkEnd w:id="368"/>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39E75A13">
        <w:t xml:space="preserve">gross </w:t>
      </w:r>
      <w:r>
        <w:t>demand charges to compensate for the deficit. Further information is provided in the Statement of the Use of System Charges.</w:t>
      </w:r>
    </w:p>
    <w:p w14:paraId="40852CB0" w14:textId="77777777" w:rsidR="006661FE" w:rsidRDefault="006661FE" w:rsidP="006661FE">
      <w:pPr>
        <w:pStyle w:val="1"/>
        <w:ind w:left="720" w:hanging="720"/>
        <w:jc w:val="both"/>
      </w:pPr>
    </w:p>
    <w:p w14:paraId="50102A03" w14:textId="3506D11E" w:rsidR="006661FE" w:rsidRPr="007B2988" w:rsidRDefault="006661FE" w:rsidP="006661FE">
      <w:pPr>
        <w:pStyle w:val="Heading2"/>
      </w:pPr>
    </w:p>
    <w:p w14:paraId="17289946" w14:textId="77777777" w:rsidR="006661FE" w:rsidRDefault="006661FE" w:rsidP="006661FE">
      <w:pPr>
        <w:pStyle w:val="1"/>
        <w:ind w:left="720" w:hanging="720"/>
        <w:jc w:val="both"/>
      </w:pPr>
    </w:p>
    <w:p w14:paraId="0B8CC04A" w14:textId="396B53FC" w:rsidR="006661FE" w:rsidRPr="007B2988" w:rsidRDefault="4DB720A2" w:rsidP="00741921">
      <w:pPr>
        <w:pStyle w:val="1"/>
        <w:numPr>
          <w:ilvl w:val="0"/>
          <w:numId w:val="159"/>
        </w:numPr>
        <w:jc w:val="both"/>
      </w:pPr>
      <w:bookmarkStart w:id="369" w:name="_Int_jkzcfmzK"/>
      <w:r>
        <w:t>A number of</w:t>
      </w:r>
      <w:bookmarkEnd w:id="369"/>
      <w:r>
        <w:t xml:space="preserve"> provisions are included within the methodology to promote the stability and predictability of TNUoS tariffs</w:t>
      </w:r>
      <w:r w:rsidR="2B000839">
        <w:t xml:space="preserve">. </w:t>
      </w:r>
      <w:r>
        <w:t>These are described in 14.2</w:t>
      </w:r>
      <w:r w:rsidR="44A6D22D">
        <w:t>9</w:t>
      </w:r>
      <w:r>
        <w:t>.</w:t>
      </w:r>
    </w:p>
    <w:p w14:paraId="31B990A7" w14:textId="77777777" w:rsidR="006661FE" w:rsidRDefault="006661FE" w:rsidP="006661FE">
      <w:pPr>
        <w:pStyle w:val="BodyText2"/>
      </w:pPr>
      <w:r>
        <w:fldChar w:fldCharType="begin"/>
      </w:r>
      <w:r>
        <w:instrText>tc \l2 "Schedule of Charges For Transmission Network Use of System in 1999/2000</w:instrText>
      </w:r>
      <w:r>
        <w:fldChar w:fldCharType="end"/>
      </w:r>
    </w:p>
    <w:p w14:paraId="185EDBD9" w14:textId="77777777" w:rsidR="00023E64" w:rsidRDefault="00023E64" w:rsidP="00023E64">
      <w:pPr>
        <w:pStyle w:val="Heading2"/>
        <w:rPr>
          <w:rFonts w:ascii="Arial" w:hAnsi="Arial" w:cs="Arial"/>
        </w:rPr>
      </w:pPr>
      <w:bookmarkStart w:id="370" w:name="_Toc32201081"/>
      <w:bookmarkStart w:id="371" w:name="_Toc49661118"/>
      <w:r>
        <w:rPr>
          <w:rFonts w:ascii="Arial" w:hAnsi="Arial" w:cs="Arial"/>
          <w:b w:val="0"/>
        </w:rPr>
        <w:t>Allocating Final Demand Sites to Charging Bands</w:t>
      </w:r>
    </w:p>
    <w:p w14:paraId="0A24D40D" w14:textId="77777777" w:rsidR="00023E64" w:rsidRDefault="00023E64" w:rsidP="00023E64">
      <w:pPr>
        <w:rPr>
          <w:rFonts w:ascii="Arial" w:eastAsiaTheme="minorHAnsi" w:hAnsi="Arial" w:cs="Arial"/>
          <w:sz w:val="22"/>
          <w:szCs w:val="22"/>
        </w:rPr>
      </w:pPr>
    </w:p>
    <w:p w14:paraId="41E79D63" w14:textId="0F165708" w:rsidR="00023E64" w:rsidRDefault="00E03740" w:rsidP="00023E64">
      <w:pPr>
        <w:rPr>
          <w:rFonts w:ascii="Arial" w:hAnsi="Arial" w:cs="Arial"/>
          <w:lang w:val="en-US"/>
        </w:rPr>
      </w:pPr>
      <w:r>
        <w:rPr>
          <w:rFonts w:ascii="Arial" w:hAnsi="Arial" w:cs="Arial"/>
        </w:rPr>
        <w:t xml:space="preserve"> </w:t>
      </w:r>
      <w:r w:rsidR="00023E64">
        <w:rPr>
          <w:rFonts w:ascii="Arial" w:hAnsi="Arial" w:cs="Arial"/>
          <w:lang w:val="en-US"/>
        </w:rPr>
        <w:t xml:space="preserve">methodology in </w:t>
      </w:r>
      <w:r w:rsidR="00023E64">
        <w:rPr>
          <w:rFonts w:ascii="Arial" w:hAnsi="Arial" w:cs="Arial"/>
          <w:b/>
          <w:bCs/>
          <w:lang w:val="en-US"/>
        </w:rPr>
        <w:t xml:space="preserve">DCUSA </w:t>
      </w:r>
      <w:r w:rsidR="00023E64">
        <w:rPr>
          <w:rFonts w:ascii="Arial" w:hAnsi="Arial" w:cs="Arial"/>
          <w:lang w:val="en-US"/>
        </w:rPr>
        <w:t xml:space="preserve">entitled “ALLOCATION OF CUSTOMERS TO CHARGING BANDS BY DNO/IDNO PARTIES” (introduced by </w:t>
      </w:r>
      <w:r w:rsidR="00023E64">
        <w:rPr>
          <w:rFonts w:ascii="Arial" w:hAnsi="Arial" w:cs="Arial"/>
          <w:b/>
          <w:bCs/>
          <w:lang w:val="en-US"/>
        </w:rPr>
        <w:t>DCUSA</w:t>
      </w:r>
      <w:r w:rsidR="00023E64">
        <w:rPr>
          <w:rFonts w:ascii="Arial" w:hAnsi="Arial" w:cs="Arial"/>
          <w:lang w:val="en-US"/>
        </w:rPr>
        <w:t xml:space="preserve"> modification DCP360)</w:t>
      </w:r>
      <w:r w:rsidR="00023E64">
        <w:rPr>
          <w:rFonts w:ascii="Arial" w:hAnsi="Arial" w:cs="Arial"/>
          <w:b/>
          <w:bCs/>
          <w:lang w:val="en-US"/>
        </w:rPr>
        <w:t xml:space="preserve"> </w:t>
      </w:r>
      <w:r w:rsidR="00023E64">
        <w:rPr>
          <w:rFonts w:ascii="Arial" w:hAnsi="Arial" w:cs="Arial"/>
          <w:lang w:val="en-US"/>
        </w:rPr>
        <w:t xml:space="preserve">to allocate </w:t>
      </w:r>
      <w:r w:rsidR="00023E64">
        <w:rPr>
          <w:rFonts w:ascii="Arial" w:hAnsi="Arial" w:cs="Arial"/>
          <w:b/>
          <w:bCs/>
          <w:lang w:val="en-US"/>
        </w:rPr>
        <w:t>Final Demand Sites</w:t>
      </w:r>
      <w:r w:rsidR="00023E64">
        <w:rPr>
          <w:rFonts w:ascii="Arial" w:hAnsi="Arial" w:cs="Arial"/>
          <w:lang w:val="en-US"/>
        </w:rPr>
        <w:t xml:space="preserve"> and </w:t>
      </w:r>
      <w:r w:rsidR="00023E64">
        <w:rPr>
          <w:rFonts w:ascii="Arial" w:hAnsi="Arial" w:cs="Arial"/>
          <w:b/>
          <w:bCs/>
          <w:lang w:val="en-US"/>
        </w:rPr>
        <w:t>Unmetered Supplies</w:t>
      </w:r>
      <w:r w:rsidR="00023E64">
        <w:rPr>
          <w:rFonts w:ascii="Arial" w:hAnsi="Arial" w:cs="Arial"/>
          <w:lang w:val="en-US"/>
        </w:rPr>
        <w:t xml:space="preserve"> to </w:t>
      </w:r>
      <w:r w:rsidR="00023E64">
        <w:rPr>
          <w:rFonts w:ascii="Arial" w:hAnsi="Arial" w:cs="Arial"/>
          <w:b/>
          <w:bCs/>
          <w:lang w:val="en-US"/>
        </w:rPr>
        <w:t>Charging Bands</w:t>
      </w:r>
      <w:r w:rsidR="00023E64">
        <w:rPr>
          <w:rFonts w:ascii="Arial" w:hAnsi="Arial" w:cs="Arial"/>
          <w:lang w:val="en-US"/>
        </w:rPr>
        <w:t xml:space="preserve"> for their respective </w:t>
      </w:r>
      <w:r w:rsidR="00023E64">
        <w:rPr>
          <w:rFonts w:ascii="Arial" w:hAnsi="Arial" w:cs="Arial"/>
          <w:b/>
          <w:bCs/>
          <w:lang w:val="en-US"/>
        </w:rPr>
        <w:t>Distribution System</w:t>
      </w:r>
      <w:r w:rsidR="00023E64">
        <w:rPr>
          <w:rFonts w:ascii="Arial" w:hAnsi="Arial" w:cs="Arial"/>
          <w:lang w:val="en-US"/>
        </w:rPr>
        <w:t>.</w:t>
      </w:r>
    </w:p>
    <w:p w14:paraId="33AB39E8" w14:textId="77777777" w:rsidR="00B230F1" w:rsidRDefault="00B230F1" w:rsidP="00023E64">
      <w:pPr>
        <w:rPr>
          <w:rFonts w:ascii="Arial" w:hAnsi="Arial" w:cs="Arial"/>
          <w:lang w:val="en-US"/>
        </w:rPr>
      </w:pPr>
    </w:p>
    <w:p w14:paraId="6D8DAE50" w14:textId="06DF20ED" w:rsidR="00023E64" w:rsidRDefault="00023E64" w:rsidP="00023E64">
      <w:pPr>
        <w:rPr>
          <w:rFonts w:ascii="Arial" w:hAnsi="Arial" w:cs="Arial"/>
          <w:lang w:val="en-US"/>
        </w:rPr>
      </w:pPr>
      <w:r>
        <w:rPr>
          <w:rFonts w:ascii="Arial" w:hAnsi="Arial" w:cs="Arial"/>
        </w:rPr>
        <w:t>14.15.1</w:t>
      </w:r>
      <w:r w:rsidR="00190FAE">
        <w:rPr>
          <w:rFonts w:ascii="Arial" w:hAnsi="Arial" w:cs="Arial"/>
        </w:rPr>
        <w:t>5</w:t>
      </w:r>
      <w:r w:rsidR="00B230F1">
        <w:rPr>
          <w:rFonts w:ascii="Arial" w:hAnsi="Arial" w:cs="Arial"/>
        </w:rPr>
        <w:t>6</w:t>
      </w:r>
      <w:r>
        <w:rPr>
          <w:rFonts w:ascii="Arial" w:hAnsi="Arial" w:cs="Arial"/>
        </w:rPr>
        <w:tab/>
      </w:r>
      <w:r>
        <w:rPr>
          <w:rFonts w:ascii="Arial" w:hAnsi="Arial" w:cs="Arial"/>
          <w:lang w:val="en-US"/>
        </w:rPr>
        <w:t xml:space="preserve"> </w:t>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6F651A9C" w14:textId="2624D71B"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w:t>
      </w:r>
      <w:r w:rsidR="00221EF8">
        <w:rPr>
          <w:rFonts w:ascii="Arial" w:hAnsi="Arial" w:cs="Arial"/>
          <w:lang w:val="en-US"/>
        </w:rPr>
        <w:t>52</w:t>
      </w:r>
      <w:r>
        <w:rPr>
          <w:rFonts w:ascii="Arial" w:hAnsi="Arial" w:cs="Arial"/>
          <w:lang w:val="en-US"/>
        </w:rPr>
        <w:t xml:space="preserve"> </w:t>
      </w:r>
    </w:p>
    <w:p w14:paraId="14BAD413" w14:textId="33C1C127"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235FF2">
        <w:rPr>
          <w:rFonts w:ascii="Arial" w:hAnsi="Arial" w:cs="Arial"/>
          <w:lang w:val="en-US"/>
        </w:rPr>
        <w:t>, starting at</w:t>
      </w:r>
      <w:r w:rsidR="007E52E0">
        <w:rPr>
          <w:rFonts w:ascii="Arial" w:hAnsi="Arial" w:cs="Arial"/>
          <w:lang w:val="en-US"/>
        </w:rPr>
        <w:t xml:space="preserve"> (i)</w:t>
      </w:r>
      <w:r w:rsidR="0007637A">
        <w:rPr>
          <w:rFonts w:ascii="Arial" w:hAnsi="Arial" w:cs="Arial"/>
          <w:lang w:val="en-US"/>
        </w:rPr>
        <w:t xml:space="preserve"> and progressing to (iv)</w:t>
      </w:r>
      <w:r>
        <w:rPr>
          <w:rFonts w:ascii="Arial" w:hAnsi="Arial" w:cs="Arial"/>
          <w:lang w:val="en-US"/>
        </w:rPr>
        <w:t xml:space="preserve"> to determine the correct </w:t>
      </w:r>
      <w:r>
        <w:rPr>
          <w:rFonts w:ascii="Arial" w:hAnsi="Arial" w:cs="Arial"/>
          <w:b/>
          <w:lang w:val="en-US"/>
        </w:rPr>
        <w:t>Charging Band</w:t>
      </w:r>
      <w:r>
        <w:rPr>
          <w:rFonts w:ascii="Arial" w:hAnsi="Arial" w:cs="Arial"/>
          <w:lang w:val="en-US"/>
        </w:rPr>
        <w:t xml:space="preserve"> as created in 14.15.137;</w:t>
      </w:r>
    </w:p>
    <w:p w14:paraId="5E66AB0D" w14:textId="6035AFD0"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4C2FDD">
        <w:rPr>
          <w:rFonts w:ascii="Arial" w:hAnsi="Arial" w:cs="Arial"/>
          <w:lang w:val="en-US"/>
        </w:rPr>
        <w:t xml:space="preserve"> </w:t>
      </w:r>
      <w:r w:rsidR="004C2FDD" w:rsidRPr="00741921">
        <w:rPr>
          <w:rFonts w:ascii="Arial" w:hAnsi="Arial" w:cs="Arial"/>
          <w:b/>
          <w:bCs/>
          <w:lang w:val="en-US"/>
        </w:rPr>
        <w:t>Consumption</w:t>
      </w:r>
      <w:r w:rsidR="004C2FDD">
        <w:rPr>
          <w:rFonts w:ascii="Arial" w:hAnsi="Arial" w:cs="Arial"/>
          <w:lang w:val="en-US"/>
        </w:rPr>
        <w:t xml:space="preserve"> </w:t>
      </w:r>
      <w:r w:rsidR="001F72C7">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23BCFCDF" w14:textId="6E5CFDCC" w:rsidR="00023E64" w:rsidRDefault="00023E64" w:rsidP="00023E64">
      <w:pPr>
        <w:ind w:left="1080"/>
        <w:rPr>
          <w:rFonts w:ascii="Arial" w:hAnsi="Arial" w:cs="Arial"/>
          <w:lang w:val="en-US"/>
        </w:rPr>
      </w:pPr>
      <w:r>
        <w:rPr>
          <w:rFonts w:ascii="Arial" w:hAnsi="Arial" w:cs="Arial"/>
          <w:lang w:val="en-US"/>
        </w:rPr>
        <w:t>Where this is not available in terms of (ii)</w:t>
      </w:r>
      <w:r w:rsidR="00D575F6">
        <w:rPr>
          <w:rFonts w:ascii="Arial" w:hAnsi="Arial" w:cs="Arial"/>
          <w:lang w:val="en-US"/>
        </w:rPr>
        <w:t>, (iii)</w:t>
      </w:r>
      <w:r>
        <w:rPr>
          <w:rFonts w:ascii="Arial" w:hAnsi="Arial" w:cs="Arial"/>
          <w:lang w:val="en-US"/>
        </w:rPr>
        <w:t xml:space="preserve"> and (i</w:t>
      </w:r>
      <w:r w:rsidR="001E301D">
        <w:rPr>
          <w:rFonts w:ascii="Arial" w:hAnsi="Arial" w:cs="Arial"/>
          <w:lang w:val="en-US"/>
        </w:rPr>
        <w:t>v</w:t>
      </w:r>
      <w:r>
        <w:rPr>
          <w:rFonts w:ascii="Arial" w:hAnsi="Arial" w:cs="Arial"/>
          <w:lang w:val="en-US"/>
        </w:rPr>
        <w:t>);</w:t>
      </w:r>
    </w:p>
    <w:p w14:paraId="243DC71D" w14:textId="008176E5" w:rsidR="00023E64" w:rsidRDefault="0090408B"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 xml:space="preserve">The mean average of </w:t>
      </w:r>
      <w:r w:rsidR="00023E64">
        <w:rPr>
          <w:rFonts w:ascii="Arial" w:hAnsi="Arial" w:cs="Arial"/>
          <w:lang w:val="en-US"/>
        </w:rPr>
        <w:t>as much</w:t>
      </w:r>
      <w:r>
        <w:rPr>
          <w:rFonts w:ascii="Arial" w:hAnsi="Arial" w:cs="Arial"/>
          <w:lang w:val="en-US"/>
        </w:rPr>
        <w:t xml:space="preserve"> </w:t>
      </w:r>
      <w:r w:rsidRPr="00741921">
        <w:rPr>
          <w:rFonts w:ascii="Arial" w:hAnsi="Arial" w:cs="Arial"/>
          <w:b/>
          <w:bCs/>
          <w:lang w:val="en-US"/>
        </w:rPr>
        <w:t>Consumption</w:t>
      </w:r>
      <w:r>
        <w:rPr>
          <w:rFonts w:ascii="Arial" w:hAnsi="Arial" w:cs="Arial"/>
          <w:lang w:val="en-US"/>
        </w:rPr>
        <w:t xml:space="preserve"> </w:t>
      </w:r>
      <w:r w:rsidR="00023E64">
        <w:rPr>
          <w:rFonts w:ascii="Arial" w:hAnsi="Arial" w:cs="Arial"/>
          <w:lang w:val="en-US"/>
        </w:rPr>
        <w:t xml:space="preserve">data as is available for the specific </w:t>
      </w:r>
      <w:r w:rsidR="00023E64">
        <w:rPr>
          <w:rFonts w:ascii="Arial" w:hAnsi="Arial" w:cs="Arial"/>
          <w:b/>
          <w:lang w:val="en-US"/>
        </w:rPr>
        <w:t>Final Demand Site</w:t>
      </w:r>
      <w:r w:rsidR="00023E64">
        <w:rPr>
          <w:rFonts w:ascii="Arial" w:hAnsi="Arial" w:cs="Arial"/>
          <w:lang w:val="en-US"/>
        </w:rPr>
        <w:t>, or;</w:t>
      </w:r>
    </w:p>
    <w:p w14:paraId="1D46D2A6" w14:textId="2E653C40" w:rsidR="00404FD8" w:rsidRPr="00741921" w:rsidRDefault="00244AE3" w:rsidP="00023E64">
      <w:pPr>
        <w:pStyle w:val="ListParagraph"/>
        <w:numPr>
          <w:ilvl w:val="1"/>
          <w:numId w:val="113"/>
        </w:numPr>
        <w:spacing w:after="160" w:line="256" w:lineRule="auto"/>
        <w:contextualSpacing/>
        <w:rPr>
          <w:rFonts w:ascii="Arial" w:hAnsi="Arial" w:cs="Arial"/>
          <w:b/>
          <w:bCs/>
          <w:lang w:val="en-US"/>
        </w:rPr>
      </w:pPr>
      <w:r w:rsidRPr="00741921">
        <w:rPr>
          <w:rFonts w:ascii="Arial" w:hAnsi="Arial" w:cs="Arial"/>
          <w:b/>
          <w:bCs/>
          <w:lang w:val="en-US"/>
        </w:rPr>
        <w:t xml:space="preserve">The Company </w:t>
      </w:r>
      <w:r w:rsidR="00F755FC" w:rsidRPr="00741921">
        <w:rPr>
          <w:rFonts w:ascii="Arial" w:hAnsi="Arial" w:cs="Arial"/>
          <w:lang w:val="en-US"/>
        </w:rPr>
        <w:t>making use of any valid information as is avai</w:t>
      </w:r>
      <w:r w:rsidR="001A4AC6" w:rsidRPr="00741921">
        <w:rPr>
          <w:rFonts w:ascii="Arial" w:hAnsi="Arial" w:cs="Arial"/>
          <w:lang w:val="en-US"/>
        </w:rPr>
        <w:t>lable or</w:t>
      </w:r>
      <w:r w:rsidR="001A4AC6">
        <w:rPr>
          <w:rFonts w:ascii="Arial" w:hAnsi="Arial" w:cs="Arial"/>
          <w:b/>
          <w:bCs/>
          <w:lang w:val="en-US"/>
        </w:rPr>
        <w:t xml:space="preserve"> </w:t>
      </w:r>
      <w:r w:rsidR="001A4AC6" w:rsidRPr="00741921">
        <w:rPr>
          <w:rFonts w:ascii="Arial" w:hAnsi="Arial" w:cs="Arial"/>
          <w:lang w:val="en-US"/>
        </w:rPr>
        <w:t>made</w:t>
      </w:r>
      <w:r w:rsidR="00B3456A" w:rsidRPr="00741921">
        <w:rPr>
          <w:rFonts w:ascii="Arial" w:hAnsi="Arial" w:cs="Arial"/>
          <w:lang w:val="en-US"/>
        </w:rPr>
        <w:t xml:space="preserve"> available to best estimate the expected</w:t>
      </w:r>
      <w:r w:rsidR="00B3456A">
        <w:rPr>
          <w:rFonts w:ascii="Arial" w:hAnsi="Arial" w:cs="Arial"/>
          <w:b/>
          <w:bCs/>
          <w:lang w:val="en-US"/>
        </w:rPr>
        <w:t xml:space="preserve"> Consumption </w:t>
      </w:r>
      <w:r w:rsidR="00B3456A" w:rsidRPr="00741921">
        <w:rPr>
          <w:rFonts w:ascii="Arial" w:hAnsi="Arial" w:cs="Arial"/>
          <w:lang w:val="en-US"/>
        </w:rPr>
        <w:t>of the</w:t>
      </w:r>
      <w:r w:rsidR="00B3456A">
        <w:rPr>
          <w:rFonts w:ascii="Arial" w:hAnsi="Arial" w:cs="Arial"/>
          <w:b/>
          <w:bCs/>
          <w:lang w:val="en-US"/>
        </w:rPr>
        <w:t xml:space="preserve"> Final Demand Site</w:t>
      </w:r>
      <w:r w:rsidR="00B1792A">
        <w:rPr>
          <w:rFonts w:ascii="Arial" w:hAnsi="Arial" w:cs="Arial"/>
          <w:b/>
          <w:bCs/>
          <w:lang w:val="en-US"/>
        </w:rPr>
        <w:t xml:space="preserve">, </w:t>
      </w:r>
      <w:r w:rsidR="00B1792A" w:rsidRPr="00741921">
        <w:rPr>
          <w:rFonts w:ascii="Arial" w:hAnsi="Arial" w:cs="Arial"/>
          <w:lang w:val="en-US"/>
        </w:rPr>
        <w:t>or</w:t>
      </w:r>
      <w:r w:rsidR="00DD6692" w:rsidRPr="00741921">
        <w:rPr>
          <w:rFonts w:ascii="Arial" w:hAnsi="Arial" w:cs="Arial"/>
          <w:lang w:val="en-US"/>
        </w:rPr>
        <w:t>:</w:t>
      </w:r>
    </w:p>
    <w:p w14:paraId="710C5DAD" w14:textId="2050FD22"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Should no data</w:t>
      </w:r>
      <w:r w:rsidR="00C0064C">
        <w:rPr>
          <w:rFonts w:ascii="Arial" w:hAnsi="Arial" w:cs="Arial"/>
          <w:lang w:val="en-US"/>
        </w:rPr>
        <w:t xml:space="preserve"> or information</w:t>
      </w:r>
      <w:r>
        <w:rPr>
          <w:rFonts w:ascii="Arial" w:hAnsi="Arial" w:cs="Arial"/>
          <w:lang w:val="en-US"/>
        </w:rPr>
        <w:t xml:space="preserve"> be available for the specific </w:t>
      </w:r>
      <w:r>
        <w:rPr>
          <w:rFonts w:ascii="Arial" w:hAnsi="Arial" w:cs="Arial"/>
          <w:b/>
          <w:bCs/>
          <w:lang w:val="en-US"/>
        </w:rPr>
        <w:t>Final Demand Site</w:t>
      </w:r>
      <w:r>
        <w:rPr>
          <w:rFonts w:ascii="Arial" w:hAnsi="Arial" w:cs="Arial"/>
          <w:lang w:val="en-US"/>
        </w:rPr>
        <w:t xml:space="preserve">, a 12 month mean average of all </w:t>
      </w:r>
      <w:r>
        <w:rPr>
          <w:rFonts w:ascii="Arial" w:hAnsi="Arial" w:cs="Arial"/>
          <w:b/>
          <w:bCs/>
          <w:lang w:val="en-US"/>
        </w:rPr>
        <w:t>Consumption</w:t>
      </w:r>
      <w:r>
        <w:rPr>
          <w:rFonts w:ascii="Arial" w:hAnsi="Arial" w:cs="Arial"/>
          <w:lang w:val="en-US"/>
        </w:rPr>
        <w:t xml:space="preserve"> from all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shall be used.</w:t>
      </w:r>
    </w:p>
    <w:p w14:paraId="0272B441" w14:textId="58949BC5"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w:t>
      </w:r>
      <w:r w:rsidR="00E75E7F">
        <w:rPr>
          <w:rFonts w:ascii="Arial" w:hAnsi="Arial" w:cs="Arial"/>
        </w:rPr>
        <w:t>56</w:t>
      </w:r>
      <w:r>
        <w:rPr>
          <w:rFonts w:ascii="Arial" w:hAnsi="Arial" w:cs="Arial"/>
        </w:rPr>
        <w:t xml:space="preserve">.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Pr>
          <w:rFonts w:ascii="Arial" w:hAnsi="Arial" w:cs="Arial"/>
          <w:b/>
        </w:rPr>
        <w:t>The Company</w:t>
      </w:r>
      <w:r>
        <w:rPr>
          <w:rFonts w:ascii="Arial" w:hAnsi="Arial" w:cs="Arial"/>
        </w:rPr>
        <w:t>.</w:t>
      </w:r>
    </w:p>
    <w:p w14:paraId="0579E594" w14:textId="7199B30A"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will use the material change in circumstances as per paragraph 14.15.1</w:t>
      </w:r>
      <w:r w:rsidR="00C92FA4">
        <w:rPr>
          <w:rFonts w:ascii="Arial" w:hAnsi="Arial" w:cs="Arial"/>
        </w:rPr>
        <w:t>54</w:t>
      </w:r>
      <w:r>
        <w:rPr>
          <w:rFonts w:ascii="Arial" w:hAnsi="Arial" w:cs="Arial"/>
        </w:rPr>
        <w:t xml:space="preserve">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5CCF45EE" w14:textId="77777777" w:rsidR="0079231B" w:rsidRDefault="0079231B" w:rsidP="00023E64">
      <w:pPr>
        <w:rPr>
          <w:rFonts w:ascii="Arial" w:hAnsi="Arial" w:cs="Arial"/>
        </w:rPr>
      </w:pPr>
    </w:p>
    <w:p w14:paraId="30690894" w14:textId="3AD1A5B3" w:rsidR="00023E64" w:rsidRDefault="7B02D755" w:rsidP="00023E64">
      <w:pPr>
        <w:rPr>
          <w:rFonts w:ascii="Arial" w:hAnsi="Arial" w:cs="Arial"/>
        </w:rPr>
      </w:pPr>
      <w:r w:rsidRPr="0537B9E0">
        <w:rPr>
          <w:rFonts w:ascii="Arial" w:hAnsi="Arial" w:cs="Arial"/>
        </w:rPr>
        <w:t>14.15.1</w:t>
      </w:r>
      <w:r w:rsidR="200BC386" w:rsidRPr="0537B9E0">
        <w:rPr>
          <w:rFonts w:ascii="Arial" w:hAnsi="Arial" w:cs="Arial"/>
        </w:rPr>
        <w:t>5</w:t>
      </w:r>
      <w:r w:rsidR="5D75A732" w:rsidRPr="0537B9E0">
        <w:rPr>
          <w:rFonts w:ascii="Arial" w:hAnsi="Arial" w:cs="Arial"/>
        </w:rPr>
        <w:t>7</w:t>
      </w:r>
      <w:r w:rsidRPr="0537B9E0">
        <w:rPr>
          <w:rFonts w:ascii="Arial" w:hAnsi="Arial" w:cs="Arial"/>
        </w:rPr>
        <w:t>c</w:t>
      </w:r>
      <w:r w:rsidR="00023E64">
        <w:tab/>
      </w:r>
      <w:r w:rsidRPr="0537B9E0">
        <w:rPr>
          <w:rFonts w:ascii="Arial" w:hAnsi="Arial" w:cs="Arial"/>
          <w:b/>
          <w:bCs/>
        </w:rPr>
        <w:t>The Company</w:t>
      </w:r>
      <w:r w:rsidRPr="0537B9E0">
        <w:rPr>
          <w:rFonts w:ascii="Arial" w:hAnsi="Arial" w:cs="Arial"/>
        </w:rPr>
        <w:t xml:space="preserve"> shall notify any </w:t>
      </w:r>
      <w:r w:rsidRPr="0537B9E0">
        <w:rPr>
          <w:rFonts w:ascii="Arial" w:hAnsi="Arial" w:cs="Arial"/>
          <w:b/>
          <w:bCs/>
        </w:rPr>
        <w:t>Final Demand Site</w:t>
      </w:r>
      <w:r w:rsidRPr="0537B9E0">
        <w:rPr>
          <w:rFonts w:ascii="Arial" w:hAnsi="Arial" w:cs="Arial"/>
        </w:rPr>
        <w:t xml:space="preserve"> and it’s </w:t>
      </w:r>
      <w:r w:rsidRPr="0537B9E0">
        <w:rPr>
          <w:rFonts w:ascii="Arial" w:hAnsi="Arial" w:cs="Arial"/>
          <w:b/>
          <w:bCs/>
        </w:rPr>
        <w:t>Supplier</w:t>
      </w:r>
      <w:r w:rsidRPr="0537B9E0">
        <w:rPr>
          <w:rFonts w:ascii="Arial" w:hAnsi="Arial" w:cs="Arial"/>
        </w:rPr>
        <w:t xml:space="preserve"> should they be included in a </w:t>
      </w:r>
      <w:r w:rsidRPr="0537B9E0">
        <w:rPr>
          <w:rFonts w:ascii="Arial" w:hAnsi="Arial" w:cs="Arial"/>
          <w:b/>
          <w:bCs/>
        </w:rPr>
        <w:t>September New Site</w:t>
      </w:r>
      <w:r w:rsidRPr="0537B9E0">
        <w:rPr>
          <w:rFonts w:ascii="Arial" w:hAnsi="Arial" w:cs="Arial"/>
        </w:rPr>
        <w:t xml:space="preserve"> review. This notification shall be no issued later than the 15th calendar day in August prior to the </w:t>
      </w:r>
      <w:r w:rsidRPr="0537B9E0">
        <w:rPr>
          <w:rFonts w:ascii="Arial" w:hAnsi="Arial" w:cs="Arial"/>
          <w:b/>
          <w:bCs/>
        </w:rPr>
        <w:t xml:space="preserve">September New Site </w:t>
      </w:r>
      <w:r w:rsidRPr="0537B9E0">
        <w:rPr>
          <w:rFonts w:ascii="Arial" w:hAnsi="Arial" w:cs="Arial"/>
        </w:rPr>
        <w:t>review</w:t>
      </w:r>
      <w:r w:rsidR="4B372EF0" w:rsidRPr="0537B9E0">
        <w:rPr>
          <w:rFonts w:ascii="Arial" w:hAnsi="Arial" w:cs="Arial"/>
        </w:rPr>
        <w:t xml:space="preserve">. </w:t>
      </w:r>
    </w:p>
    <w:p w14:paraId="15A3957C" w14:textId="77777777" w:rsidR="0079231B" w:rsidRDefault="0079231B" w:rsidP="00023E64">
      <w:pPr>
        <w:rPr>
          <w:rFonts w:ascii="Arial" w:hAnsi="Arial" w:cs="Arial"/>
        </w:rPr>
      </w:pPr>
    </w:p>
    <w:p w14:paraId="487AEDDF" w14:textId="360653FC"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12F60402" w14:textId="77777777" w:rsidR="0079231B" w:rsidRDefault="0079231B" w:rsidP="00023E64">
      <w:pPr>
        <w:rPr>
          <w:rFonts w:ascii="Arial" w:hAnsi="Arial" w:cs="Arial"/>
        </w:rPr>
      </w:pPr>
    </w:p>
    <w:p w14:paraId="2F0465FB" w14:textId="01E2C8F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e</w:t>
      </w:r>
      <w:r>
        <w:rPr>
          <w:rFonts w:ascii="Arial" w:hAnsi="Arial" w:cs="Arial"/>
        </w:rPr>
        <w:tab/>
      </w:r>
      <w:r>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45D3F634" w14:textId="77777777" w:rsidR="0079231B" w:rsidRDefault="0079231B" w:rsidP="00023E64">
      <w:pPr>
        <w:rPr>
          <w:rFonts w:ascii="Arial" w:hAnsi="Arial" w:cs="Arial"/>
        </w:rPr>
      </w:pPr>
    </w:p>
    <w:p w14:paraId="56C927CC" w14:textId="789324A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5023E27C" w14:textId="77777777" w:rsidR="00DC2C60" w:rsidRDefault="00DC2C60" w:rsidP="00023E64">
      <w:pPr>
        <w:rPr>
          <w:rFonts w:ascii="Arial" w:hAnsi="Arial" w:cs="Arial"/>
        </w:rPr>
      </w:pPr>
    </w:p>
    <w:p w14:paraId="56B0A0B4" w14:textId="3E7205AA" w:rsidR="00DC2C60" w:rsidRDefault="00DC2C60" w:rsidP="00DC2C60">
      <w:pPr>
        <w:rPr>
          <w:rFonts w:ascii="Arial" w:eastAsia="Calibri" w:hAnsi="Arial" w:cs="Arial"/>
          <w:sz w:val="22"/>
          <w:szCs w:val="22"/>
          <w:lang w:val="en-US"/>
        </w:rPr>
      </w:pPr>
      <w:r>
        <w:rPr>
          <w:rFonts w:ascii="Arial" w:hAnsi="Arial" w:cs="Arial"/>
        </w:rPr>
        <w:lastRenderedPageBreak/>
        <w:t>14.15.15</w:t>
      </w:r>
      <w:r w:rsidR="00C44673">
        <w:rPr>
          <w:rFonts w:ascii="Arial" w:hAnsi="Arial" w:cs="Arial"/>
        </w:rPr>
        <w:t>8</w:t>
      </w:r>
      <w:r>
        <w:rPr>
          <w:rFonts w:ascii="Arial" w:hAnsi="Arial" w:cs="Arial"/>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Final Demand Site,</w:t>
      </w:r>
      <w:r>
        <w:rPr>
          <w:rFonts w:ascii="Arial" w:eastAsia="Calibri" w:hAnsi="Arial" w:cs="Arial"/>
          <w:bCs/>
          <w:lang w:val="en-US"/>
        </w:rPr>
        <w:t xml:space="preserve"> the</w:t>
      </w:r>
      <w:r>
        <w:rPr>
          <w:rFonts w:ascii="Arial" w:eastAsia="Calibri" w:hAnsi="Arial" w:cs="Arial"/>
          <w:b/>
          <w:bCs/>
          <w:lang w:val="en-US"/>
        </w:rPr>
        <w:t xml:space="preserve"> Final Demand Site</w:t>
      </w:r>
      <w:r>
        <w:rPr>
          <w:rFonts w:ascii="Arial" w:eastAsia="Calibri" w:hAnsi="Arial" w:cs="Arial"/>
          <w:bCs/>
          <w:lang w:val="en-US"/>
        </w:rPr>
        <w:t xml:space="preserve"> will be allocated to a </w:t>
      </w:r>
      <w:r>
        <w:rPr>
          <w:rFonts w:ascii="Arial" w:eastAsia="Calibri" w:hAnsi="Arial" w:cs="Arial"/>
          <w:b/>
          <w:bCs/>
          <w:lang w:val="en-US"/>
        </w:rPr>
        <w:t xml:space="preserve">Charging Band. </w:t>
      </w:r>
    </w:p>
    <w:p w14:paraId="5111FB9F" w14:textId="0E42EFFF"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lang w:val="en-US"/>
        </w:rPr>
        <w:t>NETS</w:t>
      </w:r>
      <w:r>
        <w:rPr>
          <w:rFonts w:ascii="Arial" w:eastAsia="Calibri" w:hAnsi="Arial" w:cs="Arial"/>
          <w:lang w:val="en-US"/>
        </w:rPr>
        <w:t xml:space="preserve"> connected </w:t>
      </w:r>
      <w:r>
        <w:rPr>
          <w:rFonts w:ascii="Arial" w:eastAsia="Calibri" w:hAnsi="Arial" w:cs="Arial"/>
          <w:b/>
          <w:lang w:val="en-US"/>
        </w:rPr>
        <w:t>Final Demand Sites</w:t>
      </w:r>
      <w:r>
        <w:rPr>
          <w:rFonts w:ascii="Arial" w:eastAsia="Calibri" w:hAnsi="Arial" w:cs="Arial"/>
          <w:lang w:val="en-US"/>
        </w:rPr>
        <w:t xml:space="preserve"> will be in accordance with 14.15.1</w:t>
      </w:r>
      <w:r w:rsidR="000863FB">
        <w:rPr>
          <w:rFonts w:ascii="Arial" w:eastAsia="Calibri" w:hAnsi="Arial" w:cs="Arial"/>
          <w:lang w:val="en-US"/>
        </w:rPr>
        <w:t>156</w:t>
      </w:r>
      <w:r>
        <w:rPr>
          <w:rFonts w:ascii="Arial" w:eastAsia="Calibri" w:hAnsi="Arial" w:cs="Arial"/>
          <w:lang w:val="en-US"/>
        </w:rPr>
        <w:t xml:space="preserve">. </w:t>
      </w:r>
      <w:r>
        <w:rPr>
          <w:rFonts w:ascii="Arial" w:eastAsia="Calibri" w:hAnsi="Arial" w:cs="Arial"/>
          <w:bCs/>
          <w:lang w:val="en-US"/>
        </w:rPr>
        <w:t xml:space="preserve">The </w:t>
      </w:r>
      <w:r>
        <w:rPr>
          <w:rFonts w:ascii="Arial" w:eastAsia="Calibri" w:hAnsi="Arial" w:cs="Arial"/>
          <w:b/>
          <w:bCs/>
          <w:lang w:val="en-US"/>
        </w:rPr>
        <w:t xml:space="preserve">Final Demand Site </w:t>
      </w:r>
      <w:r>
        <w:rPr>
          <w:rFonts w:ascii="Arial" w:eastAsia="Calibri" w:hAnsi="Arial" w:cs="Arial"/>
          <w:lang w:val="en-US"/>
        </w:rPr>
        <w:t xml:space="preserve">will be allocated into a </w:t>
      </w:r>
      <w:r>
        <w:rPr>
          <w:rFonts w:ascii="Arial" w:eastAsia="Calibri" w:hAnsi="Arial" w:cs="Arial"/>
          <w:b/>
          <w:lang w:val="en-US"/>
        </w:rPr>
        <w:t>Charging Band</w:t>
      </w:r>
      <w:r>
        <w:rPr>
          <w:rFonts w:ascii="Arial" w:eastAsia="Calibri" w:hAnsi="Arial" w:cs="Arial"/>
          <w:lang w:val="en-US"/>
        </w:rPr>
        <w:t xml:space="preserve"> where the </w:t>
      </w:r>
      <w:r>
        <w:rPr>
          <w:rFonts w:ascii="Arial" w:eastAsia="Calibri" w:hAnsi="Arial" w:cs="Arial"/>
          <w:b/>
          <w:lang w:val="en-US"/>
        </w:rPr>
        <w:t>Final Demand Site’s</w:t>
      </w:r>
      <w:r w:rsidR="0085279B">
        <w:rPr>
          <w:rFonts w:ascii="Arial" w:eastAsia="Calibri" w:hAnsi="Arial" w:cs="Arial"/>
          <w:b/>
          <w:lang w:val="en-US"/>
        </w:rPr>
        <w:t xml:space="preserve"> </w:t>
      </w:r>
      <w:r w:rsidR="0085279B" w:rsidRPr="00741921">
        <w:rPr>
          <w:rFonts w:ascii="Arial" w:eastAsia="Calibri" w:hAnsi="Arial" w:cs="Arial"/>
          <w:bCs/>
          <w:lang w:val="en-US"/>
        </w:rPr>
        <w:t>gross</w:t>
      </w:r>
      <w:r w:rsidR="0085279B">
        <w:rPr>
          <w:rFonts w:ascii="Arial" w:eastAsia="Calibri" w:hAnsi="Arial" w:cs="Arial"/>
          <w:b/>
          <w:lang w:val="en-US"/>
        </w:rPr>
        <w:t xml:space="preserve"> Consump</w:t>
      </w:r>
      <w:r w:rsidR="00D75B94">
        <w:rPr>
          <w:rFonts w:ascii="Arial" w:eastAsia="Calibri" w:hAnsi="Arial" w:cs="Arial"/>
          <w:b/>
          <w:lang w:val="en-US"/>
        </w:rPr>
        <w:t>tion</w:t>
      </w:r>
      <w:r>
        <w:rPr>
          <w:rFonts w:ascii="Arial" w:eastAsia="Calibri" w:hAnsi="Arial" w:cs="Arial"/>
          <w:lang w:val="en-US"/>
        </w:rPr>
        <w:t xml:space="preserve"> value, is less than or equal to the maximum threshold for that </w:t>
      </w:r>
      <w:r>
        <w:rPr>
          <w:rFonts w:ascii="Arial" w:eastAsia="Calibri" w:hAnsi="Arial" w:cs="Arial"/>
          <w:b/>
          <w:bCs/>
          <w:lang w:val="en-US"/>
        </w:rPr>
        <w:t>Charging Band</w:t>
      </w:r>
      <w:r>
        <w:rPr>
          <w:rFonts w:ascii="Arial" w:eastAsia="Calibri" w:hAnsi="Arial" w:cs="Arial"/>
          <w:lang w:val="en-US"/>
        </w:rPr>
        <w:t>.</w:t>
      </w:r>
    </w:p>
    <w:p w14:paraId="39EEE19F" w14:textId="1485E1C2"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bCs/>
          <w:lang w:val="en-US"/>
        </w:rPr>
        <w:t>Embedded Final Demand Sites</w:t>
      </w:r>
      <w:r>
        <w:rPr>
          <w:rFonts w:ascii="Arial" w:eastAsia="Calibri" w:hAnsi="Arial" w:cs="Arial"/>
          <w:lang w:val="en-US"/>
        </w:rPr>
        <w:t xml:space="preserve"> will be in accordance with the methodology described in 14.15.1</w:t>
      </w:r>
      <w:r w:rsidR="0021191F">
        <w:rPr>
          <w:rFonts w:ascii="Arial" w:eastAsia="Calibri" w:hAnsi="Arial" w:cs="Arial"/>
          <w:lang w:val="en-US"/>
        </w:rPr>
        <w:t>50</w:t>
      </w:r>
      <w:r>
        <w:rPr>
          <w:rFonts w:ascii="Arial" w:eastAsia="Calibri" w:hAnsi="Arial" w:cs="Arial"/>
          <w:lang w:val="en-US"/>
        </w:rPr>
        <w:t xml:space="preserve"> and 14.15.</w:t>
      </w:r>
      <w:r w:rsidR="000863FB">
        <w:rPr>
          <w:rFonts w:ascii="Arial" w:eastAsia="Calibri" w:hAnsi="Arial" w:cs="Arial"/>
          <w:lang w:val="en-US"/>
        </w:rPr>
        <w:t>156</w:t>
      </w:r>
      <w:r>
        <w:rPr>
          <w:rFonts w:ascii="Arial" w:eastAsia="Calibri" w:hAnsi="Arial" w:cs="Arial"/>
          <w:lang w:val="en-US"/>
        </w:rPr>
        <w:t>.</w:t>
      </w:r>
    </w:p>
    <w:p w14:paraId="6C0FC06B" w14:textId="77777777" w:rsidR="006C498D" w:rsidRDefault="006C498D" w:rsidP="00DC2C60">
      <w:pPr>
        <w:rPr>
          <w:rFonts w:ascii="Arial" w:eastAsia="Calibri" w:hAnsi="Arial" w:cs="Arial"/>
          <w:lang w:val="en-US"/>
        </w:rPr>
      </w:pPr>
    </w:p>
    <w:p w14:paraId="77BADD7B" w14:textId="50A4032E" w:rsidR="00985AD8" w:rsidRPr="009F4595" w:rsidRDefault="00985AD8" w:rsidP="00985AD8">
      <w:pPr>
        <w:ind w:left="1418" w:hanging="1418"/>
        <w:jc w:val="both"/>
        <w:rPr>
          <w:rFonts w:ascii="Arial" w:hAnsi="Arial" w:cs="Arial"/>
          <w:color w:val="000000" w:themeColor="text1"/>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a</w:t>
      </w:r>
      <w:r>
        <w:rPr>
          <w:rFonts w:ascii="Arial" w:hAnsi="Arial" w:cs="Arial"/>
          <w:sz w:val="22"/>
          <w:szCs w:val="22"/>
        </w:rPr>
        <w:tab/>
        <w:t xml:space="preserve">For </w:t>
      </w:r>
      <w:r w:rsidRPr="009F4595">
        <w:rPr>
          <w:rFonts w:ascii="Arial" w:hAnsi="Arial" w:cs="Arial"/>
          <w:b/>
          <w:bCs/>
          <w:color w:val="000000" w:themeColor="text1"/>
          <w:sz w:val="22"/>
          <w:szCs w:val="22"/>
        </w:rPr>
        <w:t>Mixed Demand Sites</w:t>
      </w:r>
      <w:r w:rsidRPr="009F4595">
        <w:rPr>
          <w:rFonts w:ascii="Arial" w:hAnsi="Arial" w:cs="Arial"/>
          <w:color w:val="000000" w:themeColor="text1"/>
          <w:sz w:val="22"/>
          <w:szCs w:val="22"/>
        </w:rPr>
        <w:t xml:space="preserve"> connected to the </w:t>
      </w:r>
      <w:r w:rsidRPr="009F4595">
        <w:rPr>
          <w:rFonts w:ascii="Arial" w:hAnsi="Arial" w:cs="Arial"/>
          <w:b/>
          <w:bCs/>
          <w:color w:val="000000" w:themeColor="text1"/>
          <w:sz w:val="22"/>
          <w:szCs w:val="22"/>
        </w:rPr>
        <w:t>NETS</w:t>
      </w:r>
      <w:r w:rsidRPr="009F4595">
        <w:rPr>
          <w:rFonts w:ascii="Arial" w:hAnsi="Arial" w:cs="Arial"/>
          <w:color w:val="000000" w:themeColor="text1"/>
          <w:sz w:val="22"/>
          <w:szCs w:val="22"/>
        </w:rPr>
        <w:t>, the provisions of 14.15.1</w:t>
      </w:r>
      <w:r w:rsidR="00F76DDF"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shall be applied to the </w:t>
      </w:r>
      <w:r w:rsidRPr="009F4595">
        <w:rPr>
          <w:rFonts w:ascii="Arial" w:hAnsi="Arial" w:cs="Arial"/>
          <w:b/>
          <w:bCs/>
          <w:color w:val="000000" w:themeColor="text1"/>
          <w:sz w:val="22"/>
          <w:szCs w:val="22"/>
        </w:rPr>
        <w:t xml:space="preserve">Mixed Demand Site’s </w:t>
      </w:r>
      <w:r w:rsidRPr="009F4595">
        <w:rPr>
          <w:rFonts w:ascii="Arial" w:hAnsi="Arial" w:cs="Arial"/>
          <w:color w:val="000000" w:themeColor="text1"/>
          <w:sz w:val="22"/>
          <w:szCs w:val="22"/>
        </w:rPr>
        <w:t xml:space="preserve">gross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except where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is provided by the </w:t>
      </w:r>
      <w:r w:rsidRPr="009F4595">
        <w:rPr>
          <w:rFonts w:ascii="Arial" w:hAnsi="Arial" w:cs="Arial"/>
          <w:b/>
          <w:bCs/>
          <w:color w:val="000000" w:themeColor="text1"/>
          <w:sz w:val="22"/>
          <w:szCs w:val="22"/>
        </w:rPr>
        <w:t>User</w:t>
      </w:r>
      <w:r w:rsidRPr="009F4595">
        <w:rPr>
          <w:rFonts w:ascii="Arial" w:hAnsi="Arial" w:cs="Arial"/>
          <w:color w:val="000000" w:themeColor="text1"/>
          <w:sz w:val="22"/>
          <w:szCs w:val="22"/>
        </w:rPr>
        <w:t xml:space="preserve">. This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shall clearly identify the </w:t>
      </w:r>
      <w:r w:rsidRPr="009F4595">
        <w:rPr>
          <w:rFonts w:ascii="Arial" w:hAnsi="Arial" w:cs="Arial"/>
          <w:b/>
          <w:bCs/>
          <w:color w:val="000000" w:themeColor="text1"/>
          <w:sz w:val="22"/>
          <w:szCs w:val="22"/>
        </w:rPr>
        <w:t xml:space="preserve">Metering Systems </w:t>
      </w:r>
      <w:r w:rsidRPr="009F4595">
        <w:rPr>
          <w:rFonts w:ascii="Arial" w:hAnsi="Arial" w:cs="Arial"/>
          <w:color w:val="000000" w:themeColor="text1"/>
          <w:sz w:val="22"/>
        </w:rPr>
        <w:t xml:space="preserve">(or </w:t>
      </w:r>
      <w:r w:rsidRPr="009F4595">
        <w:rPr>
          <w:rFonts w:ascii="Arial" w:hAnsi="Arial" w:cs="Arial"/>
          <w:b/>
          <w:bCs/>
          <w:color w:val="000000" w:themeColor="text1"/>
          <w:sz w:val="22"/>
        </w:rPr>
        <w:t xml:space="preserve">Operational Metering Equipment </w:t>
      </w:r>
      <w:r w:rsidRPr="009F4595">
        <w:rPr>
          <w:rFonts w:ascii="Arial" w:hAnsi="Arial" w:cs="Arial"/>
          <w:bCs/>
          <w:color w:val="000000" w:themeColor="text1"/>
          <w:sz w:val="22"/>
        </w:rPr>
        <w:t xml:space="preserve">where a </w:t>
      </w:r>
      <w:r w:rsidRPr="009F4595">
        <w:rPr>
          <w:rFonts w:ascii="Arial" w:hAnsi="Arial" w:cs="Arial"/>
          <w:b/>
          <w:bCs/>
          <w:color w:val="000000" w:themeColor="text1"/>
          <w:sz w:val="22"/>
        </w:rPr>
        <w:t>Metering System</w:t>
      </w:r>
      <w:r w:rsidRPr="009F4595">
        <w:rPr>
          <w:rFonts w:ascii="Arial" w:hAnsi="Arial" w:cs="Arial"/>
          <w:bCs/>
          <w:color w:val="000000" w:themeColor="text1"/>
          <w:sz w:val="22"/>
        </w:rPr>
        <w:t xml:space="preserve"> is not viable)</w:t>
      </w:r>
      <w:r w:rsidRPr="009F4595">
        <w:rPr>
          <w:rFonts w:ascii="Arial" w:hAnsi="Arial" w:cs="Arial"/>
          <w:color w:val="000000" w:themeColor="text1"/>
          <w:sz w:val="22"/>
          <w:szCs w:val="22"/>
        </w:rPr>
        <w:t xml:space="preserve"> used to isolate and identify gross </w:t>
      </w:r>
      <w:r w:rsidRPr="009F4595">
        <w:rPr>
          <w:rFonts w:ascii="Arial" w:hAnsi="Arial" w:cs="Arial"/>
          <w:b/>
          <w:bCs/>
          <w:color w:val="000000" w:themeColor="text1"/>
          <w:sz w:val="22"/>
          <w:szCs w:val="22"/>
        </w:rPr>
        <w:t>Final Demand</w:t>
      </w:r>
      <w:r w:rsidRPr="009F4595">
        <w:rPr>
          <w:rFonts w:ascii="Arial" w:hAnsi="Arial" w:cs="Arial"/>
          <w:color w:val="000000" w:themeColor="text1"/>
          <w:sz w:val="22"/>
          <w:szCs w:val="22"/>
        </w:rPr>
        <w:t xml:space="preserve"> </w:t>
      </w:r>
      <w:r w:rsidRPr="009F4595">
        <w:rPr>
          <w:rFonts w:ascii="Arial" w:hAnsi="Arial" w:cs="Arial"/>
          <w:b/>
          <w:bCs/>
          <w:color w:val="000000" w:themeColor="text1"/>
          <w:sz w:val="22"/>
          <w:szCs w:val="22"/>
        </w:rPr>
        <w:t xml:space="preserve">Consumption </w:t>
      </w:r>
      <w:r w:rsidRPr="009F4595">
        <w:rPr>
          <w:rFonts w:ascii="Arial" w:hAnsi="Arial" w:cs="Arial"/>
          <w:color w:val="000000" w:themeColor="text1"/>
          <w:sz w:val="22"/>
          <w:szCs w:val="22"/>
        </w:rPr>
        <w:t xml:space="preserve">from any other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at the </w:t>
      </w:r>
      <w:r w:rsidRPr="009F4595">
        <w:rPr>
          <w:rFonts w:ascii="Arial" w:hAnsi="Arial" w:cs="Arial"/>
          <w:b/>
          <w:bCs/>
          <w:color w:val="000000" w:themeColor="text1"/>
          <w:sz w:val="22"/>
          <w:szCs w:val="22"/>
        </w:rPr>
        <w:t>Mixed Demand Site</w:t>
      </w:r>
      <w:r w:rsidRPr="009F4595">
        <w:rPr>
          <w:rFonts w:ascii="Arial" w:hAnsi="Arial" w:cs="Arial"/>
          <w:color w:val="000000" w:themeColor="text1"/>
          <w:sz w:val="22"/>
          <w:szCs w:val="22"/>
        </w:rPr>
        <w:t xml:space="preserve">. </w:t>
      </w:r>
    </w:p>
    <w:p w14:paraId="4C2408B5" w14:textId="77777777" w:rsidR="00C44673" w:rsidRPr="009F4595" w:rsidRDefault="00C44673" w:rsidP="00985AD8">
      <w:pPr>
        <w:ind w:left="1418" w:hanging="1418"/>
        <w:jc w:val="both"/>
        <w:rPr>
          <w:rFonts w:ascii="Arial" w:hAnsi="Arial" w:cs="Arial"/>
          <w:color w:val="000000" w:themeColor="text1"/>
          <w:sz w:val="22"/>
          <w:szCs w:val="22"/>
        </w:rPr>
      </w:pPr>
    </w:p>
    <w:p w14:paraId="56CFBCD5" w14:textId="3A3656A9" w:rsidR="00985AD8" w:rsidRPr="00741921" w:rsidRDefault="00985AD8" w:rsidP="00985AD8">
      <w:pPr>
        <w:ind w:left="1418"/>
        <w:jc w:val="both"/>
        <w:rPr>
          <w:rFonts w:ascii="Arial" w:hAnsi="Arial" w:cs="Arial"/>
          <w:color w:val="000000" w:themeColor="text1"/>
          <w:sz w:val="22"/>
          <w:szCs w:val="22"/>
        </w:rPr>
      </w:pPr>
      <w:r w:rsidRPr="009F4595">
        <w:rPr>
          <w:rFonts w:ascii="Arial" w:hAnsi="Arial" w:cs="Arial"/>
          <w:color w:val="000000" w:themeColor="text1"/>
          <w:sz w:val="22"/>
          <w:szCs w:val="22"/>
        </w:rPr>
        <w:t xml:space="preserve">. </w:t>
      </w:r>
      <w:r w:rsidRPr="009F4595">
        <w:rPr>
          <w:rFonts w:ascii="Arial" w:hAnsi="Arial" w:cs="Arial"/>
          <w:bCs/>
          <w:color w:val="000000" w:themeColor="text1"/>
          <w:kern w:val="24"/>
          <w:sz w:val="22"/>
          <w:szCs w:val="22"/>
        </w:rPr>
        <w:t xml:space="preserve">A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Final Demand Consumption</w:t>
      </w:r>
      <w:r w:rsidRPr="009F4595">
        <w:rPr>
          <w:rFonts w:ascii="Arial" w:hAnsi="Arial" w:cs="Arial"/>
          <w:bCs/>
          <w:color w:val="000000" w:themeColor="text1"/>
          <w:kern w:val="24"/>
          <w:sz w:val="22"/>
          <w:szCs w:val="22"/>
        </w:rPr>
        <w:t xml:space="preserve"> shall either be measured using meters installed at each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 xml:space="preserve"> asset, or alternatively, be calculated as the difference between the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 xml:space="preserve">Consumption </w:t>
      </w:r>
      <w:r w:rsidRPr="009F4595">
        <w:rPr>
          <w:rFonts w:ascii="Arial" w:hAnsi="Arial" w:cs="Arial"/>
          <w:bCs/>
          <w:color w:val="000000" w:themeColor="text1"/>
          <w:kern w:val="24"/>
          <w:sz w:val="22"/>
          <w:szCs w:val="22"/>
        </w:rPr>
        <w:t xml:space="preserve">as metered at the site boundary, and consumption metered at each asset which does not consume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w:t>
      </w:r>
      <w:r w:rsidRPr="009F4595">
        <w:rPr>
          <w:rFonts w:asciiTheme="minorHAnsi" w:hAnsiTheme="minorHAnsi"/>
          <w:bCs/>
          <w:color w:val="000000" w:themeColor="text1"/>
          <w:kern w:val="24"/>
          <w:sz w:val="22"/>
          <w:szCs w:val="22"/>
        </w:rPr>
        <w:t xml:space="preserve"> </w:t>
      </w:r>
      <w:r w:rsidRPr="009F4595">
        <w:rPr>
          <w:rFonts w:ascii="Arial" w:hAnsi="Arial" w:cs="Arial"/>
          <w:color w:val="000000" w:themeColor="text1"/>
          <w:sz w:val="22"/>
          <w:szCs w:val="22"/>
        </w:rPr>
        <w:t xml:space="preserve">Should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be provided, any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not associated with </w:t>
      </w:r>
      <w:r w:rsidRPr="009F4595">
        <w:rPr>
          <w:rFonts w:ascii="Arial" w:hAnsi="Arial" w:cs="Arial"/>
          <w:b/>
          <w:color w:val="000000" w:themeColor="text1"/>
          <w:sz w:val="22"/>
          <w:szCs w:val="22"/>
        </w:rPr>
        <w:t>Final Demand</w:t>
      </w:r>
      <w:r w:rsidRPr="009F4595">
        <w:rPr>
          <w:rFonts w:ascii="Arial" w:hAnsi="Arial" w:cs="Arial"/>
          <w:color w:val="000000" w:themeColor="text1"/>
          <w:sz w:val="22"/>
          <w:szCs w:val="22"/>
        </w:rPr>
        <w:t xml:space="preserve"> will be removed before the provisions of 14.15.1</w:t>
      </w:r>
      <w:r w:rsidR="008637FA"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w:t>
      </w:r>
      <w:r w:rsidRPr="00741921">
        <w:rPr>
          <w:rFonts w:ascii="Arial" w:hAnsi="Arial" w:cs="Arial"/>
          <w:color w:val="000000" w:themeColor="text1"/>
          <w:sz w:val="22"/>
          <w:szCs w:val="22"/>
        </w:rPr>
        <w:t xml:space="preserve">are applied. Where it is unclear whether the </w:t>
      </w:r>
      <w:r w:rsidRPr="00741921">
        <w:rPr>
          <w:rFonts w:ascii="Arial" w:hAnsi="Arial" w:cs="Arial"/>
          <w:b/>
          <w:color w:val="000000" w:themeColor="text1"/>
          <w:sz w:val="22"/>
          <w:szCs w:val="22"/>
        </w:rPr>
        <w:t>Consumption</w:t>
      </w:r>
      <w:r w:rsidRPr="00741921">
        <w:rPr>
          <w:rFonts w:ascii="Arial" w:hAnsi="Arial" w:cs="Arial"/>
          <w:color w:val="000000" w:themeColor="text1"/>
          <w:sz w:val="22"/>
          <w:szCs w:val="22"/>
        </w:rPr>
        <w:t xml:space="preserve"> is </w:t>
      </w:r>
      <w:r w:rsidRPr="00741921">
        <w:rPr>
          <w:rFonts w:ascii="Arial" w:hAnsi="Arial" w:cs="Arial"/>
          <w:b/>
          <w:color w:val="000000" w:themeColor="text1"/>
          <w:sz w:val="22"/>
          <w:szCs w:val="22"/>
        </w:rPr>
        <w:t>Final Demand</w:t>
      </w:r>
      <w:r w:rsidRPr="00741921">
        <w:rPr>
          <w:rFonts w:ascii="Arial" w:hAnsi="Arial" w:cs="Arial"/>
          <w:color w:val="000000" w:themeColor="text1"/>
          <w:sz w:val="22"/>
          <w:szCs w:val="22"/>
        </w:rPr>
        <w:t xml:space="preserve"> or not, it will be treated as </w:t>
      </w:r>
      <w:r w:rsidRPr="00741921">
        <w:rPr>
          <w:rFonts w:ascii="Arial" w:hAnsi="Arial" w:cs="Arial"/>
          <w:b/>
          <w:color w:val="000000" w:themeColor="text1"/>
          <w:sz w:val="22"/>
          <w:szCs w:val="22"/>
        </w:rPr>
        <w:t>Final Demand.</w:t>
      </w:r>
    </w:p>
    <w:p w14:paraId="7A8C08AC" w14:textId="77777777" w:rsidR="00985AD8" w:rsidRDefault="00985AD8" w:rsidP="00985AD8">
      <w:pPr>
        <w:ind w:left="1418"/>
        <w:jc w:val="both"/>
        <w:rPr>
          <w:rFonts w:ascii="Arial" w:hAnsi="Arial" w:cs="Arial"/>
          <w:sz w:val="22"/>
          <w:szCs w:val="22"/>
        </w:rPr>
      </w:pPr>
    </w:p>
    <w:p w14:paraId="6935B1C2" w14:textId="157F561D" w:rsidR="00985AD8" w:rsidRDefault="00985AD8" w:rsidP="00985AD8">
      <w:pPr>
        <w:ind w:left="1418" w:hanging="1418"/>
        <w:jc w:val="both"/>
        <w:rPr>
          <w:rFonts w:ascii="Arial" w:hAnsi="Arial" w:cs="Arial"/>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w:t>
      </w:r>
      <w:r w:rsidR="007413B1">
        <w:rPr>
          <w:rFonts w:ascii="Arial" w:hAnsi="Arial" w:cs="Arial"/>
          <w:sz w:val="22"/>
          <w:szCs w:val="22"/>
        </w:rPr>
        <w:t>147</w:t>
      </w:r>
      <w:r>
        <w:rPr>
          <w:rFonts w:ascii="Arial" w:hAnsi="Arial" w:cs="Arial"/>
          <w:sz w:val="22"/>
          <w:szCs w:val="22"/>
        </w:rPr>
        <w:t xml:space="preserve">  shall be used.</w:t>
      </w:r>
    </w:p>
    <w:p w14:paraId="7F414ABE" w14:textId="77777777" w:rsidR="00C44673" w:rsidRDefault="00C44673" w:rsidP="00985AD8">
      <w:pPr>
        <w:ind w:left="1418" w:hanging="1418"/>
        <w:jc w:val="both"/>
        <w:rPr>
          <w:sz w:val="22"/>
          <w:szCs w:val="22"/>
        </w:rPr>
      </w:pPr>
    </w:p>
    <w:p w14:paraId="1C5268F4" w14:textId="54285B85" w:rsidR="00DC2C60" w:rsidRDefault="00DC2C60" w:rsidP="00DC2C60">
      <w:pPr>
        <w:rPr>
          <w:rFonts w:ascii="Arial" w:eastAsia="Calibri" w:hAnsi="Arial" w:cs="Arial"/>
          <w:b/>
          <w:bCs/>
          <w:lang w:val="en-US"/>
        </w:rPr>
      </w:pPr>
      <w:r>
        <w:rPr>
          <w:rFonts w:ascii="Arial" w:eastAsia="Calibri" w:hAnsi="Arial" w:cs="Arial"/>
          <w:lang w:val="en-US"/>
        </w:rPr>
        <w:t>14.15.1</w:t>
      </w:r>
      <w:r w:rsidR="001C0F32">
        <w:rPr>
          <w:rFonts w:ascii="Arial" w:eastAsia="Calibri" w:hAnsi="Arial" w:cs="Arial"/>
          <w:lang w:val="en-US"/>
        </w:rPr>
        <w:t>5</w:t>
      </w:r>
      <w:r w:rsidR="00C44673">
        <w:rPr>
          <w:rFonts w:ascii="Arial" w:eastAsia="Calibri" w:hAnsi="Arial" w:cs="Arial"/>
          <w:lang w:val="en-US"/>
        </w:rPr>
        <w:t>9</w:t>
      </w:r>
      <w:r>
        <w:rPr>
          <w:rFonts w:ascii="Arial" w:eastAsia="Calibri" w:hAnsi="Arial" w:cs="Arial"/>
          <w:lang w:val="en-US"/>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Unmetered Supply,</w:t>
      </w:r>
      <w:r>
        <w:rPr>
          <w:rFonts w:ascii="Arial" w:eastAsia="Calibri" w:hAnsi="Arial" w:cs="Arial"/>
          <w:bCs/>
          <w:lang w:val="en-US"/>
        </w:rPr>
        <w:t xml:space="preserve"> the</w:t>
      </w:r>
      <w:r>
        <w:rPr>
          <w:rFonts w:ascii="Arial" w:eastAsia="Calibri" w:hAnsi="Arial" w:cs="Arial"/>
          <w:b/>
          <w:bCs/>
          <w:lang w:val="en-US"/>
        </w:rPr>
        <w:t xml:space="preserve"> Unmetered Supply</w:t>
      </w:r>
      <w:r>
        <w:rPr>
          <w:rFonts w:ascii="Arial" w:eastAsia="Calibri" w:hAnsi="Arial" w:cs="Arial"/>
          <w:bCs/>
          <w:lang w:val="en-US"/>
        </w:rPr>
        <w:t xml:space="preserve"> will be allocated to the appropriate </w:t>
      </w:r>
      <w:r>
        <w:rPr>
          <w:rFonts w:ascii="Arial" w:eastAsia="Calibri" w:hAnsi="Arial" w:cs="Arial"/>
          <w:b/>
          <w:bCs/>
          <w:lang w:val="en-US"/>
        </w:rPr>
        <w:t>Residual Charging Group</w:t>
      </w:r>
      <w:r>
        <w:rPr>
          <w:rFonts w:ascii="Arial" w:eastAsia="Calibri" w:hAnsi="Arial" w:cs="Arial"/>
          <w:bCs/>
          <w:lang w:val="en-US"/>
        </w:rPr>
        <w:t xml:space="preserve"> in accordance with 14.15.1</w:t>
      </w:r>
      <w:r w:rsidR="00C44673">
        <w:rPr>
          <w:rFonts w:ascii="Arial" w:eastAsia="Calibri" w:hAnsi="Arial" w:cs="Arial"/>
          <w:bCs/>
          <w:lang w:val="en-US"/>
        </w:rPr>
        <w:t>43</w:t>
      </w:r>
      <w:r>
        <w:rPr>
          <w:rFonts w:ascii="Arial" w:eastAsia="Calibri" w:hAnsi="Arial" w:cs="Arial"/>
          <w:b/>
          <w:bCs/>
          <w:lang w:val="en-US"/>
        </w:rPr>
        <w:t>.</w:t>
      </w:r>
    </w:p>
    <w:p w14:paraId="174DE471" w14:textId="77777777" w:rsidR="00C44673" w:rsidRDefault="00C44673" w:rsidP="00DC2C60">
      <w:pPr>
        <w:rPr>
          <w:rFonts w:ascii="Arial" w:eastAsia="Calibri" w:hAnsi="Arial" w:cs="Arial"/>
          <w:b/>
          <w:bCs/>
          <w:lang w:val="en-US"/>
        </w:rPr>
      </w:pPr>
    </w:p>
    <w:p w14:paraId="20912A77" w14:textId="16FD118B" w:rsidR="00DC2C60" w:rsidRDefault="00DC2C60" w:rsidP="00DC2C60">
      <w:pPr>
        <w:rPr>
          <w:rFonts w:ascii="Arial" w:eastAsiaTheme="minorHAnsi" w:hAnsi="Arial" w:cs="Arial"/>
          <w:lang w:val="en-US"/>
        </w:rPr>
      </w:pPr>
      <w:r>
        <w:rPr>
          <w:rFonts w:ascii="Arial" w:eastAsia="Calibri" w:hAnsi="Arial" w:cs="Arial"/>
          <w:lang w:val="en-US"/>
        </w:rPr>
        <w:t>14.15.1</w:t>
      </w:r>
      <w:r w:rsidR="00C44673">
        <w:rPr>
          <w:rFonts w:ascii="Arial" w:eastAsia="Calibri" w:hAnsi="Arial" w:cs="Arial"/>
          <w:lang w:val="en-US"/>
        </w:rPr>
        <w:t>60</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7C16D831" w14:textId="7106D545"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w:t>
      </w:r>
      <w:r w:rsidR="00246E38">
        <w:rPr>
          <w:rFonts w:ascii="Arial" w:hAnsi="Arial" w:cs="Arial"/>
          <w:lang w:val="en-US"/>
        </w:rPr>
        <w:t>55</w:t>
      </w:r>
      <w:r>
        <w:rPr>
          <w:rFonts w:ascii="Arial" w:hAnsi="Arial" w:cs="Arial"/>
          <w:lang w:val="en-US"/>
        </w:rPr>
        <w:t xml:space="preserve"> - 14.15.1</w:t>
      </w:r>
      <w:r w:rsidR="0047309D">
        <w:rPr>
          <w:rFonts w:ascii="Arial" w:hAnsi="Arial" w:cs="Arial"/>
          <w:lang w:val="en-US"/>
        </w:rPr>
        <w:t>5</w:t>
      </w:r>
      <w:r w:rsidR="00B336A7">
        <w:rPr>
          <w:rFonts w:ascii="Arial" w:hAnsi="Arial" w:cs="Arial"/>
          <w:lang w:val="en-US"/>
        </w:rPr>
        <w:t>7</w:t>
      </w:r>
      <w:r>
        <w:rPr>
          <w:rFonts w:ascii="Arial" w:hAnsi="Arial" w:cs="Arial"/>
          <w:lang w:val="en-US"/>
        </w:rPr>
        <w:t xml:space="preserve">, or </w:t>
      </w:r>
    </w:p>
    <w:p w14:paraId="1370BC26" w14:textId="77777777"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66EECA74" w14:textId="2E30B6A0" w:rsidR="00DC2C60" w:rsidRDefault="00DC2C60" w:rsidP="00DC2C60">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w:t>
      </w:r>
      <w:r w:rsidR="00C44673">
        <w:rPr>
          <w:rFonts w:ascii="Arial" w:hAnsi="Arial" w:cs="Arial"/>
          <w:lang w:val="en-US"/>
        </w:rPr>
        <w:t>44</w:t>
      </w:r>
      <w:r>
        <w:rPr>
          <w:rFonts w:ascii="Arial" w:hAnsi="Arial" w:cs="Arial"/>
          <w:lang w:val="en-US"/>
        </w:rPr>
        <w:t>.</w:t>
      </w:r>
    </w:p>
    <w:p w14:paraId="6AB69918" w14:textId="77777777" w:rsidR="00C44673" w:rsidRDefault="00C44673" w:rsidP="00DC2C60">
      <w:pPr>
        <w:rPr>
          <w:rFonts w:ascii="Arial" w:hAnsi="Arial" w:cs="Arial"/>
          <w:lang w:val="en-US"/>
        </w:rPr>
      </w:pPr>
    </w:p>
    <w:p w14:paraId="71D9BD5F" w14:textId="77777777" w:rsidR="00DC2C60" w:rsidRDefault="00DC2C60" w:rsidP="00DC2C60">
      <w:pPr>
        <w:rPr>
          <w:rFonts w:ascii="Arial" w:hAnsi="Arial" w:cs="Arial"/>
          <w:b/>
          <w:color w:val="008080"/>
          <w:szCs w:val="20"/>
        </w:rPr>
      </w:pPr>
      <w:r>
        <w:rPr>
          <w:rFonts w:ascii="Arial" w:hAnsi="Arial" w:cs="Arial"/>
          <w:b/>
          <w:color w:val="008080"/>
          <w:szCs w:val="20"/>
        </w:rPr>
        <w:t>Charging Banding Interventions</w:t>
      </w:r>
    </w:p>
    <w:p w14:paraId="4942E1AB" w14:textId="70008AC0"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61</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7FD1DAEA" w14:textId="77777777" w:rsidR="00B336A7" w:rsidRDefault="00B336A7" w:rsidP="00DC2C60">
      <w:pPr>
        <w:rPr>
          <w:rFonts w:ascii="Arial" w:eastAsiaTheme="minorHAnsi" w:hAnsi="Arial" w:cs="Arial"/>
          <w:szCs w:val="22"/>
          <w:lang w:val="en-US"/>
        </w:rPr>
      </w:pPr>
    </w:p>
    <w:p w14:paraId="25D83636" w14:textId="76102E3C" w:rsidR="00DC2C60" w:rsidRDefault="00DC2C60" w:rsidP="00DC2C60">
      <w:pPr>
        <w:rPr>
          <w:rFonts w:ascii="Arial" w:hAnsi="Arial" w:cs="Arial"/>
          <w:lang w:val="en-US"/>
        </w:rPr>
      </w:pPr>
      <w:r>
        <w:rPr>
          <w:rFonts w:ascii="Arial" w:eastAsia="Calibri" w:hAnsi="Arial" w:cs="Arial"/>
          <w:lang w:val="en-US"/>
        </w:rPr>
        <w:lastRenderedPageBreak/>
        <w:t>14.15.1</w:t>
      </w:r>
      <w:r w:rsidR="00B336A7">
        <w:rPr>
          <w:rFonts w:ascii="Arial" w:eastAsia="Calibri" w:hAnsi="Arial" w:cs="Arial"/>
          <w:lang w:val="en-US"/>
        </w:rPr>
        <w:t>62</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72A48E54" w14:textId="7397570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w:t>
      </w:r>
      <w:r w:rsidR="00CB5A47">
        <w:rPr>
          <w:rFonts w:ascii="Arial" w:hAnsi="Arial" w:cs="Arial"/>
          <w:lang w:val="en-US"/>
        </w:rPr>
        <w:t>5</w:t>
      </w:r>
      <w:r w:rsidR="00571F1F">
        <w:rPr>
          <w:rFonts w:ascii="Arial" w:hAnsi="Arial" w:cs="Arial"/>
          <w:lang w:val="en-US"/>
        </w:rPr>
        <w:t>3</w:t>
      </w:r>
      <w:r>
        <w:rPr>
          <w:rFonts w:ascii="Arial" w:hAnsi="Arial" w:cs="Arial"/>
          <w:lang w:val="en-US"/>
        </w:rPr>
        <w:t>for their respective network</w:t>
      </w:r>
    </w:p>
    <w:p w14:paraId="2DF52F1E" w14:textId="7777777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321D5C74" w14:textId="73077BDB"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63</w:t>
      </w:r>
      <w:r>
        <w:rPr>
          <w:rFonts w:ascii="Arial" w:eastAsia="Calibri" w:hAnsi="Arial" w:cs="Arial"/>
          <w:lang w:val="en-US"/>
        </w:rPr>
        <w:tab/>
      </w:r>
      <w:r>
        <w:rPr>
          <w:rFonts w:ascii="Arial" w:hAnsi="Arial" w:cs="Arial"/>
          <w:lang w:val="en-US"/>
        </w:rPr>
        <w:t>For the purposes of 14.15.1</w:t>
      </w:r>
      <w:r w:rsidR="009B20D6">
        <w:rPr>
          <w:rFonts w:ascii="Arial" w:hAnsi="Arial" w:cs="Arial"/>
          <w:lang w:val="en-US"/>
        </w:rPr>
        <w:t>56</w:t>
      </w:r>
      <w:r>
        <w:rPr>
          <w:rFonts w:ascii="Arial" w:hAnsi="Arial" w:cs="Arial"/>
          <w:lang w:val="en-US"/>
        </w:rPr>
        <w:t>.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2B709DB7" w14:textId="77777777"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1A5F4B93" w14:textId="012786D6"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w:t>
      </w:r>
      <w:r w:rsidR="00BE0FDE">
        <w:rPr>
          <w:rFonts w:ascii="Arial" w:hAnsi="Arial" w:cs="Arial"/>
          <w:lang w:val="en-US"/>
        </w:rPr>
        <w:t>51</w:t>
      </w:r>
      <w:r>
        <w:rPr>
          <w:rFonts w:ascii="Arial" w:hAnsi="Arial" w:cs="Arial"/>
          <w:lang w:val="en-US"/>
        </w:rPr>
        <w:t xml:space="preserve">. For reductions in </w:t>
      </w:r>
      <w:r>
        <w:rPr>
          <w:rFonts w:ascii="Arial" w:hAnsi="Arial" w:cs="Arial"/>
          <w:b/>
          <w:bCs/>
          <w:lang w:val="en-US"/>
        </w:rPr>
        <w:t>Consumption</w:t>
      </w:r>
      <w:r>
        <w:rPr>
          <w:rFonts w:ascii="Arial" w:hAnsi="Arial" w:cs="Arial"/>
          <w:lang w:val="en-US"/>
        </w:rPr>
        <w:t xml:space="preserve">, this shall be accompanied with a signed letter from the company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54E314ED" w14:textId="77777777" w:rsidR="00DC2C60" w:rsidRDefault="00DC2C60" w:rsidP="00DC2C60">
      <w:pPr>
        <w:pStyle w:val="ListParagraph"/>
        <w:numPr>
          <w:ilvl w:val="0"/>
          <w:numId w:val="117"/>
        </w:numPr>
        <w:spacing w:after="160" w:line="256" w:lineRule="auto"/>
        <w:contextualSpacing/>
        <w:rPr>
          <w:rFonts w:ascii="Arial" w:eastAsiaTheme="minorHAns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26A6AFBA" w14:textId="01A40BD2" w:rsidR="00DC2C60" w:rsidRDefault="6E204E3D" w:rsidP="00DC2C60">
      <w:pPr>
        <w:rPr>
          <w:rFonts w:ascii="Arial" w:eastAsia="Calibri" w:hAnsi="Arial" w:cs="Arial"/>
          <w:lang w:val="en-US"/>
        </w:rPr>
      </w:pPr>
      <w:r w:rsidRPr="0537B9E0">
        <w:rPr>
          <w:rFonts w:ascii="Arial" w:eastAsia="Calibri" w:hAnsi="Arial" w:cs="Arial"/>
          <w:lang w:val="en-US"/>
        </w:rPr>
        <w:t>14.15.1</w:t>
      </w:r>
      <w:r w:rsidR="280EA568" w:rsidRPr="0537B9E0">
        <w:rPr>
          <w:rFonts w:ascii="Arial" w:eastAsia="Calibri" w:hAnsi="Arial" w:cs="Arial"/>
          <w:lang w:val="en-US"/>
        </w:rPr>
        <w:t>64</w:t>
      </w:r>
      <w:r w:rsidR="00DC2C60">
        <w:tab/>
      </w:r>
      <w:r w:rsidRPr="0537B9E0">
        <w:rPr>
          <w:rFonts w:ascii="Arial" w:hAnsi="Arial" w:cs="Arial"/>
          <w:lang w:val="en-US"/>
        </w:rPr>
        <w:t xml:space="preserve">Any changes to </w:t>
      </w:r>
      <w:r w:rsidRPr="0537B9E0">
        <w:rPr>
          <w:rFonts w:ascii="Arial" w:hAnsi="Arial" w:cs="Arial"/>
          <w:b/>
          <w:bCs/>
          <w:lang w:val="en-US"/>
        </w:rPr>
        <w:t>Transmission Network Use of System Demand Charges</w:t>
      </w:r>
      <w:r w:rsidRPr="0537B9E0">
        <w:rPr>
          <w:rFonts w:ascii="Arial" w:hAnsi="Arial" w:cs="Arial"/>
          <w:lang w:val="en-US"/>
        </w:rPr>
        <w:t xml:space="preserve"> </w:t>
      </w:r>
      <w:bookmarkStart w:id="372" w:name="_Int_QnRndOFl"/>
      <w:r w:rsidRPr="0537B9E0">
        <w:rPr>
          <w:rFonts w:ascii="Arial" w:hAnsi="Arial" w:cs="Arial"/>
          <w:lang w:val="en-US"/>
        </w:rPr>
        <w:t>as a result of</w:t>
      </w:r>
      <w:bookmarkEnd w:id="372"/>
      <w:r w:rsidRPr="0537B9E0">
        <w:rPr>
          <w:rFonts w:ascii="Arial" w:hAnsi="Arial" w:cs="Arial"/>
          <w:lang w:val="en-US"/>
        </w:rPr>
        <w:t xml:space="preserve"> a</w:t>
      </w:r>
      <w:r w:rsidR="024A6C11" w:rsidRPr="0537B9E0">
        <w:rPr>
          <w:rFonts w:ascii="Arial" w:hAnsi="Arial" w:cs="Arial"/>
          <w:lang w:val="en-US"/>
        </w:rPr>
        <w:t>n</w:t>
      </w:r>
      <w:r w:rsidRPr="0537B9E0">
        <w:rPr>
          <w:rFonts w:ascii="Arial" w:hAnsi="Arial" w:cs="Arial"/>
          <w:lang w:val="en-US"/>
        </w:rPr>
        <w:t xml:space="preserve"> intervention (as described in 14.15.153) shall be collected or refunded (as appropriate) through the reconciliation process described in 14.25.</w:t>
      </w:r>
    </w:p>
    <w:p w14:paraId="63B02E10" w14:textId="6933ACC1" w:rsidR="00DC2C60" w:rsidRDefault="00DC2C60" w:rsidP="00DC2C60">
      <w:pPr>
        <w:rPr>
          <w:rFonts w:ascii="Arial" w:eastAsia="Calibri" w:hAnsi="Arial" w:cs="Arial"/>
          <w:lang w:val="en-US"/>
        </w:rPr>
      </w:pPr>
      <w:r>
        <w:rPr>
          <w:rFonts w:ascii="Arial" w:eastAsia="Calibri" w:hAnsi="Arial" w:cs="Arial"/>
          <w:lang w:val="en-US"/>
        </w:rPr>
        <w:t>14.15.1</w:t>
      </w:r>
      <w:r w:rsidR="00395DCB">
        <w:rPr>
          <w:rFonts w:ascii="Arial" w:eastAsia="Calibri" w:hAnsi="Arial" w:cs="Arial"/>
          <w:lang w:val="en-US"/>
        </w:rPr>
        <w:t>65</w:t>
      </w:r>
      <w:r>
        <w:rPr>
          <w:rFonts w:ascii="Arial" w:eastAsia="Calibri" w:hAnsi="Arial" w:cs="Arial"/>
          <w:lang w:val="en-US"/>
        </w:rPr>
        <w:tab/>
      </w:r>
      <w:r>
        <w:rPr>
          <w:rFonts w:ascii="Arial" w:hAnsi="Arial" w:cs="Arial"/>
          <w:lang w:val="en-US"/>
        </w:rPr>
        <w:t>The requirements of 14.15.1</w:t>
      </w:r>
      <w:r w:rsidR="00FB681D">
        <w:rPr>
          <w:rFonts w:ascii="Arial" w:hAnsi="Arial" w:cs="Arial"/>
          <w:lang w:val="en-US"/>
        </w:rPr>
        <w:t>55</w:t>
      </w:r>
      <w:r>
        <w:rPr>
          <w:rFonts w:ascii="Arial" w:hAnsi="Arial" w:cs="Arial"/>
          <w:lang w:val="en-US"/>
        </w:rPr>
        <w:t xml:space="preserve"> - 14.15.1</w:t>
      </w:r>
      <w:r w:rsidR="00FF4C95">
        <w:rPr>
          <w:rFonts w:ascii="Arial" w:hAnsi="Arial" w:cs="Arial"/>
          <w:lang w:val="en-US"/>
        </w:rPr>
        <w:t>58</w:t>
      </w:r>
      <w:r>
        <w:rPr>
          <w:rFonts w:ascii="Arial" w:hAnsi="Arial" w:cs="Arial"/>
          <w:lang w:val="en-US"/>
        </w:rPr>
        <w:t xml:space="preserve">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174A4B2" w14:textId="77777777" w:rsidR="002E297E" w:rsidRDefault="002E297E" w:rsidP="002E297E">
      <w:pPr>
        <w:ind w:left="1440" w:hanging="1440"/>
        <w:rPr>
          <w:rStyle w:val="normaltextrun"/>
          <w:rFonts w:ascii="Arial Bold" w:hAnsi="Arial Bold"/>
          <w:color w:val="008080"/>
          <w:sz w:val="22"/>
          <w:szCs w:val="22"/>
          <w:shd w:val="clear" w:color="auto" w:fill="FFFFFF"/>
        </w:rPr>
      </w:pPr>
    </w:p>
    <w:p w14:paraId="4BBCB4EE" w14:textId="66C15206" w:rsidR="002E297E" w:rsidRDefault="002E297E" w:rsidP="002E297E">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175E72E" w14:textId="2FB3CED6" w:rsidR="002E297E" w:rsidRDefault="002E297E" w:rsidP="002E297E">
      <w:pPr>
        <w:ind w:left="1440" w:hanging="1440"/>
        <w:rPr>
          <w:rFonts w:ascii="Arial" w:hAnsi="Arial" w:cs="Arial"/>
          <w:sz w:val="22"/>
          <w:szCs w:val="22"/>
        </w:rPr>
      </w:pPr>
    </w:p>
    <w:p w14:paraId="43328596" w14:textId="7E775787" w:rsidR="002E297E" w:rsidRPr="002F4A25" w:rsidRDefault="002E297E" w:rsidP="002E297E">
      <w:pPr>
        <w:ind w:left="1440" w:hanging="1440"/>
        <w:jc w:val="both"/>
        <w:rPr>
          <w:rFonts w:ascii="Arial" w:hAnsi="Arial" w:cs="Arial"/>
          <w:sz w:val="22"/>
          <w:szCs w:val="22"/>
        </w:rPr>
      </w:pPr>
      <w:r w:rsidRPr="002F4A25">
        <w:rPr>
          <w:rFonts w:ascii="Arial" w:hAnsi="Arial" w:cs="Arial"/>
          <w:sz w:val="22"/>
          <w:szCs w:val="22"/>
        </w:rPr>
        <w:t>14.15.1</w:t>
      </w:r>
      <w:r w:rsidR="00FA664A" w:rsidRPr="002F4A25">
        <w:rPr>
          <w:rFonts w:ascii="Arial" w:hAnsi="Arial" w:cs="Arial"/>
          <w:sz w:val="22"/>
          <w:szCs w:val="22"/>
        </w:rPr>
        <w:t>6</w:t>
      </w:r>
      <w:r w:rsidR="00AA6F30" w:rsidRPr="002F4A25">
        <w:rPr>
          <w:rFonts w:ascii="Arial" w:hAnsi="Arial" w:cs="Arial"/>
          <w:sz w:val="22"/>
          <w:szCs w:val="22"/>
        </w:rPr>
        <w:t>6</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is a statement to be submitted by the </w:t>
      </w:r>
      <w:r w:rsidRPr="002F4A25">
        <w:rPr>
          <w:rFonts w:ascii="Arial" w:hAnsi="Arial" w:cs="Arial"/>
          <w:b/>
          <w:bCs/>
          <w:sz w:val="22"/>
          <w:szCs w:val="22"/>
        </w:rPr>
        <w:t>Registrant</w:t>
      </w:r>
      <w:r w:rsidRPr="002F4A25">
        <w:rPr>
          <w:rFonts w:ascii="Arial" w:hAnsi="Arial" w:cs="Arial"/>
          <w:sz w:val="22"/>
          <w:szCs w:val="22"/>
        </w:rPr>
        <w:t xml:space="preserve"> of the </w:t>
      </w:r>
      <w:bookmarkStart w:id="373" w:name="_Hlk73716674"/>
      <w:r w:rsidRPr="002F4A25">
        <w:rPr>
          <w:rFonts w:ascii="Arial" w:hAnsi="Arial" w:cs="Arial"/>
          <w:sz w:val="22"/>
          <w:szCs w:val="22"/>
        </w:rPr>
        <w:t xml:space="preserve">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bookmarkEnd w:id="373"/>
      <w:r w:rsidRPr="002F4A25">
        <w:rPr>
          <w:rFonts w:ascii="Arial" w:hAnsi="Arial" w:cs="Arial"/>
          <w:sz w:val="22"/>
          <w:szCs w:val="22"/>
        </w:rPr>
        <w:t>, which:</w:t>
      </w:r>
    </w:p>
    <w:p w14:paraId="043B95FA" w14:textId="77777777" w:rsidR="002E297E" w:rsidRPr="002F4A25" w:rsidRDefault="002E297E" w:rsidP="002E297E">
      <w:pPr>
        <w:ind w:left="1440" w:hanging="1440"/>
        <w:jc w:val="both"/>
        <w:rPr>
          <w:rFonts w:ascii="Arial" w:hAnsi="Arial" w:cs="Arial"/>
          <w:sz w:val="22"/>
          <w:szCs w:val="22"/>
        </w:rPr>
      </w:pPr>
    </w:p>
    <w:p w14:paraId="7CF53A0F" w14:textId="77777777" w:rsidR="002E297E" w:rsidRPr="002F4A25" w:rsidRDefault="002E297E" w:rsidP="002E297E">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Storage Facility Operator’s</w:t>
      </w:r>
      <w:r w:rsidRPr="002F4A25">
        <w:rPr>
          <w:rFonts w:ascii="Arial" w:hAnsi="Arial" w:cs="Arial"/>
          <w:sz w:val="22"/>
          <w:szCs w:val="22"/>
        </w:rPr>
        <w:t xml:space="preserve"> registered Directors that confirms that a </w:t>
      </w:r>
      <w:r w:rsidRPr="002F4A25">
        <w:rPr>
          <w:rFonts w:ascii="Arial" w:hAnsi="Arial" w:cs="Arial"/>
          <w:b/>
          <w:bCs/>
          <w:sz w:val="22"/>
          <w:szCs w:val="22"/>
        </w:rPr>
        <w:t>Electricity</w:t>
      </w:r>
      <w:r w:rsidRPr="002F4A25">
        <w:rPr>
          <w:rFonts w:ascii="Arial" w:hAnsi="Arial" w:cs="Arial"/>
          <w:sz w:val="22"/>
          <w:szCs w:val="22"/>
        </w:rPr>
        <w:t xml:space="preserve"> </w:t>
      </w:r>
      <w:r w:rsidRPr="002F4A25">
        <w:rPr>
          <w:rFonts w:ascii="Arial" w:hAnsi="Arial" w:cs="Arial"/>
          <w:b/>
          <w:bCs/>
          <w:sz w:val="22"/>
          <w:szCs w:val="22"/>
        </w:rPr>
        <w:t>Storage Facility</w:t>
      </w:r>
      <w:r w:rsidRPr="002F4A25">
        <w:rPr>
          <w:rFonts w:ascii="Arial" w:hAnsi="Arial" w:cs="Arial"/>
          <w:sz w:val="22"/>
          <w:szCs w:val="22"/>
        </w:rPr>
        <w:t xml:space="preserve"> fulfils the criteria set out in the definitions of </w:t>
      </w:r>
      <w:r w:rsidRPr="002F4A25">
        <w:rPr>
          <w:rFonts w:ascii="Arial" w:hAnsi="Arial" w:cs="Arial"/>
          <w:b/>
          <w:bCs/>
          <w:sz w:val="22"/>
          <w:szCs w:val="22"/>
        </w:rPr>
        <w:t>SVA Storage Facility</w:t>
      </w:r>
      <w:r w:rsidRPr="002F4A25">
        <w:rPr>
          <w:rFonts w:ascii="Arial" w:hAnsi="Arial" w:cs="Arial"/>
          <w:sz w:val="22"/>
          <w:szCs w:val="22"/>
        </w:rPr>
        <w:t xml:space="preserve"> and </w:t>
      </w:r>
      <w:r w:rsidRPr="002F4A25">
        <w:rPr>
          <w:rFonts w:ascii="Arial" w:hAnsi="Arial" w:cs="Arial"/>
          <w:b/>
          <w:bCs/>
          <w:sz w:val="22"/>
          <w:szCs w:val="22"/>
        </w:rPr>
        <w:t>CVA Storage Facility</w:t>
      </w:r>
      <w:r w:rsidRPr="002F4A25">
        <w:rPr>
          <w:rFonts w:ascii="Arial" w:hAnsi="Arial" w:cs="Arial"/>
          <w:sz w:val="22"/>
          <w:szCs w:val="22"/>
        </w:rPr>
        <w:t xml:space="preserve"> as applicable; and either</w:t>
      </w:r>
    </w:p>
    <w:p w14:paraId="6683103F"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SVA Storage Facility</w:t>
      </w:r>
      <w:r w:rsidRPr="002F4A25">
        <w:rPr>
          <w:rFonts w:ascii="Arial" w:hAnsi="Arial" w:cs="Arial"/>
          <w:sz w:val="22"/>
          <w:szCs w:val="22"/>
        </w:rPr>
        <w:t xml:space="preserve"> only, is submitted in accordance with the </w:t>
      </w:r>
      <w:r w:rsidRPr="002F4A25">
        <w:rPr>
          <w:rFonts w:ascii="Arial" w:hAnsi="Arial" w:cs="Arial"/>
          <w:b/>
          <w:bCs/>
          <w:sz w:val="22"/>
          <w:szCs w:val="22"/>
        </w:rPr>
        <w:t>BSC</w:t>
      </w:r>
      <w:r w:rsidRPr="002F4A25">
        <w:rPr>
          <w:rFonts w:ascii="Arial" w:hAnsi="Arial" w:cs="Arial"/>
          <w:sz w:val="22"/>
          <w:szCs w:val="22"/>
        </w:rPr>
        <w:t xml:space="preserve"> and contains other details that are required in accordance with </w:t>
      </w:r>
      <w:r w:rsidRPr="002F4A25">
        <w:rPr>
          <w:rFonts w:ascii="Arial" w:hAnsi="Arial" w:cs="Arial"/>
          <w:b/>
          <w:bCs/>
          <w:sz w:val="22"/>
          <w:szCs w:val="22"/>
        </w:rPr>
        <w:t>BSC</w:t>
      </w:r>
      <w:r w:rsidRPr="002F4A25">
        <w:rPr>
          <w:rFonts w:ascii="Arial" w:hAnsi="Arial" w:cs="Arial"/>
          <w:sz w:val="22"/>
          <w:szCs w:val="22"/>
        </w:rPr>
        <w:t xml:space="preserve"> Section S; or</w:t>
      </w:r>
    </w:p>
    <w:p w14:paraId="4D131E66"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CVA Storage Facility</w:t>
      </w:r>
      <w:r w:rsidRPr="002F4A25">
        <w:rPr>
          <w:rFonts w:ascii="Arial" w:hAnsi="Arial" w:cs="Arial"/>
          <w:sz w:val="22"/>
          <w:szCs w:val="22"/>
        </w:rPr>
        <w:t xml:space="preserve"> only, identifies the specific </w:t>
      </w:r>
      <w:r w:rsidRPr="002F4A25">
        <w:rPr>
          <w:rFonts w:ascii="Arial" w:hAnsi="Arial" w:cs="Arial"/>
          <w:b/>
          <w:bCs/>
          <w:sz w:val="22"/>
          <w:szCs w:val="22"/>
        </w:rPr>
        <w:t>BM Units</w:t>
      </w:r>
      <w:r w:rsidRPr="002F4A25">
        <w:rPr>
          <w:rFonts w:ascii="Arial" w:hAnsi="Arial" w:cs="Arial"/>
          <w:sz w:val="22"/>
          <w:szCs w:val="22"/>
        </w:rPr>
        <w:t xml:space="preserve"> which only perform activities necessary for </w:t>
      </w:r>
      <w:r w:rsidRPr="002F4A25">
        <w:rPr>
          <w:rFonts w:ascii="Arial" w:hAnsi="Arial" w:cs="Arial"/>
          <w:b/>
          <w:bCs/>
          <w:sz w:val="22"/>
          <w:szCs w:val="22"/>
        </w:rPr>
        <w:t>Electricity Storage</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6B589EC4"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Electricity Generation Facility’s</w:t>
      </w:r>
      <w:r w:rsidRPr="002F4A25">
        <w:rPr>
          <w:rFonts w:ascii="Arial" w:hAnsi="Arial" w:cs="Arial"/>
          <w:sz w:val="22"/>
          <w:szCs w:val="22"/>
        </w:rPr>
        <w:t xml:space="preserve"> registered Directors that confirms that the </w:t>
      </w:r>
      <w:r w:rsidRPr="002F4A25">
        <w:rPr>
          <w:rFonts w:ascii="Arial" w:hAnsi="Arial" w:cs="Arial"/>
          <w:b/>
          <w:bCs/>
          <w:sz w:val="22"/>
          <w:szCs w:val="22"/>
        </w:rPr>
        <w:t>Electricity Generation Facility</w:t>
      </w:r>
      <w:r w:rsidRPr="002F4A25">
        <w:rPr>
          <w:rFonts w:ascii="Arial" w:hAnsi="Arial" w:cs="Arial"/>
          <w:sz w:val="22"/>
          <w:szCs w:val="22"/>
        </w:rPr>
        <w:t xml:space="preserve"> only perform activities necessary for </w:t>
      </w:r>
      <w:r w:rsidRPr="002F4A25">
        <w:rPr>
          <w:rFonts w:ascii="Arial" w:hAnsi="Arial" w:cs="Arial"/>
          <w:b/>
          <w:bCs/>
          <w:sz w:val="22"/>
          <w:szCs w:val="22"/>
        </w:rPr>
        <w:t>Electricity Generation</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41CFB43F"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Eligible Services Facility’s</w:t>
      </w:r>
      <w:r w:rsidRPr="002F4A25">
        <w:rPr>
          <w:rFonts w:ascii="Arial" w:hAnsi="Arial" w:cs="Arial"/>
          <w:sz w:val="22"/>
          <w:szCs w:val="22"/>
        </w:rPr>
        <w:t xml:space="preserve"> registered Directors that confirms the </w:t>
      </w:r>
      <w:r w:rsidRPr="002F4A25">
        <w:rPr>
          <w:rFonts w:ascii="Arial" w:hAnsi="Arial" w:cs="Arial"/>
          <w:b/>
          <w:bCs/>
          <w:sz w:val="22"/>
          <w:szCs w:val="22"/>
        </w:rPr>
        <w:t>Eligible Services Facility</w:t>
      </w:r>
      <w:r w:rsidRPr="002F4A25">
        <w:rPr>
          <w:rFonts w:ascii="Arial" w:hAnsi="Arial" w:cs="Arial"/>
          <w:sz w:val="22"/>
          <w:szCs w:val="22"/>
        </w:rPr>
        <w:t xml:space="preserve"> can only perform activities necessary for </w:t>
      </w:r>
      <w:r w:rsidRPr="002F4A25">
        <w:rPr>
          <w:rFonts w:ascii="Arial" w:hAnsi="Arial" w:cs="Arial"/>
          <w:b/>
          <w:bCs/>
          <w:sz w:val="22"/>
          <w:szCs w:val="22"/>
        </w:rPr>
        <w:t>Eligible Services</w:t>
      </w:r>
      <w:r w:rsidRPr="002F4A25">
        <w:rPr>
          <w:rFonts w:ascii="Arial" w:hAnsi="Arial" w:cs="Arial"/>
          <w:sz w:val="22"/>
          <w:szCs w:val="22"/>
        </w:rPr>
        <w:t xml:space="preserve"> and does not consume any </w:t>
      </w:r>
      <w:r w:rsidRPr="002F4A25">
        <w:rPr>
          <w:rFonts w:ascii="Arial" w:hAnsi="Arial" w:cs="Arial"/>
          <w:b/>
          <w:bCs/>
          <w:sz w:val="22"/>
          <w:szCs w:val="22"/>
        </w:rPr>
        <w:t>Active Power</w:t>
      </w:r>
      <w:r w:rsidRPr="002F4A25">
        <w:rPr>
          <w:rFonts w:ascii="Arial" w:hAnsi="Arial" w:cs="Arial"/>
          <w:sz w:val="22"/>
          <w:szCs w:val="22"/>
        </w:rPr>
        <w:t xml:space="preserve"> other than for the provision of </w:t>
      </w:r>
      <w:r w:rsidRPr="002F4A25">
        <w:rPr>
          <w:rFonts w:ascii="Arial" w:hAnsi="Arial" w:cs="Arial"/>
          <w:b/>
          <w:bCs/>
          <w:sz w:val="22"/>
          <w:szCs w:val="22"/>
        </w:rPr>
        <w:t>Eligible Services</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 xml:space="preserve">. </w:t>
      </w:r>
    </w:p>
    <w:p w14:paraId="5842B638"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lastRenderedPageBreak/>
        <w:t xml:space="preserve">is signed by one of the </w:t>
      </w:r>
      <w:r w:rsidRPr="002F4A25">
        <w:rPr>
          <w:rFonts w:ascii="Arial" w:hAnsi="Arial" w:cs="Arial"/>
          <w:b/>
          <w:bCs/>
          <w:sz w:val="22"/>
          <w:szCs w:val="22"/>
        </w:rPr>
        <w:t>Mixed Demand Site’s</w:t>
      </w:r>
      <w:r w:rsidRPr="002F4A25">
        <w:rPr>
          <w:rFonts w:ascii="Arial" w:hAnsi="Arial" w:cs="Arial"/>
          <w:sz w:val="22"/>
          <w:szCs w:val="22"/>
        </w:rPr>
        <w:t xml:space="preserve"> registered Directors that confirms the </w:t>
      </w:r>
      <w:r w:rsidRPr="002F4A25">
        <w:rPr>
          <w:rFonts w:ascii="Arial" w:hAnsi="Arial" w:cs="Arial"/>
          <w:b/>
          <w:bCs/>
          <w:sz w:val="22"/>
          <w:szCs w:val="22"/>
        </w:rPr>
        <w:t>Mixed Demand Site</w:t>
      </w:r>
      <w:r w:rsidRPr="002F4A25">
        <w:rPr>
          <w:rFonts w:ascii="Arial" w:hAnsi="Arial" w:cs="Arial"/>
          <w:sz w:val="22"/>
          <w:szCs w:val="22"/>
        </w:rPr>
        <w:t xml:space="preserve"> contains both </w:t>
      </w:r>
      <w:r w:rsidRPr="002F4A25">
        <w:rPr>
          <w:rFonts w:ascii="Arial" w:hAnsi="Arial" w:cs="Arial"/>
          <w:b/>
          <w:bCs/>
          <w:sz w:val="22"/>
          <w:szCs w:val="22"/>
        </w:rPr>
        <w:t>Final Demand</w:t>
      </w:r>
      <w:r w:rsidRPr="002F4A25">
        <w:rPr>
          <w:rFonts w:ascii="Arial" w:hAnsi="Arial" w:cs="Arial"/>
          <w:sz w:val="22"/>
          <w:szCs w:val="22"/>
        </w:rPr>
        <w:t xml:space="preserve"> and a </w:t>
      </w:r>
      <w:r w:rsidRPr="002F4A25">
        <w:rPr>
          <w:rFonts w:ascii="Arial" w:hAnsi="Arial" w:cs="Arial"/>
          <w:b/>
          <w:bCs/>
          <w:sz w:val="22"/>
          <w:szCs w:val="22"/>
        </w:rPr>
        <w:t>Generator</w:t>
      </w:r>
      <w:r w:rsidRPr="002F4A25">
        <w:rPr>
          <w:rFonts w:ascii="Arial" w:hAnsi="Arial" w:cs="Arial"/>
          <w:sz w:val="22"/>
          <w:szCs w:val="22"/>
        </w:rPr>
        <w:t xml:space="preserve"> or </w:t>
      </w:r>
      <w:r w:rsidRPr="002F4A25">
        <w:rPr>
          <w:rFonts w:ascii="Arial" w:hAnsi="Arial" w:cs="Arial"/>
          <w:b/>
          <w:bCs/>
          <w:sz w:val="22"/>
          <w:szCs w:val="22"/>
        </w:rPr>
        <w:t>Electricity Storage Plant</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r w:rsidRPr="002F4A25">
        <w:rPr>
          <w:rFonts w:ascii="Arial" w:hAnsi="Arial" w:cs="Arial"/>
          <w:b/>
          <w:bCs/>
          <w:sz w:val="22"/>
          <w:szCs w:val="22"/>
        </w:rPr>
        <w:t xml:space="preserve"> </w:t>
      </w:r>
    </w:p>
    <w:p w14:paraId="37FC3D1C" w14:textId="77777777" w:rsidR="00831ABB" w:rsidRPr="002F4A25" w:rsidRDefault="00831ABB" w:rsidP="00831ABB">
      <w:pPr>
        <w:jc w:val="both"/>
        <w:rPr>
          <w:rFonts w:ascii="Arial" w:hAnsi="Arial" w:cs="Arial"/>
          <w:sz w:val="22"/>
          <w:szCs w:val="22"/>
        </w:rPr>
      </w:pPr>
    </w:p>
    <w:p w14:paraId="56389F3E" w14:textId="47AF196E" w:rsidR="00831ABB" w:rsidRPr="002F4A25" w:rsidRDefault="00831ABB" w:rsidP="00831ABB">
      <w:pPr>
        <w:jc w:val="both"/>
        <w:rPr>
          <w:rFonts w:ascii="Arial" w:hAnsi="Arial" w:cs="Arial"/>
          <w:sz w:val="22"/>
          <w:szCs w:val="22"/>
        </w:rPr>
      </w:pPr>
      <w:r w:rsidRPr="002F4A25">
        <w:rPr>
          <w:rFonts w:ascii="Arial" w:hAnsi="Arial" w:cs="Arial"/>
          <w:sz w:val="22"/>
          <w:szCs w:val="22"/>
        </w:rPr>
        <w:t xml:space="preserve">The validity of a </w:t>
      </w:r>
      <w:r w:rsidRPr="002F4A25">
        <w:rPr>
          <w:rFonts w:ascii="Arial" w:hAnsi="Arial" w:cs="Arial"/>
          <w:b/>
          <w:bCs/>
          <w:sz w:val="22"/>
          <w:szCs w:val="22"/>
        </w:rPr>
        <w:t>Declaration</w:t>
      </w:r>
      <w:r w:rsidRPr="002F4A25">
        <w:rPr>
          <w:rFonts w:ascii="Arial" w:hAnsi="Arial" w:cs="Arial"/>
          <w:sz w:val="22"/>
          <w:szCs w:val="22"/>
        </w:rPr>
        <w:t xml:space="preserve"> for an </w:t>
      </w:r>
      <w:r w:rsidRPr="002F4A25">
        <w:rPr>
          <w:rFonts w:ascii="Arial" w:hAnsi="Arial" w:cs="Arial"/>
          <w:b/>
          <w:bCs/>
          <w:sz w:val="22"/>
          <w:szCs w:val="22"/>
        </w:rPr>
        <w:t>SVA Storage Facility</w:t>
      </w:r>
      <w:r w:rsidRPr="002F4A25">
        <w:rPr>
          <w:rFonts w:ascii="Arial" w:hAnsi="Arial" w:cs="Arial"/>
          <w:sz w:val="22"/>
          <w:szCs w:val="22"/>
        </w:rPr>
        <w:t xml:space="preserve"> is determined in accordance with BSC Section S, and of a </w:t>
      </w:r>
      <w:r w:rsidRPr="002F4A25">
        <w:rPr>
          <w:rFonts w:ascii="Arial" w:hAnsi="Arial" w:cs="Arial"/>
          <w:b/>
          <w:bCs/>
          <w:sz w:val="22"/>
          <w:szCs w:val="22"/>
        </w:rPr>
        <w:t>Declaration</w:t>
      </w:r>
      <w:r w:rsidRPr="002F4A25">
        <w:rPr>
          <w:rFonts w:ascii="Arial" w:hAnsi="Arial" w:cs="Arial"/>
          <w:sz w:val="22"/>
          <w:szCs w:val="22"/>
        </w:rPr>
        <w:t xml:space="preserve"> for a </w:t>
      </w:r>
      <w:r w:rsidRPr="002F4A25">
        <w:rPr>
          <w:rFonts w:ascii="Arial" w:hAnsi="Arial" w:cs="Arial"/>
          <w:b/>
          <w:bCs/>
          <w:sz w:val="22"/>
          <w:szCs w:val="22"/>
        </w:rPr>
        <w:t>CVA Storage Facility</w:t>
      </w:r>
      <w:r w:rsidRPr="002F4A25">
        <w:rPr>
          <w:rFonts w:ascii="Arial" w:hAnsi="Arial" w:cs="Arial"/>
          <w:sz w:val="22"/>
          <w:szCs w:val="22"/>
        </w:rPr>
        <w:t xml:space="preserve">, </w:t>
      </w:r>
      <w:r w:rsidRPr="002F4A25">
        <w:rPr>
          <w:rFonts w:ascii="Arial" w:hAnsi="Arial" w:cs="Arial"/>
          <w:b/>
          <w:bCs/>
          <w:sz w:val="22"/>
          <w:szCs w:val="22"/>
        </w:rPr>
        <w:t>Non-Final Demand Site</w:t>
      </w:r>
      <w:r w:rsidRPr="002F4A25">
        <w:rPr>
          <w:rFonts w:ascii="Arial" w:hAnsi="Arial" w:cs="Arial"/>
          <w:sz w:val="22"/>
          <w:szCs w:val="22"/>
        </w:rPr>
        <w:t xml:space="preserve"> and </w:t>
      </w:r>
      <w:r w:rsidRPr="002F4A25">
        <w:rPr>
          <w:rFonts w:ascii="Arial" w:hAnsi="Arial" w:cs="Arial"/>
          <w:b/>
          <w:bCs/>
          <w:sz w:val="22"/>
          <w:szCs w:val="22"/>
        </w:rPr>
        <w:t>Eligible Services Facility</w:t>
      </w:r>
      <w:r w:rsidRPr="002F4A25">
        <w:rPr>
          <w:rFonts w:ascii="Arial" w:hAnsi="Arial" w:cs="Arial"/>
          <w:sz w:val="22"/>
          <w:szCs w:val="22"/>
        </w:rPr>
        <w:t xml:space="preserve"> is determined by </w:t>
      </w:r>
      <w:r w:rsidRPr="002F4A25">
        <w:rPr>
          <w:rFonts w:ascii="Arial" w:hAnsi="Arial" w:cs="Arial"/>
          <w:b/>
          <w:bCs/>
          <w:sz w:val="22"/>
          <w:szCs w:val="22"/>
        </w:rPr>
        <w:t>The Company</w:t>
      </w:r>
      <w:r w:rsidRPr="002F4A25">
        <w:rPr>
          <w:rFonts w:ascii="Arial" w:hAnsi="Arial" w:cs="Arial"/>
          <w:sz w:val="22"/>
          <w:szCs w:val="22"/>
        </w:rPr>
        <w:t xml:space="preserve">. </w:t>
      </w:r>
    </w:p>
    <w:p w14:paraId="5541E87C" w14:textId="77777777" w:rsidR="00831ABB" w:rsidRPr="002F4A25" w:rsidRDefault="00831ABB" w:rsidP="00831ABB">
      <w:pPr>
        <w:jc w:val="both"/>
        <w:rPr>
          <w:rFonts w:ascii="Arial" w:hAnsi="Arial" w:cs="Arial"/>
          <w:sz w:val="22"/>
          <w:szCs w:val="22"/>
        </w:rPr>
      </w:pPr>
    </w:p>
    <w:p w14:paraId="5C80CA84" w14:textId="236F742B" w:rsidR="00831ABB" w:rsidRPr="002F4A25"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AA6F30" w:rsidRPr="002F4A25">
        <w:rPr>
          <w:rFonts w:ascii="Arial" w:hAnsi="Arial" w:cs="Arial"/>
          <w:sz w:val="22"/>
          <w:szCs w:val="22"/>
        </w:rPr>
        <w:t>7</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received by </w:t>
      </w:r>
      <w:r w:rsidRPr="002F4A25">
        <w:rPr>
          <w:rFonts w:ascii="Arial" w:hAnsi="Arial" w:cs="Arial"/>
          <w:b/>
          <w:bCs/>
          <w:sz w:val="22"/>
          <w:szCs w:val="22"/>
        </w:rPr>
        <w:t>The Company</w:t>
      </w:r>
      <w:r w:rsidRPr="002F4A25">
        <w:rPr>
          <w:rFonts w:ascii="Arial" w:hAnsi="Arial" w:cs="Arial"/>
          <w:sz w:val="22"/>
          <w:szCs w:val="22"/>
        </w:rPr>
        <w:t xml:space="preserve"> will either be accepted or rejected within three </w:t>
      </w:r>
      <w:r w:rsidRPr="002F4A25">
        <w:rPr>
          <w:rFonts w:ascii="Arial" w:hAnsi="Arial" w:cs="Arial"/>
          <w:b/>
          <w:bCs/>
          <w:sz w:val="22"/>
          <w:szCs w:val="22"/>
        </w:rPr>
        <w:t>Business Days</w:t>
      </w:r>
      <w:r w:rsidRPr="002F4A25">
        <w:rPr>
          <w:rFonts w:ascii="Arial" w:hAnsi="Arial" w:cs="Arial"/>
          <w:sz w:val="22"/>
          <w:szCs w:val="22"/>
        </w:rPr>
        <w:t xml:space="preserve"> and shall take effect on the effective date and time as notified to the </w:t>
      </w:r>
      <w:r w:rsidRPr="002F4A25">
        <w:rPr>
          <w:rFonts w:ascii="Arial" w:hAnsi="Arial" w:cs="Arial"/>
          <w:b/>
          <w:bCs/>
          <w:sz w:val="22"/>
          <w:szCs w:val="22"/>
        </w:rPr>
        <w:t>Registrant</w:t>
      </w:r>
      <w:r w:rsidRPr="002F4A25">
        <w:rPr>
          <w:rFonts w:ascii="Arial" w:hAnsi="Arial" w:cs="Arial"/>
          <w:sz w:val="22"/>
          <w:szCs w:val="22"/>
        </w:rPr>
        <w:t xml:space="preserve">. Any disagreement between </w:t>
      </w:r>
      <w:r w:rsidRPr="002F4A25">
        <w:rPr>
          <w:rFonts w:ascii="Arial" w:hAnsi="Arial" w:cs="Arial"/>
          <w:b/>
          <w:bCs/>
          <w:sz w:val="22"/>
          <w:szCs w:val="22"/>
        </w:rPr>
        <w:t>The Company</w:t>
      </w:r>
      <w:r w:rsidRPr="002F4A25">
        <w:rPr>
          <w:rFonts w:ascii="Arial" w:hAnsi="Arial" w:cs="Arial"/>
          <w:sz w:val="22"/>
          <w:szCs w:val="22"/>
        </w:rPr>
        <w:t xml:space="preserve"> and the </w:t>
      </w:r>
      <w:r w:rsidRPr="002F4A25">
        <w:rPr>
          <w:rFonts w:ascii="Arial" w:hAnsi="Arial" w:cs="Arial"/>
          <w:b/>
          <w:bCs/>
          <w:sz w:val="22"/>
          <w:szCs w:val="22"/>
        </w:rPr>
        <w:t xml:space="preserve">Registrant </w:t>
      </w:r>
      <w:r w:rsidRPr="002F4A25">
        <w:rPr>
          <w:rFonts w:ascii="Arial" w:hAnsi="Arial" w:cs="Arial"/>
          <w:sz w:val="22"/>
          <w:szCs w:val="22"/>
        </w:rPr>
        <w:t xml:space="preserve">on the validity of a </w:t>
      </w:r>
      <w:r w:rsidRPr="002F4A25">
        <w:rPr>
          <w:rFonts w:ascii="Arial" w:hAnsi="Arial" w:cs="Arial"/>
          <w:b/>
          <w:bCs/>
          <w:sz w:val="22"/>
          <w:szCs w:val="22"/>
        </w:rPr>
        <w:t xml:space="preserve">Declaration </w:t>
      </w:r>
      <w:r w:rsidRPr="002F4A25">
        <w:rPr>
          <w:rFonts w:ascii="Arial" w:hAnsi="Arial" w:cs="Arial"/>
          <w:sz w:val="22"/>
          <w:szCs w:val="22"/>
        </w:rPr>
        <w:t xml:space="preserve">will be treated as a </w:t>
      </w:r>
      <w:r w:rsidRPr="002F4A25">
        <w:rPr>
          <w:rFonts w:ascii="Arial" w:hAnsi="Arial" w:cs="Arial"/>
          <w:b/>
          <w:bCs/>
          <w:sz w:val="22"/>
          <w:szCs w:val="22"/>
        </w:rPr>
        <w:t>Charging Dispute</w:t>
      </w:r>
      <w:r w:rsidRPr="002F4A25">
        <w:rPr>
          <w:rFonts w:ascii="Arial" w:hAnsi="Arial" w:cs="Arial"/>
          <w:sz w:val="22"/>
          <w:szCs w:val="22"/>
        </w:rPr>
        <w:t>.</w:t>
      </w:r>
    </w:p>
    <w:p w14:paraId="53E61241" w14:textId="77777777" w:rsidR="00831ABB" w:rsidRPr="002F4A25" w:rsidRDefault="00831ABB" w:rsidP="00831ABB">
      <w:pPr>
        <w:jc w:val="both"/>
        <w:rPr>
          <w:rFonts w:ascii="Arial" w:hAnsi="Arial" w:cs="Arial"/>
          <w:sz w:val="22"/>
          <w:szCs w:val="22"/>
          <w:highlight w:val="yellow"/>
        </w:rPr>
      </w:pPr>
    </w:p>
    <w:p w14:paraId="3C571B75" w14:textId="05C85BFC" w:rsidR="00831ABB"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2B45F2" w:rsidRPr="002F4A25">
        <w:rPr>
          <w:rFonts w:ascii="Arial" w:hAnsi="Arial" w:cs="Arial"/>
          <w:sz w:val="22"/>
          <w:szCs w:val="22"/>
        </w:rPr>
        <w:t>8</w:t>
      </w:r>
      <w:r w:rsidRPr="002F4A25">
        <w:rPr>
          <w:rFonts w:ascii="Arial" w:hAnsi="Arial" w:cs="Arial"/>
          <w:sz w:val="22"/>
          <w:szCs w:val="22"/>
        </w:rPr>
        <w:tab/>
        <w:t xml:space="preserve">Any </w:t>
      </w:r>
      <w:r w:rsidRPr="002F4A25">
        <w:rPr>
          <w:rFonts w:ascii="Arial" w:hAnsi="Arial" w:cs="Arial"/>
          <w:b/>
          <w:bCs/>
          <w:sz w:val="22"/>
          <w:szCs w:val="22"/>
        </w:rPr>
        <w:t>Declarations</w:t>
      </w:r>
      <w:r w:rsidRPr="002F4A25">
        <w:rPr>
          <w:rFonts w:ascii="Arial" w:hAnsi="Arial" w:cs="Arial"/>
          <w:sz w:val="22"/>
          <w:szCs w:val="22"/>
        </w:rPr>
        <w:t xml:space="preserve"> that are accepted by </w:t>
      </w:r>
      <w:r w:rsidRPr="002F4A25">
        <w:rPr>
          <w:rFonts w:ascii="Arial" w:hAnsi="Arial" w:cs="Arial"/>
          <w:b/>
          <w:bCs/>
          <w:sz w:val="22"/>
          <w:szCs w:val="22"/>
        </w:rPr>
        <w:t>The Company</w:t>
      </w:r>
      <w:r w:rsidRPr="002F4A25">
        <w:rPr>
          <w:rFonts w:ascii="Arial" w:hAnsi="Arial" w:cs="Arial"/>
          <w:sz w:val="22"/>
          <w:szCs w:val="22"/>
        </w:rPr>
        <w:t xml:space="preserve"> shall be valid in perpetuity. Should circumstance at </w:t>
      </w:r>
      <w:bookmarkStart w:id="374" w:name="_Hlk73718791"/>
      <w:r w:rsidRPr="002F4A25">
        <w:rPr>
          <w:rFonts w:ascii="Arial" w:hAnsi="Arial" w:cs="Arial"/>
          <w:sz w:val="22"/>
          <w:szCs w:val="22"/>
        </w:rPr>
        <w:t xml:space="preserve">the 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r w:rsidRPr="002F4A25">
        <w:rPr>
          <w:rFonts w:ascii="Arial" w:hAnsi="Arial" w:cs="Arial"/>
          <w:sz w:val="22"/>
          <w:szCs w:val="22"/>
        </w:rPr>
        <w:t xml:space="preserve"> </w:t>
      </w:r>
      <w:bookmarkEnd w:id="374"/>
      <w:r w:rsidRPr="002F4A25">
        <w:rPr>
          <w:rFonts w:ascii="Arial" w:hAnsi="Arial" w:cs="Arial"/>
          <w:sz w:val="22"/>
          <w:szCs w:val="22"/>
        </w:rPr>
        <w:t xml:space="preserve">change in such a way that the </w:t>
      </w:r>
      <w:r w:rsidRPr="002F4A25">
        <w:rPr>
          <w:rFonts w:ascii="Arial" w:hAnsi="Arial" w:cs="Arial"/>
          <w:b/>
          <w:bCs/>
          <w:sz w:val="22"/>
          <w:szCs w:val="22"/>
        </w:rPr>
        <w:t>Declaration</w:t>
      </w:r>
      <w:r w:rsidRPr="002F4A25">
        <w:rPr>
          <w:rFonts w:ascii="Arial" w:hAnsi="Arial" w:cs="Arial"/>
          <w:sz w:val="22"/>
          <w:szCs w:val="22"/>
        </w:rPr>
        <w:t xml:space="preserve"> is no longer accurate, it is the responsibility of the </w:t>
      </w:r>
      <w:r w:rsidRPr="002F4A25">
        <w:rPr>
          <w:rFonts w:ascii="Arial" w:hAnsi="Arial" w:cs="Arial"/>
          <w:b/>
          <w:bCs/>
          <w:sz w:val="22"/>
          <w:szCs w:val="22"/>
        </w:rPr>
        <w:t>User</w:t>
      </w:r>
      <w:r w:rsidRPr="002F4A25">
        <w:rPr>
          <w:rFonts w:ascii="Arial" w:hAnsi="Arial" w:cs="Arial"/>
          <w:sz w:val="22"/>
          <w:szCs w:val="22"/>
        </w:rPr>
        <w:t xml:space="preserve"> to resubmit a revised </w:t>
      </w:r>
      <w:r w:rsidRPr="002F4A25">
        <w:rPr>
          <w:rFonts w:ascii="Arial" w:hAnsi="Arial" w:cs="Arial"/>
          <w:b/>
          <w:bCs/>
          <w:sz w:val="22"/>
          <w:szCs w:val="22"/>
        </w:rPr>
        <w:t>Declaration</w:t>
      </w:r>
      <w:r w:rsidRPr="002F4A25">
        <w:rPr>
          <w:rFonts w:ascii="Arial" w:hAnsi="Arial" w:cs="Arial"/>
          <w:sz w:val="22"/>
          <w:szCs w:val="22"/>
        </w:rPr>
        <w:t xml:space="preserve"> as soon as possible to reflect the change in circumstance. </w:t>
      </w:r>
      <w:r w:rsidRPr="002F4A25">
        <w:rPr>
          <w:rFonts w:ascii="Arial" w:hAnsi="Arial" w:cs="Arial"/>
          <w:b/>
          <w:bCs/>
          <w:sz w:val="22"/>
          <w:szCs w:val="22"/>
        </w:rPr>
        <w:t>The Company</w:t>
      </w:r>
      <w:r w:rsidRPr="002F4A25">
        <w:rPr>
          <w:rFonts w:ascii="Arial" w:hAnsi="Arial" w:cs="Arial"/>
          <w:sz w:val="22"/>
          <w:szCs w:val="22"/>
        </w:rPr>
        <w:t xml:space="preserve"> will validate a</w:t>
      </w:r>
      <w:r>
        <w:rPr>
          <w:rFonts w:ascii="Arial" w:hAnsi="Arial" w:cs="Arial"/>
          <w:sz w:val="22"/>
          <w:szCs w:val="22"/>
        </w:rPr>
        <w:t xml:space="preserve">ny revised </w:t>
      </w:r>
      <w:r>
        <w:rPr>
          <w:rFonts w:ascii="Arial" w:hAnsi="Arial" w:cs="Arial"/>
          <w:b/>
          <w:bCs/>
          <w:sz w:val="22"/>
          <w:szCs w:val="22"/>
        </w:rPr>
        <w:t xml:space="preserve">Declarations </w:t>
      </w:r>
      <w:r>
        <w:rPr>
          <w:rFonts w:ascii="Arial" w:hAnsi="Arial" w:cs="Arial"/>
          <w:sz w:val="22"/>
          <w:szCs w:val="22"/>
        </w:rPr>
        <w:t xml:space="preserve">as per 14.15.153. </w:t>
      </w:r>
    </w:p>
    <w:p w14:paraId="74C53B28" w14:textId="77777777" w:rsidR="00831ABB" w:rsidRDefault="00831ABB" w:rsidP="00831ABB">
      <w:pPr>
        <w:jc w:val="both"/>
        <w:rPr>
          <w:rFonts w:ascii="Arial" w:hAnsi="Arial" w:cs="Arial"/>
          <w:sz w:val="22"/>
          <w:szCs w:val="22"/>
        </w:rPr>
      </w:pPr>
    </w:p>
    <w:p w14:paraId="4D7B5DB3" w14:textId="08644377" w:rsidR="00831ABB" w:rsidRDefault="2FDAC18D" w:rsidP="00831ABB">
      <w:pPr>
        <w:ind w:left="1276" w:hanging="1276"/>
        <w:jc w:val="both"/>
        <w:rPr>
          <w:rFonts w:ascii="Arial" w:hAnsi="Arial" w:cs="Arial"/>
          <w:color w:val="FF0000"/>
          <w:sz w:val="22"/>
          <w:szCs w:val="22"/>
        </w:rPr>
      </w:pPr>
      <w:r w:rsidRPr="0537B9E0">
        <w:rPr>
          <w:rFonts w:ascii="Arial" w:hAnsi="Arial" w:cs="Arial"/>
          <w:sz w:val="22"/>
          <w:szCs w:val="22"/>
        </w:rPr>
        <w:t>14.15.1</w:t>
      </w:r>
      <w:r w:rsidR="63F7C523" w:rsidRPr="0537B9E0">
        <w:rPr>
          <w:rFonts w:ascii="Arial" w:hAnsi="Arial" w:cs="Arial"/>
          <w:sz w:val="22"/>
          <w:szCs w:val="22"/>
        </w:rPr>
        <w:t>6</w:t>
      </w:r>
      <w:r w:rsidR="2F39061F" w:rsidRPr="0537B9E0">
        <w:rPr>
          <w:rFonts w:ascii="Arial" w:hAnsi="Arial" w:cs="Arial"/>
          <w:sz w:val="22"/>
          <w:szCs w:val="22"/>
        </w:rPr>
        <w:t>9</w:t>
      </w:r>
      <w:r w:rsidR="00831ABB">
        <w:tab/>
      </w:r>
      <w:r w:rsidRPr="0537B9E0">
        <w:rPr>
          <w:rFonts w:ascii="Arial" w:hAnsi="Arial" w:cs="Arial"/>
          <w:b/>
          <w:bCs/>
          <w:sz w:val="22"/>
          <w:szCs w:val="22"/>
        </w:rPr>
        <w:t>The Company</w:t>
      </w:r>
      <w:r w:rsidRPr="0537B9E0">
        <w:rPr>
          <w:rFonts w:ascii="Arial" w:hAnsi="Arial" w:cs="Arial"/>
          <w:sz w:val="22"/>
          <w:szCs w:val="22"/>
        </w:rPr>
        <w:t xml:space="preserve"> shall, at its sole discretion and </w:t>
      </w:r>
      <w:bookmarkStart w:id="375" w:name="_Int_RX8r3RnS"/>
      <w:r w:rsidRPr="0537B9E0">
        <w:rPr>
          <w:rFonts w:ascii="Arial" w:hAnsi="Arial" w:cs="Arial"/>
          <w:sz w:val="22"/>
          <w:szCs w:val="22"/>
        </w:rPr>
        <w:t>acting reasonably, have</w:t>
      </w:r>
      <w:bookmarkEnd w:id="375"/>
      <w:r w:rsidRPr="0537B9E0">
        <w:rPr>
          <w:rFonts w:ascii="Arial" w:hAnsi="Arial" w:cs="Arial"/>
          <w:sz w:val="22"/>
          <w:szCs w:val="22"/>
        </w:rPr>
        <w:t xml:space="preserve"> the right to audit and revalidate a previously approved </w:t>
      </w:r>
      <w:r w:rsidRPr="0537B9E0">
        <w:rPr>
          <w:rFonts w:ascii="Arial" w:hAnsi="Arial" w:cs="Arial"/>
          <w:b/>
          <w:bCs/>
          <w:sz w:val="22"/>
          <w:szCs w:val="22"/>
        </w:rPr>
        <w:t xml:space="preserve">Declaration. </w:t>
      </w:r>
      <w:r w:rsidRPr="0537B9E0">
        <w:rPr>
          <w:rFonts w:ascii="Arial" w:hAnsi="Arial" w:cs="Arial"/>
          <w:sz w:val="22"/>
          <w:szCs w:val="22"/>
        </w:rPr>
        <w:t xml:space="preserve">The </w:t>
      </w:r>
      <w:r w:rsidRPr="0537B9E0">
        <w:rPr>
          <w:rFonts w:ascii="Arial" w:hAnsi="Arial" w:cs="Arial"/>
          <w:b/>
          <w:bCs/>
          <w:sz w:val="22"/>
          <w:szCs w:val="22"/>
        </w:rPr>
        <w:t>User</w:t>
      </w:r>
      <w:r w:rsidRPr="0537B9E0">
        <w:rPr>
          <w:rFonts w:ascii="Arial" w:hAnsi="Arial" w:cs="Arial"/>
          <w:sz w:val="22"/>
          <w:szCs w:val="22"/>
        </w:rPr>
        <w:t xml:space="preserve"> agrees to support and cooperate with any audit and/or revalidation as required (including access to site if required). An inaccurate </w:t>
      </w:r>
      <w:r w:rsidRPr="0537B9E0">
        <w:rPr>
          <w:rFonts w:ascii="Arial" w:hAnsi="Arial" w:cs="Arial"/>
          <w:b/>
          <w:bCs/>
          <w:sz w:val="22"/>
          <w:szCs w:val="22"/>
        </w:rPr>
        <w:t>Declaration</w:t>
      </w:r>
      <w:r w:rsidRPr="0537B9E0">
        <w:rPr>
          <w:rFonts w:ascii="Arial" w:hAnsi="Arial" w:cs="Arial"/>
          <w:sz w:val="22"/>
          <w:szCs w:val="22"/>
        </w:rPr>
        <w:t xml:space="preserve"> shall immediately be deemed to be invalid and the provisions of this Section 14 applied to the relevant </w:t>
      </w:r>
      <w:r w:rsidRPr="0537B9E0">
        <w:rPr>
          <w:rFonts w:ascii="Arial" w:hAnsi="Arial" w:cs="Arial"/>
          <w:b/>
          <w:bCs/>
          <w:sz w:val="22"/>
          <w:szCs w:val="22"/>
        </w:rPr>
        <w:t>BM Unit(s)</w:t>
      </w:r>
      <w:r w:rsidRPr="0537B9E0">
        <w:rPr>
          <w:rFonts w:ascii="Arial" w:hAnsi="Arial" w:cs="Arial"/>
          <w:sz w:val="22"/>
          <w:szCs w:val="22"/>
        </w:rPr>
        <w:t xml:space="preserve"> or </w:t>
      </w:r>
      <w:r w:rsidRPr="0537B9E0">
        <w:rPr>
          <w:rFonts w:ascii="Arial" w:hAnsi="Arial" w:cs="Arial"/>
          <w:b/>
          <w:bCs/>
          <w:sz w:val="22"/>
          <w:szCs w:val="22"/>
        </w:rPr>
        <w:t>Single Site</w:t>
      </w:r>
      <w:r w:rsidRPr="0537B9E0">
        <w:rPr>
          <w:rFonts w:ascii="Arial" w:hAnsi="Arial" w:cs="Arial"/>
          <w:sz w:val="22"/>
          <w:szCs w:val="22"/>
        </w:rPr>
        <w:t xml:space="preserve"> to:</w:t>
      </w:r>
    </w:p>
    <w:p w14:paraId="10C672B9" w14:textId="77777777" w:rsidR="00831ABB" w:rsidRPr="002F4A25" w:rsidRDefault="00831ABB" w:rsidP="00831ABB">
      <w:pPr>
        <w:pStyle w:val="ListParagraph"/>
        <w:numPr>
          <w:ilvl w:val="0"/>
          <w:numId w:val="139"/>
        </w:numPr>
        <w:ind w:left="1276" w:firstLine="0"/>
        <w:jc w:val="both"/>
        <w:rPr>
          <w:rFonts w:ascii="Arial" w:hAnsi="Arial" w:cs="Arial"/>
          <w:sz w:val="22"/>
          <w:szCs w:val="22"/>
        </w:rPr>
      </w:pPr>
      <w:r w:rsidRPr="002F4A25">
        <w:rPr>
          <w:rFonts w:ascii="Arial" w:hAnsi="Arial" w:cs="Arial"/>
          <w:sz w:val="22"/>
          <w:szCs w:val="22"/>
        </w:rPr>
        <w:t xml:space="preserve">reflect no </w:t>
      </w:r>
      <w:r w:rsidRPr="002F4A25">
        <w:rPr>
          <w:rFonts w:ascii="Arial" w:hAnsi="Arial" w:cs="Arial"/>
          <w:b/>
          <w:bCs/>
          <w:sz w:val="22"/>
          <w:szCs w:val="22"/>
        </w:rPr>
        <w:t>Declaration</w:t>
      </w:r>
      <w:r w:rsidRPr="002F4A25">
        <w:rPr>
          <w:rFonts w:ascii="Arial" w:hAnsi="Arial" w:cs="Arial"/>
          <w:sz w:val="22"/>
          <w:szCs w:val="22"/>
        </w:rPr>
        <w:t xml:space="preserve"> being in effect for the next calendar day; and </w:t>
      </w:r>
    </w:p>
    <w:p w14:paraId="282BDCC1" w14:textId="77777777" w:rsidR="00831ABB" w:rsidRPr="002F4A25" w:rsidRDefault="00831ABB" w:rsidP="00831ABB">
      <w:pPr>
        <w:pStyle w:val="ListParagraph"/>
        <w:numPr>
          <w:ilvl w:val="1"/>
          <w:numId w:val="139"/>
        </w:numPr>
        <w:ind w:left="1701" w:firstLine="0"/>
        <w:jc w:val="both"/>
        <w:rPr>
          <w:rFonts w:ascii="Arial" w:hAnsi="Arial" w:cs="Arial"/>
          <w:sz w:val="22"/>
          <w:szCs w:val="22"/>
        </w:rPr>
      </w:pPr>
      <w:r w:rsidRPr="002F4A25">
        <w:rPr>
          <w:rFonts w:ascii="Arial" w:hAnsi="Arial" w:cs="Arial"/>
          <w:sz w:val="22"/>
          <w:szCs w:val="22"/>
        </w:rPr>
        <w:t xml:space="preserve">retroactively apply </w:t>
      </w:r>
      <w:r w:rsidRPr="002F4A25">
        <w:rPr>
          <w:rFonts w:ascii="Arial" w:hAnsi="Arial" w:cs="Arial"/>
          <w:b/>
          <w:bCs/>
          <w:sz w:val="22"/>
          <w:szCs w:val="22"/>
        </w:rPr>
        <w:t>Transmission Network Use of System Charges</w:t>
      </w:r>
      <w:r w:rsidRPr="002F4A25">
        <w:rPr>
          <w:rFonts w:ascii="Arial" w:hAnsi="Arial" w:cs="Arial"/>
          <w:sz w:val="22"/>
          <w:szCs w:val="22"/>
        </w:rPr>
        <w:t xml:space="preserve"> from the date of invalidity to the later of:</w:t>
      </w:r>
    </w:p>
    <w:p w14:paraId="35C09EC6"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a previously valid </w:t>
      </w:r>
      <w:r w:rsidRPr="002F4A25">
        <w:rPr>
          <w:rFonts w:ascii="Arial" w:hAnsi="Arial" w:cs="Arial"/>
          <w:b/>
          <w:bCs/>
          <w:sz w:val="22"/>
          <w:szCs w:val="22"/>
        </w:rPr>
        <w:t>Declaration</w:t>
      </w:r>
      <w:r w:rsidRPr="002F4A25">
        <w:rPr>
          <w:rFonts w:ascii="Arial" w:hAnsi="Arial" w:cs="Arial"/>
          <w:sz w:val="22"/>
          <w:szCs w:val="22"/>
        </w:rPr>
        <w:t xml:space="preserve">; or </w:t>
      </w:r>
    </w:p>
    <w:p w14:paraId="3997D06C"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the </w:t>
      </w:r>
      <w:r w:rsidRPr="002F4A25">
        <w:rPr>
          <w:rFonts w:ascii="Arial" w:hAnsi="Arial" w:cs="Arial"/>
          <w:b/>
          <w:sz w:val="22"/>
          <w:szCs w:val="22"/>
        </w:rPr>
        <w:t>Final Reconciliation Statement</w:t>
      </w:r>
      <w:r w:rsidRPr="002F4A25">
        <w:rPr>
          <w:rFonts w:ascii="Arial" w:hAnsi="Arial" w:cs="Arial"/>
          <w:sz w:val="22"/>
          <w:szCs w:val="22"/>
        </w:rPr>
        <w:t xml:space="preserve"> as per paragraph 3.13.7.</w:t>
      </w:r>
      <w:r w:rsidRPr="002F4A25">
        <w:rPr>
          <w:rFonts w:ascii="Arial" w:hAnsi="Arial" w:cs="Arial"/>
          <w:b/>
          <w:bCs/>
          <w:sz w:val="22"/>
          <w:szCs w:val="22"/>
        </w:rPr>
        <w:t xml:space="preserve"> </w:t>
      </w:r>
    </w:p>
    <w:p w14:paraId="10238572" w14:textId="77777777" w:rsidR="00831ABB" w:rsidRDefault="00831ABB" w:rsidP="00831ABB">
      <w:pPr>
        <w:pStyle w:val="ListParagraph"/>
        <w:ind w:left="783"/>
        <w:jc w:val="both"/>
        <w:rPr>
          <w:rFonts w:ascii="Arial" w:hAnsi="Arial" w:cs="Arial"/>
          <w:sz w:val="22"/>
          <w:szCs w:val="22"/>
        </w:rPr>
      </w:pPr>
    </w:p>
    <w:p w14:paraId="3DC32175" w14:textId="77777777" w:rsidR="00831ABB" w:rsidRDefault="00831ABB" w:rsidP="00831ABB"/>
    <w:p w14:paraId="36EF323B" w14:textId="77777777" w:rsidR="006661FE" w:rsidRPr="00D54761" w:rsidRDefault="006661FE" w:rsidP="006661FE">
      <w:pPr>
        <w:pStyle w:val="Heading1"/>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376" w:name="_Toc32201082"/>
      <w:bookmarkStart w:id="377" w:name="_Toc49661119"/>
      <w:bookmarkEnd w:id="370"/>
      <w:bookmarkEnd w:id="37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378" w:name="_Ref506957800"/>
      <w:bookmarkStart w:id="379" w:name="_Toc32201083"/>
      <w:bookmarkStart w:id="380" w:name="_Toc49661120"/>
      <w:bookmarkStart w:id="381" w:name="_Toc98821478"/>
      <w:bookmarkStart w:id="382" w:name="_Toc111259845"/>
      <w:bookmarkStart w:id="383" w:name="_Toc111262532"/>
      <w:bookmarkStart w:id="384" w:name="_Toc274049695"/>
      <w:bookmarkEnd w:id="376"/>
      <w:bookmarkEnd w:id="377"/>
      <w:r w:rsidRPr="00D54761">
        <w:rPr>
          <w:bCs/>
          <w:color w:val="auto"/>
          <w:sz w:val="28"/>
          <w:szCs w:val="28"/>
        </w:rPr>
        <w:t>14.16 Derivation of the Transmission Network Use of System Energy Consumption Tariff</w:t>
      </w:r>
      <w:bookmarkEnd w:id="378"/>
      <w:bookmarkEnd w:id="379"/>
      <w:bookmarkEnd w:id="380"/>
      <w:r w:rsidRPr="00D54761">
        <w:rPr>
          <w:bCs/>
          <w:color w:val="auto"/>
          <w:sz w:val="28"/>
          <w:szCs w:val="28"/>
        </w:rPr>
        <w:t xml:space="preserve"> and Short Term Capacity Tariff</w:t>
      </w:r>
      <w:bookmarkEnd w:id="381"/>
      <w:bookmarkEnd w:id="382"/>
      <w:bookmarkEnd w:id="383"/>
      <w:r w:rsidRPr="00D54761">
        <w:rPr>
          <w:bCs/>
          <w:color w:val="auto"/>
          <w:sz w:val="28"/>
          <w:szCs w:val="28"/>
        </w:rPr>
        <w:t>s</w:t>
      </w:r>
      <w:bookmarkEnd w:id="384"/>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1166D9ED"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31C3206E" w14:textId="77777777" w:rsidR="006661FE" w:rsidRDefault="006661FE" w:rsidP="00533333">
      <w:pPr>
        <w:pStyle w:val="1"/>
        <w:numPr>
          <w:ilvl w:val="0"/>
          <w:numId w:val="74"/>
        </w:numPr>
        <w:jc w:val="both"/>
      </w:pPr>
      <w:r>
        <w:t>For the purposes of this section, Lead Parties of Balancing Mechanism (BM) Units that are liable for Transmission Network Use of System Demand Charges are termed Suppliers.</w:t>
      </w:r>
    </w:p>
    <w:p w14:paraId="25BFF2CE" w14:textId="77777777" w:rsidR="006661FE" w:rsidRDefault="006661FE" w:rsidP="006661FE">
      <w:pPr>
        <w:jc w:val="both"/>
        <w:rPr>
          <w:rFonts w:ascii="Arial" w:hAnsi="Arial"/>
        </w:rPr>
      </w:pPr>
    </w:p>
    <w:p w14:paraId="4FD29051" w14:textId="197ED352" w:rsidR="006661FE" w:rsidRDefault="006661FE" w:rsidP="00533333">
      <w:pPr>
        <w:pStyle w:val="1"/>
        <w:numPr>
          <w:ilvl w:val="0"/>
          <w:numId w:val="74"/>
        </w:numPr>
        <w:jc w:val="both"/>
      </w:pPr>
      <w:r>
        <w:t>Following calculation of the Transmission Network Use of System £/kW</w:t>
      </w:r>
      <w:r w:rsidR="00A26D6E">
        <w:t xml:space="preserve"> </w:t>
      </w:r>
      <w:r w:rsidR="00E14B8D">
        <w:t>HH</w:t>
      </w:r>
      <w:r w:rsidR="00185A2E">
        <w:t xml:space="preserve"> Locational </w:t>
      </w:r>
      <w:r>
        <w:t xml:space="preserve"> Demand Tariff (as outlined in Chapter 2: Derivation of the TNUoS Tariff) for each GSP Group</w:t>
      </w:r>
      <w:r w:rsidR="00185A2E">
        <w:t xml:space="preserve"> a NHH Demand Locational Tariff</w:t>
      </w:r>
      <w:r>
        <w:fldChar w:fldCharType="begin"/>
      </w:r>
      <w:r>
        <w:instrText xml:space="preserve"> XE "GSP Group" </w:instrText>
      </w:r>
      <w:r>
        <w:fldChar w:fldCharType="end"/>
      </w:r>
      <w:r>
        <w:t xml:space="preserve"> is calculated as follows:</w:t>
      </w:r>
    </w:p>
    <w:p w14:paraId="5BF75834"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3AFFA87E"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7CEFCF4C"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16F09B89"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278B933D" w14:textId="77777777" w:rsidR="006661FE" w:rsidRDefault="006661FE" w:rsidP="006661FE">
      <w:pPr>
        <w:ind w:left="720" w:firstLine="720"/>
        <w:jc w:val="both"/>
        <w:rPr>
          <w:rFonts w:ascii="Arial" w:hAnsi="Arial"/>
          <w:sz w:val="22"/>
        </w:rPr>
      </w:pPr>
      <w:r>
        <w:rPr>
          <w:rFonts w:ascii="Arial" w:hAnsi="Arial"/>
          <w:sz w:val="22"/>
        </w:rPr>
        <w:t>Where:</w:t>
      </w:r>
    </w:p>
    <w:p w14:paraId="309C550A" w14:textId="77777777" w:rsidR="006661FE" w:rsidRDefault="006661FE" w:rsidP="006661FE">
      <w:pPr>
        <w:ind w:left="720"/>
        <w:jc w:val="both"/>
        <w:rPr>
          <w:rFonts w:ascii="Arial" w:hAnsi="Arial"/>
          <w:sz w:val="22"/>
        </w:rPr>
      </w:pPr>
    </w:p>
    <w:p w14:paraId="78773E37" w14:textId="317DB700"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D0127">
        <w:rPr>
          <w:rFonts w:ascii="Arial" w:hAnsi="Arial"/>
          <w:sz w:val="22"/>
        </w:rPr>
        <w:t>HH</w:t>
      </w:r>
      <w:r w:rsidR="00A26D6E">
        <w:rPr>
          <w:rFonts w:ascii="Arial" w:hAnsi="Arial"/>
          <w:sz w:val="22"/>
        </w:rPr>
        <w:t xml:space="preserve"> </w:t>
      </w:r>
      <w:r>
        <w:rPr>
          <w:rFonts w:ascii="Arial" w:hAnsi="Arial"/>
          <w:sz w:val="22"/>
        </w:rPr>
        <w:t>Demand</w:t>
      </w:r>
      <w:r w:rsidR="000D0127">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119ABF2A" w14:textId="77777777" w:rsidR="006661FE" w:rsidRDefault="006661FE" w:rsidP="006661FE">
      <w:pPr>
        <w:ind w:left="1440" w:hanging="720"/>
        <w:jc w:val="both"/>
        <w:rPr>
          <w:rFonts w:ascii="Arial" w:hAnsi="Arial"/>
          <w:sz w:val="22"/>
        </w:rPr>
      </w:pPr>
      <w:r>
        <w:rPr>
          <w:rFonts w:ascii="Arial" w:hAnsi="Arial"/>
          <w:sz w:val="22"/>
        </w:rPr>
        <w:tab/>
      </w:r>
    </w:p>
    <w:p w14:paraId="78A47968" w14:textId="3EE2360B" w:rsidR="006661FE" w:rsidRDefault="3D47CB0D" w:rsidP="006661FE">
      <w:pPr>
        <w:ind w:left="1440"/>
        <w:jc w:val="both"/>
        <w:rPr>
          <w:rFonts w:ascii="Arial" w:hAnsi="Arial"/>
          <w:sz w:val="22"/>
          <w:szCs w:val="22"/>
        </w:rPr>
      </w:pPr>
      <w:r w:rsidRPr="6D50A407">
        <w:rPr>
          <w:rFonts w:ascii="Arial" w:hAnsi="Arial"/>
          <w:b/>
          <w:bCs/>
          <w:sz w:val="22"/>
          <w:szCs w:val="22"/>
        </w:rPr>
        <w:t>NHHD</w:t>
      </w:r>
      <w:r w:rsidRPr="6D50A407">
        <w:rPr>
          <w:rFonts w:ascii="Arial" w:hAnsi="Arial"/>
          <w:b/>
          <w:bCs/>
          <w:sz w:val="22"/>
          <w:szCs w:val="22"/>
          <w:vertAlign w:val="subscript"/>
        </w:rPr>
        <w:t>F</w:t>
      </w:r>
      <w:r w:rsidRPr="6D50A407">
        <w:rPr>
          <w:rFonts w:ascii="Arial" w:hAnsi="Arial"/>
          <w:sz w:val="22"/>
          <w:szCs w:val="22"/>
          <w:vertAlign w:val="subscript"/>
        </w:rPr>
        <w:t xml:space="preserve">  </w:t>
      </w:r>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Suppliers’ non-half-hourly metered Triad</w:t>
      </w:r>
      <w:r w:rsidR="006661FE" w:rsidRPr="6D50A407">
        <w:rPr>
          <w:rFonts w:ascii="Arial" w:hAnsi="Arial"/>
          <w:sz w:val="22"/>
          <w:szCs w:val="22"/>
        </w:rPr>
        <w:fldChar w:fldCharType="begin"/>
      </w:r>
      <w:r w:rsidR="006661FE" w:rsidRPr="6D50A407">
        <w:rPr>
          <w:rFonts w:ascii="Arial" w:hAnsi="Arial"/>
          <w:sz w:val="22"/>
          <w:szCs w:val="22"/>
        </w:rPr>
        <w:instrText xml:space="preserve"> XE "Triad" </w:instrText>
      </w:r>
      <w:r w:rsidR="006661FE" w:rsidRPr="6D50A407">
        <w:rPr>
          <w:rFonts w:ascii="Arial" w:hAnsi="Arial"/>
          <w:sz w:val="22"/>
          <w:szCs w:val="22"/>
        </w:rPr>
        <w:fldChar w:fldCharType="end"/>
      </w:r>
      <w:r w:rsidRPr="6D50A407">
        <w:rPr>
          <w:rFonts w:ascii="Arial" w:hAnsi="Arial"/>
          <w:sz w:val="22"/>
          <w:szCs w:val="22"/>
        </w:rPr>
        <w:t xml:space="preserve"> Demand (kW) for the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concerned. The forecast is based on historical data.</w:t>
      </w:r>
    </w:p>
    <w:p w14:paraId="58D2921A" w14:textId="77777777" w:rsidR="006661FE" w:rsidRDefault="006661FE" w:rsidP="006661FE">
      <w:pPr>
        <w:ind w:left="1440"/>
        <w:jc w:val="both"/>
        <w:rPr>
          <w:rFonts w:ascii="Arial" w:hAnsi="Arial"/>
          <w:sz w:val="22"/>
        </w:rPr>
      </w:pPr>
    </w:p>
    <w:p w14:paraId="213BCB16"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0DEAC417" w14:textId="77777777" w:rsidR="006661FE" w:rsidRDefault="006661FE" w:rsidP="006661FE">
      <w:pPr>
        <w:ind w:left="1440"/>
        <w:jc w:val="both"/>
        <w:rPr>
          <w:rFonts w:ascii="Arial" w:hAnsi="Arial"/>
          <w:sz w:val="22"/>
        </w:rPr>
      </w:pPr>
    </w:p>
    <w:p w14:paraId="02716992" w14:textId="074022EF" w:rsidR="006661FE" w:rsidRDefault="3D47CB0D" w:rsidP="006661FE">
      <w:pPr>
        <w:ind w:left="1440"/>
        <w:jc w:val="both"/>
        <w:rPr>
          <w:rFonts w:ascii="Arial" w:hAnsi="Arial"/>
          <w:sz w:val="22"/>
          <w:szCs w:val="22"/>
        </w:rPr>
      </w:pPr>
      <w:r w:rsidRPr="6D50A407">
        <w:rPr>
          <w:rFonts w:ascii="Arial" w:hAnsi="Arial"/>
          <w:b/>
          <w:bCs/>
          <w:sz w:val="22"/>
          <w:szCs w:val="22"/>
        </w:rPr>
        <w:t>NHHC</w:t>
      </w:r>
      <w:r w:rsidRPr="6D50A407">
        <w:rPr>
          <w:rFonts w:ascii="Arial" w:hAnsi="Arial"/>
          <w:b/>
          <w:bCs/>
          <w:sz w:val="22"/>
          <w:szCs w:val="22"/>
          <w:vertAlign w:val="subscript"/>
        </w:rPr>
        <w:t xml:space="preserve">G </w:t>
      </w:r>
      <w:r w:rsidRPr="6D50A407">
        <w:rPr>
          <w:rFonts w:ascii="Arial" w:hAnsi="Arial"/>
          <w:sz w:val="22"/>
          <w:szCs w:val="22"/>
          <w:vertAlign w:val="subscript"/>
        </w:rPr>
        <w:t xml:space="preserve"> </w:t>
      </w:r>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non-half-hourly metered total energy consumption (kWh) for the period 16:00 hrs to 19:00hrs inclusive (i.e. settlement periods 33 to 38) inclusive over the period the tariff is applicable for the GSP Group concerned.</w:t>
      </w:r>
    </w:p>
    <w:p w14:paraId="53EBB6E4" w14:textId="77777777" w:rsidR="006661FE" w:rsidRDefault="006661FE" w:rsidP="006661FE">
      <w:pPr>
        <w:jc w:val="both"/>
        <w:rPr>
          <w:rFonts w:ascii="Arial" w:hAnsi="Arial"/>
          <w:b/>
          <w:sz w:val="22"/>
        </w:rPr>
      </w:pPr>
    </w:p>
    <w:p w14:paraId="14D43328" w14:textId="77777777" w:rsidR="006661FE" w:rsidRDefault="006661FE" w:rsidP="006661FE">
      <w:pPr>
        <w:pStyle w:val="Heading2"/>
      </w:pPr>
      <w:bookmarkStart w:id="385" w:name="_Toc274049696"/>
      <w:r>
        <w:t>Short Term Transmission Entry Capacity (STTEC) Tariff</w:t>
      </w:r>
      <w:bookmarkEnd w:id="385"/>
    </w:p>
    <w:p w14:paraId="2BBB4659" w14:textId="77777777" w:rsidR="006661FE" w:rsidRDefault="006661FE" w:rsidP="006661FE">
      <w:pPr>
        <w:jc w:val="both"/>
        <w:rPr>
          <w:rFonts w:ascii="Arial" w:hAnsi="Arial"/>
          <w:b/>
          <w:sz w:val="22"/>
        </w:rPr>
      </w:pPr>
    </w:p>
    <w:p w14:paraId="4A867C61" w14:textId="1BD0FCE1" w:rsidR="006661FE" w:rsidRDefault="4DB720A2" w:rsidP="006661FE">
      <w:pPr>
        <w:pStyle w:val="1"/>
        <w:ind w:left="1429" w:hanging="720"/>
        <w:jc w:val="both"/>
      </w:pPr>
      <w:r>
        <w:t xml:space="preserve">14.16.3 The Short Term Transmission Entry Capacity (STTEC) tariff for positive zones is derived from the </w:t>
      </w:r>
      <w:r w:rsidR="44A6D22D">
        <w:t>Effective Tariff (ET</w:t>
      </w:r>
      <w:r w:rsidR="44A6D22D" w:rsidRPr="0537B9E0">
        <w:rPr>
          <w:vertAlign w:val="subscript"/>
        </w:rPr>
        <w:t>Gi</w:t>
      </w:r>
      <w:r w:rsidR="44A6D22D">
        <w:t xml:space="preserve">) </w:t>
      </w:r>
      <w:r>
        <w:t xml:space="preserve"> annual TNUoS £/kW tariff</w:t>
      </w:r>
      <w:r w:rsidR="44A6D22D">
        <w:t>s (14.15.1</w:t>
      </w:r>
      <w:r w:rsidR="7B300B3B">
        <w:t>38</w:t>
      </w:r>
      <w:r w:rsidR="44A6D22D">
        <w:t>)</w:t>
      </w:r>
      <w:r w:rsidR="09BDAE6B">
        <w:t xml:space="preserve">. </w:t>
      </w:r>
      <w:r>
        <w:t xml:space="preserve">If multiple set of tariffs are applicable within a single </w:t>
      </w:r>
      <w:r w:rsidR="091DC3A0" w:rsidRPr="0537B9E0">
        <w:rPr>
          <w:rFonts w:ascii="Arial" w:hAnsi="Arial" w:cs="Arial"/>
          <w:b/>
          <w:bCs/>
        </w:rPr>
        <w:t>Financial Year</w:t>
      </w:r>
      <w:r>
        <w:t>, the Final Tariff used in the STTEC calculation will be prorated in an identical manner to that used when calculating a generators annual liability</w:t>
      </w:r>
      <w:r w:rsidR="48FAB5EC">
        <w:t xml:space="preserve">. </w:t>
      </w:r>
      <w:r w:rsidRPr="0537B9E0">
        <w:rPr>
          <w:rFonts w:cs="Arial"/>
        </w:rPr>
        <w:t xml:space="preserve">The periods over which the tariff would be prorated would be identical to the periods used when calculating the wider tariff (i.e. over the whole </w:t>
      </w:r>
      <w:r w:rsidR="091DC3A0" w:rsidRPr="0537B9E0">
        <w:rPr>
          <w:rFonts w:ascii="Arial" w:hAnsi="Arial" w:cs="Arial"/>
          <w:b/>
          <w:bCs/>
        </w:rPr>
        <w:t>Financial Year</w:t>
      </w:r>
      <w:r w:rsidRPr="0537B9E0">
        <w:rPr>
          <w:rFonts w:cs="Arial"/>
        </w:rPr>
        <w:t>, not just the period that the STTEC is applicable for)</w:t>
      </w:r>
      <w:r w:rsidR="760269BD" w:rsidRPr="0537B9E0">
        <w:rPr>
          <w:rFonts w:cs="Arial"/>
        </w:rPr>
        <w:t xml:space="preserve">. </w:t>
      </w:r>
      <w:r>
        <w:t>STTECs will not be reconciled following a mid year charge change</w:t>
      </w:r>
      <w:r w:rsidR="083EF46A">
        <w:t xml:space="preserve">. </w:t>
      </w:r>
      <w:r>
        <w:t>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245E69FC" w14:textId="77777777" w:rsidR="006661FE" w:rsidRDefault="006661FE" w:rsidP="006661FE">
      <w:pPr>
        <w:jc w:val="both"/>
      </w:pPr>
    </w:p>
    <w:p w14:paraId="5514ACBB" w14:textId="42196373" w:rsidR="006661FE" w:rsidRDefault="006661FE" w:rsidP="006661FE">
      <w:pPr>
        <w:ind w:left="709" w:firstLine="720"/>
        <w:jc w:val="both"/>
        <w:rPr>
          <w:sz w:val="22"/>
        </w:rPr>
      </w:pPr>
      <w:r>
        <w:rPr>
          <w:sz w:val="22"/>
        </w:rPr>
        <w:t xml:space="preserve">  </w:t>
      </w:r>
      <w:r>
        <w:rPr>
          <w:rFonts w:ascii="Arial" w:hAnsi="Arial"/>
          <w:sz w:val="22"/>
        </w:rPr>
        <w:t>STTEC tariff   (£/kW/period)</w:t>
      </w:r>
      <w:r>
        <w:rPr>
          <w:sz w:val="22"/>
        </w:rPr>
        <w:t xml:space="preserve">           </w:t>
      </w:r>
    </w:p>
    <w:p w14:paraId="15336704" w14:textId="77777777" w:rsidR="006661FE" w:rsidRDefault="006661FE" w:rsidP="006661FE">
      <w:pPr>
        <w:ind w:left="709"/>
        <w:jc w:val="both"/>
      </w:pPr>
    </w:p>
    <w:p w14:paraId="7003B933" w14:textId="77777777" w:rsidR="006661FE" w:rsidRDefault="006661FE" w:rsidP="006661FE">
      <w:pPr>
        <w:pStyle w:val="Header"/>
        <w:ind w:left="1287" w:hanging="567"/>
      </w:pPr>
      <w:r>
        <w:tab/>
        <w:t>Where:</w:t>
      </w:r>
    </w:p>
    <w:p w14:paraId="59E4D4EF"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3AC9B4F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672FF690"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3612F12B" w14:textId="77777777" w:rsidR="006661FE" w:rsidRDefault="006661FE" w:rsidP="006661FE">
      <w:pPr>
        <w:pStyle w:val="Variableexplanation"/>
        <w:ind w:left="567"/>
        <w:rPr>
          <w:rFonts w:ascii="Arial" w:hAnsi="Arial"/>
          <w:sz w:val="22"/>
        </w:rPr>
      </w:pPr>
      <w:r>
        <w:rPr>
          <w:rFonts w:ascii="Arial" w:hAnsi="Arial"/>
          <w:sz w:val="22"/>
        </w:rPr>
        <w:br/>
      </w:r>
    </w:p>
    <w:p w14:paraId="0FBAC5F5"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0B48F87C" w14:textId="77777777" w:rsidR="006661FE" w:rsidRDefault="006661FE" w:rsidP="006661FE">
      <w:pPr>
        <w:jc w:val="both"/>
      </w:pPr>
    </w:p>
    <w:p w14:paraId="09717488"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609043D2" w14:textId="77777777" w:rsidR="006661FE" w:rsidRDefault="006661FE" w:rsidP="006661FE">
      <w:pPr>
        <w:ind w:left="720"/>
        <w:jc w:val="both"/>
        <w:rPr>
          <w:rFonts w:ascii="Arial" w:hAnsi="Arial"/>
        </w:rPr>
      </w:pPr>
    </w:p>
    <w:p w14:paraId="1986B4E5" w14:textId="77777777" w:rsidR="006661FE" w:rsidRPr="00DC7159" w:rsidRDefault="006661FE" w:rsidP="006661FE">
      <w:pPr>
        <w:pStyle w:val="Heading2"/>
      </w:pPr>
      <w:bookmarkStart w:id="386" w:name="_Toc274049697"/>
      <w:r w:rsidRPr="00DC7159">
        <w:t>Limited Duration Transmission Entry Capacity (LDTEC) Tariffs</w:t>
      </w:r>
      <w:bookmarkEnd w:id="386"/>
    </w:p>
    <w:p w14:paraId="5FD6745B" w14:textId="77777777" w:rsidR="006661FE" w:rsidRDefault="006661FE" w:rsidP="006661FE">
      <w:pPr>
        <w:pStyle w:val="1"/>
        <w:ind w:left="720" w:hanging="720"/>
        <w:jc w:val="both"/>
      </w:pPr>
    </w:p>
    <w:p w14:paraId="413AA59E" w14:textId="44E1D5D3" w:rsidR="006661FE" w:rsidRPr="0074131D" w:rsidRDefault="4DB720A2" w:rsidP="006661FE">
      <w:pPr>
        <w:pStyle w:val="1"/>
        <w:ind w:left="1440" w:hanging="720"/>
        <w:jc w:val="both"/>
      </w:pPr>
      <w:r>
        <w:t xml:space="preserve">14.16.6 The Limited Duration Transmission Entry Capacity (LDTEC) tariff for positive zones is derived from the equivalent zonal STTEC tariff for up to the initial 17 weeks of LDTEC in a given </w:t>
      </w:r>
      <w:r w:rsidR="091DC3A0" w:rsidRPr="0537B9E0">
        <w:rPr>
          <w:rFonts w:ascii="Arial" w:hAnsi="Arial" w:cs="Arial"/>
          <w:b/>
          <w:bCs/>
        </w:rPr>
        <w:t>Financial Year</w:t>
      </w:r>
      <w:r w:rsidR="091DC3A0" w:rsidRPr="0537B9E0">
        <w:rPr>
          <w:rFonts w:ascii="Arial" w:eastAsia="Arial" w:hAnsi="Arial"/>
          <w:lang w:val="en-US"/>
        </w:rPr>
        <w:t xml:space="preserve"> </w:t>
      </w:r>
      <w:r>
        <w:t>(whether consecutive or not)</w:t>
      </w:r>
      <w:r w:rsidR="6528BB24">
        <w:t xml:space="preserve">. </w:t>
      </w:r>
      <w:r>
        <w:t>For the remaining weeks of the year, the LDTEC tariff is set to collect the balance of the annual TNUoS liability over the maximum duration of LDTEC that can be granted in a single application</w:t>
      </w:r>
      <w:r w:rsidR="057A96AE">
        <w:t xml:space="preserve">. </w:t>
      </w:r>
      <w:r>
        <w:t xml:space="preserve">If multiple set of tariffs are applicable within a single </w:t>
      </w:r>
      <w:r w:rsidR="445B7493" w:rsidRPr="0537B9E0">
        <w:rPr>
          <w:rFonts w:ascii="Arial" w:hAnsi="Arial" w:cs="Arial"/>
          <w:b/>
          <w:bCs/>
        </w:rPr>
        <w:t>Financial Year</w:t>
      </w:r>
      <w:r>
        <w:t>, the Final Tariff used in the LDTEC calculation will be prorated in an identical manner to that used when calculating a generators annual liability</w:t>
      </w:r>
      <w:r w:rsidR="3367E301">
        <w:t xml:space="preserve">. </w:t>
      </w:r>
      <w:r w:rsidRPr="0537B9E0">
        <w:rPr>
          <w:rFonts w:cs="Arial"/>
        </w:rPr>
        <w:t xml:space="preserve">The periods over which the tariff would be prorated would be identical to the periods used when calculating the wider tariff (ie over the whole </w:t>
      </w:r>
      <w:r w:rsidR="445B7493" w:rsidRPr="0537B9E0">
        <w:rPr>
          <w:rFonts w:ascii="Arial" w:hAnsi="Arial" w:cs="Arial"/>
          <w:b/>
          <w:bCs/>
        </w:rPr>
        <w:t>Financial Year</w:t>
      </w:r>
      <w:r w:rsidRPr="0537B9E0">
        <w:rPr>
          <w:rFonts w:cs="Arial"/>
        </w:rPr>
        <w:t>, not just the period that the STTEC is applicable for)</w:t>
      </w:r>
      <w:r w:rsidR="671D351C" w:rsidRPr="0537B9E0">
        <w:rPr>
          <w:rFonts w:cs="Arial"/>
        </w:rPr>
        <w:t xml:space="preserve">. </w:t>
      </w:r>
      <w:r w:rsidRPr="0537B9E0">
        <w:rPr>
          <w:rFonts w:cs="Arial"/>
        </w:rPr>
        <w:t>LD</w:t>
      </w:r>
      <w:r>
        <w:t>TECs will not be reconciled following a mid year charge change:</w:t>
      </w:r>
    </w:p>
    <w:p w14:paraId="01F08115" w14:textId="77777777" w:rsidR="006661FE" w:rsidRPr="0074131D" w:rsidRDefault="006661FE" w:rsidP="006661FE">
      <w:pPr>
        <w:rPr>
          <w:sz w:val="22"/>
          <w:szCs w:val="22"/>
        </w:rPr>
      </w:pPr>
    </w:p>
    <w:p w14:paraId="0294BE93"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1F5FCCDF" w14:textId="77777777" w:rsidR="006661FE" w:rsidRPr="0074131D" w:rsidRDefault="006661FE" w:rsidP="006661FE">
      <w:pPr>
        <w:ind w:left="720" w:firstLine="720"/>
        <w:rPr>
          <w:sz w:val="22"/>
          <w:szCs w:val="22"/>
          <w:u w:val="single"/>
        </w:rPr>
      </w:pPr>
    </w:p>
    <w:p w14:paraId="39434BB8" w14:textId="630905B9" w:rsidR="006661FE" w:rsidRPr="0074131D" w:rsidRDefault="006661FE" w:rsidP="006661FE">
      <w:pPr>
        <w:ind w:left="1440"/>
        <w:rPr>
          <w:sz w:val="22"/>
          <w:szCs w:val="22"/>
        </w:rPr>
      </w:pPr>
    </w:p>
    <w:p w14:paraId="65BC9354" w14:textId="77777777" w:rsidR="006661FE" w:rsidRPr="0074131D" w:rsidRDefault="006661FE" w:rsidP="006661FE">
      <w:pPr>
        <w:ind w:left="720"/>
        <w:rPr>
          <w:sz w:val="22"/>
          <w:szCs w:val="22"/>
        </w:rPr>
      </w:pPr>
    </w:p>
    <w:p w14:paraId="0E6CF448"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04E41DD1" w14:textId="77777777" w:rsidR="006661FE" w:rsidRPr="0074131D" w:rsidRDefault="006661FE" w:rsidP="006661FE">
      <w:pPr>
        <w:ind w:left="720" w:firstLine="720"/>
        <w:rPr>
          <w:sz w:val="22"/>
          <w:szCs w:val="22"/>
          <w:u w:val="single"/>
        </w:rPr>
      </w:pPr>
    </w:p>
    <w:p w14:paraId="3E587C1F" w14:textId="6C2D66F7" w:rsidR="006661FE" w:rsidRPr="0074131D" w:rsidRDefault="006661FE" w:rsidP="006661FE">
      <w:pPr>
        <w:ind w:left="1440"/>
        <w:rPr>
          <w:sz w:val="22"/>
          <w:szCs w:val="22"/>
        </w:rPr>
      </w:pPr>
    </w:p>
    <w:p w14:paraId="639E76A5" w14:textId="77777777" w:rsidR="006661FE" w:rsidRPr="0074131D" w:rsidRDefault="006661FE" w:rsidP="006661FE">
      <w:pPr>
        <w:ind w:left="720"/>
        <w:rPr>
          <w:sz w:val="22"/>
          <w:szCs w:val="22"/>
        </w:rPr>
      </w:pPr>
    </w:p>
    <w:p w14:paraId="513A796C"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4B510A23"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7EFEBBC0" w14:textId="11644E92" w:rsidR="006661FE" w:rsidRPr="0074131D" w:rsidRDefault="3D47CB0D" w:rsidP="006661FE">
      <w:pPr>
        <w:pStyle w:val="1"/>
        <w:ind w:left="2160"/>
      </w:pPr>
      <w:r w:rsidRPr="6D50A407">
        <w:rPr>
          <w:i/>
          <w:iCs/>
        </w:rPr>
        <w:t xml:space="preserve">P </w:t>
      </w:r>
      <w:r>
        <w:t xml:space="preserve">is the premium in % above the annual equivalent TNUoS charge as determined by </w:t>
      </w:r>
      <w:r w:rsidR="2EBFAECD" w:rsidRPr="00EC52BD">
        <w:rPr>
          <w:b/>
          <w:bCs/>
        </w:rPr>
        <w:t>The Company</w:t>
      </w:r>
      <w:r>
        <w:t>, which shall have the value 0.</w:t>
      </w:r>
    </w:p>
    <w:p w14:paraId="0D75A931" w14:textId="77777777" w:rsidR="006661FE" w:rsidRPr="0074131D" w:rsidRDefault="006661FE" w:rsidP="006661FE">
      <w:pPr>
        <w:pStyle w:val="Heading1"/>
        <w:rPr>
          <w:sz w:val="22"/>
          <w:szCs w:val="22"/>
        </w:rPr>
      </w:pPr>
    </w:p>
    <w:p w14:paraId="75E87AC3"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72BA935B" w14:textId="77777777" w:rsidR="006661FE" w:rsidRDefault="006661FE" w:rsidP="006661FE">
      <w:pPr>
        <w:ind w:left="720"/>
        <w:jc w:val="both"/>
        <w:rPr>
          <w:rFonts w:ascii="Arial" w:hAnsi="Arial"/>
        </w:rPr>
      </w:pPr>
    </w:p>
    <w:p w14:paraId="7AB40876" w14:textId="16E2E68E" w:rsidR="006661FE" w:rsidRDefault="6B913268" w:rsidP="0537B9E0">
      <w:pPr>
        <w:pStyle w:val="1"/>
        <w:ind w:left="1440" w:hanging="720"/>
        <w:jc w:val="both"/>
        <w:rPr>
          <w:sz w:val="20"/>
        </w:rPr>
      </w:pPr>
      <w:r>
        <w:t xml:space="preserve">14.16.8 The tariffs applicable for any particular year are detailed in </w:t>
      </w:r>
      <w:r w:rsidR="3D96AF96" w:rsidRPr="0537B9E0">
        <w:rPr>
          <w:b/>
          <w:bCs/>
        </w:rPr>
        <w:t xml:space="preserve">The </w:t>
      </w:r>
      <w:r w:rsidRPr="0537B9E0">
        <w:rPr>
          <w:b/>
          <w:bCs/>
        </w:rPr>
        <w:t>Company</w:t>
      </w:r>
      <w:r>
        <w:t xml:space="preserve">'s </w:t>
      </w:r>
      <w:r w:rsidRPr="0537B9E0">
        <w:rPr>
          <w:b/>
          <w:bCs/>
        </w:rPr>
        <w:t>Statement of Use of System Charges</w:t>
      </w:r>
      <w:r w:rsidRPr="0537B9E0">
        <w:rPr>
          <w:b/>
          <w:bCs/>
          <w:i/>
          <w:iCs/>
        </w:rPr>
        <w:t xml:space="preserve"> </w:t>
      </w:r>
      <w:r>
        <w:t xml:space="preserve">which is available from the </w:t>
      </w:r>
      <w:r w:rsidRPr="0537B9E0">
        <w:rPr>
          <w:b/>
          <w:bCs/>
        </w:rPr>
        <w:t>Charging website</w:t>
      </w:r>
      <w:r w:rsidR="606F96D2" w:rsidRPr="0537B9E0">
        <w:rPr>
          <w:b/>
          <w:bCs/>
        </w:rPr>
        <w:t xml:space="preserve">. </w:t>
      </w:r>
      <w:r>
        <w:t xml:space="preserve">Historical tariffs are also available on the </w:t>
      </w:r>
      <w:r w:rsidRPr="0537B9E0">
        <w:rPr>
          <w:b/>
          <w:bCs/>
        </w:rPr>
        <w:t>Charging website.</w:t>
      </w:r>
    </w:p>
    <w:p w14:paraId="67B58130" w14:textId="77777777" w:rsidR="006661FE" w:rsidRDefault="006661FE" w:rsidP="006661FE">
      <w:pPr>
        <w:pStyle w:val="Heading1"/>
      </w:pPr>
      <w:bookmarkStart w:id="387" w:name="_Toc32201084"/>
    </w:p>
    <w:p w14:paraId="392A050D" w14:textId="77777777" w:rsidR="006661FE" w:rsidRDefault="006661FE" w:rsidP="006661FE">
      <w:pPr>
        <w:pStyle w:val="1"/>
        <w:ind w:left="720" w:hanging="720"/>
      </w:pPr>
    </w:p>
    <w:p w14:paraId="1C108BCE" w14:textId="77777777" w:rsidR="006661FE" w:rsidRDefault="006661FE" w:rsidP="006661FE"/>
    <w:p w14:paraId="41D02DA3" w14:textId="77777777" w:rsidR="006661FE" w:rsidRDefault="006661FE" w:rsidP="006661FE"/>
    <w:p w14:paraId="6A738AD9" w14:textId="77777777" w:rsidR="006661FE" w:rsidRDefault="006661FE" w:rsidP="006661FE">
      <w:pPr>
        <w:pStyle w:val="Heading1"/>
        <w:jc w:val="left"/>
        <w:rPr>
          <w:color w:val="008080"/>
          <w:sz w:val="24"/>
        </w:rPr>
      </w:pPr>
    </w:p>
    <w:p w14:paraId="6DA28F5B" w14:textId="77777777" w:rsidR="006661FE" w:rsidRPr="00D54761" w:rsidRDefault="006661FE" w:rsidP="006661FE">
      <w:pPr>
        <w:pStyle w:val="Heading1"/>
        <w:jc w:val="left"/>
        <w:rPr>
          <w:color w:val="auto"/>
          <w:sz w:val="28"/>
          <w:szCs w:val="28"/>
        </w:rPr>
      </w:pPr>
      <w:r>
        <w:br w:type="page"/>
      </w:r>
      <w:bookmarkStart w:id="388" w:name="_Toc32201085"/>
      <w:bookmarkStart w:id="389" w:name="_Toc49661123"/>
      <w:bookmarkStart w:id="390" w:name="_Toc274049698"/>
      <w:bookmarkEnd w:id="387"/>
      <w:r w:rsidRPr="00D54761">
        <w:rPr>
          <w:color w:val="auto"/>
          <w:sz w:val="28"/>
          <w:szCs w:val="28"/>
        </w:rPr>
        <w:lastRenderedPageBreak/>
        <w:t>14.17 Demand Charges</w:t>
      </w:r>
      <w:bookmarkEnd w:id="388"/>
      <w:bookmarkEnd w:id="389"/>
      <w:bookmarkEnd w:id="390"/>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10627ED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DA7A2A4" w14:textId="77777777" w:rsidR="006661FE" w:rsidRDefault="006661FE" w:rsidP="006661FE">
      <w:pPr>
        <w:pStyle w:val="Heading2"/>
      </w:pPr>
      <w:bookmarkStart w:id="391" w:name="_Toc32201086"/>
      <w:bookmarkStart w:id="392" w:name="_Toc49661124"/>
      <w:bookmarkStart w:id="393" w:name="_Toc274049699"/>
      <w:r>
        <w:t>Parties Liable for Demand Charges</w:t>
      </w:r>
      <w:bookmarkEnd w:id="391"/>
      <w:bookmarkEnd w:id="392"/>
      <w:bookmarkEnd w:id="393"/>
    </w:p>
    <w:p w14:paraId="13174672" w14:textId="77777777" w:rsidR="006661FE" w:rsidRDefault="006661FE" w:rsidP="006661FE">
      <w:pPr>
        <w:pStyle w:val="BodyText2"/>
      </w:pPr>
    </w:p>
    <w:p w14:paraId="7EF64738" w14:textId="023E81C4" w:rsidR="006661FE" w:rsidRPr="000041BE" w:rsidRDefault="39E75A13" w:rsidP="0537B9E0">
      <w:pPr>
        <w:pStyle w:val="BodyText2"/>
        <w:numPr>
          <w:ilvl w:val="0"/>
          <w:numId w:val="75"/>
        </w:numPr>
        <w:rPr>
          <w:rFonts w:ascii="Arial" w:hAnsi="Arial" w:cs="Arial"/>
          <w:i w:val="0"/>
        </w:rPr>
      </w:pPr>
      <w:r w:rsidRPr="0537B9E0">
        <w:rPr>
          <w:rFonts w:ascii="Arial" w:hAnsi="Arial" w:cs="Arial"/>
          <w:i w:val="0"/>
        </w:rPr>
        <w:t>Demand charges are subdivided into charges for  demand</w:t>
      </w:r>
      <w:r w:rsidR="5BE4389D" w:rsidRPr="0537B9E0">
        <w:rPr>
          <w:rFonts w:ascii="Arial" w:hAnsi="Arial" w:cs="Arial"/>
          <w:i w:val="0"/>
        </w:rPr>
        <w:t xml:space="preserve"> locational </w:t>
      </w:r>
      <w:r w:rsidR="5BE4389D" w:rsidRPr="0537B9E0">
        <w:rPr>
          <w:rFonts w:ascii="Arial" w:hAnsi="Arial" w:cs="Arial"/>
          <w:b/>
          <w:bCs/>
          <w:i w:val="0"/>
        </w:rPr>
        <w:t>Transmission Demand Residual</w:t>
      </w:r>
      <w:r w:rsidRPr="0537B9E0">
        <w:rPr>
          <w:rFonts w:ascii="Arial" w:hAnsi="Arial" w:cs="Arial"/>
          <w:i w:val="0"/>
        </w:rPr>
        <w:t xml:space="preserve">, </w:t>
      </w:r>
      <w:bookmarkStart w:id="394" w:name="_Int_8NZgU8u1"/>
      <w:r w:rsidRPr="0537B9E0">
        <w:rPr>
          <w:rFonts w:ascii="Arial" w:hAnsi="Arial" w:cs="Arial"/>
          <w:i w:val="0"/>
        </w:rPr>
        <w:t>energy</w:t>
      </w:r>
      <w:bookmarkEnd w:id="394"/>
      <w:r w:rsidRPr="0537B9E0">
        <w:rPr>
          <w:rFonts w:ascii="Arial" w:hAnsi="Arial" w:cs="Arial"/>
          <w:i w:val="0"/>
        </w:rPr>
        <w:t xml:space="preserve"> and embedded export. </w:t>
      </w:r>
      <w:r w:rsidR="4DB720A2" w:rsidRPr="0537B9E0">
        <w:rPr>
          <w:rFonts w:ascii="Arial" w:hAnsi="Arial" w:cs="Arial"/>
          <w:i w:val="0"/>
        </w:rPr>
        <w:t>The following parties shall be liable for</w:t>
      </w:r>
      <w:r w:rsidRPr="0537B9E0">
        <w:rPr>
          <w:rFonts w:ascii="Arial" w:hAnsi="Arial" w:cs="Arial"/>
          <w:i w:val="0"/>
        </w:rPr>
        <w:t xml:space="preserve"> some or </w:t>
      </w:r>
      <w:bookmarkStart w:id="395" w:name="_Int_UK3QItuu"/>
      <w:r w:rsidRPr="0537B9E0">
        <w:rPr>
          <w:rFonts w:ascii="Arial" w:hAnsi="Arial" w:cs="Arial"/>
          <w:i w:val="0"/>
        </w:rPr>
        <w:t>all of</w:t>
      </w:r>
      <w:bookmarkEnd w:id="395"/>
      <w:r w:rsidRPr="0537B9E0">
        <w:rPr>
          <w:rFonts w:ascii="Arial" w:hAnsi="Arial" w:cs="Arial"/>
          <w:i w:val="0"/>
        </w:rPr>
        <w:t xml:space="preserve"> the categories of</w:t>
      </w:r>
      <w:r w:rsidR="4DB720A2" w:rsidRPr="0537B9E0">
        <w:rPr>
          <w:rFonts w:ascii="Arial" w:hAnsi="Arial" w:cs="Arial"/>
          <w:i w:val="0"/>
        </w:rPr>
        <w:t xml:space="preserve"> demand charges:</w:t>
      </w:r>
    </w:p>
    <w:p w14:paraId="49173E4F" w14:textId="77777777" w:rsidR="006661FE" w:rsidRDefault="006661FE" w:rsidP="006661FE">
      <w:pPr>
        <w:pStyle w:val="1"/>
        <w:jc w:val="both"/>
      </w:pPr>
    </w:p>
    <w:p w14:paraId="1BBE260E" w14:textId="77777777" w:rsidR="006661FE" w:rsidRDefault="006661FE" w:rsidP="00533333">
      <w:pPr>
        <w:pStyle w:val="1"/>
        <w:numPr>
          <w:ilvl w:val="0"/>
          <w:numId w:val="54"/>
        </w:numPr>
        <w:tabs>
          <w:tab w:val="clear" w:pos="360"/>
          <w:tab w:val="num" w:pos="1440"/>
          <w:tab w:val="num" w:pos="1494"/>
        </w:tabs>
        <w:ind w:left="1800"/>
        <w:jc w:val="both"/>
      </w:pPr>
      <w:r>
        <w:t>The Lead Party of a Supplier BM Unit;</w:t>
      </w:r>
    </w:p>
    <w:p w14:paraId="68C6BA41" w14:textId="77777777" w:rsidR="006661FE" w:rsidRDefault="006661FE" w:rsidP="006661FE">
      <w:pPr>
        <w:pStyle w:val="1"/>
        <w:tabs>
          <w:tab w:val="num" w:pos="1134"/>
        </w:tabs>
        <w:ind w:left="1440"/>
        <w:jc w:val="both"/>
      </w:pPr>
    </w:p>
    <w:p w14:paraId="2AE44148" w14:textId="77777777" w:rsidR="006661FE" w:rsidRDefault="006661FE" w:rsidP="00533333">
      <w:pPr>
        <w:pStyle w:val="1"/>
        <w:numPr>
          <w:ilvl w:val="0"/>
          <w:numId w:val="54"/>
        </w:numPr>
        <w:tabs>
          <w:tab w:val="clear" w:pos="360"/>
          <w:tab w:val="num" w:pos="1440"/>
          <w:tab w:val="num" w:pos="1494"/>
        </w:tabs>
        <w:ind w:left="1800"/>
        <w:jc w:val="both"/>
      </w:pPr>
      <w:r>
        <w:t>Power Stations with a Bilateral Connection Agreement;</w:t>
      </w:r>
    </w:p>
    <w:p w14:paraId="11A92FB1" w14:textId="77777777" w:rsidR="006661FE" w:rsidRDefault="006661FE" w:rsidP="006661FE">
      <w:pPr>
        <w:pStyle w:val="1"/>
        <w:tabs>
          <w:tab w:val="num" w:pos="1134"/>
        </w:tabs>
        <w:ind w:left="720"/>
        <w:jc w:val="both"/>
      </w:pPr>
    </w:p>
    <w:p w14:paraId="2297462F" w14:textId="77777777" w:rsidR="006661FE" w:rsidRDefault="006661FE" w:rsidP="00533333">
      <w:pPr>
        <w:pStyle w:val="1"/>
        <w:numPr>
          <w:ilvl w:val="0"/>
          <w:numId w:val="54"/>
        </w:numPr>
        <w:tabs>
          <w:tab w:val="clear" w:pos="360"/>
          <w:tab w:val="num" w:pos="1440"/>
          <w:tab w:val="num" w:pos="1494"/>
        </w:tabs>
        <w:ind w:left="1800"/>
        <w:jc w:val="both"/>
      </w:pPr>
      <w:r>
        <w:t>Parties with a Bilateral Embedded Generation Agreement</w:t>
      </w:r>
    </w:p>
    <w:p w14:paraId="206C4B59" w14:textId="77777777" w:rsidR="006661FE" w:rsidRDefault="006661FE" w:rsidP="006661FE">
      <w:pPr>
        <w:pStyle w:val="1"/>
        <w:tabs>
          <w:tab w:val="num" w:pos="1134"/>
        </w:tabs>
        <w:jc w:val="both"/>
      </w:pPr>
    </w:p>
    <w:p w14:paraId="759359B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30E6A1A5" w14:textId="77777777" w:rsidR="006661FE" w:rsidRDefault="006661FE" w:rsidP="00533333">
      <w:pPr>
        <w:pStyle w:val="1"/>
        <w:numPr>
          <w:ilvl w:val="0"/>
          <w:numId w:val="75"/>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1AD405B2" w14:textId="77777777" w:rsidR="006661FE" w:rsidRDefault="006661FE" w:rsidP="006661FE">
      <w:pPr>
        <w:pStyle w:val="1"/>
        <w:tabs>
          <w:tab w:val="num" w:pos="1134"/>
        </w:tabs>
        <w:jc w:val="both"/>
      </w:pPr>
    </w:p>
    <w:p w14:paraId="52EB2D78" w14:textId="3304DCA6" w:rsidR="006661FE" w:rsidRDefault="006661FE" w:rsidP="006661FE">
      <w:pPr>
        <w:pStyle w:val="Heading2"/>
      </w:pPr>
      <w:bookmarkStart w:id="396" w:name="_Toc32201087"/>
      <w:bookmarkStart w:id="397" w:name="_Toc49661125"/>
      <w:bookmarkStart w:id="398" w:name="_Toc274049700"/>
      <w:r>
        <w:t xml:space="preserve">Basis of </w:t>
      </w:r>
      <w:r w:rsidR="00A26D6E">
        <w:t xml:space="preserve"> </w:t>
      </w:r>
      <w:r>
        <w:t>Demand</w:t>
      </w:r>
      <w:r w:rsidR="00862939">
        <w:t xml:space="preserve"> Locational</w:t>
      </w:r>
      <w:r>
        <w:t xml:space="preserve"> Charges</w:t>
      </w:r>
      <w:bookmarkEnd w:id="396"/>
      <w:bookmarkEnd w:id="397"/>
      <w:bookmarkEnd w:id="398"/>
    </w:p>
    <w:p w14:paraId="233C2A17" w14:textId="77777777" w:rsidR="006661FE" w:rsidRDefault="006661FE" w:rsidP="006661FE">
      <w:pPr>
        <w:pStyle w:val="1"/>
        <w:tabs>
          <w:tab w:val="num" w:pos="1134"/>
        </w:tabs>
        <w:jc w:val="both"/>
      </w:pPr>
    </w:p>
    <w:p w14:paraId="5627717F" w14:textId="5C9198BC" w:rsidR="006661FE" w:rsidRDefault="00A26D6E" w:rsidP="00533333">
      <w:pPr>
        <w:pStyle w:val="1"/>
        <w:numPr>
          <w:ilvl w:val="0"/>
          <w:numId w:val="75"/>
        </w:numPr>
        <w:jc w:val="both"/>
      </w:pPr>
      <w:r>
        <w:t xml:space="preserve"> </w:t>
      </w:r>
      <w:r w:rsidR="006661FE">
        <w:t>Demand</w:t>
      </w:r>
      <w:r w:rsidR="00862939">
        <w:t xml:space="preserve"> Locational</w:t>
      </w:r>
      <w:r w:rsidR="006661FE">
        <w:t xml:space="preserve"> charges are based on a de</w:t>
      </w:r>
      <w:r>
        <w:t xml:space="preserve"> minimis </w:t>
      </w:r>
      <w:r w:rsidR="006661FE">
        <w:t>£0/kW charge for Half Hourly and £0/kWh for Non Half Hourly metered demand.</w:t>
      </w:r>
    </w:p>
    <w:p w14:paraId="4239F75E" w14:textId="77777777" w:rsidR="006661FE" w:rsidRDefault="006661FE" w:rsidP="006661FE">
      <w:pPr>
        <w:pStyle w:val="1"/>
        <w:jc w:val="both"/>
      </w:pPr>
    </w:p>
    <w:p w14:paraId="44D3B002" w14:textId="318A68BD" w:rsidR="006661FE" w:rsidRDefault="4DB720A2" w:rsidP="00533333">
      <w:pPr>
        <w:pStyle w:val="1"/>
        <w:numPr>
          <w:ilvl w:val="0"/>
          <w:numId w:val="75"/>
        </w:numPr>
        <w:jc w:val="both"/>
      </w:pPr>
      <w:r>
        <w:t xml:space="preserve">Chargeable </w:t>
      </w:r>
      <w:r w:rsidR="39E75A13">
        <w:t xml:space="preserve"> </w:t>
      </w:r>
      <w:r>
        <w:t xml:space="preserve">Demand </w:t>
      </w:r>
      <w:r w:rsidR="430D9CEE">
        <w:t xml:space="preserve">Locational </w:t>
      </w:r>
      <w:r>
        <w:t xml:space="preserve">Capacity is the value of </w:t>
      </w:r>
      <w:r w:rsidR="430D9CEE">
        <w:t>Half</w:t>
      </w:r>
      <w:r w:rsidR="6035628B">
        <w:t xml:space="preserve"> Hourly metered </w:t>
      </w:r>
      <w:r>
        <w:t xml:space="preserve">Triad </w:t>
      </w:r>
      <w:r w:rsidR="39E75A13">
        <w:t xml:space="preserve"> </w:t>
      </w:r>
      <w:r>
        <w:t>demand (kW)</w:t>
      </w:r>
      <w:r w:rsidR="03B81913">
        <w:t xml:space="preserve">. </w:t>
      </w:r>
      <w:r>
        <w:t>Chargeable Energy Capacity is the energy consumption (kWh)</w:t>
      </w:r>
      <w:r w:rsidR="67E44F2C">
        <w:t xml:space="preserve">. </w:t>
      </w:r>
      <w:r>
        <w:t>The definition of both these terms is set out below.</w:t>
      </w:r>
    </w:p>
    <w:p w14:paraId="081414EC" w14:textId="77777777" w:rsidR="006661FE" w:rsidRDefault="006661FE" w:rsidP="006661FE">
      <w:pPr>
        <w:pStyle w:val="1"/>
        <w:jc w:val="both"/>
      </w:pPr>
    </w:p>
    <w:p w14:paraId="05734D32" w14:textId="56FEA2CE" w:rsidR="006661FE" w:rsidRDefault="4DB720A2" w:rsidP="00533333">
      <w:pPr>
        <w:pStyle w:val="1"/>
        <w:numPr>
          <w:ilvl w:val="0"/>
          <w:numId w:val="75"/>
        </w:numPr>
        <w:jc w:val="both"/>
      </w:pPr>
      <w:r>
        <w:t xml:space="preserve">If there is a single set of </w:t>
      </w:r>
      <w:r w:rsidR="39E75A13">
        <w:t xml:space="preserve"> </w:t>
      </w:r>
      <w:r>
        <w:t>demand</w:t>
      </w:r>
      <w:r w:rsidR="43B4EA84">
        <w:t xml:space="preserve"> locational</w:t>
      </w:r>
      <w:r>
        <w:t xml:space="preserve"> tariffs within a </w:t>
      </w:r>
      <w:r w:rsidR="445B7493" w:rsidRPr="0537B9E0">
        <w:rPr>
          <w:rFonts w:ascii="Arial" w:hAnsi="Arial" w:cs="Arial"/>
          <w:b/>
          <w:bCs/>
        </w:rPr>
        <w:t>Financial Year</w:t>
      </w:r>
      <w:r>
        <w:t xml:space="preserve">, the Chargeable </w:t>
      </w:r>
      <w:r w:rsidR="39E75A13">
        <w:t xml:space="preserve"> </w:t>
      </w:r>
      <w:r>
        <w:t>Demand</w:t>
      </w:r>
      <w:r w:rsidR="73E7D57B">
        <w:t xml:space="preserve"> Locational</w:t>
      </w:r>
      <w:r>
        <w:t xml:space="preserve"> Capacity is multiplied by the relevant </w:t>
      </w:r>
      <w:r w:rsidR="39E75A13">
        <w:t xml:space="preserve"> </w:t>
      </w:r>
      <w:r>
        <w:t>demand</w:t>
      </w:r>
      <w:r w:rsidR="73E7D57B">
        <w:t xml:space="preserve"> locational </w:t>
      </w:r>
      <w:r>
        <w:t xml:space="preserve">tariff, for the calculation of </w:t>
      </w:r>
      <w:r w:rsidR="39E75A13">
        <w:t xml:space="preserve"> </w:t>
      </w:r>
      <w:r>
        <w:t>demand</w:t>
      </w:r>
      <w:r w:rsidR="69CF9320">
        <w:t xml:space="preserve"> locational</w:t>
      </w:r>
      <w:r>
        <w:t xml:space="preserve"> charges</w:t>
      </w:r>
      <w:r w:rsidR="0E91C59D">
        <w:t xml:space="preserve">. </w:t>
      </w:r>
    </w:p>
    <w:p w14:paraId="33653821" w14:textId="77777777" w:rsidR="006661FE" w:rsidRDefault="006661FE" w:rsidP="006661FE">
      <w:pPr>
        <w:pStyle w:val="1"/>
        <w:jc w:val="both"/>
      </w:pPr>
    </w:p>
    <w:p w14:paraId="4D270FF9" w14:textId="0321048C" w:rsidR="006661FE" w:rsidRDefault="006661FE" w:rsidP="00533333">
      <w:pPr>
        <w:pStyle w:val="1"/>
        <w:numPr>
          <w:ilvl w:val="0"/>
          <w:numId w:val="75"/>
        </w:numPr>
        <w:jc w:val="both"/>
      </w:pPr>
      <w:r>
        <w:t xml:space="preserve">If there is a single set of energy tariffs within a </w:t>
      </w:r>
      <w:r w:rsidR="00FE137D" w:rsidRPr="00E71FFB">
        <w:rPr>
          <w:rFonts w:ascii="Arial" w:hAnsi="Arial" w:cs="Arial"/>
          <w:b/>
        </w:rPr>
        <w:t>Financial Year</w:t>
      </w:r>
      <w:r>
        <w:t>, the Chargeable Energy Capacity is multiplied by the relevant energy consumption tariff for the calculation of energy charges.</w:t>
      </w:r>
    </w:p>
    <w:p w14:paraId="6E9C8FF5" w14:textId="77777777" w:rsidR="006661FE" w:rsidRDefault="006661FE" w:rsidP="006661FE">
      <w:pPr>
        <w:pStyle w:val="1"/>
        <w:jc w:val="both"/>
      </w:pPr>
    </w:p>
    <w:p w14:paraId="074B954E" w14:textId="52FE431A" w:rsidR="006661FE" w:rsidRDefault="006661FE" w:rsidP="00533333">
      <w:pPr>
        <w:pStyle w:val="1"/>
        <w:numPr>
          <w:ilvl w:val="0"/>
          <w:numId w:val="75"/>
        </w:numPr>
        <w:jc w:val="both"/>
      </w:pPr>
      <w:r>
        <w:t xml:space="preserve">If multiple sets of </w:t>
      </w:r>
      <w:r w:rsidR="00A26D6E">
        <w:t xml:space="preserve"> </w:t>
      </w:r>
      <w:r>
        <w:t>demand</w:t>
      </w:r>
      <w:r w:rsidR="007018D6">
        <w:t xml:space="preserve"> locational</w:t>
      </w:r>
      <w:r>
        <w:t xml:space="preserve"> tariffs are applicable within a single </w:t>
      </w:r>
      <w:r w:rsidR="00FE137D" w:rsidRPr="00E71FFB">
        <w:rPr>
          <w:rFonts w:ascii="Arial" w:hAnsi="Arial" w:cs="Arial"/>
          <w:b/>
        </w:rPr>
        <w:t>Financial Year</w:t>
      </w:r>
      <w:r>
        <w:t xml:space="preserve">, </w:t>
      </w:r>
      <w:r w:rsidR="00A26D6E">
        <w:t xml:space="preserve"> </w:t>
      </w:r>
      <w:r>
        <w:t>demand</w:t>
      </w:r>
      <w:r w:rsidR="00E30870">
        <w:t xml:space="preserve"> locational</w:t>
      </w:r>
      <w:r>
        <w:t xml:space="preserve"> charges will be calculated by multiplying the Chargeable </w:t>
      </w:r>
      <w:r w:rsidR="00A26D6E">
        <w:t xml:space="preserve"> </w:t>
      </w:r>
      <w:r>
        <w:t>Demand</w:t>
      </w:r>
      <w:r w:rsidR="00D3024F">
        <w:t xml:space="preserve"> Locational</w:t>
      </w:r>
      <w:r>
        <w:t xml:space="preserve"> Capacity by the relevant tariffs pro rated across the months that they are applicable for, as below, </w:t>
      </w:r>
    </w:p>
    <w:p w14:paraId="79AB8901" w14:textId="77777777" w:rsidR="006661FE" w:rsidRDefault="006661FE" w:rsidP="006661FE">
      <w:pPr>
        <w:pStyle w:val="StyleArial11ptJustified"/>
        <w:ind w:left="1440" w:firstLine="720"/>
        <w:rPr>
          <w:rFonts w:cs="Arial"/>
          <w:position w:val="-28"/>
          <w:szCs w:val="22"/>
        </w:rPr>
      </w:pPr>
    </w:p>
    <w:p w14:paraId="44B3E9FE" w14:textId="02A416DC" w:rsidR="00A26D6E" w:rsidRDefault="00B428B8" w:rsidP="00B67876">
      <w:pPr>
        <w:pStyle w:val="StyleArial11ptJustified"/>
        <w:ind w:left="1440" w:firstLine="720"/>
        <w:jc w:val="center"/>
        <w:rPr>
          <w:rFonts w:cs="Arial"/>
          <w:szCs w:val="22"/>
        </w:rPr>
      </w:pPr>
      <m:oMathPara>
        <m:oMath>
          <m:sSub>
            <m:sSubPr>
              <m:ctrlPr>
                <w:rPr>
                  <w:rFonts w:ascii="Cambria Math" w:eastAsia="Calibri" w:hAnsi="Cambria Math"/>
                  <w:i/>
                  <w:sz w:val="18"/>
                  <w:szCs w:val="18"/>
                </w:rPr>
              </m:ctrlPr>
            </m:sSubPr>
            <m:e>
              <m:r>
                <w:rPr>
                  <w:rFonts w:ascii="Cambria Math" w:eastAsia="Calibri" w:hAnsi="Cambria Math"/>
                  <w:sz w:val="18"/>
                  <w:szCs w:val="18"/>
                </w:rPr>
                <m:t>Annual</m:t>
              </m:r>
              <m:r>
                <w:rPr>
                  <w:rFonts w:ascii="Cambria Math" w:eastAsia="Calibri" w:hAnsi="Cambria Math"/>
                  <w:sz w:val="18"/>
                  <w:szCs w:val="18"/>
                </w:rPr>
                <m:t xml:space="preserve"> </m:t>
              </m:r>
              <m:r>
                <w:rPr>
                  <w:rFonts w:ascii="Cambria Math" w:eastAsia="Calibri" w:hAnsi="Cambria Math"/>
                  <w:sz w:val="18"/>
                  <w:szCs w:val="18"/>
                </w:rPr>
                <m:t>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hint="eastAsia"/>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hint="eastAsia"/>
                          <w:sz w:val="18"/>
                          <w:szCs w:val="18"/>
                        </w:rPr>
                        <m:t>×</m:t>
                      </m:r>
                      <m:r>
                        <w:rPr>
                          <w:rFonts w:ascii="Cambria Math" w:eastAsia="Calibri" w:hAnsi="Cambria Math"/>
                          <w:sz w:val="18"/>
                          <w:szCs w:val="18"/>
                        </w:rPr>
                        <m:t>Tariff</m:t>
                      </m:r>
                      <m:r>
                        <w:rPr>
                          <w:rFonts w:ascii="Cambria Math" w:eastAsia="Calibri" w:hAnsi="Cambria Math"/>
                          <w:sz w:val="18"/>
                          <w:szCs w:val="18"/>
                        </w:rPr>
                        <m:t xml:space="preserve">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hint="eastAsia"/>
                          <w:sz w:val="18"/>
                          <w:szCs w:val="18"/>
                        </w:rPr>
                        <m:t>×</m:t>
                      </m:r>
                      <m:r>
                        <w:rPr>
                          <w:rFonts w:ascii="Cambria Math" w:eastAsia="Calibri" w:hAnsi="Cambria Math"/>
                          <w:sz w:val="18"/>
                          <w:szCs w:val="18"/>
                        </w:rPr>
                        <m:t>Tariff</m:t>
                      </m:r>
                      <m:r>
                        <w:rPr>
                          <w:rFonts w:ascii="Cambria Math" w:eastAsia="Calibri" w:hAnsi="Cambria Math"/>
                          <w:sz w:val="18"/>
                          <w:szCs w:val="18"/>
                        </w:rPr>
                        <m:t xml:space="preserve"> 2</m:t>
                      </m:r>
                    </m:e>
                  </m:d>
                </m:num>
                <m:den>
                  <m:r>
                    <w:rPr>
                      <w:rFonts w:ascii="Cambria Math" w:eastAsia="Calibri" w:hAnsi="Cambria Math"/>
                      <w:sz w:val="18"/>
                      <w:szCs w:val="18"/>
                    </w:rPr>
                    <m:t>12</m:t>
                  </m:r>
                </m:den>
              </m:f>
            </m:e>
          </m:d>
        </m:oMath>
      </m:oMathPara>
    </w:p>
    <w:p w14:paraId="45248E37" w14:textId="77777777" w:rsidR="006661FE" w:rsidRDefault="006661FE" w:rsidP="006661FE">
      <w:pPr>
        <w:pStyle w:val="StyleArial11ptJustified"/>
        <w:ind w:left="1440" w:firstLine="720"/>
        <w:rPr>
          <w:rFonts w:cs="Arial"/>
          <w:szCs w:val="22"/>
        </w:rPr>
      </w:pPr>
      <w:r>
        <w:rPr>
          <w:rFonts w:cs="Arial"/>
          <w:szCs w:val="22"/>
        </w:rPr>
        <w:t>where:</w:t>
      </w:r>
      <w:r>
        <w:rPr>
          <w:rFonts w:cs="Arial"/>
          <w:szCs w:val="22"/>
        </w:rPr>
        <w:tab/>
      </w:r>
    </w:p>
    <w:p w14:paraId="26709EC3" w14:textId="77777777" w:rsidR="006661FE" w:rsidRDefault="006661FE" w:rsidP="006661FE">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9875CF5" w14:textId="77777777" w:rsidR="006661FE" w:rsidRDefault="006661FE" w:rsidP="006661FE">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6905ECBB" w14:textId="77777777" w:rsidR="006661FE" w:rsidRDefault="006661FE" w:rsidP="006661FE">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2357B7F3" w14:textId="77777777" w:rsidR="006661FE" w:rsidRDefault="006661FE"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77389BF9" w14:textId="77777777" w:rsidR="006661FE" w:rsidRDefault="006661FE" w:rsidP="006661FE">
      <w:pPr>
        <w:pStyle w:val="StyleArial11ptJustified"/>
        <w:ind w:left="1440" w:firstLine="720"/>
        <w:rPr>
          <w:rFonts w:cs="Arial"/>
          <w:szCs w:val="22"/>
        </w:rPr>
      </w:pPr>
    </w:p>
    <w:p w14:paraId="51C49039" w14:textId="6CB1EE17" w:rsidR="006661FE" w:rsidRPr="002F7695" w:rsidRDefault="00827678" w:rsidP="006661FE">
      <w:pPr>
        <w:pStyle w:val="StyleArial11ptJustified"/>
        <w:ind w:left="1440" w:firstLine="720"/>
        <w:rPr>
          <w:rFonts w:cs="Arial"/>
          <w:sz w:val="12"/>
          <w:szCs w:val="12"/>
        </w:rPr>
      </w:pPr>
      <w:r w:rsidRPr="001D022C">
        <w:rPr>
          <w:rFonts w:cs="Arial"/>
          <w:noProof/>
        </w:rPr>
        <w:lastRenderedPageBreak/>
        <w:drawing>
          <wp:inline distT="0" distB="0" distL="0" distR="0" wp14:anchorId="0107CD10" wp14:editId="479F4DAB">
            <wp:extent cx="3867150" cy="166687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67150" cy="1666875"/>
                    </a:xfrm>
                    <a:prstGeom prst="rect">
                      <a:avLst/>
                    </a:prstGeom>
                    <a:noFill/>
                    <a:ln>
                      <a:noFill/>
                    </a:ln>
                  </pic:spPr>
                </pic:pic>
              </a:graphicData>
            </a:graphic>
          </wp:inline>
        </w:drawing>
      </w:r>
    </w:p>
    <w:p w14:paraId="7CDDC2C7" w14:textId="24D40CFD" w:rsidR="006661FE" w:rsidRDefault="006661FE" w:rsidP="006661FE">
      <w:pPr>
        <w:pStyle w:val="1"/>
        <w:ind w:left="1440"/>
        <w:jc w:val="both"/>
      </w:pPr>
    </w:p>
    <w:p w14:paraId="628657F5" w14:textId="77777777" w:rsidR="006661FE" w:rsidRDefault="006661FE" w:rsidP="006661FE">
      <w:pPr>
        <w:pStyle w:val="1"/>
        <w:tabs>
          <w:tab w:val="num" w:pos="1134"/>
        </w:tabs>
        <w:jc w:val="both"/>
      </w:pPr>
    </w:p>
    <w:p w14:paraId="20542E7D" w14:textId="77777777" w:rsidR="00827678" w:rsidRDefault="00827678" w:rsidP="00533333">
      <w:pPr>
        <w:pStyle w:val="1"/>
        <w:numPr>
          <w:ilvl w:val="0"/>
          <w:numId w:val="110"/>
        </w:numPr>
        <w:jc w:val="both"/>
      </w:pPr>
      <w:r>
        <w:t xml:space="preserve">If multiple sets of energy tariffs are applicable within a single </w:t>
      </w:r>
      <w:r w:rsidRPr="00E71FFB">
        <w:rPr>
          <w:rFonts w:ascii="Arial" w:hAnsi="Arial" w:cs="Arial"/>
          <w:b/>
        </w:rPr>
        <w:t>Financial Year</w:t>
      </w:r>
      <w:r>
        <w:t xml:space="preserve">, energy  charges will be calculated by multiplying relevant Tariffs by the Chargeable Energy Capacity over the period that that the tariffs are applicable for and summing over the year. </w:t>
      </w:r>
    </w:p>
    <w:p w14:paraId="588826D5" w14:textId="5D18A45A" w:rsidR="00827678" w:rsidRDefault="00827678" w:rsidP="00827678">
      <w:pPr>
        <w:pStyle w:val="StyleArial11ptJustified"/>
        <w:ind w:left="1440" w:firstLine="720"/>
        <w:rPr>
          <w:rFonts w:cs="Arial"/>
          <w:szCs w:val="22"/>
        </w:rPr>
      </w:pPr>
      <w:r w:rsidRPr="00B60BF2">
        <w:rPr>
          <w:rFonts w:cs="Arial"/>
          <w:noProof/>
          <w:position w:val="-40"/>
          <w:szCs w:val="22"/>
        </w:rPr>
        <w:drawing>
          <wp:inline distT="0" distB="0" distL="0" distR="0" wp14:anchorId="28E7AF89" wp14:editId="722AB8C8">
            <wp:extent cx="4219575" cy="5810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19575" cy="581025"/>
                    </a:xfrm>
                    <a:prstGeom prst="rect">
                      <a:avLst/>
                    </a:prstGeom>
                    <a:noFill/>
                    <a:ln>
                      <a:noFill/>
                    </a:ln>
                  </pic:spPr>
                </pic:pic>
              </a:graphicData>
            </a:graphic>
          </wp:inline>
        </w:drawing>
      </w:r>
    </w:p>
    <w:p w14:paraId="7A46A6C5" w14:textId="77777777" w:rsidR="00827678" w:rsidRDefault="00827678" w:rsidP="00827678">
      <w:pPr>
        <w:pStyle w:val="StyleArial11ptJustified"/>
        <w:ind w:left="1440" w:firstLine="720"/>
        <w:rPr>
          <w:rFonts w:cs="Arial"/>
          <w:szCs w:val="22"/>
        </w:rPr>
      </w:pPr>
      <w:r>
        <w:rPr>
          <w:rFonts w:cs="Arial"/>
          <w:szCs w:val="22"/>
        </w:rPr>
        <w:t>Where:</w:t>
      </w:r>
    </w:p>
    <w:p w14:paraId="0378DB44"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4E807161"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308A807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4C70049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006DE6A3" w14:textId="77777777" w:rsidR="00827678" w:rsidRDefault="00827678" w:rsidP="00827678">
      <w:pPr>
        <w:pStyle w:val="StyleArial11ptJustified"/>
        <w:ind w:left="1440" w:firstLine="720"/>
        <w:rPr>
          <w:rFonts w:cs="Arial"/>
          <w:szCs w:val="22"/>
        </w:rPr>
      </w:pPr>
    </w:p>
    <w:p w14:paraId="1335A866" w14:textId="77777777" w:rsidR="00827678" w:rsidRDefault="00827678" w:rsidP="00827678">
      <w:pPr>
        <w:pStyle w:val="1"/>
        <w:tabs>
          <w:tab w:val="num" w:pos="1134"/>
        </w:tabs>
        <w:ind w:left="1440"/>
        <w:jc w:val="both"/>
      </w:pPr>
      <w:r w:rsidRPr="002E527B">
        <w:rPr>
          <w:rFonts w:cs="Arial"/>
          <w:noProof/>
        </w:rPr>
        <w:drawing>
          <wp:inline distT="0" distB="0" distL="0" distR="0" wp14:anchorId="2182F76D" wp14:editId="4417297C">
            <wp:extent cx="3971925" cy="17335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71925" cy="1733550"/>
                    </a:xfrm>
                    <a:prstGeom prst="rect">
                      <a:avLst/>
                    </a:prstGeom>
                    <a:noFill/>
                    <a:ln>
                      <a:noFill/>
                    </a:ln>
                  </pic:spPr>
                </pic:pic>
              </a:graphicData>
            </a:graphic>
          </wp:inline>
        </w:drawing>
      </w:r>
    </w:p>
    <w:p w14:paraId="0C8A18D7" w14:textId="77777777" w:rsidR="00827678" w:rsidRDefault="00827678" w:rsidP="00827678">
      <w:pPr>
        <w:pStyle w:val="Heading3"/>
        <w:ind w:left="709"/>
        <w:rPr>
          <w:rFonts w:ascii="Arial" w:hAnsi="Arial" w:cs="Arial"/>
          <w:b/>
        </w:rPr>
      </w:pPr>
    </w:p>
    <w:p w14:paraId="3DB85F5D" w14:textId="77777777" w:rsidR="006661FE" w:rsidRDefault="006661FE" w:rsidP="006661FE">
      <w:pPr>
        <w:pStyle w:val="StyleArial11ptJustified"/>
        <w:ind w:left="1440" w:firstLine="720"/>
        <w:rPr>
          <w:rFonts w:cs="Arial"/>
          <w:szCs w:val="22"/>
        </w:rPr>
      </w:pPr>
    </w:p>
    <w:p w14:paraId="652F4B6C" w14:textId="6FC0A79C" w:rsidR="006661FE" w:rsidRDefault="006661FE" w:rsidP="006661FE">
      <w:pPr>
        <w:pStyle w:val="1"/>
        <w:tabs>
          <w:tab w:val="num" w:pos="1134"/>
        </w:tabs>
        <w:ind w:left="1440"/>
        <w:jc w:val="both"/>
      </w:pPr>
    </w:p>
    <w:p w14:paraId="626D69DD" w14:textId="77777777" w:rsidR="00A26D6E" w:rsidRDefault="00A26D6E" w:rsidP="00A26D6E">
      <w:pPr>
        <w:pStyle w:val="Heading3"/>
        <w:ind w:left="709"/>
        <w:rPr>
          <w:rFonts w:ascii="Arial" w:hAnsi="Arial" w:cs="Arial"/>
          <w:b/>
        </w:rPr>
      </w:pPr>
    </w:p>
    <w:p w14:paraId="1A833840"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3711B77B" w14:textId="77777777" w:rsidR="006661FE" w:rsidRDefault="00A26D6E" w:rsidP="00533333">
      <w:pPr>
        <w:pStyle w:val="1"/>
        <w:numPr>
          <w:ilvl w:val="0"/>
          <w:numId w:val="110"/>
        </w:numPr>
        <w:jc w:val="both"/>
      </w:pPr>
      <w:r>
        <w:t>Embedded export charges are based on a £/kW charge for Half Hourly metered embedded export.</w:t>
      </w:r>
    </w:p>
    <w:p w14:paraId="3DB8C76B" w14:textId="77777777" w:rsidR="00793AFF" w:rsidRDefault="00793AFF" w:rsidP="00552A83">
      <w:pPr>
        <w:pStyle w:val="1"/>
        <w:ind w:left="1627"/>
        <w:jc w:val="both"/>
      </w:pPr>
    </w:p>
    <w:p w14:paraId="74C736A0" w14:textId="77777777" w:rsidR="00A26D6E" w:rsidRDefault="00A26D6E" w:rsidP="00533333">
      <w:pPr>
        <w:pStyle w:val="1"/>
        <w:numPr>
          <w:ilvl w:val="0"/>
          <w:numId w:val="110"/>
        </w:numPr>
        <w:jc w:val="both"/>
      </w:pPr>
      <w:r>
        <w:lastRenderedPageBreak/>
        <w:t>Chargeable Embedded Export Capacity is the value of Embedded Export at Triad (kW). The definition of this term is set out below.</w:t>
      </w:r>
    </w:p>
    <w:p w14:paraId="19878167" w14:textId="77777777" w:rsidR="00793AFF" w:rsidRDefault="00793AFF" w:rsidP="00552A83">
      <w:pPr>
        <w:pStyle w:val="1"/>
        <w:ind w:left="1627"/>
        <w:jc w:val="both"/>
      </w:pPr>
    </w:p>
    <w:p w14:paraId="7E7C07D5" w14:textId="2EC6490A" w:rsidR="00A26D6E" w:rsidRDefault="39E75A13" w:rsidP="00533333">
      <w:pPr>
        <w:pStyle w:val="1"/>
        <w:numPr>
          <w:ilvl w:val="0"/>
          <w:numId w:val="110"/>
        </w:numPr>
        <w:jc w:val="both"/>
      </w:pPr>
      <w:r>
        <w:t xml:space="preserve">If there is a single set of embedded export tariffs within a </w:t>
      </w:r>
      <w:r w:rsidR="445B7493" w:rsidRPr="0537B9E0">
        <w:rPr>
          <w:rFonts w:ascii="Arial" w:hAnsi="Arial" w:cs="Arial"/>
          <w:b/>
          <w:bCs/>
        </w:rPr>
        <w:t>Financial Year</w:t>
      </w:r>
      <w:r>
        <w:t>, the Chargeable Embedded Export Capacity is multiplied by the relevant embedded export tariff, for the calculation of embedded export charges</w:t>
      </w:r>
      <w:r w:rsidR="590483C7">
        <w:t xml:space="preserve">. </w:t>
      </w:r>
    </w:p>
    <w:p w14:paraId="77457827" w14:textId="77777777" w:rsidR="00793AFF" w:rsidRDefault="00793AFF" w:rsidP="00552A83">
      <w:pPr>
        <w:pStyle w:val="1"/>
        <w:ind w:left="1627"/>
        <w:jc w:val="both"/>
      </w:pPr>
    </w:p>
    <w:p w14:paraId="3F1F6116" w14:textId="46526492" w:rsidR="00A26D6E" w:rsidRDefault="00A26D6E" w:rsidP="00533333">
      <w:pPr>
        <w:pStyle w:val="1"/>
        <w:numPr>
          <w:ilvl w:val="0"/>
          <w:numId w:val="110"/>
        </w:numPr>
        <w:jc w:val="both"/>
      </w:pPr>
      <w:r>
        <w:t xml:space="preserve">If multiple sets of embedded export tariffs are applicable within a single </w:t>
      </w:r>
      <w:r w:rsidR="00FE137D" w:rsidRPr="00E71FFB">
        <w:rPr>
          <w:rFonts w:ascii="Arial" w:hAnsi="Arial" w:cs="Arial"/>
          <w:b/>
        </w:rPr>
        <w:t>Financial Year</w:t>
      </w:r>
      <w:r w:rsidR="00FE137D">
        <w:rPr>
          <w:rFonts w:ascii="Arial" w:hAnsi="Arial" w:cs="Arial"/>
          <w:b/>
        </w:rPr>
        <w:t>,</w:t>
      </w:r>
      <w:r>
        <w:t xml:space="preserve"> embedded export charges will be calculated by multiplying the Chargeable Embedded Export Capacity by the relevant tariffs pro rated across the months that they are applicable for, as below, </w:t>
      </w:r>
    </w:p>
    <w:p w14:paraId="31DC58A4" w14:textId="77777777" w:rsidR="00793AFF" w:rsidRDefault="00793AFF" w:rsidP="00552A83">
      <w:pPr>
        <w:pStyle w:val="1"/>
        <w:jc w:val="both"/>
      </w:pPr>
    </w:p>
    <w:p w14:paraId="6D4168A3" w14:textId="42C57774" w:rsidR="00793AFF" w:rsidRDefault="00793AFF" w:rsidP="00552A83">
      <w:pPr>
        <w:pStyle w:val="1"/>
        <w:jc w:val="center"/>
      </w:pPr>
    </w:p>
    <w:p w14:paraId="2AAE0881" w14:textId="27D0149D" w:rsidR="00F27AE2" w:rsidRDefault="00F27AE2" w:rsidP="00F27AE2">
      <w:pPr>
        <w:pStyle w:val="1"/>
        <w:jc w:val="center"/>
      </w:pPr>
      <w:r>
        <w:rPr>
          <w:noProof/>
        </w:rPr>
        <mc:AlternateContent>
          <mc:Choice Requires="wps">
            <w:drawing>
              <wp:anchor distT="0" distB="0" distL="114300" distR="114300" simplePos="0" relativeHeight="251658275" behindDoc="0" locked="0" layoutInCell="1" allowOverlap="1" wp14:anchorId="110FAC19" wp14:editId="4BC6E1C5">
                <wp:simplePos x="0" y="0"/>
                <wp:positionH relativeFrom="column">
                  <wp:posOffset>2008505</wp:posOffset>
                </wp:positionH>
                <wp:positionV relativeFrom="paragraph">
                  <wp:posOffset>17145</wp:posOffset>
                </wp:positionV>
                <wp:extent cx="1304925" cy="62865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E39F" w14:textId="77777777" w:rsidR="00F27AE2" w:rsidRDefault="00F27AE2" w:rsidP="00F27AE2">
                            <w:pPr>
                              <w:jc w:val="center"/>
                            </w:pPr>
                            <w:r>
                              <w:rPr>
                                <w:rFonts w:ascii="Cambria Math" w:hAnsi="Cambria Math"/>
                                <w:i/>
                                <w:sz w:val="18"/>
                                <w:szCs w:val="18"/>
                              </w:rPr>
                              <w:t>Chargeable Embedded Export Capacity</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AC19" id="_x0000_t202" coordsize="21600,21600" o:spt="202" path="m,l,21600r21600,l21600,xe">
                <v:stroke joinstyle="miter"/>
                <v:path gradientshapeok="t" o:connecttype="rect"/>
              </v:shapetype>
              <v:shape id="Text Box 12" o:spid="_x0000_s1026" type="#_x0000_t202" style="position:absolute;left:0;text-align:left;margin-left:158.15pt;margin-top:1.35pt;width:102.75pt;height:49.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" stroked="f">
                <v:textbox>
                  <w:txbxContent>
                    <w:p w14:paraId="2149E39F" w14:textId="77777777" w:rsidR="00F27AE2" w:rsidRDefault="00F27AE2" w:rsidP="00F27AE2">
                      <w:pPr>
                        <w:jc w:val="center"/>
                      </w:pPr>
                      <w:r>
                        <w:rPr>
                          <w:rFonts w:ascii="Cambria Math" w:hAnsi="Cambria Math"/>
                          <w:i/>
                          <w:sz w:val="18"/>
                          <w:szCs w:val="18"/>
                        </w:rPr>
                        <w:t>Chargeable 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616D7C18" w14:textId="77777777" w:rsidR="00F27AE2" w:rsidRDefault="00F27AE2" w:rsidP="00793AFF">
      <w:pPr>
        <w:pStyle w:val="StyleArial11ptJustified"/>
        <w:ind w:left="1440" w:firstLine="720"/>
        <w:rPr>
          <w:rFonts w:cs="Arial"/>
          <w:szCs w:val="22"/>
        </w:rPr>
      </w:pPr>
    </w:p>
    <w:p w14:paraId="015825FC" w14:textId="0DA0807A"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2DB5F643"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38B52748"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18B0CA51"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514E366E"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08AEBDC" w14:textId="77777777" w:rsidR="006661FE" w:rsidRDefault="006661FE" w:rsidP="006661FE">
      <w:pPr>
        <w:pStyle w:val="1"/>
        <w:tabs>
          <w:tab w:val="num" w:pos="1134"/>
        </w:tabs>
        <w:jc w:val="both"/>
      </w:pPr>
    </w:p>
    <w:p w14:paraId="2C871EDB" w14:textId="77777777" w:rsidR="006661FE" w:rsidRPr="00543982" w:rsidRDefault="006661FE" w:rsidP="006661FE">
      <w:pPr>
        <w:pStyle w:val="Heading3"/>
        <w:ind w:left="709"/>
        <w:rPr>
          <w:rFonts w:ascii="Arial" w:hAnsi="Arial" w:cs="Arial"/>
          <w:b/>
        </w:rPr>
      </w:pPr>
      <w:bookmarkStart w:id="399" w:name="_Toc49661126"/>
      <w:bookmarkStart w:id="400" w:name="_Toc274049701"/>
      <w:r w:rsidRPr="00543982">
        <w:rPr>
          <w:rFonts w:ascii="Arial" w:hAnsi="Arial" w:cs="Arial"/>
          <w:b/>
        </w:rPr>
        <w:t>Supplier BM Unit</w:t>
      </w:r>
      <w:bookmarkEnd w:id="399"/>
      <w:bookmarkEnd w:id="400"/>
      <w:r w:rsidRPr="00543982">
        <w:rPr>
          <w:rFonts w:ascii="Arial" w:hAnsi="Arial" w:cs="Arial"/>
          <w:b/>
        </w:rPr>
        <w:t xml:space="preserve"> </w:t>
      </w:r>
    </w:p>
    <w:p w14:paraId="56B7796B" w14:textId="3200427F" w:rsidR="006661FE" w:rsidRDefault="006661FE" w:rsidP="00533333">
      <w:pPr>
        <w:pStyle w:val="1"/>
        <w:numPr>
          <w:ilvl w:val="0"/>
          <w:numId w:val="110"/>
        </w:numPr>
        <w:jc w:val="both"/>
      </w:pPr>
      <w:r>
        <w:t>A Supplier BM Unit charges will be the sum of its energy</w:t>
      </w:r>
      <w:r w:rsidR="00793AFF">
        <w:t>,  demand</w:t>
      </w:r>
      <w:r w:rsidR="00F27AE2">
        <w:t xml:space="preserve"> locational</w:t>
      </w:r>
      <w:r w:rsidR="00964501">
        <w:t>, Transmission Demand Residual</w:t>
      </w:r>
      <w:r>
        <w:t xml:space="preserve">and </w:t>
      </w:r>
      <w:r w:rsidR="00793AFF">
        <w:t xml:space="preserve">embedded export </w:t>
      </w:r>
      <w:r>
        <w:t>liabilities where:</w:t>
      </w:r>
    </w:p>
    <w:p w14:paraId="57B9F11C" w14:textId="77777777" w:rsidR="006661FE" w:rsidRDefault="006661FE" w:rsidP="006661FE">
      <w:pPr>
        <w:pStyle w:val="1"/>
        <w:tabs>
          <w:tab w:val="num" w:pos="1134"/>
        </w:tabs>
        <w:jc w:val="both"/>
      </w:pPr>
    </w:p>
    <w:p w14:paraId="1363A6F3" w14:textId="4F03E318" w:rsidR="006661FE" w:rsidRPr="00552A83" w:rsidRDefault="006661FE" w:rsidP="00533333">
      <w:pPr>
        <w:pStyle w:val="1"/>
        <w:numPr>
          <w:ilvl w:val="0"/>
          <w:numId w:val="55"/>
        </w:numPr>
        <w:tabs>
          <w:tab w:val="clear" w:pos="360"/>
          <w:tab w:val="num" w:pos="1778"/>
        </w:tabs>
        <w:ind w:left="1778"/>
        <w:jc w:val="both"/>
      </w:pPr>
      <w:r>
        <w:t>The Chargeable</w:t>
      </w:r>
      <w:r w:rsidR="00793AFF">
        <w:t xml:space="preserve"> </w:t>
      </w:r>
      <w:r>
        <w:t xml:space="preserve"> Demand</w:t>
      </w:r>
      <w:r w:rsidR="0074155A">
        <w:t xml:space="preserve"> Locational</w:t>
      </w:r>
      <w:r>
        <w:t xml:space="preserve"> Capacity will be the average of the Supplier BM Unit's half-hourly metered </w:t>
      </w:r>
      <w:r w:rsidR="00793AFF">
        <w:t xml:space="preserve">gross </w:t>
      </w:r>
      <w:r>
        <w:t xml:space="preserve">demand during the Triad (and the £/kW tariff), </w:t>
      </w:r>
      <w:r>
        <w:rPr>
          <w:i/>
        </w:rPr>
        <w:t>and</w:t>
      </w:r>
    </w:p>
    <w:p w14:paraId="710881B4" w14:textId="77777777" w:rsidR="00793AFF" w:rsidRDefault="00793AFF" w:rsidP="00533333">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6E64D6E4" w14:textId="77777777" w:rsidR="006661FE" w:rsidRDefault="006661FE" w:rsidP="006661FE">
      <w:pPr>
        <w:pStyle w:val="1"/>
        <w:ind w:left="1407"/>
        <w:jc w:val="both"/>
      </w:pPr>
    </w:p>
    <w:p w14:paraId="2D94D673" w14:textId="77777777" w:rsidR="006661FE" w:rsidRDefault="006661FE" w:rsidP="00533333">
      <w:pPr>
        <w:pStyle w:val="1"/>
        <w:numPr>
          <w:ilvl w:val="0"/>
          <w:numId w:val="56"/>
        </w:numPr>
        <w:tabs>
          <w:tab w:val="num" w:pos="1767"/>
        </w:tabs>
        <w:ind w:left="1767"/>
        <w:jc w:val="both"/>
      </w:pPr>
      <w:r>
        <w:t xml:space="preserve">The Chargeable Energy Capacity will be the Supplier BM Unit's non half-hourly metered energy consumption over the period 16:00 hrs to 19:00 hrs inclusive every day over the </w:t>
      </w:r>
      <w:r w:rsidRPr="00FE137D">
        <w:rPr>
          <w:b/>
          <w:bCs/>
        </w:rPr>
        <w:t>Financial Year</w:t>
      </w:r>
      <w:r>
        <w:t xml:space="preserve"> (and the p/kWh tariff).</w:t>
      </w:r>
    </w:p>
    <w:p w14:paraId="41F3C9BA" w14:textId="77777777" w:rsidR="006661FE" w:rsidRDefault="006661FE" w:rsidP="006661FE">
      <w:pPr>
        <w:pStyle w:val="1"/>
        <w:jc w:val="both"/>
      </w:pPr>
    </w:p>
    <w:p w14:paraId="68AAAF3A" w14:textId="77777777"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 </w:t>
      </w:r>
      <w:r>
        <w:rPr>
          <w:i/>
        </w:rPr>
        <w:t>and</w:t>
      </w:r>
    </w:p>
    <w:p w14:paraId="77112181" w14:textId="77777777" w:rsidR="00E64D8B" w:rsidRDefault="00E64D8B" w:rsidP="00E64D8B">
      <w:pPr>
        <w:pStyle w:val="ListParagraph"/>
      </w:pPr>
    </w:p>
    <w:p w14:paraId="673F3F1B" w14:textId="77777777"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0F98E7DE" w14:textId="77777777" w:rsidR="00E64D8B" w:rsidRDefault="00E64D8B" w:rsidP="006661FE">
      <w:pPr>
        <w:pStyle w:val="1"/>
        <w:jc w:val="both"/>
      </w:pPr>
    </w:p>
    <w:p w14:paraId="59F9A20B" w14:textId="77777777" w:rsidR="00E64D8B" w:rsidRDefault="00E64D8B" w:rsidP="006661FE">
      <w:pPr>
        <w:pStyle w:val="1"/>
        <w:jc w:val="both"/>
      </w:pPr>
    </w:p>
    <w:p w14:paraId="408EB724" w14:textId="77777777" w:rsidR="006661FE" w:rsidRPr="004248A1" w:rsidRDefault="006661FE" w:rsidP="006661FE">
      <w:pPr>
        <w:pStyle w:val="Heading3"/>
        <w:ind w:left="709"/>
        <w:rPr>
          <w:rFonts w:ascii="Arial" w:hAnsi="Arial" w:cs="Arial"/>
          <w:b/>
        </w:rPr>
      </w:pPr>
      <w:bookmarkStart w:id="401" w:name="_Toc49661127"/>
      <w:bookmarkStart w:id="402" w:name="_Toc274049702"/>
      <w:r w:rsidRPr="004248A1">
        <w:rPr>
          <w:rFonts w:ascii="Arial" w:hAnsi="Arial" w:cs="Arial"/>
          <w:b/>
        </w:rPr>
        <w:t>Power Stations with a Bilateral Connection Agreement</w:t>
      </w:r>
      <w:bookmarkEnd w:id="401"/>
      <w:r w:rsidRPr="004248A1">
        <w:rPr>
          <w:rFonts w:ascii="Arial" w:hAnsi="Arial" w:cs="Arial"/>
          <w:b/>
        </w:rPr>
        <w:t xml:space="preserve"> and Licensable Generation with a Bilateral Embedded Generation Agreement</w:t>
      </w:r>
      <w:bookmarkEnd w:id="402"/>
    </w:p>
    <w:p w14:paraId="3E14C05D" w14:textId="0D336F1E" w:rsidR="006661FE" w:rsidRDefault="005D4BD5" w:rsidP="00533333">
      <w:pPr>
        <w:pStyle w:val="1"/>
        <w:numPr>
          <w:ilvl w:val="0"/>
          <w:numId w:val="110"/>
        </w:numPr>
        <w:jc w:val="both"/>
      </w:pPr>
      <w:r>
        <w:lastRenderedPageBreak/>
        <w:t xml:space="preserve">The Chargeable </w:t>
      </w:r>
      <w:r w:rsidR="006661FE">
        <w:t>Demand</w:t>
      </w:r>
      <w:r w:rsidR="00762C87">
        <w:t xml:space="preserve"> Locational</w:t>
      </w:r>
      <w:r w:rsidR="006661FE">
        <w:t xml:space="preserve"> 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3D2472EC" w14:textId="77777777" w:rsidR="006661FE" w:rsidRDefault="006661FE" w:rsidP="006661FE">
      <w:pPr>
        <w:pStyle w:val="1"/>
        <w:jc w:val="both"/>
      </w:pPr>
    </w:p>
    <w:p w14:paraId="3A5997FC" w14:textId="77777777" w:rsidR="006661FE" w:rsidRPr="004248A1" w:rsidRDefault="006661FE" w:rsidP="006661FE">
      <w:pPr>
        <w:pStyle w:val="Heading3"/>
        <w:ind w:left="709"/>
        <w:rPr>
          <w:rFonts w:ascii="Arial" w:hAnsi="Arial" w:cs="Arial"/>
          <w:b/>
        </w:rPr>
      </w:pPr>
      <w:bookmarkStart w:id="403" w:name="_Toc49661128"/>
      <w:bookmarkStart w:id="404" w:name="_Toc274049703"/>
      <w:r w:rsidRPr="004248A1">
        <w:rPr>
          <w:rFonts w:ascii="Arial" w:hAnsi="Arial" w:cs="Arial"/>
          <w:b/>
        </w:rPr>
        <w:t>Exemptible Generation and Derogated Distribution Interconnectors with a Bilateral Embedded Generation Agreement</w:t>
      </w:r>
      <w:bookmarkEnd w:id="403"/>
      <w:bookmarkEnd w:id="404"/>
    </w:p>
    <w:p w14:paraId="1A2866A1" w14:textId="77777777" w:rsidR="00793AFF" w:rsidRPr="0042285F" w:rsidRDefault="00793AFF" w:rsidP="00533333">
      <w:pPr>
        <w:pStyle w:val="Default"/>
        <w:numPr>
          <w:ilvl w:val="0"/>
          <w:numId w:val="110"/>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1AF5FE4A" w14:textId="77777777" w:rsidR="00793AFF" w:rsidRDefault="00793AFF" w:rsidP="00552A83">
      <w:pPr>
        <w:pStyle w:val="1"/>
        <w:ind w:left="1627"/>
        <w:jc w:val="both"/>
      </w:pPr>
    </w:p>
    <w:p w14:paraId="6A292184" w14:textId="632BEB34" w:rsidR="006661FE" w:rsidRDefault="006661FE" w:rsidP="00533333">
      <w:pPr>
        <w:pStyle w:val="1"/>
        <w:numPr>
          <w:ilvl w:val="0"/>
          <w:numId w:val="56"/>
        </w:numPr>
        <w:ind w:left="1080"/>
        <w:jc w:val="both"/>
      </w:pPr>
      <w:r>
        <w:t xml:space="preserve">The Chargeable </w:t>
      </w:r>
      <w:r w:rsidR="00793AFF">
        <w:t xml:space="preserve"> </w:t>
      </w:r>
      <w:r>
        <w:t>Demand</w:t>
      </w:r>
      <w:r w:rsidR="00762C87">
        <w:t xml:space="preserve"> Locational</w:t>
      </w:r>
      <w:r>
        <w:t xml:space="preserve"> Capacity for Exemptible Generation and Derogated Distribution Interconnectors with a Bilateral Embedded Generation Agreement will be based on the average of the metered </w:t>
      </w:r>
      <w:r w:rsidR="00793AFF">
        <w:t>gross demand</w:t>
      </w:r>
      <w:r>
        <w:t xml:space="preserve"> of each BM Unit specified in Appendix C of the Bilateral Embedded Generation Agreement during the Triad.</w:t>
      </w:r>
    </w:p>
    <w:p w14:paraId="46F7AD7A" w14:textId="77777777" w:rsidR="00793AFF" w:rsidRPr="00792D09" w:rsidRDefault="00793AFF" w:rsidP="00533333">
      <w:pPr>
        <w:pStyle w:val="Default"/>
        <w:numPr>
          <w:ilvl w:val="0"/>
          <w:numId w:val="56"/>
        </w:numPr>
        <w:rPr>
          <w:sz w:val="22"/>
          <w:szCs w:val="22"/>
        </w:rPr>
      </w:pPr>
      <w:r w:rsidRPr="00792D09">
        <w:rPr>
          <w:sz w:val="22"/>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26C70A12" w14:textId="77777777" w:rsidR="00793AFF" w:rsidRDefault="00793AFF" w:rsidP="006C7CB4">
      <w:pPr>
        <w:pStyle w:val="1"/>
        <w:ind w:left="720"/>
        <w:jc w:val="both"/>
      </w:pPr>
    </w:p>
    <w:p w14:paraId="3CDA2BD5" w14:textId="77777777" w:rsidR="00793AFF" w:rsidRDefault="00793AFF" w:rsidP="00B67876">
      <w:pPr>
        <w:pStyle w:val="1"/>
        <w:jc w:val="both"/>
      </w:pPr>
    </w:p>
    <w:p w14:paraId="18D0554F" w14:textId="77777777" w:rsidR="006661FE" w:rsidRDefault="006661FE" w:rsidP="006661FE">
      <w:pPr>
        <w:pStyle w:val="BodyText2"/>
        <w:jc w:val="both"/>
      </w:pPr>
      <w:bookmarkStart w:id="405" w:name="_Toc32201088"/>
      <w:bookmarkStart w:id="406" w:name="_Toc49661130"/>
    </w:p>
    <w:p w14:paraId="0B6583C1" w14:textId="77777777" w:rsidR="006661FE" w:rsidRDefault="006661FE" w:rsidP="006661FE">
      <w:pPr>
        <w:pStyle w:val="Heading2"/>
      </w:pPr>
      <w:bookmarkStart w:id="407" w:name="_Toc274049704"/>
      <w:r>
        <w:t>Small Generators Tariffs</w:t>
      </w:r>
      <w:bookmarkEnd w:id="407"/>
    </w:p>
    <w:p w14:paraId="507C449A" w14:textId="77777777" w:rsidR="006661FE" w:rsidRDefault="006661FE" w:rsidP="006661FE"/>
    <w:p w14:paraId="4A609858" w14:textId="11EC67DB" w:rsidR="006661FE" w:rsidRDefault="006661FE" w:rsidP="00533333">
      <w:pPr>
        <w:pStyle w:val="1"/>
        <w:numPr>
          <w:ilvl w:val="0"/>
          <w:numId w:val="110"/>
        </w:numPr>
        <w:jc w:val="both"/>
      </w:pPr>
      <w:r>
        <w:t>In accordance with Standard Licence Condition C13, any under recovery from the MAR arising from the small generators discount will result in a unit amount of increase to</w:t>
      </w:r>
      <w:r w:rsidR="009B6379">
        <w:t xml:space="preserve"> the Transmission Demand Residual</w:t>
      </w:r>
      <w:r>
        <w:t xml:space="preserve">. </w:t>
      </w:r>
    </w:p>
    <w:p w14:paraId="76C13DFC" w14:textId="77777777" w:rsidR="006661FE" w:rsidRDefault="006661FE" w:rsidP="006661FE">
      <w:pPr>
        <w:pStyle w:val="BodyText2"/>
        <w:ind w:left="709" w:hanging="709"/>
        <w:jc w:val="both"/>
      </w:pPr>
    </w:p>
    <w:p w14:paraId="6E73DA77" w14:textId="77777777" w:rsidR="006661FE" w:rsidRDefault="006661FE" w:rsidP="006661FE">
      <w:pPr>
        <w:pStyle w:val="Heading2"/>
      </w:pPr>
      <w:bookmarkStart w:id="408" w:name="_Toc274049705"/>
      <w:r>
        <w:t>The Triad</w:t>
      </w:r>
      <w:bookmarkEnd w:id="405"/>
      <w:bookmarkEnd w:id="406"/>
      <w:bookmarkEnd w:id="408"/>
      <w:r>
        <w:fldChar w:fldCharType="begin"/>
      </w:r>
      <w:r>
        <w:instrText xml:space="preserve"> XE "Triad" </w:instrText>
      </w:r>
      <w:r>
        <w:fldChar w:fldCharType="end"/>
      </w:r>
    </w:p>
    <w:p w14:paraId="6D90F30D" w14:textId="77777777" w:rsidR="006661FE" w:rsidRDefault="006661FE" w:rsidP="006661FE">
      <w:pPr>
        <w:pStyle w:val="1"/>
        <w:jc w:val="both"/>
      </w:pPr>
    </w:p>
    <w:p w14:paraId="20FCDE2A" w14:textId="7D45BCFC" w:rsidR="00827678" w:rsidRDefault="00827678" w:rsidP="00533333">
      <w:pPr>
        <w:pStyle w:val="1"/>
        <w:numPr>
          <w:ilvl w:val="0"/>
          <w:numId w:val="111"/>
        </w:numPr>
        <w:jc w:val="both"/>
      </w:pPr>
      <w:bookmarkStart w:id="40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Pr="00FE137D">
        <w:rPr>
          <w:b/>
          <w:bCs/>
        </w:rPr>
        <w:t>Financial Year</w:t>
      </w:r>
      <w:r>
        <w:t xml:space="preserve">, namely the half hour settlement period of system peak net demand and the two half hour settlement periods of next highest net demand, which are separated from the system peak net demand and from each other by at least 10 Clear Days, between November and February of the </w:t>
      </w:r>
      <w:r w:rsidRPr="00FE137D">
        <w:rPr>
          <w:b/>
          <w:bCs/>
        </w:rPr>
        <w:t>Financial Year</w:t>
      </w:r>
      <w:r>
        <w:t xml:space="preserve"> inclusive.  </w:t>
      </w:r>
      <w:r w:rsidRPr="00930633">
        <w:t>Exports on directly connected Interconnectors and Interconnectors capable of exporting more than 100MW to the Total System shall be excluded when determining the system peak</w:t>
      </w:r>
      <w:r>
        <w:t xml:space="preserve"> net </w:t>
      </w:r>
      <w:r w:rsidRPr="00930633">
        <w:t>demand.</w:t>
      </w:r>
      <w:r>
        <w:t xml:space="preserve"> An illustration is shown below.</w:t>
      </w:r>
    </w:p>
    <w:p w14:paraId="1FE3C268" w14:textId="77777777" w:rsidR="00827678" w:rsidRDefault="00827678" w:rsidP="00827678">
      <w:pPr>
        <w:pStyle w:val="1"/>
        <w:jc w:val="both"/>
      </w:pPr>
    </w:p>
    <w:p w14:paraId="7FA5DEC1" w14:textId="10A9B982" w:rsidR="00827678" w:rsidRDefault="00827678" w:rsidP="00827678">
      <w:pPr>
        <w:pStyle w:val="1"/>
        <w:ind w:left="720"/>
        <w:jc w:val="both"/>
      </w:pPr>
      <w:r>
        <w:rPr>
          <w:noProof/>
        </w:rPr>
        <w:lastRenderedPageBreak/>
        <w:drawing>
          <wp:anchor distT="0" distB="0" distL="114300" distR="114300" simplePos="0" relativeHeight="251658257" behindDoc="0" locked="0" layoutInCell="0" allowOverlap="1" wp14:anchorId="7F1342F6" wp14:editId="545309BF">
            <wp:simplePos x="0" y="0"/>
            <wp:positionH relativeFrom="column">
              <wp:posOffset>252730</wp:posOffset>
            </wp:positionH>
            <wp:positionV relativeFrom="paragraph">
              <wp:posOffset>99060</wp:posOffset>
            </wp:positionV>
            <wp:extent cx="5486400" cy="268287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86400" cy="268287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XE "Triad" </w:instrText>
      </w:r>
      <w:r>
        <w:fldChar w:fldCharType="end"/>
      </w:r>
      <w:r>
        <w:fldChar w:fldCharType="begin"/>
      </w:r>
      <w:r>
        <w:instrText xml:space="preserve"> XE "Trading Unit" </w:instrText>
      </w:r>
      <w:r>
        <w:fldChar w:fldCharType="end"/>
      </w:r>
    </w:p>
    <w:bookmarkEnd w:id="409"/>
    <w:p w14:paraId="7B33B3B5" w14:textId="77777777" w:rsidR="006661FE" w:rsidRDefault="006661FE" w:rsidP="006661FE">
      <w:pPr>
        <w:pStyle w:val="1"/>
        <w:jc w:val="both"/>
      </w:pPr>
    </w:p>
    <w:bookmarkStart w:id="410" w:name="_Toc497131269"/>
    <w:p w14:paraId="09822B75" w14:textId="4CEB09C7" w:rsidR="006661FE" w:rsidRDefault="006661FE" w:rsidP="006661FE">
      <w:pPr>
        <w:pStyle w:val="1"/>
        <w:ind w:left="720"/>
        <w:jc w:val="both"/>
      </w:pPr>
      <w:r>
        <w:fldChar w:fldCharType="begin"/>
      </w:r>
      <w:r>
        <w:instrText xml:space="preserve"> XE "Triad" </w:instrText>
      </w:r>
      <w:r>
        <w:fldChar w:fldCharType="end"/>
      </w:r>
      <w:bookmarkEnd w:id="410"/>
      <w:r>
        <w:fldChar w:fldCharType="begin"/>
      </w:r>
      <w:r>
        <w:instrText xml:space="preserve"> XE "Trading Unit" </w:instrText>
      </w:r>
      <w:r>
        <w:fldChar w:fldCharType="end"/>
      </w:r>
    </w:p>
    <w:bookmarkStart w:id="411" w:name="_Toc497131270"/>
    <w:p w14:paraId="61C9CEFD" w14:textId="3383F256" w:rsidR="006661FE" w:rsidRDefault="006661FE" w:rsidP="006661FE">
      <w:pPr>
        <w:pStyle w:val="1"/>
        <w:jc w:val="both"/>
      </w:pPr>
      <w:r>
        <w:fldChar w:fldCharType="begin"/>
      </w:r>
      <w:r>
        <w:instrText xml:space="preserve"> XE "Triad" </w:instrText>
      </w:r>
      <w:r>
        <w:fldChar w:fldCharType="end"/>
      </w:r>
      <w:bookmarkEnd w:id="41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7549CD">
        <w:rPr>
          <w:b/>
        </w:rPr>
        <w:t>D</w:t>
      </w:r>
      <w:r>
        <w:rPr>
          <w:b/>
        </w:rPr>
        <w:t>emand</w:t>
      </w:r>
      <w:r w:rsidR="007549CD">
        <w:rPr>
          <w:b/>
        </w:rPr>
        <w:t xml:space="preserve"> Locational </w:t>
      </w:r>
      <w:r>
        <w:rPr>
          <w:b/>
        </w:rPr>
        <w:t>charges</w:t>
      </w:r>
    </w:p>
    <w:p w14:paraId="1616B58D" w14:textId="77777777" w:rsidR="006661FE" w:rsidRDefault="006661FE" w:rsidP="006661FE">
      <w:pPr>
        <w:pStyle w:val="1"/>
        <w:ind w:left="720"/>
        <w:jc w:val="both"/>
      </w:pPr>
    </w:p>
    <w:p w14:paraId="003F9C72" w14:textId="6FDD5228" w:rsidR="00793AFF" w:rsidRDefault="4DB720A2" w:rsidP="00697F3F">
      <w:pPr>
        <w:pStyle w:val="1"/>
        <w:numPr>
          <w:ilvl w:val="0"/>
          <w:numId w:val="112"/>
        </w:numPr>
        <w:jc w:val="both"/>
      </w:pPr>
      <w:r>
        <w:t xml:space="preserve">For Supplier BMUs and BM Units associated with Exemptible Generation and Derogated Distribution Interconnectors with a Bilateral Embedded Generation Agreement, if the average half-hourly metered </w:t>
      </w:r>
      <w:r w:rsidR="5072321E">
        <w:t xml:space="preserve">gross demand </w:t>
      </w:r>
      <w:r>
        <w:t xml:space="preserve">volume over the Triad results in an import, the Chargeable </w:t>
      </w:r>
      <w:r w:rsidR="5072321E">
        <w:t xml:space="preserve">Gross </w:t>
      </w:r>
      <w:r>
        <w:t>Demand Capacity will be positive resulting in the BMU being charged</w:t>
      </w:r>
      <w:r w:rsidR="529D072A">
        <w:t xml:space="preserve">. </w:t>
      </w:r>
    </w:p>
    <w:p w14:paraId="23617A1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D947793" w14:textId="77777777" w:rsidR="006661FE" w:rsidRDefault="006661FE" w:rsidP="006661FE">
      <w:pPr>
        <w:pStyle w:val="1"/>
        <w:ind w:left="720" w:hanging="720"/>
        <w:jc w:val="both"/>
      </w:pPr>
    </w:p>
    <w:p w14:paraId="73BC40BB" w14:textId="77777777" w:rsidR="006661FE" w:rsidRDefault="006661FE" w:rsidP="006661FE">
      <w:pPr>
        <w:pStyle w:val="1"/>
        <w:jc w:val="both"/>
      </w:pPr>
    </w:p>
    <w:p w14:paraId="180C295E" w14:textId="77777777" w:rsidR="006661FE" w:rsidRDefault="006661FE" w:rsidP="006661FE">
      <w:pPr>
        <w:pStyle w:val="1"/>
        <w:ind w:firstLine="709"/>
        <w:jc w:val="both"/>
        <w:rPr>
          <w:b/>
        </w:rPr>
      </w:pPr>
      <w:r>
        <w:rPr>
          <w:b/>
        </w:rPr>
        <w:t>Monthly Charges</w:t>
      </w:r>
    </w:p>
    <w:p w14:paraId="259BB020" w14:textId="77777777" w:rsidR="006661FE" w:rsidRDefault="006661FE" w:rsidP="006661FE">
      <w:pPr>
        <w:pStyle w:val="1"/>
        <w:jc w:val="both"/>
      </w:pPr>
    </w:p>
    <w:p w14:paraId="60C07F35" w14:textId="77777777" w:rsidR="002064B2" w:rsidRDefault="006661FE" w:rsidP="00697F3F">
      <w:pPr>
        <w:pStyle w:val="1"/>
        <w:numPr>
          <w:ilvl w:val="0"/>
          <w:numId w:val="112"/>
        </w:numPr>
        <w:jc w:val="both"/>
      </w:pPr>
      <w:bookmarkStart w:id="412" w:name="_Hlt497734631"/>
      <w:bookmarkEnd w:id="412"/>
      <w:r>
        <w:t xml:space="preserve"> </w:t>
      </w:r>
      <w:r w:rsidR="002064B2">
        <w:t xml:space="preserve"> Throughout the year Users will submit a Demand Forecast. A Demand Forecast will include:</w:t>
      </w:r>
    </w:p>
    <w:p w14:paraId="53DD0E50" w14:textId="77777777" w:rsidR="002064B2" w:rsidRDefault="002064B2" w:rsidP="002064B2">
      <w:pPr>
        <w:pStyle w:val="1"/>
        <w:tabs>
          <w:tab w:val="left" w:pos="720"/>
        </w:tabs>
        <w:ind w:left="1865" w:hanging="1145"/>
        <w:jc w:val="both"/>
        <w:rPr>
          <w:rFonts w:ascii="Arial" w:hAnsi="Arial"/>
        </w:rPr>
      </w:pPr>
    </w:p>
    <w:p w14:paraId="627AE8C7" w14:textId="77777777" w:rsidR="002064B2" w:rsidRDefault="002064B2" w:rsidP="00533333">
      <w:pPr>
        <w:pStyle w:val="1"/>
        <w:numPr>
          <w:ilvl w:val="0"/>
          <w:numId w:val="91"/>
        </w:numPr>
        <w:tabs>
          <w:tab w:val="left" w:pos="1865"/>
        </w:tabs>
        <w:ind w:left="1843" w:hanging="425"/>
        <w:jc w:val="both"/>
      </w:pPr>
      <w:r>
        <w:t>half-hourly metered gross demand to be supplied during the Triad for each BM Unit</w:t>
      </w:r>
    </w:p>
    <w:p w14:paraId="204112B4" w14:textId="77777777" w:rsidR="002064B2" w:rsidRDefault="002064B2" w:rsidP="002064B2">
      <w:pPr>
        <w:pStyle w:val="1"/>
        <w:tabs>
          <w:tab w:val="left" w:pos="1865"/>
        </w:tabs>
        <w:ind w:left="1865" w:hanging="425"/>
        <w:jc w:val="both"/>
      </w:pPr>
    </w:p>
    <w:p w14:paraId="7B77594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2CA818F6" w14:textId="77777777" w:rsidR="002064B2" w:rsidRDefault="002064B2" w:rsidP="002064B2">
      <w:pPr>
        <w:pStyle w:val="1"/>
        <w:ind w:left="1451"/>
        <w:jc w:val="both"/>
      </w:pPr>
    </w:p>
    <w:p w14:paraId="47D2631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w:t>
      </w:r>
      <w:r w:rsidRPr="00C4424F">
        <w:t xml:space="preserve">the </w:t>
      </w:r>
      <w:r w:rsidRPr="00AD7A23">
        <w:t>Financial Year</w:t>
      </w:r>
      <w:r>
        <w:t xml:space="preserve"> for each BM Unit</w:t>
      </w:r>
    </w:p>
    <w:p w14:paraId="5DFA02F2" w14:textId="77777777" w:rsidR="00B45822" w:rsidRDefault="00B45822" w:rsidP="002064B2">
      <w:pPr>
        <w:pStyle w:val="1"/>
        <w:tabs>
          <w:tab w:val="left" w:pos="1865"/>
        </w:tabs>
        <w:ind w:left="1865" w:hanging="425"/>
        <w:jc w:val="both"/>
      </w:pPr>
    </w:p>
    <w:p w14:paraId="05C4E10C" w14:textId="4BE21F3F" w:rsidR="00B45822" w:rsidRDefault="00126F38">
      <w:pPr>
        <w:pStyle w:val="1"/>
        <w:ind w:left="720"/>
        <w:jc w:val="both"/>
        <w:rPr>
          <w:rFonts w:ascii="Arial" w:hAnsi="Arial" w:cs="Arial"/>
        </w:rPr>
      </w:pPr>
      <w:r>
        <w:rPr>
          <w:rFonts w:ascii="Arial" w:hAnsi="Arial" w:cs="Arial"/>
        </w:rPr>
        <w:t>14</w:t>
      </w:r>
      <w:r w:rsidR="00E3597C">
        <w:rPr>
          <w:rFonts w:ascii="Arial" w:hAnsi="Arial" w:cs="Arial"/>
        </w:rPr>
        <w:t>.17.</w:t>
      </w:r>
      <w:r w:rsidR="000E7772">
        <w:rPr>
          <w:rFonts w:ascii="Arial" w:hAnsi="Arial" w:cs="Arial"/>
        </w:rPr>
        <w:t xml:space="preserve">20 </w:t>
      </w:r>
      <w:r w:rsidR="00B45822">
        <w:rPr>
          <w:rFonts w:ascii="Arial" w:hAnsi="Arial" w:cs="Arial"/>
        </w:rPr>
        <w:t>Throughout the year, Users’ monthly demand charges will be based on;</w:t>
      </w:r>
    </w:p>
    <w:p w14:paraId="2A471FA5" w14:textId="77777777" w:rsidR="00410FC6" w:rsidRDefault="00410FC6" w:rsidP="00410FC6">
      <w:pPr>
        <w:pStyle w:val="1"/>
        <w:ind w:left="720"/>
        <w:jc w:val="both"/>
        <w:rPr>
          <w:rFonts w:ascii="Arial" w:hAnsi="Arial" w:cs="Arial"/>
        </w:rPr>
      </w:pPr>
    </w:p>
    <w:p w14:paraId="573CA4F7" w14:textId="77777777" w:rsidR="00F060E4" w:rsidRPr="00A0798E" w:rsidRDefault="00F060E4" w:rsidP="00F060E4">
      <w:pPr>
        <w:pStyle w:val="1"/>
        <w:numPr>
          <w:ilvl w:val="1"/>
          <w:numId w:val="75"/>
        </w:numPr>
        <w:jc w:val="both"/>
        <w:rPr>
          <w:rFonts w:ascii="Arial" w:hAnsi="Arial" w:cs="Arial"/>
        </w:rPr>
      </w:pPr>
      <w:r w:rsidRPr="00A0798E">
        <w:rPr>
          <w:rFonts w:ascii="Arial" w:hAnsi="Arial" w:cs="Arial"/>
        </w:rPr>
        <w:t xml:space="preserve">The </w:t>
      </w:r>
      <w:r w:rsidRPr="00A0798E">
        <w:rPr>
          <w:rFonts w:ascii="Arial" w:hAnsi="Arial" w:cs="Arial"/>
          <w:b/>
          <w:bCs/>
        </w:rPr>
        <w:t>User’s Demand Forecast</w:t>
      </w:r>
      <w:r w:rsidRPr="00A0798E">
        <w:rPr>
          <w:rFonts w:ascii="Arial" w:hAnsi="Arial" w:cs="Arial"/>
        </w:rPr>
        <w:t xml:space="preserve"> which will consist of:</w:t>
      </w:r>
    </w:p>
    <w:p w14:paraId="57BB3033" w14:textId="77777777" w:rsidR="00F63B0E"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t>half-hourly metered embedded export to be supplied during the Triad for each BM Unit, multiplied by the relevant zonal £/kW tariff; and</w:t>
      </w:r>
    </w:p>
    <w:p w14:paraId="4C918B45" w14:textId="46EEF1B3" w:rsidR="00F060E4"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lastRenderedPageBreak/>
        <w:t>non-half hourly metered energy to be supplied over the period 16:00 hrs to 19:00 hrs inclusive every day over the Financial Year for each BM Unit, multiplied by the relevant zonal p/kWh tariff</w:t>
      </w:r>
    </w:p>
    <w:p w14:paraId="7FDBDAA3"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b/>
          <w:bCs/>
        </w:rPr>
        <w:t>Final Demand Site Count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relevant £/Site/Day </w:t>
      </w:r>
      <w:r w:rsidRPr="00A0798E">
        <w:rPr>
          <w:rFonts w:ascii="Arial" w:hAnsi="Arial" w:cs="Arial"/>
          <w:b/>
          <w:bCs/>
        </w:rPr>
        <w:t>Transmission Demand Residual Tariff</w:t>
      </w:r>
      <w:r w:rsidRPr="00A0798E">
        <w:rPr>
          <w:rFonts w:ascii="Arial" w:hAnsi="Arial" w:cs="Arial"/>
        </w:rPr>
        <w:t xml:space="preserve"> for the relevant </w:t>
      </w:r>
      <w:r w:rsidRPr="00A0798E">
        <w:rPr>
          <w:rFonts w:ascii="Arial" w:hAnsi="Arial" w:cs="Arial"/>
          <w:b/>
          <w:bCs/>
        </w:rPr>
        <w:t>Charging Band</w:t>
      </w:r>
      <w:r w:rsidRPr="00A0798E">
        <w:rPr>
          <w:rFonts w:ascii="Arial" w:hAnsi="Arial" w:cs="Arial"/>
        </w:rPr>
        <w:t>.</w:t>
      </w:r>
    </w:p>
    <w:p w14:paraId="305F8951"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rPr>
        <w:t xml:space="preserve">the </w:t>
      </w:r>
      <w:r w:rsidRPr="00A0798E">
        <w:rPr>
          <w:rFonts w:ascii="Arial" w:hAnsi="Arial" w:cs="Arial"/>
          <w:b/>
          <w:bCs/>
        </w:rPr>
        <w:t>Unmetered Supply Volume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UMS Tariff.</w:t>
      </w:r>
    </w:p>
    <w:p w14:paraId="0698B35B" w14:textId="77777777" w:rsidR="00F060E4" w:rsidRPr="00A0798E" w:rsidRDefault="00F060E4" w:rsidP="00F060E4">
      <w:pPr>
        <w:pStyle w:val="1"/>
        <w:ind w:left="1440"/>
        <w:jc w:val="both"/>
        <w:rPr>
          <w:rFonts w:ascii="Arial" w:hAnsi="Arial" w:cs="Arial"/>
        </w:rPr>
      </w:pPr>
    </w:p>
    <w:p w14:paraId="6CFA39C3" w14:textId="77777777" w:rsidR="00B45822" w:rsidRDefault="00B45822" w:rsidP="00B45822">
      <w:pPr>
        <w:pStyle w:val="1"/>
        <w:ind w:left="1627"/>
        <w:jc w:val="both"/>
        <w:rPr>
          <w:rFonts w:ascii="Arial" w:hAnsi="Arial" w:cs="Arial"/>
        </w:rPr>
      </w:pPr>
    </w:p>
    <w:p w14:paraId="3B5DFF2C" w14:textId="17D20897" w:rsidR="00B45822" w:rsidRDefault="00B45822" w:rsidP="00B45822">
      <w:pPr>
        <w:pStyle w:val="1"/>
        <w:ind w:left="1440"/>
        <w:jc w:val="both"/>
        <w:rPr>
          <w:rFonts w:ascii="Arial" w:hAnsi="Arial" w:cs="Arial"/>
        </w:rPr>
      </w:pPr>
      <w:r>
        <w:rPr>
          <w:rFonts w:ascii="Arial" w:hAnsi="Arial" w:cs="Arial"/>
        </w:rPr>
        <w:t xml:space="preserve"> </w:t>
      </w:r>
    </w:p>
    <w:p w14:paraId="1D33756A" w14:textId="59A41502" w:rsidR="006661FE" w:rsidRDefault="6B081664" w:rsidP="009F4595">
      <w:pPr>
        <w:pStyle w:val="1"/>
        <w:jc w:val="both"/>
      </w:pPr>
      <w:r w:rsidRPr="0537B9E0">
        <w:rPr>
          <w:rFonts w:ascii="Arial" w:hAnsi="Arial" w:cs="Arial"/>
        </w:rPr>
        <w:t>Th</w:t>
      </w:r>
      <w:r w:rsidR="3C49A81C">
        <w:t xml:space="preserve">e </w:t>
      </w:r>
      <w:r w:rsidR="6B913268">
        <w:t>Users’ annual TNUoS demand charges are based on these forecasts and are</w:t>
      </w:r>
      <w:r w:rsidR="60EDD294">
        <w:t xml:space="preserve"> with the </w:t>
      </w:r>
      <w:r w:rsidR="577587B7" w:rsidRPr="0537B9E0">
        <w:rPr>
          <w:b/>
          <w:bCs/>
        </w:rPr>
        <w:t>Demand Forecast</w:t>
      </w:r>
      <w:r w:rsidR="577587B7">
        <w:t xml:space="preserve"> </w:t>
      </w:r>
      <w:r w:rsidR="6B913268">
        <w:t xml:space="preserve"> split evenly over the 12 months of the year</w:t>
      </w:r>
      <w:r w:rsidR="10766D05">
        <w:t xml:space="preserve">. </w:t>
      </w:r>
      <w:r w:rsidR="6B913268">
        <w:t xml:space="preserve">Users </w:t>
      </w:r>
      <w:bookmarkStart w:id="413" w:name="_Int_y5EhEfkb"/>
      <w:r w:rsidR="6B913268">
        <w:t>have the opportunity to</w:t>
      </w:r>
      <w:bookmarkEnd w:id="413"/>
      <w:r w:rsidR="6B913268">
        <w:t xml:space="preserve"> vary their </w:t>
      </w:r>
      <w:r w:rsidR="64E9C85F" w:rsidRPr="0537B9E0">
        <w:rPr>
          <w:b/>
          <w:bCs/>
        </w:rPr>
        <w:t>D</w:t>
      </w:r>
      <w:r w:rsidR="6B913268" w:rsidRPr="0537B9E0">
        <w:rPr>
          <w:b/>
          <w:bCs/>
        </w:rPr>
        <w:t xml:space="preserve">emand </w:t>
      </w:r>
      <w:r w:rsidR="64E9C85F" w:rsidRPr="0537B9E0">
        <w:rPr>
          <w:b/>
          <w:bCs/>
        </w:rPr>
        <w:t>F</w:t>
      </w:r>
      <w:r w:rsidR="6B913268" w:rsidRPr="0537B9E0">
        <w:rPr>
          <w:b/>
          <w:bCs/>
        </w:rPr>
        <w:t>orecasts</w:t>
      </w:r>
      <w:r w:rsidR="6B913268">
        <w:t xml:space="preserve"> on a quarterly basis over the course of the year, with the </w:t>
      </w:r>
      <w:r w:rsidR="7FA677E8" w:rsidRPr="0537B9E0">
        <w:rPr>
          <w:b/>
          <w:bCs/>
        </w:rPr>
        <w:t>D</w:t>
      </w:r>
      <w:r w:rsidR="6B913268" w:rsidRPr="0537B9E0">
        <w:rPr>
          <w:b/>
          <w:bCs/>
        </w:rPr>
        <w:t xml:space="preserve">emand </w:t>
      </w:r>
      <w:r w:rsidR="7FA677E8" w:rsidRPr="0537B9E0">
        <w:rPr>
          <w:b/>
          <w:bCs/>
        </w:rPr>
        <w:t>F</w:t>
      </w:r>
      <w:r w:rsidR="6B913268" w:rsidRPr="0537B9E0">
        <w:rPr>
          <w:b/>
          <w:bCs/>
        </w:rPr>
        <w:t>orecast</w:t>
      </w:r>
      <w:r w:rsidR="6B913268">
        <w:t xml:space="preserve"> requested in February relating to the next Financial Year</w:t>
      </w:r>
      <w:r w:rsidR="27FC43CD">
        <w:t xml:space="preserve">. </w:t>
      </w:r>
      <w:r w:rsidR="6B913268" w:rsidRPr="0537B9E0">
        <w:rPr>
          <w:b/>
          <w:bCs/>
        </w:rPr>
        <w:t>Users</w:t>
      </w:r>
      <w:r w:rsidR="6B913268">
        <w:t xml:space="preserve"> will be notified of the timescales and process for each of the quarterly updates</w:t>
      </w:r>
      <w:r w:rsidR="62B37F67">
        <w:t xml:space="preserve">. </w:t>
      </w:r>
      <w:r w:rsidR="3D96AF96" w:rsidRPr="0537B9E0">
        <w:rPr>
          <w:b/>
          <w:bCs/>
        </w:rPr>
        <w:t>The</w:t>
      </w:r>
      <w:r w:rsidR="6B913268" w:rsidRPr="0537B9E0">
        <w:rPr>
          <w:b/>
          <w:bCs/>
        </w:rPr>
        <w:t xml:space="preserve"> Company </w:t>
      </w:r>
      <w:r w:rsidR="6B913268">
        <w:t xml:space="preserve">will revise the monthly </w:t>
      </w:r>
      <w:r w:rsidR="6B913268" w:rsidRPr="0537B9E0">
        <w:rPr>
          <w:b/>
          <w:bCs/>
        </w:rPr>
        <w:t xml:space="preserve">Transmission Network Use of System </w:t>
      </w:r>
      <w:r w:rsidR="3AA31882" w:rsidRPr="0537B9E0">
        <w:rPr>
          <w:b/>
          <w:bCs/>
        </w:rPr>
        <w:t>D</w:t>
      </w:r>
      <w:r w:rsidR="6B913268" w:rsidRPr="0537B9E0">
        <w:rPr>
          <w:b/>
          <w:bCs/>
        </w:rPr>
        <w:t xml:space="preserve">emand </w:t>
      </w:r>
      <w:r w:rsidR="3AA31882" w:rsidRPr="0537B9E0">
        <w:rPr>
          <w:b/>
          <w:bCs/>
        </w:rPr>
        <w:t>C</w:t>
      </w:r>
      <w:r w:rsidR="6B913268" w:rsidRPr="0537B9E0">
        <w:rPr>
          <w:b/>
          <w:bCs/>
        </w:rPr>
        <w:t>harges</w:t>
      </w:r>
      <w:r w:rsidR="6B913268">
        <w:t xml:space="preserve"> by calculating the annual charge based on the </w:t>
      </w:r>
      <w:r w:rsidR="07723C81">
        <w:t xml:space="preserve"> above</w:t>
      </w:r>
      <w:r w:rsidR="6B913268">
        <w:t xml:space="preserve"> forecast</w:t>
      </w:r>
      <w:r w:rsidR="07723C81">
        <w:t>s</w:t>
      </w:r>
      <w:r w:rsidR="6B913268">
        <w:t>, subtracting the amount paid to date, and splitting the remainder evenly over the remaining months</w:t>
      </w:r>
      <w:r w:rsidR="1269B9CA">
        <w:t xml:space="preserve">. </w:t>
      </w:r>
      <w:r w:rsidR="6B913268">
        <w:t xml:space="preserve">For the avoidance of doubt, only positive </w:t>
      </w:r>
      <w:r w:rsidR="3F8C8B51" w:rsidRPr="0537B9E0">
        <w:rPr>
          <w:b/>
          <w:bCs/>
        </w:rPr>
        <w:t>D</w:t>
      </w:r>
      <w:r w:rsidR="6B913268" w:rsidRPr="0537B9E0">
        <w:rPr>
          <w:b/>
          <w:bCs/>
        </w:rPr>
        <w:t xml:space="preserve">emand </w:t>
      </w:r>
      <w:r w:rsidR="3F8C8B51" w:rsidRPr="0537B9E0">
        <w:rPr>
          <w:b/>
          <w:bCs/>
        </w:rPr>
        <w:t>F</w:t>
      </w:r>
      <w:r w:rsidR="6B913268" w:rsidRPr="0537B9E0">
        <w:rPr>
          <w:b/>
          <w:bCs/>
        </w:rPr>
        <w:t>orecasts</w:t>
      </w:r>
      <w:r w:rsidR="6B913268">
        <w:t xml:space="preserve"> (i.e. representing </w:t>
      </w:r>
      <w:r w:rsidR="139F9CFE">
        <w:t xml:space="preserve">a net </w:t>
      </w:r>
      <w:r w:rsidR="6B913268">
        <w:t>import from the system)</w:t>
      </w:r>
      <w:r w:rsidR="1F151801">
        <w:t xml:space="preserve">, positive </w:t>
      </w:r>
      <w:r w:rsidR="1F151801" w:rsidRPr="0537B9E0">
        <w:rPr>
          <w:b/>
          <w:bCs/>
        </w:rPr>
        <w:t>F</w:t>
      </w:r>
      <w:r w:rsidR="7AFC2769" w:rsidRPr="0537B9E0">
        <w:rPr>
          <w:b/>
          <w:bCs/>
        </w:rPr>
        <w:t>DSC</w:t>
      </w:r>
      <w:r w:rsidR="7BBDDDBA" w:rsidRPr="0537B9E0">
        <w:rPr>
          <w:b/>
          <w:bCs/>
        </w:rPr>
        <w:t xml:space="preserve"> For</w:t>
      </w:r>
      <w:r w:rsidR="4B9FDF94" w:rsidRPr="0537B9E0">
        <w:rPr>
          <w:b/>
          <w:bCs/>
        </w:rPr>
        <w:t>ecast</w:t>
      </w:r>
      <w:r w:rsidR="4B9FDF94">
        <w:t xml:space="preserve"> and pos</w:t>
      </w:r>
      <w:r w:rsidR="17403B1D">
        <w:t xml:space="preserve">itive </w:t>
      </w:r>
      <w:r w:rsidR="17403B1D" w:rsidRPr="0537B9E0">
        <w:rPr>
          <w:b/>
          <w:bCs/>
        </w:rPr>
        <w:t xml:space="preserve">Unmetered </w:t>
      </w:r>
      <w:r w:rsidR="2B0EFF2F" w:rsidRPr="0537B9E0">
        <w:rPr>
          <w:b/>
          <w:bCs/>
        </w:rPr>
        <w:t>Supply</w:t>
      </w:r>
      <w:r w:rsidR="74BBAB2C" w:rsidRPr="0537B9E0">
        <w:rPr>
          <w:b/>
          <w:bCs/>
        </w:rPr>
        <w:t xml:space="preserve"> Volume Forecast</w:t>
      </w:r>
      <w:r w:rsidR="74BBAB2C">
        <w:t xml:space="preserve"> </w:t>
      </w:r>
      <w:r w:rsidR="6B913268">
        <w:t xml:space="preserve">will be </w:t>
      </w:r>
      <w:r w:rsidR="139F9CFE">
        <w:t>used in the calculation of charges</w:t>
      </w:r>
      <w:r w:rsidR="6B913268">
        <w:t>.</w:t>
      </w:r>
    </w:p>
    <w:p w14:paraId="5A2C212C" w14:textId="77777777" w:rsidR="002064B2" w:rsidRDefault="002064B2" w:rsidP="006661FE">
      <w:pPr>
        <w:pStyle w:val="1"/>
        <w:ind w:left="1451"/>
        <w:jc w:val="both"/>
      </w:pPr>
    </w:p>
    <w:p w14:paraId="6A0181A1" w14:textId="6317DA5F" w:rsidR="002064B2" w:rsidRDefault="002064B2" w:rsidP="002064B2">
      <w:pPr>
        <w:pStyle w:val="1"/>
        <w:ind w:left="720" w:firstLine="720"/>
        <w:jc w:val="both"/>
      </w:pPr>
      <w:r w:rsidRPr="00AD7A23">
        <w:rPr>
          <w:b/>
          <w:bCs/>
        </w:rPr>
        <w:t xml:space="preserve">Demand </w:t>
      </w:r>
      <w:r w:rsidR="008736AB" w:rsidRPr="00AD7A23">
        <w:rPr>
          <w:b/>
          <w:bCs/>
        </w:rPr>
        <w:t>F</w:t>
      </w:r>
      <w:r w:rsidRPr="00AD7A23">
        <w:rPr>
          <w:b/>
          <w:bCs/>
        </w:rPr>
        <w:t>orecasts</w:t>
      </w:r>
      <w:r>
        <w:t xml:space="preserve"> for a </w:t>
      </w:r>
      <w:r w:rsidRPr="00AD7A23">
        <w:rPr>
          <w:b/>
          <w:bCs/>
        </w:rPr>
        <w:t>User</w:t>
      </w:r>
      <w:r>
        <w:t xml:space="preserve"> will be considered positive where:</w:t>
      </w:r>
    </w:p>
    <w:p w14:paraId="56D6E5DD" w14:textId="77777777" w:rsidR="002064B2" w:rsidRDefault="002064B2" w:rsidP="00533333">
      <w:pPr>
        <w:pStyle w:val="1"/>
        <w:numPr>
          <w:ilvl w:val="0"/>
          <w:numId w:val="92"/>
        </w:numPr>
        <w:jc w:val="both"/>
      </w:pPr>
      <w:r>
        <w:t>The sum of the gross demand forecast and embedded export forecast is positive; and</w:t>
      </w:r>
    </w:p>
    <w:p w14:paraId="0D3D2A1A" w14:textId="77777777" w:rsidR="002064B2" w:rsidRDefault="002064B2" w:rsidP="00533333">
      <w:pPr>
        <w:pStyle w:val="1"/>
        <w:numPr>
          <w:ilvl w:val="0"/>
          <w:numId w:val="92"/>
        </w:numPr>
        <w:jc w:val="both"/>
      </w:pPr>
      <w:r>
        <w:t>The non-half hourly metered energy forecast is positive.</w:t>
      </w:r>
    </w:p>
    <w:p w14:paraId="7E84E09D" w14:textId="77777777" w:rsidR="006661FE" w:rsidRDefault="006661FE" w:rsidP="006661FE">
      <w:pPr>
        <w:pStyle w:val="1"/>
        <w:jc w:val="both"/>
      </w:pPr>
    </w:p>
    <w:p w14:paraId="4AA9D794" w14:textId="52E5C41F" w:rsidR="006661FE" w:rsidRDefault="6B913268" w:rsidP="00AD7A23">
      <w:pPr>
        <w:pStyle w:val="1"/>
        <w:numPr>
          <w:ilvl w:val="0"/>
          <w:numId w:val="128"/>
        </w:numPr>
        <w:jc w:val="both"/>
      </w:pPr>
      <w:r w:rsidRPr="0537B9E0">
        <w:rPr>
          <w:b/>
          <w:bCs/>
        </w:rPr>
        <w:t>Users</w:t>
      </w:r>
      <w:r>
        <w:t xml:space="preserve"> should submit reasonable demand forecasts </w:t>
      </w:r>
      <w:r w:rsidR="139F9CFE">
        <w:t xml:space="preserve">of gross demand, embedded </w:t>
      </w:r>
      <w:bookmarkStart w:id="414" w:name="_Int_HE9aDoRe"/>
      <w:r w:rsidR="139F9CFE">
        <w:t>export</w:t>
      </w:r>
      <w:bookmarkEnd w:id="414"/>
      <w:r w:rsidR="139F9CFE">
        <w:t xml:space="preserve"> and energy </w:t>
      </w:r>
      <w:r>
        <w:t xml:space="preserve">in accordance with the </w:t>
      </w:r>
      <w:r w:rsidRPr="0537B9E0">
        <w:rPr>
          <w:b/>
          <w:bCs/>
        </w:rPr>
        <w:t>CUSC</w:t>
      </w:r>
      <w:r w:rsidR="519A8029">
        <w:t xml:space="preserve">. </w:t>
      </w:r>
      <w:r w:rsidR="3D96AF96" w:rsidRPr="0537B9E0">
        <w:rPr>
          <w:b/>
          <w:bCs/>
        </w:rPr>
        <w:t>The</w:t>
      </w:r>
      <w:r w:rsidRPr="0537B9E0">
        <w:rPr>
          <w:b/>
          <w:bCs/>
        </w:rPr>
        <w:t xml:space="preserve"> Company </w:t>
      </w:r>
      <w:r>
        <w:t xml:space="preserve">shall use the following methodology to derive a forecast to be used in determining whether a User's forecast is reasonable, in accordance with the </w:t>
      </w:r>
      <w:r w:rsidRPr="0537B9E0">
        <w:rPr>
          <w:b/>
          <w:bCs/>
        </w:rPr>
        <w:t>CUSC</w:t>
      </w:r>
      <w:r>
        <w:t xml:space="preserve">, and this will be used as a replacement forecast if the </w:t>
      </w:r>
      <w:r w:rsidRPr="0537B9E0">
        <w:rPr>
          <w:b/>
          <w:bCs/>
        </w:rPr>
        <w:t>User's</w:t>
      </w:r>
      <w:r>
        <w:t xml:space="preserve"> total forecast is deemed unreasonable. </w:t>
      </w:r>
      <w:r w:rsidR="3D96AF96" w:rsidRPr="0537B9E0">
        <w:rPr>
          <w:b/>
          <w:bCs/>
        </w:rPr>
        <w:t>The</w:t>
      </w:r>
      <w:r w:rsidRPr="0537B9E0">
        <w:rPr>
          <w:b/>
          <w:bCs/>
        </w:rPr>
        <w:t xml:space="preserve"> Company</w:t>
      </w:r>
      <w:r>
        <w:t xml:space="preserve"> will, </w:t>
      </w:r>
      <w:bookmarkStart w:id="415" w:name="_Int_lnFqrg5c"/>
      <w:r>
        <w:t>at all times</w:t>
      </w:r>
      <w:bookmarkEnd w:id="415"/>
      <w:r>
        <w:t>, use the latest available Settlement data.</w:t>
      </w:r>
    </w:p>
    <w:p w14:paraId="70C01C02" w14:textId="77777777" w:rsidR="006661FE" w:rsidRDefault="006661FE" w:rsidP="006661FE">
      <w:pPr>
        <w:pStyle w:val="1"/>
        <w:jc w:val="both"/>
      </w:pPr>
    </w:p>
    <w:p w14:paraId="14FF715D" w14:textId="77777777" w:rsidR="006661FE" w:rsidRDefault="006661FE" w:rsidP="006661FE">
      <w:pPr>
        <w:pStyle w:val="1"/>
        <w:ind w:left="1627"/>
        <w:jc w:val="both"/>
      </w:pPr>
      <w:r>
        <w:t xml:space="preserve">For existing Users: </w:t>
      </w:r>
    </w:p>
    <w:p w14:paraId="26ACC159" w14:textId="77777777" w:rsidR="006661FE" w:rsidRDefault="006661FE" w:rsidP="006661FE">
      <w:pPr>
        <w:pStyle w:val="1"/>
        <w:ind w:left="1627"/>
        <w:jc w:val="both"/>
      </w:pPr>
    </w:p>
    <w:p w14:paraId="4C822E86" w14:textId="6D838178" w:rsidR="006661FE" w:rsidRDefault="6B913268" w:rsidP="00533333">
      <w:pPr>
        <w:pStyle w:val="1"/>
        <w:numPr>
          <w:ilvl w:val="0"/>
          <w:numId w:val="65"/>
        </w:numPr>
        <w:tabs>
          <w:tab w:val="clear" w:pos="567"/>
          <w:tab w:val="num" w:pos="1485"/>
        </w:tabs>
        <w:ind w:left="2194"/>
        <w:jc w:val="both"/>
      </w:pPr>
      <w:r>
        <w:t xml:space="preserve">The User’s Triad </w:t>
      </w:r>
      <w:r w:rsidR="2A28BF78">
        <w:t xml:space="preserve">gross </w:t>
      </w:r>
      <w:r>
        <w:t xml:space="preserve">demand </w:t>
      </w:r>
      <w:r w:rsidR="2A28BF78">
        <w:t xml:space="preserve">and embedded export </w:t>
      </w:r>
      <w:r>
        <w:t xml:space="preserve">for the preceding </w:t>
      </w:r>
      <w:r w:rsidRPr="0537B9E0">
        <w:rPr>
          <w:b/>
          <w:bCs/>
        </w:rPr>
        <w:t>Financial Year</w:t>
      </w:r>
      <w:r>
        <w:t xml:space="preserve"> will be used where User settlement data is available and where </w:t>
      </w:r>
      <w:r w:rsidR="3D96AF96" w:rsidRPr="0537B9E0">
        <w:rPr>
          <w:b/>
          <w:bCs/>
        </w:rPr>
        <w:t xml:space="preserve">The </w:t>
      </w:r>
      <w:r w:rsidRPr="0537B9E0">
        <w:rPr>
          <w:b/>
          <w:bCs/>
        </w:rPr>
        <w:t xml:space="preserve">Company </w:t>
      </w:r>
      <w:r>
        <w:t xml:space="preserve">calculates its forecast before the </w:t>
      </w:r>
      <w:r w:rsidRPr="0537B9E0">
        <w:rPr>
          <w:b/>
          <w:bCs/>
        </w:rPr>
        <w:t>Financial Year</w:t>
      </w:r>
      <w:r>
        <w:t xml:space="preserve">. Otherwise, the User's average weekday settlement period 35 half-hourly metered (HH) </w:t>
      </w:r>
      <w:r w:rsidR="2A28BF78">
        <w:t xml:space="preserve">gross </w:t>
      </w:r>
      <w:r>
        <w:t xml:space="preserve">demand </w:t>
      </w:r>
      <w:r w:rsidR="2A28BF78">
        <w:t xml:space="preserve">and embedded export </w:t>
      </w:r>
      <w:r>
        <w:t xml:space="preserve">in the </w:t>
      </w:r>
      <w:r w:rsidRPr="0537B9E0">
        <w:rPr>
          <w:b/>
          <w:bCs/>
        </w:rPr>
        <w:t>Financial Year</w:t>
      </w:r>
      <w:r>
        <w:t xml:space="preserve"> to date is compared to the equivalent average </w:t>
      </w:r>
      <w:r w:rsidR="2A28BF78">
        <w:t xml:space="preserve">gross </w:t>
      </w:r>
      <w:r>
        <w:t xml:space="preserve">demand </w:t>
      </w:r>
      <w:r w:rsidR="2A28BF78">
        <w:t xml:space="preserve">and embedded export </w:t>
      </w:r>
      <w:r>
        <w:t>for the corresponding days in the preceding year</w:t>
      </w:r>
      <w:r w:rsidR="1900E4B0">
        <w:t xml:space="preserve">. </w:t>
      </w:r>
      <w:r>
        <w:t>The percentage difference is then applied to the User's HH</w:t>
      </w:r>
      <w:r w:rsidR="2A28BF78">
        <w:t xml:space="preserve"> gross</w:t>
      </w:r>
      <w:r>
        <w:t xml:space="preserve"> demand</w:t>
      </w:r>
      <w:r w:rsidR="2A28BF78">
        <w:t xml:space="preserve"> and embedded export</w:t>
      </w:r>
      <w:r>
        <w:t xml:space="preserve"> at Triad in the preceding </w:t>
      </w:r>
      <w:r w:rsidRPr="0537B9E0">
        <w:rPr>
          <w:b/>
          <w:bCs/>
        </w:rPr>
        <w:t>Financial Year</w:t>
      </w:r>
      <w:r>
        <w:t xml:space="preserve"> to derive a forecast of the User's HH </w:t>
      </w:r>
      <w:r w:rsidR="2A28BF78">
        <w:t xml:space="preserve">gross </w:t>
      </w:r>
      <w:r>
        <w:t xml:space="preserve">demand </w:t>
      </w:r>
      <w:r w:rsidR="2A28BF78">
        <w:t xml:space="preserve">and embedded export </w:t>
      </w:r>
      <w:r>
        <w:t xml:space="preserve">at Triad for this </w:t>
      </w:r>
      <w:r w:rsidRPr="0537B9E0">
        <w:rPr>
          <w:b/>
          <w:bCs/>
        </w:rPr>
        <w:t>Financial Year</w:t>
      </w:r>
      <w:r>
        <w:t>.</w:t>
      </w:r>
    </w:p>
    <w:p w14:paraId="393FB78D" w14:textId="77777777" w:rsidR="006661FE" w:rsidRDefault="006661FE" w:rsidP="006661FE">
      <w:pPr>
        <w:pStyle w:val="1"/>
        <w:ind w:left="1627"/>
        <w:jc w:val="both"/>
      </w:pPr>
    </w:p>
    <w:p w14:paraId="5C717323" w14:textId="0808B222" w:rsidR="006661FE" w:rsidRDefault="4DB720A2" w:rsidP="00533333">
      <w:pPr>
        <w:pStyle w:val="1"/>
        <w:numPr>
          <w:ilvl w:val="0"/>
          <w:numId w:val="66"/>
        </w:numPr>
        <w:tabs>
          <w:tab w:val="clear" w:pos="567"/>
          <w:tab w:val="num" w:pos="1485"/>
        </w:tabs>
        <w:ind w:left="2194"/>
        <w:jc w:val="both"/>
      </w:pPr>
      <w:r>
        <w:t xml:space="preserve">The User's non half-hourly metered (NHH) energy consumption over the period 16:00 hrs to 19:00 hrs every day in the </w:t>
      </w:r>
      <w:r w:rsidRPr="0537B9E0">
        <w:rPr>
          <w:b/>
          <w:bCs/>
        </w:rPr>
        <w:t>Financial Year</w:t>
      </w:r>
      <w:r>
        <w:t xml:space="preserve"> to date is compared to the equivalent energy consumption over the corresponding days in the preceding year</w:t>
      </w:r>
      <w:r w:rsidR="5336C1B7">
        <w:t xml:space="preserve">. </w:t>
      </w:r>
      <w:r>
        <w:t xml:space="preserve">The percentage difference is then applied to the User's total NHH energy consumption in the preceding </w:t>
      </w:r>
      <w:r w:rsidRPr="0537B9E0">
        <w:rPr>
          <w:b/>
          <w:bCs/>
        </w:rPr>
        <w:t>Financial Year</w:t>
      </w:r>
      <w:r>
        <w:t xml:space="preserve"> to derive a forecast of the User's NHH energy consumption for this </w:t>
      </w:r>
      <w:r w:rsidRPr="0537B9E0">
        <w:rPr>
          <w:b/>
          <w:bCs/>
        </w:rPr>
        <w:t>Financial Year</w:t>
      </w:r>
      <w:r>
        <w:t>.</w:t>
      </w:r>
    </w:p>
    <w:p w14:paraId="075AFA88" w14:textId="77777777" w:rsidR="006661FE" w:rsidRDefault="006661FE" w:rsidP="006661FE">
      <w:pPr>
        <w:pStyle w:val="1"/>
        <w:ind w:left="1638"/>
        <w:jc w:val="both"/>
      </w:pPr>
    </w:p>
    <w:p w14:paraId="4849EDB3" w14:textId="77777777" w:rsidR="006661FE" w:rsidRDefault="006661FE" w:rsidP="006661FE">
      <w:pPr>
        <w:pStyle w:val="1"/>
        <w:ind w:left="1627"/>
        <w:jc w:val="both"/>
      </w:pPr>
      <w:r>
        <w:lastRenderedPageBreak/>
        <w:t xml:space="preserve">For new Users who have completed a Use of System Supply Confirmation Notice in the current </w:t>
      </w:r>
      <w:r w:rsidRPr="00FE137D">
        <w:rPr>
          <w:b/>
          <w:bCs/>
        </w:rPr>
        <w:t>Financial Year</w:t>
      </w:r>
      <w:r>
        <w:t>:</w:t>
      </w:r>
    </w:p>
    <w:p w14:paraId="5730D201" w14:textId="77777777" w:rsidR="006661FE" w:rsidRDefault="006661FE" w:rsidP="006661FE">
      <w:pPr>
        <w:pStyle w:val="1"/>
        <w:ind w:left="1627"/>
        <w:jc w:val="both"/>
      </w:pPr>
    </w:p>
    <w:p w14:paraId="06F55260" w14:textId="19DE2ABA" w:rsidR="006661FE" w:rsidRDefault="4DB720A2" w:rsidP="00533333">
      <w:pPr>
        <w:pStyle w:val="1"/>
        <w:numPr>
          <w:ilvl w:val="0"/>
          <w:numId w:val="67"/>
        </w:numPr>
        <w:tabs>
          <w:tab w:val="clear" w:pos="567"/>
          <w:tab w:val="num" w:pos="1485"/>
        </w:tabs>
        <w:ind w:left="2194"/>
        <w:jc w:val="both"/>
      </w:pPr>
      <w:r>
        <w:t xml:space="preserve">The User's average weekday settlement period 35 half-hourly metered (HH) </w:t>
      </w:r>
      <w:r w:rsidR="46CF7F90">
        <w:t xml:space="preserve">gross </w:t>
      </w:r>
      <w:r>
        <w:t>demand</w:t>
      </w:r>
      <w:r w:rsidR="46CF7F90">
        <w:t xml:space="preserve"> and embedded export</w:t>
      </w:r>
      <w:r>
        <w:t xml:space="preserve"> over the last complete month for which </w:t>
      </w:r>
      <w:r w:rsidR="58867969" w:rsidRPr="0537B9E0">
        <w:rPr>
          <w:b/>
          <w:bCs/>
        </w:rPr>
        <w:t>The Company</w:t>
      </w:r>
      <w:r>
        <w:t xml:space="preserve"> has settlement data is calculated</w:t>
      </w:r>
      <w:r w:rsidR="5DA79210">
        <w:t xml:space="preserve">. </w:t>
      </w:r>
      <w:r>
        <w:t>Total system average HH</w:t>
      </w:r>
      <w:r w:rsidR="46CF7F90">
        <w:t xml:space="preserve"> gross</w:t>
      </w:r>
      <w:r>
        <w:t xml:space="preserve"> demand</w:t>
      </w:r>
      <w:r w:rsidR="46CF7F90">
        <w:t xml:space="preserve"> and embedded export</w:t>
      </w:r>
      <w:r>
        <w:t xml:space="preserve"> for weekday settlement period 35 for the corresponding month in the previous year is compared to total system HH</w:t>
      </w:r>
      <w:r w:rsidR="46CF7F90">
        <w:t xml:space="preserve"> gross</w:t>
      </w:r>
      <w:r>
        <w:t xml:space="preserve"> demand </w:t>
      </w:r>
      <w:r w:rsidR="46CF7F90">
        <w:t xml:space="preserve">and embedded export </w:t>
      </w:r>
      <w:r>
        <w:t>at Triad in that year and a percentage difference is calculated</w:t>
      </w:r>
      <w:r w:rsidR="5081A977">
        <w:t xml:space="preserve">. </w:t>
      </w:r>
      <w:r>
        <w:t xml:space="preserve">This percentage is then applied to the User's average HH </w:t>
      </w:r>
      <w:r w:rsidR="46CF7F90">
        <w:t xml:space="preserve">gross </w:t>
      </w:r>
      <w:r>
        <w:t>demand</w:t>
      </w:r>
      <w:r w:rsidR="46CF7F90">
        <w:t xml:space="preserve"> and embedded export</w:t>
      </w:r>
      <w:r>
        <w:t xml:space="preserve"> for weekday settlement period 35 over the last month to derive a forecast of the User's HH </w:t>
      </w:r>
      <w:r w:rsidR="46CF7F90">
        <w:t xml:space="preserve">gross </w:t>
      </w:r>
      <w:r>
        <w:t xml:space="preserve">demand </w:t>
      </w:r>
      <w:r w:rsidR="46CF7F90">
        <w:t xml:space="preserve">and embedded export </w:t>
      </w:r>
      <w:r>
        <w:t xml:space="preserve">at Triad for this </w:t>
      </w:r>
      <w:r w:rsidRPr="0537B9E0">
        <w:rPr>
          <w:b/>
          <w:bCs/>
        </w:rPr>
        <w:t>Financial Year</w:t>
      </w:r>
      <w:r>
        <w:t>.</w:t>
      </w:r>
    </w:p>
    <w:p w14:paraId="0C65D078" w14:textId="77777777" w:rsidR="006661FE" w:rsidRDefault="006661FE" w:rsidP="006661FE">
      <w:pPr>
        <w:pStyle w:val="1"/>
        <w:tabs>
          <w:tab w:val="num" w:pos="1276"/>
        </w:tabs>
        <w:ind w:left="1627"/>
        <w:jc w:val="both"/>
      </w:pPr>
    </w:p>
    <w:p w14:paraId="38FB49C9" w14:textId="4324DA6E" w:rsidR="006661FE" w:rsidRDefault="4DB720A2" w:rsidP="00533333">
      <w:pPr>
        <w:pStyle w:val="1"/>
        <w:numPr>
          <w:ilvl w:val="0"/>
          <w:numId w:val="67"/>
        </w:numPr>
        <w:tabs>
          <w:tab w:val="clear" w:pos="567"/>
          <w:tab w:val="num" w:pos="1485"/>
        </w:tabs>
        <w:ind w:left="2194"/>
        <w:jc w:val="both"/>
      </w:pPr>
      <w:r>
        <w:t xml:space="preserve">The User's non half-hourly metered (NHH) energy consumption over the period 16:00 hrs to 19:00 hrs every day over the last complete month for which </w:t>
      </w:r>
      <w:r w:rsidR="58867969" w:rsidRPr="0537B9E0">
        <w:rPr>
          <w:b/>
          <w:bCs/>
        </w:rPr>
        <w:t>The Company</w:t>
      </w:r>
      <w:r w:rsidRPr="0537B9E0">
        <w:rPr>
          <w:b/>
          <w:bCs/>
        </w:rPr>
        <w:t xml:space="preserve"> </w:t>
      </w:r>
      <w:r>
        <w:t>has settlement data is noted</w:t>
      </w:r>
      <w:r w:rsidR="15900918">
        <w:t xml:space="preserve">. </w:t>
      </w:r>
      <w:r>
        <w:t xml:space="preserve">Total system NHH energy consumption over the corresponding month in the previous year is compared to total system NHH energy consumption over the remaining months of that </w:t>
      </w:r>
      <w:r w:rsidRPr="0537B9E0">
        <w:rPr>
          <w:b/>
          <w:bCs/>
        </w:rPr>
        <w:t>Financial Year</w:t>
      </w:r>
      <w:r>
        <w:t xml:space="preserve"> and a percentage difference is calculated</w:t>
      </w:r>
      <w:r w:rsidR="37921745">
        <w:t xml:space="preserve">. </w:t>
      </w:r>
      <w:r>
        <w:t xml:space="preserve">This percentage is then applied to the User's NHH energy consumption over the month described above, and all NHH energy consumption in previous months is added, </w:t>
      </w:r>
      <w:bookmarkStart w:id="416" w:name="_Int_mF9chaq9"/>
      <w:r>
        <w:t>in order to</w:t>
      </w:r>
      <w:bookmarkEnd w:id="416"/>
      <w:r>
        <w:t xml:space="preserve"> derive a forecast of the User's NHH metered energy consumption for this </w:t>
      </w:r>
      <w:r w:rsidRPr="0537B9E0">
        <w:rPr>
          <w:b/>
          <w:bCs/>
        </w:rPr>
        <w:t>Financial Year</w:t>
      </w:r>
      <w:r>
        <w:t>.</w:t>
      </w:r>
    </w:p>
    <w:p w14:paraId="1B4A74B8" w14:textId="77777777" w:rsidR="006661FE" w:rsidRDefault="006661FE" w:rsidP="006661FE">
      <w:pPr>
        <w:pStyle w:val="1"/>
        <w:jc w:val="both"/>
      </w:pPr>
    </w:p>
    <w:p w14:paraId="126C8260" w14:textId="68EF312D" w:rsidR="006661FE" w:rsidRDefault="006661FE" w:rsidP="00AD7A23">
      <w:pPr>
        <w:pStyle w:val="1"/>
        <w:numPr>
          <w:ilvl w:val="0"/>
          <w:numId w:val="128"/>
        </w:numPr>
        <w:jc w:val="both"/>
      </w:pPr>
      <w:r w:rsidRPr="009B0384">
        <w:t>14.2</w:t>
      </w:r>
      <w:r w:rsidR="00B56030" w:rsidRPr="009B0384">
        <w:t>8</w:t>
      </w:r>
      <w:r w:rsidRPr="00212A4A">
        <w:t xml:space="preserve"> Determination of </w:t>
      </w:r>
      <w:r w:rsidR="1CE92958" w:rsidRPr="007219D1">
        <w:rPr>
          <w:b/>
          <w:bCs/>
        </w:rPr>
        <w:t xml:space="preserve">The </w:t>
      </w:r>
      <w:r w:rsidRPr="007219D1">
        <w:rPr>
          <w:b/>
          <w:bCs/>
        </w:rPr>
        <w:t xml:space="preserve">Company’s </w:t>
      </w:r>
      <w:r w:rsidRPr="00212A4A">
        <w:t>Forecast for Demand Charge Purposes</w:t>
      </w:r>
      <w:r>
        <w:rPr>
          <w:b/>
        </w:rPr>
        <w:t xml:space="preserve"> </w:t>
      </w:r>
      <w:r>
        <w:t xml:space="preserve">illustrates how the demand forecast will be calculated by </w:t>
      </w:r>
      <w:r w:rsidR="1CE92958" w:rsidRPr="007219D1">
        <w:rPr>
          <w:b/>
          <w:bCs/>
        </w:rPr>
        <w:t>The Company</w:t>
      </w:r>
      <w:r>
        <w:t>.</w:t>
      </w:r>
    </w:p>
    <w:p w14:paraId="67D253F2" w14:textId="77777777" w:rsidR="006661FE" w:rsidRDefault="006661FE" w:rsidP="006661FE">
      <w:pPr>
        <w:pStyle w:val="1"/>
        <w:jc w:val="both"/>
      </w:pPr>
    </w:p>
    <w:p w14:paraId="0AEB582A" w14:textId="3B26F402" w:rsidR="006661FE" w:rsidRDefault="006661FE" w:rsidP="006661FE">
      <w:pPr>
        <w:pStyle w:val="Heading2"/>
      </w:pPr>
      <w:bookmarkStart w:id="417" w:name="_Toc32201090"/>
      <w:bookmarkStart w:id="418" w:name="_Toc49661133"/>
      <w:bookmarkStart w:id="419" w:name="_Toc274049707"/>
      <w:r>
        <w:t>Reconciliation of Demand Charges</w:t>
      </w:r>
      <w:bookmarkEnd w:id="417"/>
      <w:bookmarkEnd w:id="418"/>
      <w:bookmarkEnd w:id="419"/>
      <w:r w:rsidR="006B763F">
        <w:t xml:space="preserve"> </w:t>
      </w:r>
      <w:r w:rsidR="006B763F" w:rsidRPr="00EA14F6">
        <w:t>and TNUoS Charges</w:t>
      </w:r>
      <w:r w:rsidR="006B763F">
        <w:t xml:space="preserve"> </w:t>
      </w:r>
      <w:r w:rsidR="006B763F" w:rsidRPr="00B05A8B">
        <w:t>in the event of exceeding the limits to Generator charges in the Limiting Regulation</w:t>
      </w:r>
    </w:p>
    <w:p w14:paraId="01A1F04B" w14:textId="77777777" w:rsidR="006661FE" w:rsidRDefault="006661FE" w:rsidP="006661FE">
      <w:pPr>
        <w:pStyle w:val="1"/>
        <w:jc w:val="both"/>
      </w:pPr>
    </w:p>
    <w:p w14:paraId="3C8C2717" w14:textId="48A17416" w:rsidR="006661FE" w:rsidRDefault="4DB720A2">
      <w:pPr>
        <w:pStyle w:val="1"/>
        <w:numPr>
          <w:ilvl w:val="0"/>
          <w:numId w:val="128"/>
        </w:numPr>
        <w:jc w:val="both"/>
      </w:pPr>
      <w:r>
        <w:t xml:space="preserve">The reconciliation process is set out in the </w:t>
      </w:r>
      <w:r w:rsidRPr="0537B9E0">
        <w:rPr>
          <w:b/>
          <w:bCs/>
        </w:rPr>
        <w:t>CUSC</w:t>
      </w:r>
      <w:r w:rsidR="346FEDDC">
        <w:t xml:space="preserve">. </w:t>
      </w:r>
      <w:r>
        <w:t>The demand reconciliation process compares the monthly charges paid by Users against actual outturn charges</w:t>
      </w:r>
      <w:r w:rsidR="1618244E">
        <w:t xml:space="preserve">. </w:t>
      </w:r>
      <w:r>
        <w:t>Due to the Settlements process, reconciliation of demand charges is carried out in two stages; initial reconciliation and final reconciliation.</w:t>
      </w:r>
    </w:p>
    <w:p w14:paraId="7233B49D" w14:textId="77777777" w:rsidR="00325683" w:rsidRDefault="00325683" w:rsidP="00AD7A23">
      <w:pPr>
        <w:pStyle w:val="1"/>
        <w:ind w:left="1627"/>
        <w:jc w:val="both"/>
      </w:pPr>
    </w:p>
    <w:p w14:paraId="05C258FB" w14:textId="674BEB1C" w:rsidR="00A32198" w:rsidRDefault="08D37158" w:rsidP="00AD7A23">
      <w:pPr>
        <w:pStyle w:val="1"/>
        <w:numPr>
          <w:ilvl w:val="0"/>
          <w:numId w:val="128"/>
        </w:numPr>
        <w:jc w:val="both"/>
      </w:pPr>
      <w:r>
        <w:t>In the event of annual average transmission charges incurred by Generator Users in the</w:t>
      </w:r>
      <w:r w:rsidR="640B0617">
        <w:t xml:space="preserve"> Charging Year </w:t>
      </w:r>
      <w:r w:rsidR="445B7493" w:rsidRPr="0537B9E0">
        <w:rPr>
          <w:rFonts w:ascii="Arial" w:eastAsia="Arial" w:hAnsi="Arial"/>
          <w:lang w:val="en-US"/>
        </w:rPr>
        <w:t xml:space="preserve"> </w:t>
      </w:r>
      <w:r>
        <w:t xml:space="preserve">not </w:t>
      </w:r>
      <w:bookmarkStart w:id="420" w:name="_Int_coi9uKCi"/>
      <w:r>
        <w:t>being in compliance with</w:t>
      </w:r>
      <w:bookmarkEnd w:id="420"/>
      <w:r>
        <w:t xml:space="preserve"> the upper or lower limits in the Limiting Regulation an Ex-Post Reconciliation adjustment will be applied to Generator and Demand Users to bring charges back into compliance.</w:t>
      </w:r>
    </w:p>
    <w:p w14:paraId="0367F06B" w14:textId="77777777" w:rsidR="004B35B7" w:rsidRDefault="004B35B7" w:rsidP="00DD34BF">
      <w:pPr>
        <w:pStyle w:val="1"/>
        <w:jc w:val="both"/>
      </w:pPr>
    </w:p>
    <w:p w14:paraId="67C47FE3" w14:textId="77777777" w:rsidR="006661FE" w:rsidRDefault="006661FE" w:rsidP="006661FE">
      <w:pPr>
        <w:pStyle w:val="1"/>
        <w:jc w:val="both"/>
      </w:pPr>
    </w:p>
    <w:p w14:paraId="786B074C" w14:textId="77777777" w:rsidR="006661FE" w:rsidRPr="004248A1" w:rsidRDefault="006661FE" w:rsidP="006661FE">
      <w:pPr>
        <w:pStyle w:val="Heading3"/>
        <w:ind w:left="709"/>
        <w:jc w:val="both"/>
        <w:rPr>
          <w:rFonts w:ascii="Arial" w:hAnsi="Arial" w:cs="Arial"/>
          <w:b/>
        </w:rPr>
      </w:pPr>
      <w:bookmarkStart w:id="421" w:name="_Toc49661134"/>
      <w:bookmarkStart w:id="422" w:name="_Toc274049708"/>
      <w:r w:rsidRPr="004248A1">
        <w:rPr>
          <w:rFonts w:ascii="Arial" w:hAnsi="Arial" w:cs="Arial"/>
          <w:b/>
        </w:rPr>
        <w:t>Initial Reconciliation of demand charges</w:t>
      </w:r>
      <w:bookmarkEnd w:id="421"/>
      <w:bookmarkEnd w:id="422"/>
    </w:p>
    <w:p w14:paraId="3D03D4AA" w14:textId="334E0059" w:rsidR="006661FE" w:rsidRDefault="4DB720A2" w:rsidP="00AD7A23">
      <w:pPr>
        <w:pStyle w:val="1"/>
        <w:numPr>
          <w:ilvl w:val="0"/>
          <w:numId w:val="128"/>
        </w:numPr>
        <w:jc w:val="both"/>
      </w:pPr>
      <w:bookmarkStart w:id="423" w:name="_Ref272917749"/>
      <w:r>
        <w:t>The initial reconciliation process compares Users' demand forecasts</w:t>
      </w:r>
      <w:r w:rsidR="7472FB8F">
        <w:t xml:space="preserve">, </w:t>
      </w:r>
      <w:r w:rsidR="7472FB8F" w:rsidRPr="0537B9E0">
        <w:rPr>
          <w:b/>
          <w:bCs/>
        </w:rPr>
        <w:t>The Company’s FDSC</w:t>
      </w:r>
      <w:r w:rsidR="4FBDE1BD" w:rsidRPr="0537B9E0">
        <w:rPr>
          <w:b/>
          <w:bCs/>
        </w:rPr>
        <w:t xml:space="preserve"> Forecast</w:t>
      </w:r>
      <w:r w:rsidR="4FBDE1BD">
        <w:t xml:space="preserve"> a</w:t>
      </w:r>
      <w:r w:rsidR="528FAC40">
        <w:t xml:space="preserve">nd </w:t>
      </w:r>
      <w:r w:rsidR="528FAC40" w:rsidRPr="0537B9E0">
        <w:rPr>
          <w:b/>
          <w:bCs/>
        </w:rPr>
        <w:t>Unmetered Supply Volume</w:t>
      </w:r>
      <w:r w:rsidR="528FAC40">
        <w:t xml:space="preserve"> </w:t>
      </w:r>
      <w:r w:rsidR="528FAC40" w:rsidRPr="0537B9E0">
        <w:rPr>
          <w:b/>
          <w:bCs/>
        </w:rPr>
        <w:t xml:space="preserve">Forecast </w:t>
      </w:r>
      <w:r w:rsidR="528FAC40">
        <w:t xml:space="preserve"> to the </w:t>
      </w:r>
      <w:r>
        <w:t>corresponding monthly charges paid over the year against actual outturn data (using latest Settlement data available at the time) and corresponding charges</w:t>
      </w:r>
      <w:r w:rsidR="388B9A36">
        <w:t xml:space="preserve">. </w:t>
      </w:r>
      <w:r>
        <w:t xml:space="preserve">Initial reconciliation is carried out in </w:t>
      </w:r>
      <w:r w:rsidR="0672583E">
        <w:t>three</w:t>
      </w:r>
      <w:r>
        <w:t xml:space="preserve"> parts; Initial Reconciliation Part 1 deals with the reconciliation of half-hourly metered demand charges</w:t>
      </w:r>
      <w:r w:rsidR="6A00B2D3">
        <w:t xml:space="preserve">, </w:t>
      </w:r>
      <w:r>
        <w:t xml:space="preserve"> Initial Reconciliation Part 2 deals with the reconciliation of non-half-hourly metered demand charges</w:t>
      </w:r>
      <w:r w:rsidR="50127A1C">
        <w:t xml:space="preserve"> and </w:t>
      </w:r>
      <w:r w:rsidR="155D3C01">
        <w:t xml:space="preserve">Initial Reconciliation Part 3 deals with the reconciliation of </w:t>
      </w:r>
      <w:r w:rsidR="66EC1239" w:rsidRPr="0537B9E0">
        <w:rPr>
          <w:b/>
          <w:bCs/>
        </w:rPr>
        <w:t>Transmission Demand Residual</w:t>
      </w:r>
      <w:r w:rsidR="66EC1239">
        <w:t xml:space="preserve"> charges </w:t>
      </w:r>
      <w:bookmarkEnd w:id="423"/>
      <w:r w:rsidR="25C03CC2">
        <w:t xml:space="preserve"> </w:t>
      </w:r>
    </w:p>
    <w:p w14:paraId="57024085" w14:textId="77777777" w:rsidR="006661FE" w:rsidRDefault="006661FE" w:rsidP="006661FE">
      <w:pPr>
        <w:pStyle w:val="1"/>
        <w:jc w:val="both"/>
      </w:pPr>
    </w:p>
    <w:p w14:paraId="0C720217" w14:textId="77777777" w:rsidR="006661FE" w:rsidRPr="004248A1" w:rsidRDefault="006661FE" w:rsidP="006661FE">
      <w:pPr>
        <w:pStyle w:val="Heading3"/>
        <w:ind w:left="709"/>
        <w:jc w:val="both"/>
        <w:rPr>
          <w:rFonts w:ascii="Arial" w:hAnsi="Arial" w:cs="Arial"/>
          <w:b/>
        </w:rPr>
      </w:pPr>
      <w:bookmarkStart w:id="424" w:name="_Toc49661135"/>
      <w:bookmarkStart w:id="425" w:name="_Toc274049709"/>
      <w:r w:rsidRPr="004248A1">
        <w:rPr>
          <w:rFonts w:ascii="Arial" w:hAnsi="Arial" w:cs="Arial"/>
          <w:b/>
        </w:rPr>
        <w:t>Initial Reconciliation Part 1– Half-hourly metered demand</w:t>
      </w:r>
      <w:bookmarkEnd w:id="424"/>
      <w:bookmarkEnd w:id="425"/>
      <w:r w:rsidRPr="004248A1">
        <w:rPr>
          <w:rFonts w:ascii="Arial" w:hAnsi="Arial" w:cs="Arial"/>
          <w:b/>
        </w:rPr>
        <w:t xml:space="preserve"> </w:t>
      </w:r>
    </w:p>
    <w:p w14:paraId="0CC6E2AF" w14:textId="7E617585" w:rsidR="006661FE" w:rsidRDefault="1CE92958" w:rsidP="00AD7A23">
      <w:pPr>
        <w:pStyle w:val="1"/>
        <w:numPr>
          <w:ilvl w:val="0"/>
          <w:numId w:val="128"/>
        </w:numPr>
        <w:jc w:val="both"/>
      </w:pPr>
      <w:r w:rsidRPr="00EC52BD">
        <w:rPr>
          <w:b/>
        </w:rPr>
        <w:lastRenderedPageBreak/>
        <w:t>The</w:t>
      </w:r>
      <w:r w:rsidR="006661FE" w:rsidRPr="00EC52BD">
        <w:rPr>
          <w:b/>
        </w:rPr>
        <w:t xml:space="preserve"> Company</w:t>
      </w:r>
      <w:r w:rsidR="006661FE">
        <w:t xml:space="preserve"> will identify the periods forming the Triad</w:t>
      </w:r>
      <w:r w:rsidR="006661FE">
        <w:fldChar w:fldCharType="begin"/>
      </w:r>
      <w:r w:rsidR="006661FE">
        <w:instrText xml:space="preserve"> XE "Triad" </w:instrText>
      </w:r>
      <w:r w:rsidR="006661FE">
        <w:fldChar w:fldCharType="end"/>
      </w:r>
      <w:r w:rsidR="006661FE">
        <w:t xml:space="preserve"> once it has received Central Volume Allocation data from the Settlement Administration Agent for all days up to and including the last day of February. Once </w:t>
      </w:r>
      <w:r w:rsidRPr="00EC52BD">
        <w:rPr>
          <w:b/>
        </w:rPr>
        <w:t>The</w:t>
      </w:r>
      <w:r w:rsidR="006661FE" w:rsidRPr="00EC52BD">
        <w:rPr>
          <w:b/>
        </w:rPr>
        <w:t xml:space="preserve"> Company</w:t>
      </w:r>
      <w:r w:rsidR="006661FE">
        <w:t xml:space="preserve"> has notified Users of the periods forming the Triad they will not be changed even if disputes are subsequently resolved which would change the periods forming the Triad.</w:t>
      </w:r>
    </w:p>
    <w:p w14:paraId="44F2FB23" w14:textId="77777777" w:rsidR="006661FE" w:rsidRDefault="006661FE" w:rsidP="006661FE">
      <w:pPr>
        <w:pStyle w:val="1"/>
        <w:jc w:val="both"/>
      </w:pPr>
    </w:p>
    <w:p w14:paraId="389943F5" w14:textId="62B53D83" w:rsidR="006661FE" w:rsidRDefault="4DB720A2" w:rsidP="00AD7A23">
      <w:pPr>
        <w:pStyle w:val="1"/>
        <w:numPr>
          <w:ilvl w:val="0"/>
          <w:numId w:val="128"/>
        </w:numPr>
        <w:jc w:val="both"/>
      </w:pPr>
      <w:bookmarkStart w:id="426" w:name="_Ref498941336"/>
      <w:r>
        <w:t xml:space="preserve">Initial outturn charges for half-hourly metered </w:t>
      </w:r>
      <w:r w:rsidR="46CF7F90">
        <w:t xml:space="preserve">gross </w:t>
      </w:r>
      <w:r>
        <w:t>demand will be determined using the latest available data of actual average Triad</w:t>
      </w:r>
      <w:r w:rsidR="46CF7F90">
        <w:t xml:space="preserve"> gross</w:t>
      </w:r>
      <w:r w:rsidR="006661FE">
        <w:fldChar w:fldCharType="begin"/>
      </w:r>
      <w:r w:rsidR="006661FE">
        <w:instrText xml:space="preserve"> XE "Triad" </w:instrText>
      </w:r>
      <w:r w:rsidR="006661FE">
        <w:fldChar w:fldCharType="end"/>
      </w:r>
      <w:r>
        <w:t xml:space="preserve"> demand (kW) multiplied by the zonal</w:t>
      </w:r>
      <w:r w:rsidR="46CF7F90">
        <w:t xml:space="preserve"> gross</w:t>
      </w:r>
      <w:r>
        <w:t xml:space="preserve"> demand tariff(s) (£/kW) applicable to the months concerned for each zone for that </w:t>
      </w:r>
      <w:r w:rsidRPr="0537B9E0">
        <w:rPr>
          <w:b/>
          <w:bCs/>
        </w:rPr>
        <w:t>Financial Year</w:t>
      </w:r>
      <w:r w:rsidR="243CB5E7">
        <w:t xml:space="preserve">. </w:t>
      </w:r>
      <w:r>
        <w:t xml:space="preserve">These actual values are then reconciled against the monthly charges paid in respect of half-hourly </w:t>
      </w:r>
      <w:r w:rsidR="7BCBDC58">
        <w:t xml:space="preserve">gross </w:t>
      </w:r>
      <w:r>
        <w:t>demand.</w:t>
      </w:r>
    </w:p>
    <w:p w14:paraId="6AD0EA77" w14:textId="77777777" w:rsidR="007D63D6" w:rsidRDefault="007D63D6" w:rsidP="00B67876">
      <w:pPr>
        <w:pStyle w:val="ListParagraph"/>
      </w:pPr>
    </w:p>
    <w:p w14:paraId="6BBFB69D" w14:textId="16AA8A2F" w:rsidR="007D63D6" w:rsidRDefault="46CF7F90" w:rsidP="00AD7A23">
      <w:pPr>
        <w:pStyle w:val="1"/>
        <w:numPr>
          <w:ilvl w:val="0"/>
          <w:numId w:val="128"/>
        </w:numPr>
        <w:jc w:val="both"/>
      </w:pPr>
      <w:r>
        <w:t>Initial outturn charges for half-hourly metered embedded export will be determined using the latest available data of actual average Triad</w:t>
      </w:r>
      <w:r w:rsidR="007D63D6">
        <w:fldChar w:fldCharType="begin"/>
      </w:r>
      <w:r w:rsidR="007D63D6">
        <w:instrText xml:space="preserve"> XE "Triad" </w:instrText>
      </w:r>
      <w:r w:rsidR="007D63D6">
        <w:fldChar w:fldCharType="end"/>
      </w:r>
      <w:r>
        <w:t xml:space="preserve"> embedded export (kW) multiplied by the zonal embedded export tariff(s) (£/kW) applicable to the months concerned for each zone for that </w:t>
      </w:r>
      <w:r w:rsidRPr="0537B9E0">
        <w:rPr>
          <w:b/>
          <w:bCs/>
        </w:rPr>
        <w:t>Financial Year</w:t>
      </w:r>
      <w:r w:rsidR="59756B4B">
        <w:t xml:space="preserve">. </w:t>
      </w:r>
      <w:r>
        <w:t>These actual values are then reconciled against the monthly charges paid in respect of half-hourly embedded exports.</w:t>
      </w:r>
    </w:p>
    <w:p w14:paraId="34CD87B7" w14:textId="77777777" w:rsidR="006661FE" w:rsidRDefault="006661FE" w:rsidP="006661FE">
      <w:pPr>
        <w:pStyle w:val="1"/>
        <w:jc w:val="both"/>
      </w:pPr>
    </w:p>
    <w:p w14:paraId="4BDC59DC" w14:textId="77777777" w:rsidR="006661FE" w:rsidRPr="004248A1" w:rsidRDefault="006661FE" w:rsidP="006661FE">
      <w:pPr>
        <w:pStyle w:val="Heading3"/>
        <w:keepNext/>
        <w:ind w:left="709"/>
        <w:jc w:val="both"/>
        <w:rPr>
          <w:rFonts w:ascii="Arial" w:hAnsi="Arial" w:cs="Arial"/>
          <w:b/>
        </w:rPr>
      </w:pPr>
      <w:bookmarkStart w:id="427" w:name="_Toc49661136"/>
      <w:bookmarkStart w:id="428" w:name="_Toc274049710"/>
      <w:bookmarkEnd w:id="426"/>
      <w:r w:rsidRPr="004248A1">
        <w:rPr>
          <w:rFonts w:ascii="Arial" w:hAnsi="Arial" w:cs="Arial"/>
          <w:b/>
        </w:rPr>
        <w:t>Initial Reconciliation Part 2 – Non-half-hourly metered demand</w:t>
      </w:r>
      <w:bookmarkStart w:id="429" w:name="_Hlt498762075"/>
      <w:bookmarkStart w:id="430" w:name="_Ref491664018"/>
      <w:bookmarkStart w:id="431" w:name="_Ref497734153"/>
      <w:bookmarkStart w:id="432" w:name="_Ref498941166"/>
      <w:bookmarkEnd w:id="427"/>
      <w:bookmarkEnd w:id="428"/>
      <w:bookmarkEnd w:id="429"/>
    </w:p>
    <w:bookmarkEnd w:id="430"/>
    <w:bookmarkEnd w:id="431"/>
    <w:bookmarkEnd w:id="432"/>
    <w:p w14:paraId="5F7039B7" w14:textId="02A47E98" w:rsidR="006661FE" w:rsidRDefault="4DB720A2" w:rsidP="00AD7A23">
      <w:pPr>
        <w:pStyle w:val="1"/>
        <w:numPr>
          <w:ilvl w:val="0"/>
          <w:numId w:val="128"/>
        </w:numPr>
        <w:jc w:val="both"/>
      </w:pPr>
      <w:r>
        <w:t>Actual payments for non-half-hourly metered demand will be determined using the latest available actual energy consumption data (kWh) for the period 16:00 hrs to 19:00 hrs inclusive (i.e. settlement periods 33 to 38) over the year multiplied by the energy consumption tariff(s) (p/kWh) applicable to the months concerned for each zone</w:t>
      </w:r>
      <w:r w:rsidR="6B9DB926">
        <w:t xml:space="preserve">. </w:t>
      </w:r>
      <w:r>
        <w:t>These actual values are then reconciled against the monthly charges paid in respect of non-half-hourly energy consumption.</w:t>
      </w:r>
    </w:p>
    <w:p w14:paraId="6F6317CA" w14:textId="77777777" w:rsidR="006661FE" w:rsidRDefault="006661FE" w:rsidP="006661FE">
      <w:pPr>
        <w:pStyle w:val="Heading3"/>
        <w:ind w:left="709"/>
        <w:jc w:val="both"/>
      </w:pPr>
    </w:p>
    <w:p w14:paraId="6B76E88C" w14:textId="77777777" w:rsidR="005E79BA" w:rsidRDefault="005E79BA" w:rsidP="005E79BA">
      <w:pPr>
        <w:keepNext/>
        <w:keepLines/>
        <w:spacing w:before="40"/>
        <w:ind w:left="709"/>
        <w:jc w:val="both"/>
        <w:outlineLvl w:val="2"/>
        <w:rPr>
          <w:rFonts w:ascii="Arial" w:eastAsiaTheme="majorEastAsia" w:hAnsi="Arial" w:cs="Arial"/>
          <w:b/>
          <w:color w:val="1F3763" w:themeColor="accent1" w:themeShade="7F"/>
          <w:sz w:val="22"/>
          <w:szCs w:val="22"/>
        </w:rPr>
      </w:pPr>
      <w:bookmarkStart w:id="433" w:name="_Toc274049711"/>
      <w:bookmarkStart w:id="434" w:name="_Toc49661137"/>
      <w:r>
        <w:rPr>
          <w:rFonts w:ascii="Arial" w:eastAsiaTheme="majorEastAsia" w:hAnsi="Arial" w:cs="Arial"/>
          <w:b/>
          <w:color w:val="1F3763" w:themeColor="accent1" w:themeShade="7F"/>
        </w:rPr>
        <w:t>Initial Reconciliation Part 3 – FDSC and Unmetered Supply Volume</w:t>
      </w:r>
    </w:p>
    <w:p w14:paraId="369B42C9" w14:textId="7BE66FD1" w:rsidR="005E79BA" w:rsidRDefault="005E79BA" w:rsidP="005E79BA">
      <w:pPr>
        <w:pStyle w:val="Heading3"/>
        <w:ind w:left="709"/>
        <w:jc w:val="both"/>
        <w:rPr>
          <w:rFonts w:ascii="Arial" w:hAnsi="Arial" w:cs="Arial"/>
        </w:rPr>
      </w:pPr>
      <w:r>
        <w:rPr>
          <w:rFonts w:ascii="Arial" w:hAnsi="Arial" w:cs="Arial"/>
        </w:rPr>
        <w:t>14.17.29a</w:t>
      </w:r>
      <w:r>
        <w:rPr>
          <w:rFonts w:ascii="Arial" w:hAnsi="Arial" w:cs="Arial"/>
        </w:rPr>
        <w:tab/>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r w:rsidR="006E5400">
        <w:rPr>
          <w:rFonts w:ascii="Arial" w:hAnsi="Arial" w:cs="Arial"/>
        </w:rPr>
        <w:t>.</w:t>
      </w:r>
    </w:p>
    <w:p w14:paraId="47949951" w14:textId="525C928C" w:rsidR="006661FE" w:rsidRPr="004248A1" w:rsidRDefault="006661FE" w:rsidP="005E79BA">
      <w:pPr>
        <w:pStyle w:val="Heading3"/>
        <w:ind w:left="709"/>
        <w:jc w:val="both"/>
        <w:rPr>
          <w:rFonts w:ascii="Arial" w:hAnsi="Arial" w:cs="Arial"/>
          <w:b/>
        </w:rPr>
      </w:pPr>
      <w:r w:rsidRPr="004248A1">
        <w:rPr>
          <w:rFonts w:ascii="Arial" w:hAnsi="Arial" w:cs="Arial"/>
          <w:b/>
        </w:rPr>
        <w:t>Final Reconciliation of demand charges</w:t>
      </w:r>
      <w:bookmarkEnd w:id="433"/>
    </w:p>
    <w:p w14:paraId="2ACA98DC" w14:textId="446ED4CF" w:rsidR="006661FE" w:rsidRDefault="4DB720A2" w:rsidP="00AD7A23">
      <w:pPr>
        <w:pStyle w:val="1"/>
        <w:numPr>
          <w:ilvl w:val="0"/>
          <w:numId w:val="128"/>
        </w:numPr>
        <w:jc w:val="both"/>
      </w:pPr>
      <w:r>
        <w:t>The final reconciliation process compares Users' charges (as calculated during the initial reconciliation process using the latest available data) against final outturn demand charges (based on final</w:t>
      </w:r>
      <w:r w:rsidR="2BB27DAE">
        <w:t>ised FDSC and Unmetered Supply Volume</w:t>
      </w:r>
      <w:r w:rsidR="560B2F23">
        <w:t>. S</w:t>
      </w:r>
      <w:r>
        <w:t>ettlement data</w:t>
      </w:r>
      <w:r w:rsidR="46CF7F90">
        <w:t xml:space="preserve"> of half-hourly gross demand, embedded </w:t>
      </w:r>
      <w:bookmarkStart w:id="435" w:name="_Int_EKegFb2M"/>
      <w:r w:rsidR="46CF7F90">
        <w:t>exports</w:t>
      </w:r>
      <w:bookmarkEnd w:id="435"/>
      <w:r w:rsidR="46CF7F90">
        <w:t xml:space="preserve"> and non-half-hourly energy consumption</w:t>
      </w:r>
      <w:r>
        <w:t xml:space="preserve">). </w:t>
      </w:r>
    </w:p>
    <w:p w14:paraId="395700FF" w14:textId="77777777" w:rsidR="006661FE" w:rsidRDefault="006661FE" w:rsidP="006661FE">
      <w:pPr>
        <w:pStyle w:val="1"/>
        <w:ind w:left="720" w:hanging="720"/>
        <w:jc w:val="both"/>
      </w:pPr>
    </w:p>
    <w:p w14:paraId="59CDFEA4" w14:textId="77777777" w:rsidR="006661FE" w:rsidRDefault="006661FE" w:rsidP="00AD7A23">
      <w:pPr>
        <w:pStyle w:val="1"/>
        <w:numPr>
          <w:ilvl w:val="0"/>
          <w:numId w:val="128"/>
        </w:numPr>
        <w:jc w:val="both"/>
        <w:rPr>
          <w:sz w:val="20"/>
        </w:rPr>
      </w:pPr>
      <w:bookmarkStart w:id="436" w:name="_Ref272917776"/>
      <w:r>
        <w:t>Final actual charges will be determined using the final demand reconciliation data taken from the Final Reconciliation Settlement Run or the Final Reconciliation Volume Allocation Run</w:t>
      </w:r>
      <w:r>
        <w:rPr>
          <w:sz w:val="20"/>
        </w:rPr>
        <w:t>.</w:t>
      </w:r>
      <w:bookmarkEnd w:id="436"/>
    </w:p>
    <w:p w14:paraId="4EAEC8C5" w14:textId="77777777" w:rsidR="004248A1" w:rsidRDefault="004248A1" w:rsidP="006661FE">
      <w:pPr>
        <w:pStyle w:val="Heading3"/>
        <w:ind w:left="709"/>
        <w:jc w:val="both"/>
        <w:rPr>
          <w:sz w:val="20"/>
        </w:rPr>
      </w:pPr>
    </w:p>
    <w:p w14:paraId="22591CB0" w14:textId="77777777" w:rsidR="006661FE" w:rsidRPr="004248A1" w:rsidRDefault="006661FE" w:rsidP="006661FE">
      <w:pPr>
        <w:pStyle w:val="Heading3"/>
        <w:ind w:left="709"/>
        <w:jc w:val="both"/>
        <w:rPr>
          <w:rFonts w:ascii="Arial" w:hAnsi="Arial" w:cs="Arial"/>
          <w:b/>
        </w:rPr>
      </w:pPr>
      <w:r w:rsidRPr="004248A1">
        <w:rPr>
          <w:rFonts w:ascii="Arial" w:hAnsi="Arial" w:cs="Arial"/>
          <w:b/>
          <w:sz w:val="20"/>
        </w:rPr>
        <w:tab/>
      </w:r>
      <w:bookmarkStart w:id="437" w:name="_Toc274049712"/>
      <w:r w:rsidRPr="004248A1">
        <w:rPr>
          <w:rFonts w:ascii="Arial" w:hAnsi="Arial" w:cs="Arial"/>
          <w:b/>
        </w:rPr>
        <w:t>Reconciliation of manifest errors</w:t>
      </w:r>
      <w:bookmarkEnd w:id="437"/>
    </w:p>
    <w:p w14:paraId="4FAE4DB9" w14:textId="42FBD07D" w:rsidR="006661FE" w:rsidRDefault="4DB720A2" w:rsidP="00AD7A23">
      <w:pPr>
        <w:pStyle w:val="1"/>
        <w:numPr>
          <w:ilvl w:val="0"/>
          <w:numId w:val="128"/>
        </w:numPr>
        <w:jc w:val="both"/>
      </w:pPr>
      <w:bookmarkStart w:id="438" w:name="_Int_X7l5wMDx"/>
      <w:r>
        <w:t>In the event that</w:t>
      </w:r>
      <w:bookmarkEnd w:id="438"/>
      <w:r>
        <w:t xml:space="preserve"> a manifest error, or multiple errors in the calculation of TNUoS tariffs results in a material discrepancy in </w:t>
      </w:r>
      <w:r w:rsidR="1D492FDD">
        <w:t>a</w:t>
      </w:r>
      <w:r w:rsidR="0F70172D">
        <w:t xml:space="preserve"> </w:t>
      </w:r>
      <w:r>
        <w:t>Users TNUoS tariff, the reconciliation process for all Users qualifying under Section</w:t>
      </w:r>
      <w:r w:rsidR="62888910">
        <w:t xml:space="preserve"> 14.17.34</w:t>
      </w:r>
      <w:r>
        <w:t xml:space="preserve"> will be in accordance with Sections </w:t>
      </w:r>
      <w:r w:rsidR="60576C83">
        <w:t>14.17.25</w:t>
      </w:r>
      <w:r>
        <w:t xml:space="preserve"> to </w:t>
      </w:r>
      <w:r w:rsidR="607221A6">
        <w:t>14.17.31</w:t>
      </w:r>
      <w:r>
        <w:t xml:space="preserve">.  The reconciliation process shall be carried </w:t>
      </w:r>
      <w:r>
        <w:lastRenderedPageBreak/>
        <w:t>out using recalculated TNUoS tariffs</w:t>
      </w:r>
      <w:r w:rsidR="697D358D">
        <w:t xml:space="preserve">. </w:t>
      </w:r>
      <w:r>
        <w:t>Where such reconciliation is not practicable, a post-year reconciliation will be undertaken in the form of a one-off payment.</w:t>
      </w:r>
    </w:p>
    <w:p w14:paraId="6CE89E7A" w14:textId="77777777" w:rsidR="006661FE" w:rsidRDefault="006661FE" w:rsidP="006661FE">
      <w:pPr>
        <w:pStyle w:val="1"/>
        <w:ind w:left="709" w:hanging="709"/>
        <w:jc w:val="both"/>
      </w:pPr>
    </w:p>
    <w:p w14:paraId="33149A38" w14:textId="77777777" w:rsidR="006661FE" w:rsidRDefault="006661FE" w:rsidP="00AD7A23">
      <w:pPr>
        <w:pStyle w:val="1"/>
        <w:numPr>
          <w:ilvl w:val="0"/>
          <w:numId w:val="128"/>
        </w:numPr>
        <w:jc w:val="both"/>
      </w:pPr>
      <w:bookmarkStart w:id="439" w:name="_Ref272932916"/>
      <w:r>
        <w:t>A manifest error shall be defined as any of the following:</w:t>
      </w:r>
      <w:bookmarkEnd w:id="439"/>
    </w:p>
    <w:p w14:paraId="386D1F66" w14:textId="77777777" w:rsidR="006661FE" w:rsidRDefault="006661FE" w:rsidP="006661FE">
      <w:pPr>
        <w:pStyle w:val="1"/>
        <w:ind w:left="709" w:hanging="709"/>
        <w:jc w:val="both"/>
      </w:pPr>
    </w:p>
    <w:p w14:paraId="4D5A69B7" w14:textId="77777777" w:rsidR="006661FE" w:rsidRDefault="006661FE" w:rsidP="006661FE">
      <w:pPr>
        <w:pStyle w:val="1"/>
        <w:tabs>
          <w:tab w:val="left" w:pos="1260"/>
        </w:tabs>
        <w:ind w:left="2430" w:hanging="270"/>
        <w:jc w:val="both"/>
      </w:pPr>
      <w:r>
        <w:t>a) an error in the transfer of relevant data between the Transmission Licensees or Distribution Network Operators;</w:t>
      </w:r>
    </w:p>
    <w:p w14:paraId="20966D45" w14:textId="77777777" w:rsidR="006661FE" w:rsidRDefault="006661FE" w:rsidP="006661FE">
      <w:pPr>
        <w:pStyle w:val="1"/>
        <w:ind w:left="2149" w:hanging="709"/>
        <w:jc w:val="both"/>
      </w:pPr>
      <w:r>
        <w:tab/>
        <w:t>b) an error in the population of the Transport Model with relevant data;</w:t>
      </w:r>
    </w:p>
    <w:p w14:paraId="45EAB719" w14:textId="77777777" w:rsidR="006661FE" w:rsidRDefault="006661FE" w:rsidP="006661FE">
      <w:pPr>
        <w:pStyle w:val="1"/>
        <w:ind w:left="2149" w:hanging="709"/>
        <w:jc w:val="both"/>
      </w:pPr>
      <w:r>
        <w:tab/>
        <w:t>c) an error in the function of the Transport Model; or</w:t>
      </w:r>
    </w:p>
    <w:p w14:paraId="587F1B6A" w14:textId="77777777" w:rsidR="006661FE" w:rsidRDefault="006661FE" w:rsidP="006661FE">
      <w:pPr>
        <w:pStyle w:val="1"/>
        <w:ind w:left="2149" w:hanging="709"/>
        <w:jc w:val="both"/>
      </w:pPr>
      <w:r>
        <w:tab/>
        <w:t>d) an error in the inputs or function of the Tariff Model.</w:t>
      </w:r>
    </w:p>
    <w:p w14:paraId="1F4B897A" w14:textId="77777777" w:rsidR="006661FE" w:rsidRDefault="006661FE" w:rsidP="006661FE">
      <w:pPr>
        <w:pStyle w:val="1"/>
        <w:ind w:left="709" w:hanging="709"/>
        <w:jc w:val="both"/>
      </w:pPr>
    </w:p>
    <w:p w14:paraId="2FE5CA3D" w14:textId="77777777" w:rsidR="006661FE" w:rsidRDefault="4DB720A2" w:rsidP="00AD7A23">
      <w:pPr>
        <w:pStyle w:val="1"/>
        <w:numPr>
          <w:ilvl w:val="0"/>
          <w:numId w:val="128"/>
        </w:numPr>
        <w:jc w:val="both"/>
      </w:pPr>
      <w:bookmarkStart w:id="440" w:name="_Ref272931090"/>
      <w:r>
        <w:t xml:space="preserve">A manifest error shall be considered material </w:t>
      </w:r>
      <w:bookmarkStart w:id="441" w:name="_Int_MvdUFyvq"/>
      <w:r>
        <w:t>in the event that</w:t>
      </w:r>
      <w:bookmarkEnd w:id="441"/>
      <w:r>
        <w:t xml:space="preserve"> such an error or, the net effect of multiple errors, has an impact of the lesser of either:</w:t>
      </w:r>
      <w:bookmarkEnd w:id="440"/>
    </w:p>
    <w:p w14:paraId="1D8C537D" w14:textId="77777777" w:rsidR="006661FE" w:rsidRDefault="006661FE" w:rsidP="006661FE">
      <w:pPr>
        <w:pStyle w:val="1"/>
        <w:ind w:left="709" w:hanging="709"/>
        <w:jc w:val="both"/>
      </w:pPr>
    </w:p>
    <w:p w14:paraId="2B6BA745" w14:textId="0DC17EF7" w:rsidR="006661FE" w:rsidRDefault="006661FE" w:rsidP="006661FE">
      <w:pPr>
        <w:pStyle w:val="1"/>
        <w:ind w:left="2149" w:hanging="709"/>
        <w:jc w:val="both"/>
      </w:pPr>
      <w:r>
        <w:tab/>
        <w:t>a) an error in a User’s TNUoS tariff of at least +/-£0.</w:t>
      </w:r>
      <w:r w:rsidR="00DD76C7">
        <w:t>76</w:t>
      </w:r>
      <w:r>
        <w:t>/kW; or</w:t>
      </w:r>
    </w:p>
    <w:p w14:paraId="5BFCD922" w14:textId="40AC95D9" w:rsidR="006661FE" w:rsidRDefault="4DB720A2" w:rsidP="006661FE">
      <w:pPr>
        <w:pStyle w:val="1"/>
        <w:ind w:left="2430" w:hanging="270"/>
        <w:jc w:val="both"/>
      </w:pPr>
      <w:r>
        <w:t xml:space="preserve">b) an error in a User’s TNUoS tariff which results in an error in the annual TNUoS charge of a User </w:t>
      </w:r>
      <w:bookmarkStart w:id="442" w:name="_Int_Jedbxwxn"/>
      <w:r>
        <w:t>in excess of</w:t>
      </w:r>
      <w:bookmarkEnd w:id="442"/>
      <w:r>
        <w:t xml:space="preserve"> +/-£</w:t>
      </w:r>
      <w:r w:rsidR="66F8B333">
        <w:t>377</w:t>
      </w:r>
      <w:r w:rsidR="782838A6">
        <w:t>,735</w:t>
      </w:r>
      <w:r w:rsidR="1D90DEBF">
        <w:t xml:space="preserve">. </w:t>
      </w:r>
    </w:p>
    <w:p w14:paraId="1DB5A951" w14:textId="77777777" w:rsidR="00BD17C4" w:rsidRDefault="00BD17C4" w:rsidP="006661FE">
      <w:pPr>
        <w:pStyle w:val="1"/>
        <w:ind w:left="2430" w:hanging="270"/>
        <w:jc w:val="both"/>
      </w:pPr>
    </w:p>
    <w:p w14:paraId="1C5FFDDA" w14:textId="77777777" w:rsidR="008E07BF" w:rsidRDefault="008E07BF" w:rsidP="008E07BF">
      <w:pPr>
        <w:pStyle w:val="1"/>
        <w:ind w:left="1627"/>
        <w:jc w:val="both"/>
      </w:pPr>
      <w:r w:rsidRPr="002C3489">
        <w:t>Thresholds are stated in 2020/21 money and will be indexed annually by the Transmission Owner Price Index (TOPI) thereafter, starting from 1st April 2021</w:t>
      </w:r>
    </w:p>
    <w:p w14:paraId="0E22C9BE" w14:textId="77777777" w:rsidR="006661FE" w:rsidRDefault="006661FE" w:rsidP="006661FE">
      <w:pPr>
        <w:pStyle w:val="1"/>
        <w:jc w:val="both"/>
      </w:pPr>
    </w:p>
    <w:p w14:paraId="67A23013" w14:textId="336DF7BD" w:rsidR="007E2ED4" w:rsidRDefault="4DB720A2" w:rsidP="00AD7A23">
      <w:pPr>
        <w:pStyle w:val="1"/>
        <w:numPr>
          <w:ilvl w:val="0"/>
          <w:numId w:val="128"/>
        </w:numPr>
        <w:jc w:val="both"/>
      </w:pPr>
      <w:bookmarkStart w:id="443" w:name="_Ref272917811"/>
      <w:r>
        <w:t xml:space="preserve">A manifest error shall only be reconciled if it has been identified within the </w:t>
      </w:r>
      <w:r w:rsidR="445B7493" w:rsidRPr="0537B9E0">
        <w:rPr>
          <w:rFonts w:ascii="Arial" w:hAnsi="Arial" w:cs="Arial"/>
          <w:b/>
          <w:bCs/>
        </w:rPr>
        <w:t>Financial Year</w:t>
      </w:r>
      <w:r>
        <w:t xml:space="preserve"> for which the error has an effect</w:t>
      </w:r>
      <w:r w:rsidR="4078A520">
        <w:t xml:space="preserve">. </w:t>
      </w:r>
      <w:r>
        <w:t>Errors identified outside of this period will not be eligible for reconciliation retrospectively.</w:t>
      </w:r>
      <w:bookmarkEnd w:id="443"/>
    </w:p>
    <w:p w14:paraId="148B863F" w14:textId="77777777" w:rsidR="00395496" w:rsidRDefault="00395496" w:rsidP="00395496">
      <w:pPr>
        <w:pStyle w:val="1"/>
        <w:ind w:left="1627"/>
        <w:jc w:val="both"/>
        <w:rPr>
          <w:rFonts w:ascii="Arial" w:hAnsi="Arial" w:cs="Arial"/>
          <w:b/>
        </w:rPr>
      </w:pPr>
    </w:p>
    <w:p w14:paraId="5644AC48" w14:textId="6F431EC2" w:rsidR="00395496" w:rsidRDefault="00395496" w:rsidP="00D34C2B">
      <w:pPr>
        <w:pStyle w:val="1"/>
        <w:ind w:left="709"/>
        <w:jc w:val="both"/>
        <w:rPr>
          <w:rFonts w:ascii="Arial" w:hAnsi="Arial" w:cs="Arial"/>
          <w:b/>
        </w:rPr>
      </w:pPr>
      <w:r w:rsidRPr="00E4190E">
        <w:rPr>
          <w:rFonts w:ascii="Arial" w:hAnsi="Arial" w:cs="Arial"/>
          <w:b/>
        </w:rPr>
        <w:t>Ex-post Reconciliation</w:t>
      </w:r>
      <w:r>
        <w:rPr>
          <w:rFonts w:ascii="Arial" w:hAnsi="Arial" w:cs="Arial"/>
          <w:b/>
        </w:rPr>
        <w:t xml:space="preserve"> </w:t>
      </w:r>
      <w:r w:rsidRPr="00E4190E">
        <w:rPr>
          <w:rFonts w:ascii="Arial" w:hAnsi="Arial" w:cs="Arial"/>
          <w:b/>
        </w:rPr>
        <w:t xml:space="preserve">of Generator and Demand Charges in the event of exceeding the limits to Generator charges in the Limiting Regulation </w:t>
      </w:r>
    </w:p>
    <w:p w14:paraId="7CFFFE4C" w14:textId="77777777" w:rsidR="00D34C2B" w:rsidRPr="00E4190E" w:rsidRDefault="00D34C2B" w:rsidP="00D34C2B">
      <w:pPr>
        <w:pStyle w:val="1"/>
        <w:ind w:left="709"/>
        <w:jc w:val="both"/>
        <w:rPr>
          <w:rFonts w:ascii="Arial" w:hAnsi="Arial" w:cs="Arial"/>
          <w:b/>
        </w:rPr>
      </w:pPr>
    </w:p>
    <w:p w14:paraId="23923AAC" w14:textId="5D2BAB7A" w:rsidR="00395496" w:rsidRPr="006605E7" w:rsidRDefault="1CE92958" w:rsidP="00AD7A23">
      <w:pPr>
        <w:pStyle w:val="1"/>
        <w:numPr>
          <w:ilvl w:val="0"/>
          <w:numId w:val="128"/>
        </w:numPr>
        <w:jc w:val="both"/>
        <w:rPr>
          <w:rFonts w:ascii="Arial" w:hAnsi="Arial" w:cs="Arial"/>
          <w:b/>
        </w:rPr>
      </w:pPr>
      <w:r w:rsidRPr="00C94D4B">
        <w:rPr>
          <w:rFonts w:ascii="Arial" w:hAnsi="Arial" w:cs="Arial"/>
          <w:b/>
        </w:rPr>
        <w:t>The</w:t>
      </w:r>
      <w:r w:rsidR="0002015C" w:rsidRPr="00C94D4B">
        <w:rPr>
          <w:rFonts w:ascii="Arial" w:hAnsi="Arial" w:cs="Arial"/>
          <w:b/>
        </w:rPr>
        <w:t xml:space="preserve"> Company</w:t>
      </w:r>
      <w:r w:rsidR="0002015C" w:rsidRPr="00E70FAC">
        <w:rPr>
          <w:rFonts w:ascii="Arial" w:hAnsi="Arial" w:cs="Arial"/>
        </w:rPr>
        <w:t xml:space="preserve"> shall, following the completion of </w:t>
      </w:r>
      <w:r w:rsidR="0002015C">
        <w:rPr>
          <w:rFonts w:ascii="Arial" w:hAnsi="Arial" w:cs="Arial"/>
        </w:rPr>
        <w:t>each</w:t>
      </w:r>
      <w:r w:rsidR="0002015C" w:rsidRPr="00E70FAC">
        <w:rPr>
          <w:rFonts w:ascii="Arial" w:hAnsi="Arial" w:cs="Arial"/>
        </w:rPr>
        <w:t xml:space="preserve"> </w:t>
      </w:r>
      <w:r w:rsidR="009979FE">
        <w:rPr>
          <w:rFonts w:ascii="Arial" w:hAnsi="Arial" w:cs="Arial"/>
          <w:b/>
        </w:rPr>
        <w:t xml:space="preserve"> </w:t>
      </w:r>
      <w:r w:rsidR="009979FE" w:rsidRPr="00AD7A23">
        <w:rPr>
          <w:rFonts w:ascii="Arial" w:hAnsi="Arial" w:cs="Arial"/>
          <w:bCs/>
        </w:rPr>
        <w:t>Charging Year</w:t>
      </w:r>
      <w:r w:rsidR="0002015C" w:rsidRPr="00E70FAC">
        <w:rPr>
          <w:rFonts w:ascii="Arial" w:hAnsi="Arial" w:cs="Arial"/>
        </w:rPr>
        <w:t xml:space="preserve">, produce a statement </w:t>
      </w:r>
      <w:r w:rsidR="0002015C">
        <w:rPr>
          <w:rFonts w:ascii="Arial" w:hAnsi="Arial" w:cs="Arial"/>
        </w:rPr>
        <w:t>setting out the</w:t>
      </w:r>
      <w:r w:rsidR="0002015C" w:rsidRPr="00E70FAC">
        <w:rPr>
          <w:rFonts w:ascii="Arial" w:hAnsi="Arial" w:cs="Arial"/>
        </w:rPr>
        <w:t xml:space="preserve"> annual average </w:t>
      </w:r>
      <w:r w:rsidR="0002015C">
        <w:rPr>
          <w:rFonts w:ascii="Arial" w:hAnsi="Arial" w:cs="Arial"/>
        </w:rPr>
        <w:t xml:space="preserve">transmission </w:t>
      </w:r>
      <w:r w:rsidR="0002015C" w:rsidRPr="00E70FAC">
        <w:rPr>
          <w:rFonts w:ascii="Arial" w:hAnsi="Arial" w:cs="Arial"/>
        </w:rPr>
        <w:t>charge</w:t>
      </w:r>
      <w:r w:rsidR="0002015C">
        <w:rPr>
          <w:rFonts w:ascii="Arial" w:hAnsi="Arial" w:cs="Arial"/>
        </w:rPr>
        <w:t>s</w:t>
      </w:r>
      <w:r w:rsidR="0002015C" w:rsidRPr="00E70FAC">
        <w:rPr>
          <w:rFonts w:ascii="Arial" w:hAnsi="Arial" w:cs="Arial"/>
        </w:rPr>
        <w:t xml:space="preserve"> paid</w:t>
      </w:r>
      <w:r w:rsidR="0002015C">
        <w:rPr>
          <w:rFonts w:ascii="Arial" w:hAnsi="Arial" w:cs="Arial"/>
        </w:rPr>
        <w:t xml:space="preserve"> in aggregate by Generators</w:t>
      </w:r>
      <w:r w:rsidR="0002015C" w:rsidRPr="00C3144B">
        <w:rPr>
          <w:rFonts w:ascii="Arial" w:hAnsi="Arial" w:cs="Arial"/>
        </w:rPr>
        <w:t xml:space="preserve"> in €/MWh as </w:t>
      </w:r>
      <w:r w:rsidR="0002015C">
        <w:rPr>
          <w:rFonts w:ascii="Arial" w:hAnsi="Arial" w:cs="Arial"/>
        </w:rPr>
        <w:t>per</w:t>
      </w:r>
      <w:r w:rsidR="0002015C" w:rsidRPr="00C3144B">
        <w:rPr>
          <w:rFonts w:ascii="Arial" w:hAnsi="Arial" w:cs="Arial"/>
        </w:rPr>
        <w:t xml:space="preserve"> </w:t>
      </w:r>
      <w:r w:rsidR="0002015C">
        <w:rPr>
          <w:rFonts w:ascii="Arial" w:hAnsi="Arial" w:cs="Arial"/>
        </w:rPr>
        <w:t xml:space="preserve">paragraph </w:t>
      </w:r>
      <w:r w:rsidR="0002015C" w:rsidRPr="00C3144B">
        <w:rPr>
          <w:rFonts w:ascii="Arial" w:hAnsi="Arial" w:cs="Arial"/>
        </w:rPr>
        <w:t>14.14.5.</w:t>
      </w:r>
    </w:p>
    <w:p w14:paraId="2FB7D956" w14:textId="77777777" w:rsidR="006605E7" w:rsidRPr="006605E7" w:rsidRDefault="006605E7" w:rsidP="006605E7">
      <w:pPr>
        <w:pStyle w:val="1"/>
        <w:ind w:left="1627"/>
        <w:jc w:val="both"/>
        <w:rPr>
          <w:rFonts w:ascii="Arial" w:hAnsi="Arial" w:cs="Arial"/>
          <w:b/>
        </w:rPr>
      </w:pPr>
    </w:p>
    <w:p w14:paraId="0DB694E7" w14:textId="6F5E535D" w:rsidR="0002015C" w:rsidRPr="00C43D1A" w:rsidRDefault="241FFEE8" w:rsidP="0537B9E0">
      <w:pPr>
        <w:pStyle w:val="1"/>
        <w:numPr>
          <w:ilvl w:val="0"/>
          <w:numId w:val="128"/>
        </w:numPr>
        <w:jc w:val="both"/>
        <w:rPr>
          <w:rFonts w:ascii="Arial" w:hAnsi="Arial" w:cs="Arial"/>
          <w:b/>
          <w:bCs/>
        </w:rPr>
      </w:pPr>
      <w:bookmarkStart w:id="444" w:name="_Int_SelQmNiS"/>
      <w:r w:rsidRPr="0537B9E0">
        <w:rPr>
          <w:rFonts w:ascii="Arial" w:hAnsi="Arial" w:cs="Arial"/>
        </w:rPr>
        <w:t>In the event that</w:t>
      </w:r>
      <w:bookmarkEnd w:id="444"/>
      <w:r w:rsidRPr="0537B9E0">
        <w:rPr>
          <w:rFonts w:ascii="Arial" w:hAnsi="Arial" w:cs="Arial"/>
        </w:rPr>
        <w:t xml:space="preserve"> the annual average transmission charges attributable to Generators exceeds the upper limit established in the Limiting Regulation then an Ex-post Reconciliation will be calculated for Generat</w:t>
      </w:r>
      <w:r w:rsidR="73694C02" w:rsidRPr="0537B9E0">
        <w:rPr>
          <w:rFonts w:ascii="Arial" w:hAnsi="Arial" w:cs="Arial"/>
        </w:rPr>
        <w:t xml:space="preserve">ion </w:t>
      </w:r>
      <w:r w:rsidRPr="0537B9E0">
        <w:rPr>
          <w:rFonts w:ascii="Arial" w:hAnsi="Arial" w:cs="Arial"/>
        </w:rPr>
        <w:t xml:space="preserve"> and Demand Users as per the below and will be invoiced at the time of generation reconciliation and initial demand reconciliation.</w:t>
      </w:r>
    </w:p>
    <w:p w14:paraId="2215C277" w14:textId="77777777" w:rsidR="007A6CB2" w:rsidRDefault="007A6CB2" w:rsidP="00C43D1A">
      <w:pPr>
        <w:pStyle w:val="ListParagraph"/>
        <w:rPr>
          <w:rFonts w:ascii="Arial" w:hAnsi="Arial" w:cs="Arial"/>
          <w:b/>
        </w:rPr>
      </w:pPr>
    </w:p>
    <w:p w14:paraId="37D21570" w14:textId="77777777" w:rsidR="007A6CB2" w:rsidRPr="0025180C" w:rsidRDefault="007A6CB2" w:rsidP="00533333">
      <w:pPr>
        <w:pStyle w:val="1"/>
        <w:numPr>
          <w:ilvl w:val="0"/>
          <w:numId w:val="96"/>
        </w:numPr>
        <w:jc w:val="both"/>
        <w:rPr>
          <w:rFonts w:ascii="Arial" w:hAnsi="Arial" w:cs="Arial"/>
          <w:u w:val="single"/>
        </w:rPr>
      </w:pPr>
      <w:r>
        <w:rPr>
          <w:rFonts w:ascii="Arial" w:hAnsi="Arial" w:cs="Arial"/>
          <w:u w:val="single"/>
        </w:rPr>
        <w:t xml:space="preserve">The </w:t>
      </w:r>
      <w:r w:rsidRPr="0025180C">
        <w:rPr>
          <w:rFonts w:ascii="Arial" w:hAnsi="Arial" w:cs="Arial"/>
          <w:u w:val="single"/>
        </w:rPr>
        <w:t xml:space="preserve">Ex-post </w:t>
      </w:r>
      <w:r>
        <w:rPr>
          <w:rFonts w:ascii="Arial" w:hAnsi="Arial" w:cs="Arial"/>
          <w:u w:val="single"/>
        </w:rPr>
        <w:t>R</w:t>
      </w:r>
      <w:r w:rsidRPr="0025180C">
        <w:rPr>
          <w:rFonts w:ascii="Arial" w:hAnsi="Arial" w:cs="Arial"/>
          <w:u w:val="single"/>
        </w:rPr>
        <w:t>econciliation</w:t>
      </w:r>
      <w:r>
        <w:rPr>
          <w:rFonts w:ascii="Arial" w:hAnsi="Arial" w:cs="Arial"/>
          <w:u w:val="single"/>
        </w:rPr>
        <w:t xml:space="preserve"> amount</w:t>
      </w:r>
      <w:r w:rsidRPr="0025180C">
        <w:rPr>
          <w:rFonts w:ascii="Arial" w:hAnsi="Arial" w:cs="Arial"/>
          <w:u w:val="single"/>
        </w:rPr>
        <w:t xml:space="preserve"> for Demand Users</w:t>
      </w:r>
      <w:r>
        <w:rPr>
          <w:rFonts w:ascii="Arial" w:hAnsi="Arial" w:cs="Arial"/>
          <w:u w:val="single"/>
        </w:rPr>
        <w:t xml:space="preserve"> will be calculated as</w:t>
      </w:r>
      <w:r w:rsidRPr="0025180C">
        <w:rPr>
          <w:rFonts w:ascii="Arial" w:hAnsi="Arial" w:cs="Arial"/>
          <w:u w:val="single"/>
        </w:rPr>
        <w:t>:</w:t>
      </w:r>
    </w:p>
    <w:p w14:paraId="118D4B19" w14:textId="77777777" w:rsidR="007A6CB2" w:rsidRPr="0025180C" w:rsidRDefault="007A6CB2" w:rsidP="007A6CB2">
      <w:pPr>
        <w:pStyle w:val="1"/>
        <w:ind w:left="720"/>
        <w:jc w:val="both"/>
        <w:rPr>
          <w:rFonts w:ascii="Arial" w:hAnsi="Arial" w:cs="Arial"/>
        </w:rPr>
      </w:pPr>
    </w:p>
    <w:p w14:paraId="7486B6A6" w14:textId="77777777" w:rsidR="007A6CB2" w:rsidRPr="00E4190E" w:rsidRDefault="007A6CB2" w:rsidP="007A6CB2">
      <w:pPr>
        <w:ind w:left="1440"/>
        <w:rPr>
          <w:rFonts w:cs="Arial"/>
          <w:szCs w:val="22"/>
        </w:rPr>
      </w:pPr>
      <w:r w:rsidRPr="00612996">
        <w:rPr>
          <w:rFonts w:ascii="Arial" w:hAnsi="Arial" w:cs="Arial"/>
          <w:sz w:val="22"/>
          <w:szCs w:val="22"/>
        </w:rPr>
        <w:t>Dadj = GCharge</w:t>
      </w:r>
      <w:r w:rsidRPr="00E4190E">
        <w:rPr>
          <w:rFonts w:cs="Arial"/>
          <w:szCs w:val="22"/>
        </w:rPr>
        <w:t xml:space="preserve"> </w:t>
      </w:r>
      <w:r w:rsidRPr="00612996">
        <w:rPr>
          <w:rFonts w:ascii="Arial" w:hAnsi="Arial" w:cs="Arial"/>
          <w:sz w:val="22"/>
          <w:szCs w:val="22"/>
        </w:rPr>
        <w:t>(Actual)</w:t>
      </w:r>
      <w:r w:rsidRPr="00E4190E">
        <w:rPr>
          <w:rFonts w:cs="Arial"/>
          <w:szCs w:val="22"/>
        </w:rPr>
        <w:t>-</w:t>
      </w:r>
      <m:oMath>
        <m:r>
          <w:rPr>
            <w:rFonts w:ascii="Cambria Math" w:hAnsi="Cambria Math"/>
          </w:rPr>
          <m:t>(</m:t>
        </m:r>
        <m:r>
          <m:rPr>
            <m:sty m:val="p"/>
          </m:rPr>
          <w:rPr>
            <w:rFonts w:ascii="Cambria Math" w:hAnsi="Cambria Math" w:cs="Arial"/>
          </w:rPr>
          <m:t xml:space="preserve"> </m:t>
        </m:r>
        <m:sSub>
          <m:sSubPr>
            <m:ctrlPr>
              <w:rPr>
                <w:rFonts w:ascii="Cambria Math" w:hAnsi="Cambria Math" w:cs="Arial"/>
                <w:i/>
              </w:rPr>
            </m:ctrlPr>
          </m:sSubPr>
          <m:e>
            <m:r>
              <w:rPr>
                <w:rFonts w:ascii="Cambria Math" w:hAnsi="Cambria Math" w:cs="Arial"/>
              </w:rPr>
              <m:t>GO</m:t>
            </m:r>
          </m:e>
          <m:sub>
            <m:r>
              <w:rPr>
                <w:rFonts w:ascii="Cambria Math" w:hAnsi="Cambria Math" w:cs="Arial"/>
              </w:rPr>
              <m:t>A</m:t>
            </m:r>
          </m:sub>
        </m:sSub>
        <m:r>
          <w:rPr>
            <w:rFonts w:ascii="Cambria Math" w:hAnsi="Cambria Math"/>
          </w:rPr>
          <m:t>*</m:t>
        </m:r>
        <m:d>
          <m:dPr>
            <m:ctrlPr>
              <w:rPr>
                <w:rFonts w:ascii="Cambria Math" w:hAnsi="Cambria Math"/>
                <w:i/>
              </w:rPr>
            </m:ctrlPr>
          </m:dPr>
          <m:e>
            <m:r>
              <w:rPr>
                <w:rFonts w:ascii="Cambria Math" w:hAnsi="Cambria Math"/>
              </w:rPr>
              <m:t>CapEC*</m:t>
            </m:r>
            <m:sSub>
              <m:sSubPr>
                <m:ctrlPr>
                  <w:rPr>
                    <w:rFonts w:ascii="Cambria Math" w:hAnsi="Cambria Math"/>
                    <w:i/>
                  </w:rPr>
                </m:ctrlPr>
              </m:sSubPr>
              <m:e>
                <m:r>
                  <w:rPr>
                    <w:rFonts w:ascii="Cambria Math" w:hAnsi="Cambria Math"/>
                  </w:rPr>
                  <m:t>ER</m:t>
                </m:r>
              </m:e>
              <m:sub>
                <m:r>
                  <w:rPr>
                    <w:rFonts w:ascii="Cambria Math" w:hAnsi="Cambria Math"/>
                  </w:rPr>
                  <m:t>A</m:t>
                </m:r>
              </m:sub>
            </m:sSub>
          </m:e>
        </m:d>
        <m:r>
          <w:rPr>
            <w:rFonts w:ascii="Cambria Math" w:hAnsi="Cambria Math"/>
          </w:rPr>
          <m:t>)</m:t>
        </m:r>
      </m:oMath>
    </w:p>
    <w:p w14:paraId="6F1A03D3" w14:textId="77777777" w:rsidR="007A6CB2" w:rsidRPr="00E4190E" w:rsidRDefault="007A6CB2" w:rsidP="007A6CB2">
      <w:pPr>
        <w:ind w:left="1440"/>
        <w:rPr>
          <w:rFonts w:cs="Arial"/>
          <w:szCs w:val="22"/>
        </w:rPr>
      </w:pPr>
    </w:p>
    <w:p w14:paraId="5411A9DD" w14:textId="77777777" w:rsidR="007A6CB2" w:rsidRPr="00E4190E" w:rsidRDefault="007A6CB2" w:rsidP="007A6CB2">
      <w:pPr>
        <w:pStyle w:val="1"/>
        <w:ind w:left="1440"/>
        <w:rPr>
          <w:rFonts w:ascii="Arial" w:hAnsi="Arial" w:cs="Arial"/>
          <w:szCs w:val="22"/>
        </w:rPr>
      </w:pPr>
      <w:r w:rsidRPr="00E4190E">
        <w:rPr>
          <w:rFonts w:ascii="Arial" w:hAnsi="Arial" w:cs="Arial"/>
          <w:szCs w:val="22"/>
        </w:rPr>
        <w:t>Where:</w:t>
      </w:r>
    </w:p>
    <w:p w14:paraId="44AE78FF" w14:textId="77777777" w:rsidR="007A6CB2" w:rsidRPr="00E4190E" w:rsidRDefault="007A6CB2" w:rsidP="007A6CB2">
      <w:pPr>
        <w:ind w:left="1440"/>
        <w:rPr>
          <w:rFonts w:cs="Arial"/>
          <w:szCs w:val="22"/>
        </w:rPr>
      </w:pPr>
      <w:r w:rsidRPr="00E4190E">
        <w:rPr>
          <w:rFonts w:cs="Arial"/>
          <w:szCs w:val="22"/>
        </w:rPr>
        <w:t>Dadj = Revenue to be recovered from Demand</w:t>
      </w:r>
    </w:p>
    <w:p w14:paraId="7464B62F" w14:textId="10B11425" w:rsidR="007A6CB2" w:rsidRPr="00E4190E" w:rsidRDefault="007A6CB2" w:rsidP="007A6CB2">
      <w:pPr>
        <w:pStyle w:val="1"/>
        <w:ind w:left="1440"/>
        <w:rPr>
          <w:rFonts w:ascii="Arial" w:hAnsi="Arial" w:cs="Arial"/>
          <w:szCs w:val="22"/>
        </w:rPr>
      </w:pPr>
      <w:r w:rsidRPr="00E4190E">
        <w:rPr>
          <w:rFonts w:ascii="Arial" w:hAnsi="Arial" w:cs="Arial"/>
          <w:szCs w:val="22"/>
        </w:rPr>
        <w:t>GO</w:t>
      </w:r>
      <w:r w:rsidRPr="00E4190E">
        <w:rPr>
          <w:rFonts w:ascii="Arial" w:hAnsi="Arial" w:cs="Arial"/>
          <w:szCs w:val="22"/>
          <w:vertAlign w:val="subscript"/>
        </w:rPr>
        <w:t>A</w:t>
      </w:r>
      <w:r w:rsidRPr="00E4190E">
        <w:rPr>
          <w:rFonts w:ascii="Arial" w:hAnsi="Arial" w:cs="Arial"/>
          <w:szCs w:val="22"/>
        </w:rPr>
        <w:t xml:space="preserve"> = Actual generator output in the previous </w:t>
      </w:r>
      <w:r w:rsidR="008B2C92">
        <w:rPr>
          <w:rFonts w:ascii="Arial" w:hAnsi="Arial" w:cs="Arial"/>
          <w:b/>
        </w:rPr>
        <w:t xml:space="preserve"> </w:t>
      </w:r>
      <w:r w:rsidR="008B2C92" w:rsidRPr="00AD7A23">
        <w:rPr>
          <w:rFonts w:ascii="Arial" w:hAnsi="Arial" w:cs="Arial"/>
          <w:bCs/>
        </w:rPr>
        <w:t xml:space="preserve">Charging </w:t>
      </w:r>
      <w:r w:rsidR="003016FF" w:rsidRPr="00AD7A23">
        <w:rPr>
          <w:rFonts w:ascii="Arial" w:hAnsi="Arial" w:cs="Arial"/>
          <w:bCs/>
        </w:rPr>
        <w:t>Year</w:t>
      </w:r>
    </w:p>
    <w:p w14:paraId="56AE2A53" w14:textId="77777777" w:rsidR="007A6CB2" w:rsidRPr="00E4190E" w:rsidRDefault="007A6CB2" w:rsidP="007A6CB2">
      <w:pPr>
        <w:pStyle w:val="1"/>
        <w:ind w:left="1440"/>
        <w:rPr>
          <w:rFonts w:ascii="Arial" w:hAnsi="Arial" w:cs="Arial"/>
          <w:szCs w:val="22"/>
        </w:rPr>
      </w:pPr>
      <w:r w:rsidRPr="00E4190E">
        <w:rPr>
          <w:rFonts w:ascii="Arial" w:hAnsi="Arial" w:cs="Arial"/>
          <w:szCs w:val="22"/>
        </w:rPr>
        <w:t>CapEC =  The upper limit of the Limiting Regulation</w:t>
      </w:r>
    </w:p>
    <w:p w14:paraId="2A2E64C9" w14:textId="745E7E92" w:rsidR="00FE137D" w:rsidRDefault="00B428B8" w:rsidP="007A6CB2">
      <w:pPr>
        <w:pStyle w:val="1"/>
        <w:ind w:left="1440"/>
        <w:rPr>
          <w:rFonts w:ascii="Arial" w:eastAsia="Arial" w:hAnsi="Arial"/>
          <w:szCs w:val="22"/>
          <w:lang w:val="en-US"/>
        </w:rPr>
      </w:pPr>
      <m:oMath>
        <m:sSub>
          <m:sSubPr>
            <m:ctrlPr>
              <w:rPr>
                <w:rFonts w:ascii="Cambria Math" w:hAnsi="Cambria Math"/>
                <w:i/>
                <w:sz w:val="24"/>
                <w:szCs w:val="24"/>
                <w:lang w:eastAsia="en-GB"/>
              </w:rPr>
            </m:ctrlPr>
          </m:sSubPr>
          <m:e>
            <m:r>
              <w:rPr>
                <w:rFonts w:ascii="Cambria Math" w:hAnsi="Cambria Math"/>
              </w:rPr>
              <m:t>ER</m:t>
            </m:r>
          </m:e>
          <m:sub>
            <m:r>
              <w:rPr>
                <w:rFonts w:ascii="Cambria Math" w:hAnsi="Cambria Math"/>
              </w:rPr>
              <m:t>A</m:t>
            </m:r>
          </m:sub>
        </m:sSub>
      </m:oMath>
      <w:r w:rsidR="007A6CB2" w:rsidRPr="00E4190E">
        <w:rPr>
          <w:rFonts w:ascii="Arial" w:hAnsi="Arial" w:cs="Arial"/>
          <w:szCs w:val="22"/>
        </w:rPr>
        <w:t xml:space="preserve"> = Actual exchange rate in the previous </w:t>
      </w:r>
      <w:r w:rsidR="003C6F64">
        <w:rPr>
          <w:rFonts w:ascii="Arial" w:hAnsi="Arial" w:cs="Arial"/>
          <w:b/>
        </w:rPr>
        <w:t xml:space="preserve"> </w:t>
      </w:r>
      <w:r w:rsidR="003C6F64" w:rsidRPr="00AD7A23">
        <w:rPr>
          <w:rFonts w:ascii="Arial" w:hAnsi="Arial" w:cs="Arial"/>
          <w:bCs/>
        </w:rPr>
        <w:t>C</w:t>
      </w:r>
      <w:r w:rsidR="001065FF" w:rsidRPr="00AD7A23">
        <w:rPr>
          <w:rFonts w:ascii="Arial" w:hAnsi="Arial" w:cs="Arial"/>
          <w:bCs/>
        </w:rPr>
        <w:t xml:space="preserve">harging </w:t>
      </w:r>
      <w:r w:rsidR="00FE137D" w:rsidRPr="00AD7A23">
        <w:rPr>
          <w:rFonts w:ascii="Arial" w:hAnsi="Arial" w:cs="Arial"/>
          <w:bCs/>
        </w:rPr>
        <w:t>Year</w:t>
      </w:r>
      <w:r w:rsidR="00FE137D" w:rsidRPr="00AB4296">
        <w:rPr>
          <w:rFonts w:ascii="Arial" w:eastAsia="Arial" w:hAnsi="Arial"/>
          <w:szCs w:val="22"/>
          <w:lang w:val="en-US"/>
        </w:rPr>
        <w:t xml:space="preserve"> </w:t>
      </w:r>
    </w:p>
    <w:p w14:paraId="2FE20AF6" w14:textId="682A8A8B" w:rsidR="007A6CB2" w:rsidRPr="00E4190E" w:rsidRDefault="007A6CB2" w:rsidP="007A6CB2">
      <w:pPr>
        <w:pStyle w:val="1"/>
        <w:ind w:left="1440"/>
        <w:rPr>
          <w:rFonts w:ascii="Arial" w:hAnsi="Arial" w:cs="Arial"/>
          <w:szCs w:val="22"/>
        </w:rPr>
      </w:pPr>
      <w:r w:rsidRPr="00E4190E">
        <w:rPr>
          <w:rFonts w:ascii="Arial" w:hAnsi="Arial" w:cs="Arial"/>
          <w:szCs w:val="22"/>
        </w:rPr>
        <w:t xml:space="preserve">GCharge (Actual) = Actual charges to Generators in the previous </w:t>
      </w:r>
      <w:r w:rsidR="009B4150">
        <w:rPr>
          <w:rFonts w:ascii="Arial" w:hAnsi="Arial" w:cs="Arial"/>
          <w:b/>
        </w:rPr>
        <w:t xml:space="preserve"> </w:t>
      </w:r>
      <w:r w:rsidR="009B4150" w:rsidRPr="00AD7A23">
        <w:rPr>
          <w:rFonts w:ascii="Arial" w:hAnsi="Arial" w:cs="Arial"/>
          <w:bCs/>
        </w:rPr>
        <w:t xml:space="preserve">Charging </w:t>
      </w:r>
      <w:r w:rsidR="00FE137D" w:rsidRPr="00AD7A23">
        <w:rPr>
          <w:rFonts w:ascii="Arial" w:hAnsi="Arial" w:cs="Arial"/>
          <w:bCs/>
        </w:rPr>
        <w:t>Year</w:t>
      </w:r>
    </w:p>
    <w:p w14:paraId="0DCB4EB8" w14:textId="77777777" w:rsidR="007A6CB2" w:rsidRPr="00E4190E" w:rsidRDefault="007A6CB2" w:rsidP="007A6CB2">
      <w:pPr>
        <w:pStyle w:val="1"/>
        <w:ind w:left="1440"/>
        <w:rPr>
          <w:rFonts w:ascii="Arial" w:hAnsi="Arial" w:cs="Arial"/>
          <w:szCs w:val="22"/>
        </w:rPr>
      </w:pPr>
    </w:p>
    <w:p w14:paraId="7ABA7B82" w14:textId="77777777" w:rsidR="00211AA8" w:rsidRPr="00E42A8C" w:rsidRDefault="4166C72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HH gross Demand, </w:t>
      </w:r>
      <w:bookmarkStart w:id="445" w:name="_Int_yzQbGivv"/>
      <w:r w:rsidRPr="0537B9E0">
        <w:rPr>
          <w:rFonts w:ascii="Arial" w:hAnsi="Arial" w:cs="Arial"/>
          <w:sz w:val="22"/>
          <w:szCs w:val="22"/>
        </w:rPr>
        <w:t>in order to</w:t>
      </w:r>
      <w:bookmarkEnd w:id="445"/>
      <w:r w:rsidRPr="0537B9E0">
        <w:rPr>
          <w:rFonts w:ascii="Arial" w:hAnsi="Arial" w:cs="Arial"/>
          <w:sz w:val="22"/>
          <w:szCs w:val="22"/>
        </w:rPr>
        <w:t xml:space="preserve"> adjust for any TNUoS recovery from generation outside of the range of the Limiting Regulation</w:t>
      </w:r>
    </w:p>
    <w:p w14:paraId="5F212CE6" w14:textId="77777777" w:rsidR="00211AA8" w:rsidRPr="00E4190E" w:rsidRDefault="00211AA8" w:rsidP="00211AA8">
      <w:pPr>
        <w:ind w:left="1440"/>
        <w:rPr>
          <w:rFonts w:cs="Arial"/>
          <w:szCs w:val="22"/>
        </w:rPr>
      </w:pPr>
    </w:p>
    <w:p w14:paraId="16C46B5E" w14:textId="77777777" w:rsidR="00211AA8" w:rsidRPr="00E4190E" w:rsidRDefault="00211AA8" w:rsidP="00211AA8">
      <w:pPr>
        <w:pStyle w:val="1"/>
        <w:ind w:left="2312"/>
        <w:jc w:val="both"/>
      </w:pPr>
      <w:r w:rsidRPr="00E4190E">
        <w:t xml:space="preserve"> </w:t>
      </w:r>
      <m:oMath>
        <m:r>
          <w:rPr>
            <w:rFonts w:ascii="Cambria Math" w:hAnsi="Cambria Math" w:cs="Cambria Math"/>
          </w:rPr>
          <m:t>DRadj</m:t>
        </m:r>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m:rPr>
                    <m:sty m:val="p"/>
                  </m:rPr>
                  <w:rPr>
                    <w:rFonts w:ascii="Cambria Math" w:hAnsi="Cambria Math" w:cs="Cambria Math"/>
                  </w:rPr>
                  <m:t>Dadj</m:t>
                </m:r>
              </m:num>
              <m:den>
                <m:r>
                  <w:rPr>
                    <w:rFonts w:ascii="Cambria Math" w:hAnsi="Cambria Math"/>
                  </w:rPr>
                  <m:t>GTD</m:t>
                </m:r>
              </m:den>
            </m:f>
          </m:e>
        </m:d>
      </m:oMath>
    </w:p>
    <w:p w14:paraId="0857B9A3" w14:textId="77777777" w:rsidR="00211AA8" w:rsidRPr="00E4190E" w:rsidRDefault="00211AA8" w:rsidP="00211AA8">
      <w:pPr>
        <w:ind w:left="872"/>
      </w:pPr>
    </w:p>
    <w:p w14:paraId="28795671" w14:textId="77777777" w:rsidR="00211AA8" w:rsidRPr="00E4190E" w:rsidRDefault="00211AA8" w:rsidP="00211AA8">
      <w:pPr>
        <w:ind w:left="872"/>
      </w:pPr>
    </w:p>
    <w:p w14:paraId="51F5F7AE"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lastRenderedPageBreak/>
        <w:t>Where</w:t>
      </w:r>
    </w:p>
    <w:p w14:paraId="642BA4C0"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DRadj = Rate applied to AHHD in £/kW</w:t>
      </w:r>
    </w:p>
    <w:p w14:paraId="795C5215"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 xml:space="preserve"> GTD = Total actual system metered Gross Triad Demand (kW) </w:t>
      </w:r>
    </w:p>
    <w:p w14:paraId="65C5E4E4" w14:textId="77777777" w:rsidR="00211AA8" w:rsidRPr="00E42A8C" w:rsidRDefault="00211AA8" w:rsidP="00211AA8">
      <w:pPr>
        <w:ind w:left="1440"/>
        <w:rPr>
          <w:rFonts w:ascii="Arial" w:hAnsi="Arial" w:cs="Arial"/>
          <w:sz w:val="22"/>
          <w:szCs w:val="22"/>
        </w:rPr>
      </w:pPr>
    </w:p>
    <w:p w14:paraId="3FB24F1E" w14:textId="1EB4366F" w:rsidR="00F42E31" w:rsidRPr="00E42A8C" w:rsidRDefault="516B2D6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NHH energy consumption, </w:t>
      </w:r>
      <w:bookmarkStart w:id="446" w:name="_Int_2K9jtLxn"/>
      <w:r w:rsidRPr="0537B9E0">
        <w:rPr>
          <w:rFonts w:ascii="Arial" w:hAnsi="Arial" w:cs="Arial"/>
          <w:sz w:val="22"/>
          <w:szCs w:val="22"/>
        </w:rPr>
        <w:t>in order to</w:t>
      </w:r>
      <w:bookmarkEnd w:id="446"/>
      <w:r w:rsidRPr="0537B9E0">
        <w:rPr>
          <w:rFonts w:ascii="Arial" w:hAnsi="Arial" w:cs="Arial"/>
          <w:sz w:val="22"/>
          <w:szCs w:val="22"/>
        </w:rPr>
        <w:t xml:space="preserve"> adjust for compliance with the Limiting Regulation in the </w:t>
      </w:r>
      <w:r w:rsidR="7F1C4205" w:rsidRPr="0537B9E0">
        <w:rPr>
          <w:rFonts w:ascii="Arial" w:hAnsi="Arial" w:cs="Arial"/>
          <w:b/>
          <w:bCs/>
          <w:sz w:val="22"/>
          <w:szCs w:val="22"/>
          <w:lang w:eastAsia="en-US"/>
        </w:rPr>
        <w:t xml:space="preserve"> </w:t>
      </w:r>
      <w:r w:rsidR="7F1C4205" w:rsidRPr="0537B9E0">
        <w:rPr>
          <w:rFonts w:ascii="Arial" w:hAnsi="Arial" w:cs="Arial"/>
          <w:sz w:val="22"/>
          <w:szCs w:val="22"/>
          <w:lang w:eastAsia="en-US"/>
        </w:rPr>
        <w:t xml:space="preserve">Charging </w:t>
      </w:r>
      <w:r w:rsidR="445B7493" w:rsidRPr="0537B9E0">
        <w:rPr>
          <w:rFonts w:ascii="Arial" w:hAnsi="Arial" w:cs="Arial"/>
          <w:sz w:val="22"/>
          <w:szCs w:val="22"/>
          <w:lang w:eastAsia="en-US"/>
        </w:rPr>
        <w:t>Year</w:t>
      </w:r>
      <w:r w:rsidR="445B7493" w:rsidRPr="0537B9E0">
        <w:rPr>
          <w:rFonts w:ascii="Arial" w:eastAsia="Arial" w:hAnsi="Arial"/>
          <w:sz w:val="22"/>
          <w:szCs w:val="22"/>
          <w:lang w:val="en-US"/>
        </w:rPr>
        <w:t xml:space="preserve"> </w:t>
      </w:r>
      <w:r w:rsidRPr="0537B9E0">
        <w:rPr>
          <w:rFonts w:ascii="Arial" w:hAnsi="Arial" w:cs="Arial"/>
          <w:sz w:val="22"/>
          <w:szCs w:val="22"/>
        </w:rPr>
        <w:t xml:space="preserve">is calculated by: </w:t>
      </w:r>
    </w:p>
    <w:p w14:paraId="3691F57C" w14:textId="77777777" w:rsidR="00F42E31" w:rsidRPr="00E4190E" w:rsidRDefault="00F42E31" w:rsidP="00F42E31">
      <w:pPr>
        <w:ind w:left="1440"/>
        <w:rPr>
          <w:rFonts w:cs="Arial"/>
          <w:szCs w:val="22"/>
        </w:rPr>
      </w:pPr>
    </w:p>
    <w:p w14:paraId="188369BF" w14:textId="77777777" w:rsidR="00F42E31" w:rsidRPr="00E4190E" w:rsidRDefault="00F42E31" w:rsidP="00F42E31">
      <w:pPr>
        <w:pStyle w:val="1"/>
        <w:ind w:left="2312"/>
      </w:pPr>
      <w:r w:rsidRPr="00E4190E">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w:rPr>
                    <w:rFonts w:ascii="Cambria Math" w:hAnsi="Cambria Math" w:cs="Cambria Math"/>
                  </w:rPr>
                  <m:t xml:space="preserve">Dadj-(AHHD × </m:t>
                </m:r>
                <m:sSub>
                  <m:sSubPr>
                    <m:ctrlPr>
                      <w:rPr>
                        <w:rFonts w:ascii="Cambria Math" w:hAnsi="Cambria Math" w:cs="Cambria Math"/>
                      </w:rPr>
                    </m:ctrlPr>
                  </m:sSubPr>
                  <m:e>
                    <m:r>
                      <w:rPr>
                        <w:rFonts w:ascii="Cambria Math" w:hAnsi="Cambria Math" w:cs="Cambria Math"/>
                      </w:rPr>
                      <m:t>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047C73BF" w14:textId="77777777" w:rsidR="00F42E31" w:rsidRPr="00E42A8C" w:rsidRDefault="00F42E31" w:rsidP="00F42E31">
      <w:pPr>
        <w:ind w:left="1440"/>
        <w:rPr>
          <w:rFonts w:ascii="Arial" w:hAnsi="Arial" w:cs="Arial"/>
          <w:sz w:val="22"/>
          <w:szCs w:val="22"/>
        </w:rPr>
      </w:pPr>
      <w:r w:rsidRPr="00E42A8C">
        <w:rPr>
          <w:rFonts w:ascii="Arial" w:hAnsi="Arial" w:cs="Arial"/>
          <w:sz w:val="22"/>
          <w:szCs w:val="22"/>
        </w:rPr>
        <w:t>Where</w:t>
      </w:r>
    </w:p>
    <w:p w14:paraId="35711212" w14:textId="408E93FD"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E80D6C">
        <w:rPr>
          <w:rFonts w:ascii="Arial" w:hAnsi="Arial" w:cs="Arial"/>
          <w:sz w:val="22"/>
          <w:szCs w:val="22"/>
        </w:rPr>
        <w:t>HH</w:t>
      </w:r>
      <w:r w:rsidR="005B32CA">
        <w:rPr>
          <w:rFonts w:ascii="Arial" w:hAnsi="Arial" w:cs="Arial"/>
          <w:sz w:val="22"/>
          <w:szCs w:val="22"/>
        </w:rPr>
        <w:t xml:space="preserve"> D</w:t>
      </w:r>
      <w:r w:rsidRPr="00E42A8C">
        <w:rPr>
          <w:rFonts w:ascii="Arial" w:hAnsi="Arial" w:cs="Arial"/>
          <w:sz w:val="22"/>
          <w:szCs w:val="22"/>
        </w:rPr>
        <w:t xml:space="preserve">emand </w:t>
      </w:r>
    </w:p>
    <w:p w14:paraId="4DCF1268" w14:textId="270A5926"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ERadj = Rate applied to energy consumption for the </w:t>
      </w:r>
      <w:r w:rsidR="005B32CA">
        <w:rPr>
          <w:rFonts w:ascii="Arial" w:hAnsi="Arial" w:cs="Arial"/>
          <w:sz w:val="22"/>
          <w:szCs w:val="22"/>
        </w:rPr>
        <w:t>D</w:t>
      </w:r>
      <w:r w:rsidRPr="00E42A8C">
        <w:rPr>
          <w:rFonts w:ascii="Arial" w:hAnsi="Arial" w:cs="Arial"/>
          <w:sz w:val="22"/>
          <w:szCs w:val="22"/>
        </w:rPr>
        <w:t xml:space="preserve">emand </w:t>
      </w:r>
      <w:r w:rsidR="005B32CA">
        <w:rPr>
          <w:rFonts w:ascii="Arial" w:hAnsi="Arial" w:cs="Arial"/>
          <w:sz w:val="22"/>
          <w:szCs w:val="22"/>
        </w:rPr>
        <w:t>R</w:t>
      </w:r>
      <w:r w:rsidRPr="00E42A8C">
        <w:rPr>
          <w:rFonts w:ascii="Arial" w:hAnsi="Arial" w:cs="Arial"/>
          <w:sz w:val="22"/>
          <w:szCs w:val="22"/>
        </w:rPr>
        <w:t xml:space="preserve">ecovery in p/kWh </w:t>
      </w:r>
    </w:p>
    <w:p w14:paraId="1C01FFC4" w14:textId="77777777" w:rsidR="00F42E31" w:rsidRPr="00E42A8C" w:rsidRDefault="00F42E31" w:rsidP="00F42E31">
      <w:pPr>
        <w:ind w:left="1440"/>
        <w:rPr>
          <w:rFonts w:ascii="Arial" w:hAnsi="Arial" w:cs="Arial"/>
          <w:sz w:val="22"/>
          <w:szCs w:val="22"/>
        </w:rPr>
      </w:pPr>
    </w:p>
    <w:p w14:paraId="3CE7C24C" w14:textId="530ACA3D" w:rsidR="007A6CB2" w:rsidRDefault="00F42E31" w:rsidP="009A58C8">
      <w:pPr>
        <w:pStyle w:val="1"/>
        <w:ind w:left="1418"/>
        <w:jc w:val="both"/>
        <w:rPr>
          <w:rFonts w:ascii="Arial" w:hAnsi="Arial" w:cs="Arial"/>
          <w:szCs w:val="22"/>
        </w:rPr>
      </w:pPr>
      <w:r w:rsidRPr="00E42A8C">
        <w:rPr>
          <w:rFonts w:ascii="Arial" w:hAnsi="Arial" w:cs="Arial"/>
          <w:szCs w:val="22"/>
        </w:rPr>
        <w:t xml:space="preserve">ANHHC = Total actual annual non-half-hourly metered energy consumption (kWh) for the period 16:00 hrs to 19:00 hrs inclusive (i.e. settlement periods 33 to 38) for each day of the preceding </w:t>
      </w:r>
      <w:r w:rsidR="0003175D">
        <w:rPr>
          <w:rFonts w:ascii="Arial" w:hAnsi="Arial" w:cs="Arial"/>
          <w:szCs w:val="22"/>
        </w:rPr>
        <w:t>Charging</w:t>
      </w:r>
      <w:r w:rsidR="00FE137D" w:rsidRPr="00E71FFB">
        <w:rPr>
          <w:rFonts w:ascii="Arial" w:hAnsi="Arial" w:cs="Arial"/>
          <w:b/>
        </w:rPr>
        <w:t xml:space="preserve"> </w:t>
      </w:r>
      <w:r w:rsidR="00FE137D" w:rsidRPr="00AD7A23">
        <w:rPr>
          <w:rFonts w:ascii="Arial" w:hAnsi="Arial" w:cs="Arial"/>
          <w:bCs/>
        </w:rPr>
        <w:t>Year</w:t>
      </w:r>
      <w:r w:rsidRPr="0003175D">
        <w:rPr>
          <w:rFonts w:ascii="Arial" w:hAnsi="Arial" w:cs="Arial"/>
          <w:bCs/>
          <w:szCs w:val="22"/>
        </w:rPr>
        <w:t>,</w:t>
      </w:r>
    </w:p>
    <w:p w14:paraId="11197530" w14:textId="77777777" w:rsidR="009A58C8" w:rsidRPr="00E4190E" w:rsidRDefault="009A58C8" w:rsidP="009A58C8">
      <w:pPr>
        <w:pStyle w:val="1"/>
        <w:ind w:left="1418"/>
        <w:jc w:val="both"/>
        <w:rPr>
          <w:rFonts w:ascii="Arial" w:hAnsi="Arial" w:cs="Arial"/>
          <w:b/>
        </w:rPr>
      </w:pPr>
    </w:p>
    <w:p w14:paraId="0928746B" w14:textId="77777777" w:rsidR="00CF1C37" w:rsidRPr="00E70FAC" w:rsidRDefault="00CF1C37" w:rsidP="00533333">
      <w:pPr>
        <w:pStyle w:val="1"/>
        <w:numPr>
          <w:ilvl w:val="0"/>
          <w:numId w:val="96"/>
        </w:numPr>
        <w:jc w:val="both"/>
        <w:rPr>
          <w:rFonts w:ascii="Arial" w:hAnsi="Arial" w:cs="Arial"/>
          <w:u w:val="single"/>
        </w:rPr>
      </w:pPr>
      <w:r>
        <w:rPr>
          <w:rFonts w:ascii="Arial" w:hAnsi="Arial" w:cs="Arial"/>
          <w:u w:val="single"/>
        </w:rPr>
        <w:t xml:space="preserve">The </w:t>
      </w:r>
      <w:r w:rsidRPr="00E4190E">
        <w:rPr>
          <w:rFonts w:ascii="Arial" w:hAnsi="Arial" w:cs="Arial"/>
          <w:u w:val="single"/>
        </w:rPr>
        <w:t>Ex-</w:t>
      </w:r>
      <w:r>
        <w:rPr>
          <w:rFonts w:ascii="Arial" w:hAnsi="Arial" w:cs="Arial"/>
          <w:u w:val="single"/>
        </w:rPr>
        <w:t>P</w:t>
      </w:r>
      <w:r w:rsidRPr="00E4190E">
        <w:rPr>
          <w:rFonts w:ascii="Arial" w:hAnsi="Arial" w:cs="Arial"/>
          <w:u w:val="single"/>
        </w:rPr>
        <w:t xml:space="preserve">ost </w:t>
      </w:r>
      <w:r>
        <w:rPr>
          <w:rFonts w:ascii="Arial" w:hAnsi="Arial" w:cs="Arial"/>
          <w:u w:val="single"/>
        </w:rPr>
        <w:t>R</w:t>
      </w:r>
      <w:r w:rsidRPr="00E4190E">
        <w:rPr>
          <w:rFonts w:ascii="Arial" w:hAnsi="Arial" w:cs="Arial"/>
          <w:u w:val="single"/>
        </w:rPr>
        <w:t xml:space="preserve">econciliation </w:t>
      </w:r>
      <w:r>
        <w:rPr>
          <w:rFonts w:ascii="Arial" w:hAnsi="Arial" w:cs="Arial"/>
          <w:u w:val="single"/>
        </w:rPr>
        <w:t xml:space="preserve">amount </w:t>
      </w:r>
      <w:r w:rsidRPr="00E4190E">
        <w:rPr>
          <w:rFonts w:ascii="Arial" w:hAnsi="Arial" w:cs="Arial"/>
          <w:u w:val="single"/>
        </w:rPr>
        <w:t>for Genera</w:t>
      </w:r>
      <w:r>
        <w:rPr>
          <w:rFonts w:ascii="Arial" w:hAnsi="Arial" w:cs="Arial"/>
          <w:u w:val="single"/>
        </w:rPr>
        <w:t>tor</w:t>
      </w:r>
      <w:r w:rsidRPr="00E70FAC">
        <w:rPr>
          <w:rFonts w:ascii="Arial" w:hAnsi="Arial" w:cs="Arial"/>
          <w:u w:val="single"/>
        </w:rPr>
        <w:t xml:space="preserve"> Users</w:t>
      </w:r>
      <w:r>
        <w:rPr>
          <w:rFonts w:ascii="Arial" w:hAnsi="Arial" w:cs="Arial"/>
          <w:u w:val="single"/>
        </w:rPr>
        <w:t xml:space="preserve"> will be calculated as</w:t>
      </w:r>
      <w:r w:rsidRPr="00E70FAC">
        <w:rPr>
          <w:rFonts w:ascii="Arial" w:hAnsi="Arial" w:cs="Arial"/>
          <w:u w:val="single"/>
        </w:rPr>
        <w:t>:</w:t>
      </w:r>
    </w:p>
    <w:p w14:paraId="7006DE19" w14:textId="77777777" w:rsidR="00CF1C37" w:rsidRPr="0025180C" w:rsidRDefault="00CF1C37" w:rsidP="00CF1C37">
      <w:pPr>
        <w:pStyle w:val="1"/>
        <w:ind w:left="720"/>
        <w:jc w:val="both"/>
      </w:pPr>
    </w:p>
    <w:p w14:paraId="52834BE2" w14:textId="77777777" w:rsidR="00CF1C37" w:rsidRPr="00E91193" w:rsidRDefault="00CF1C37" w:rsidP="00CF1C37">
      <w:pPr>
        <w:ind w:left="1440"/>
        <w:rPr>
          <w:rFonts w:cs="Arial"/>
          <w:szCs w:val="22"/>
        </w:rPr>
      </w:pPr>
      <w:r w:rsidRPr="00E4190E">
        <w:rPr>
          <w:rFonts w:cs="Arial"/>
          <w:szCs w:val="22"/>
        </w:rPr>
        <w:t xml:space="preserve">Gadj = </w:t>
      </w:r>
      <m:oMath>
        <m:r>
          <w:rPr>
            <w:rFonts w:ascii="Cambria Math" w:hAnsi="Cambria Math" w:cs="Arial"/>
          </w:rPr>
          <m:t>Dadj*-1</m:t>
        </m:r>
      </m:oMath>
    </w:p>
    <w:p w14:paraId="1202FF09" w14:textId="77777777" w:rsidR="00CF1C37" w:rsidRPr="00E91193" w:rsidRDefault="00CF1C37" w:rsidP="00CF1C37">
      <w:pPr>
        <w:pStyle w:val="1"/>
        <w:ind w:left="1627"/>
        <w:jc w:val="both"/>
        <w:rPr>
          <w:rFonts w:cs="Arial"/>
          <w:szCs w:val="22"/>
        </w:rPr>
      </w:pPr>
    </w:p>
    <w:p w14:paraId="17FEBF42" w14:textId="77777777" w:rsidR="00CF1C37" w:rsidRPr="00E91193" w:rsidRDefault="00CF1C37" w:rsidP="00CF1C37">
      <w:pPr>
        <w:pStyle w:val="1"/>
        <w:rPr>
          <w:rFonts w:ascii="Arial" w:hAnsi="Arial" w:cs="Arial"/>
          <w:szCs w:val="22"/>
        </w:rPr>
      </w:pPr>
    </w:p>
    <w:p w14:paraId="22FC094A" w14:textId="3765F60A" w:rsidR="00CF1C37" w:rsidRPr="00E91193" w:rsidRDefault="00CF1C37" w:rsidP="00CF1C37">
      <w:pPr>
        <w:pStyle w:val="1"/>
        <w:ind w:firstLine="720"/>
        <w:rPr>
          <w:rFonts w:ascii="Arial" w:hAnsi="Arial" w:cs="Arial"/>
          <w:szCs w:val="22"/>
        </w:rPr>
      </w:pPr>
      <w:r w:rsidRPr="00E91193">
        <w:rPr>
          <w:rFonts w:ascii="Arial" w:hAnsi="Arial" w:cs="Arial"/>
          <w:szCs w:val="22"/>
        </w:rPr>
        <w:t>Where:</w:t>
      </w:r>
    </w:p>
    <w:p w14:paraId="39FD2C35" w14:textId="5FFD7248" w:rsidR="00CF1C37" w:rsidRPr="00E91193" w:rsidRDefault="00CF1C37" w:rsidP="00CF1C37">
      <w:pPr>
        <w:pStyle w:val="1"/>
        <w:ind w:left="1440"/>
        <w:rPr>
          <w:rFonts w:ascii="Arial" w:hAnsi="Arial" w:cs="Arial"/>
          <w:szCs w:val="22"/>
        </w:rPr>
      </w:pPr>
      <w:r w:rsidRPr="00E91193">
        <w:rPr>
          <w:rFonts w:ascii="Arial" w:hAnsi="Arial" w:cs="Arial"/>
          <w:szCs w:val="22"/>
        </w:rPr>
        <w:t xml:space="preserve">Dadj = Revenue to be recovered from </w:t>
      </w:r>
      <w:r w:rsidR="00934A0A">
        <w:rPr>
          <w:rFonts w:ascii="Arial" w:hAnsi="Arial" w:cs="Arial"/>
          <w:szCs w:val="22"/>
        </w:rPr>
        <w:t>d</w:t>
      </w:r>
      <w:r w:rsidRPr="00E91193">
        <w:rPr>
          <w:rFonts w:ascii="Arial" w:hAnsi="Arial" w:cs="Arial"/>
          <w:szCs w:val="22"/>
        </w:rPr>
        <w:t>emand</w:t>
      </w:r>
      <w:r>
        <w:rPr>
          <w:rFonts w:ascii="Arial" w:hAnsi="Arial" w:cs="Arial"/>
          <w:szCs w:val="22"/>
        </w:rPr>
        <w:t xml:space="preserve"> Users</w:t>
      </w:r>
    </w:p>
    <w:p w14:paraId="4095BC4E" w14:textId="7EC1DA31" w:rsidR="00CF1C37" w:rsidRPr="00E91193" w:rsidRDefault="00CF1C37" w:rsidP="00CF1C37">
      <w:pPr>
        <w:pStyle w:val="1"/>
        <w:ind w:left="1440"/>
        <w:rPr>
          <w:rFonts w:ascii="Arial" w:hAnsi="Arial" w:cs="Arial"/>
          <w:szCs w:val="22"/>
        </w:rPr>
      </w:pPr>
      <w:r w:rsidRPr="00E91193">
        <w:rPr>
          <w:rFonts w:cs="Arial"/>
          <w:szCs w:val="22"/>
        </w:rPr>
        <w:t xml:space="preserve">Gadj = Revenue to be </w:t>
      </w:r>
      <w:r>
        <w:rPr>
          <w:rFonts w:cs="Arial"/>
          <w:szCs w:val="22"/>
        </w:rPr>
        <w:t>paid</w:t>
      </w:r>
      <w:r w:rsidRPr="00E91193">
        <w:rPr>
          <w:rFonts w:cs="Arial"/>
          <w:szCs w:val="22"/>
        </w:rPr>
        <w:t xml:space="preserve"> to </w:t>
      </w:r>
      <w:r w:rsidR="006C5A0A">
        <w:rPr>
          <w:rFonts w:cs="Arial"/>
          <w:szCs w:val="22"/>
        </w:rPr>
        <w:t>g</w:t>
      </w:r>
      <w:r w:rsidRPr="00E91193">
        <w:rPr>
          <w:rFonts w:cs="Arial"/>
          <w:szCs w:val="22"/>
        </w:rPr>
        <w:t>enerat</w:t>
      </w:r>
      <w:r w:rsidR="006C5A0A">
        <w:rPr>
          <w:rFonts w:cs="Arial"/>
          <w:szCs w:val="22"/>
        </w:rPr>
        <w:t>ion</w:t>
      </w:r>
      <w:r>
        <w:rPr>
          <w:rFonts w:cs="Arial"/>
          <w:szCs w:val="22"/>
        </w:rPr>
        <w:t xml:space="preserve"> Users</w:t>
      </w:r>
    </w:p>
    <w:p w14:paraId="4B65C803" w14:textId="77777777" w:rsidR="00CF1C37" w:rsidRPr="00E91193" w:rsidRDefault="00CF1C37" w:rsidP="00CF1C37">
      <w:pPr>
        <w:pStyle w:val="1"/>
        <w:rPr>
          <w:rFonts w:ascii="Arial" w:hAnsi="Arial" w:cs="Arial"/>
          <w:szCs w:val="22"/>
        </w:rPr>
      </w:pPr>
    </w:p>
    <w:p w14:paraId="1AB70677" w14:textId="6DDC8D13" w:rsidR="00CF1C37" w:rsidRPr="00CE57B6" w:rsidRDefault="054A1E8F"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Generator Chargeable Capacity in the preceding </w:t>
      </w:r>
      <w:r w:rsidR="3EF9919C"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r w:rsidRPr="0537B9E0">
        <w:rPr>
          <w:rFonts w:ascii="Arial" w:hAnsi="Arial" w:cs="Arial"/>
          <w:sz w:val="22"/>
          <w:szCs w:val="22"/>
        </w:rPr>
        <w:t xml:space="preserve">, </w:t>
      </w:r>
      <w:bookmarkStart w:id="447" w:name="_Int_2vlleuI4"/>
      <w:r w:rsidRPr="0537B9E0">
        <w:rPr>
          <w:rFonts w:ascii="Arial" w:hAnsi="Arial" w:cs="Arial"/>
          <w:sz w:val="22"/>
          <w:szCs w:val="22"/>
        </w:rPr>
        <w:t>in order to</w:t>
      </w:r>
      <w:bookmarkEnd w:id="447"/>
      <w:r w:rsidRPr="0537B9E0">
        <w:rPr>
          <w:rFonts w:ascii="Arial" w:hAnsi="Arial" w:cs="Arial"/>
          <w:sz w:val="22"/>
          <w:szCs w:val="22"/>
        </w:rPr>
        <w:t xml:space="preserve"> adjust for any recovery of TNUoS from generation outside of the range of the Limiting Regulation, is:</w:t>
      </w:r>
    </w:p>
    <w:p w14:paraId="7A7FC1DE" w14:textId="77777777" w:rsidR="00CF1C37" w:rsidRPr="00E91193" w:rsidRDefault="00CF1C37" w:rsidP="00CF1C37">
      <w:pPr>
        <w:pStyle w:val="1"/>
        <w:jc w:val="both"/>
        <w:rPr>
          <w:rFonts w:cs="Arial"/>
          <w:szCs w:val="22"/>
        </w:rPr>
      </w:pPr>
    </w:p>
    <w:p w14:paraId="123D5C29" w14:textId="77777777" w:rsidR="00CF1C37" w:rsidRPr="00E91193" w:rsidRDefault="00CF1C37" w:rsidP="00CF1C37">
      <w:pPr>
        <w:pStyle w:val="1"/>
        <w:ind w:left="1627"/>
        <w:jc w:val="both"/>
        <w:rPr>
          <w:rFonts w:cs="Arial"/>
          <w:szCs w:val="22"/>
        </w:rPr>
      </w:pPr>
    </w:p>
    <w:p w14:paraId="570543C5" w14:textId="77777777" w:rsidR="00CF1C37" w:rsidRPr="00E4190E" w:rsidRDefault="00CF1C37" w:rsidP="00CF1C37">
      <w:pPr>
        <w:pStyle w:val="1"/>
        <w:ind w:left="1627"/>
        <w:jc w:val="both"/>
      </w:pPr>
      <w:r w:rsidRPr="00E91193">
        <w:rPr>
          <w:rFonts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2E6FF8B" w14:textId="77777777" w:rsidR="0043581A" w:rsidRDefault="0043581A" w:rsidP="0043581A">
      <w:pPr>
        <w:pStyle w:val="1"/>
        <w:ind w:firstLine="720"/>
        <w:jc w:val="both"/>
      </w:pPr>
    </w:p>
    <w:p w14:paraId="24AD599A" w14:textId="5CF089E5" w:rsidR="0043581A" w:rsidRPr="00E70FAC" w:rsidRDefault="0043581A" w:rsidP="0043581A">
      <w:pPr>
        <w:pStyle w:val="1"/>
        <w:ind w:firstLine="720"/>
        <w:jc w:val="both"/>
      </w:pPr>
      <w:r w:rsidRPr="00E70FAC">
        <w:t>Where:</w:t>
      </w:r>
    </w:p>
    <w:p w14:paraId="29532078" w14:textId="77777777" w:rsidR="0043581A" w:rsidRPr="0025180C" w:rsidRDefault="0043581A" w:rsidP="0043581A">
      <w:pPr>
        <w:pStyle w:val="1"/>
        <w:ind w:firstLine="720"/>
        <w:jc w:val="both"/>
      </w:pPr>
    </w:p>
    <w:p w14:paraId="751165EB" w14:textId="77777777" w:rsidR="0043581A" w:rsidRPr="0025180C" w:rsidRDefault="0043581A" w:rsidP="0043581A">
      <w:pPr>
        <w:pStyle w:val="1"/>
        <w:ind w:firstLine="720"/>
        <w:jc w:val="both"/>
      </w:pPr>
    </w:p>
    <w:p w14:paraId="377FEFC4" w14:textId="411CF4BC" w:rsidR="0043581A" w:rsidRPr="0025180C" w:rsidRDefault="0043581A" w:rsidP="0043581A">
      <w:pPr>
        <w:pStyle w:val="1"/>
        <w:ind w:firstLine="720"/>
        <w:jc w:val="both"/>
      </w:pPr>
      <w:r w:rsidRPr="0025180C">
        <w:t xml:space="preserve">GRadj = Adjustment rate to be applied to </w:t>
      </w:r>
      <w:r w:rsidR="004D787F">
        <w:t>g</w:t>
      </w:r>
      <w:r w:rsidRPr="0025180C">
        <w:t>enerators</w:t>
      </w:r>
    </w:p>
    <w:p w14:paraId="421E14BC" w14:textId="77777777" w:rsidR="0043581A" w:rsidRPr="0025180C" w:rsidRDefault="0043581A" w:rsidP="0043581A">
      <w:pPr>
        <w:pStyle w:val="1"/>
        <w:ind w:firstLine="720"/>
        <w:jc w:val="both"/>
      </w:pPr>
      <w:r w:rsidRPr="0025180C">
        <w:t>Chargeable</w:t>
      </w:r>
      <w:r>
        <w:t xml:space="preserve"> </w:t>
      </w:r>
      <w:r w:rsidRPr="0025180C">
        <w:t xml:space="preserve">Capacity = </w:t>
      </w:r>
      <w:r>
        <w:t>As per paragraph 14.18.6</w:t>
      </w:r>
    </w:p>
    <w:p w14:paraId="170E44AB" w14:textId="77777777" w:rsidR="0043581A" w:rsidRPr="0025180C" w:rsidRDefault="0043581A" w:rsidP="0043581A">
      <w:pPr>
        <w:pStyle w:val="1"/>
        <w:ind w:firstLine="720"/>
        <w:jc w:val="both"/>
      </w:pPr>
    </w:p>
    <w:p w14:paraId="196D1BD5" w14:textId="77777777" w:rsidR="0043581A" w:rsidRPr="0025180C" w:rsidRDefault="0043581A" w:rsidP="0043581A">
      <w:pPr>
        <w:pStyle w:val="1"/>
        <w:ind w:left="720"/>
        <w:jc w:val="both"/>
        <w:rPr>
          <w:rFonts w:ascii="Arial" w:hAnsi="Arial" w:cs="Arial"/>
        </w:rPr>
      </w:pPr>
    </w:p>
    <w:p w14:paraId="09D16757" w14:textId="4CF038C9" w:rsidR="0043581A" w:rsidRPr="0025180C" w:rsidRDefault="0043581A" w:rsidP="0043581A">
      <w:pPr>
        <w:pStyle w:val="1"/>
        <w:ind w:left="720"/>
        <w:jc w:val="both"/>
        <w:rPr>
          <w:rFonts w:ascii="Arial" w:hAnsi="Arial" w:cs="Arial"/>
        </w:rPr>
      </w:pPr>
      <w:r w:rsidRPr="0025180C">
        <w:rPr>
          <w:rFonts w:ascii="Arial" w:hAnsi="Arial" w:cs="Arial"/>
        </w:rPr>
        <w:t>14.17.3</w:t>
      </w:r>
      <w:r>
        <w:rPr>
          <w:rFonts w:ascii="Arial" w:hAnsi="Arial" w:cs="Arial"/>
        </w:rPr>
        <w:t>8</w:t>
      </w:r>
      <w:r w:rsidRPr="0025180C">
        <w:rPr>
          <w:rFonts w:ascii="Arial" w:hAnsi="Arial" w:cs="Arial"/>
        </w:rPr>
        <w:t xml:space="preserve"> </w:t>
      </w:r>
      <w:r w:rsidRPr="00A3137E">
        <w:rPr>
          <w:rFonts w:ascii="Arial" w:hAnsi="Arial" w:cs="Arial"/>
        </w:rPr>
        <w:t xml:space="preserve">In the event that the annual average </w:t>
      </w:r>
      <w:r>
        <w:rPr>
          <w:rFonts w:ascii="Arial" w:hAnsi="Arial" w:cs="Arial"/>
        </w:rPr>
        <w:t xml:space="preserve">transmission </w:t>
      </w:r>
      <w:r w:rsidRPr="00A3137E">
        <w:rPr>
          <w:rFonts w:ascii="Arial" w:hAnsi="Arial" w:cs="Arial"/>
        </w:rPr>
        <w:t xml:space="preserve">charges </w:t>
      </w:r>
      <w:r>
        <w:rPr>
          <w:rFonts w:ascii="Arial" w:hAnsi="Arial" w:cs="Arial"/>
        </w:rPr>
        <w:t xml:space="preserve">attributable to </w:t>
      </w:r>
      <w:r w:rsidRPr="00A3137E">
        <w:rPr>
          <w:rFonts w:ascii="Arial" w:hAnsi="Arial" w:cs="Arial"/>
        </w:rPr>
        <w:t xml:space="preserve">Generators </w:t>
      </w:r>
      <w:r>
        <w:rPr>
          <w:rFonts w:ascii="Arial" w:hAnsi="Arial" w:cs="Arial"/>
        </w:rPr>
        <w:t xml:space="preserve">is below </w:t>
      </w:r>
      <w:r w:rsidRPr="00A3137E">
        <w:rPr>
          <w:rFonts w:ascii="Arial" w:hAnsi="Arial" w:cs="Arial"/>
        </w:rPr>
        <w:t xml:space="preserve">the </w:t>
      </w:r>
      <w:r>
        <w:rPr>
          <w:rFonts w:ascii="Arial" w:hAnsi="Arial" w:cs="Arial"/>
        </w:rPr>
        <w:t>lowe</w:t>
      </w:r>
      <w:r w:rsidRPr="00A3137E">
        <w:rPr>
          <w:rFonts w:ascii="Arial" w:hAnsi="Arial" w:cs="Arial"/>
        </w:rPr>
        <w:t>r limit established in the Limiting Regulation then an Ex-post Reconciliation will be calculated for Genera</w:t>
      </w:r>
      <w:r>
        <w:rPr>
          <w:rFonts w:ascii="Arial" w:hAnsi="Arial" w:cs="Arial"/>
        </w:rPr>
        <w:t>tor</w:t>
      </w:r>
      <w:r w:rsidRPr="00A3137E">
        <w:rPr>
          <w:rFonts w:ascii="Arial" w:hAnsi="Arial" w:cs="Arial"/>
        </w:rPr>
        <w:t xml:space="preserve"> and Demand Users as per t</w:t>
      </w:r>
      <w:r w:rsidRPr="00E9429B">
        <w:rPr>
          <w:rFonts w:ascii="Arial" w:hAnsi="Arial" w:cs="Arial"/>
        </w:rPr>
        <w:t xml:space="preserve">he below and will be invoiced at the time of </w:t>
      </w:r>
      <w:r>
        <w:rPr>
          <w:rFonts w:ascii="Arial" w:hAnsi="Arial" w:cs="Arial"/>
        </w:rPr>
        <w:t>g</w:t>
      </w:r>
      <w:r w:rsidRPr="00E9429B">
        <w:rPr>
          <w:rFonts w:ascii="Arial" w:hAnsi="Arial" w:cs="Arial"/>
        </w:rPr>
        <w:t xml:space="preserve">eneration </w:t>
      </w:r>
      <w:r>
        <w:rPr>
          <w:rFonts w:ascii="Arial" w:hAnsi="Arial" w:cs="Arial"/>
        </w:rPr>
        <w:t xml:space="preserve">reconciliation </w:t>
      </w:r>
      <w:r w:rsidRPr="00E9429B">
        <w:rPr>
          <w:rFonts w:ascii="Arial" w:hAnsi="Arial" w:cs="Arial"/>
        </w:rPr>
        <w:t xml:space="preserve">and </w:t>
      </w:r>
      <w:r>
        <w:rPr>
          <w:rFonts w:ascii="Arial" w:hAnsi="Arial" w:cs="Arial"/>
        </w:rPr>
        <w:t>initial d</w:t>
      </w:r>
      <w:r w:rsidRPr="00E9429B">
        <w:rPr>
          <w:rFonts w:ascii="Arial" w:hAnsi="Arial" w:cs="Arial"/>
        </w:rPr>
        <w:t xml:space="preserve">emand </w:t>
      </w:r>
      <w:r>
        <w:rPr>
          <w:rFonts w:ascii="Arial" w:hAnsi="Arial" w:cs="Arial"/>
        </w:rPr>
        <w:t>r</w:t>
      </w:r>
      <w:r w:rsidRPr="00E9429B">
        <w:rPr>
          <w:rFonts w:ascii="Arial" w:hAnsi="Arial" w:cs="Arial"/>
        </w:rPr>
        <w:t>econciliation.</w:t>
      </w:r>
    </w:p>
    <w:p w14:paraId="4176277B" w14:textId="77777777" w:rsidR="0043581A" w:rsidRPr="0025180C" w:rsidRDefault="0043581A" w:rsidP="0043581A">
      <w:pPr>
        <w:pStyle w:val="1"/>
        <w:ind w:left="720"/>
        <w:jc w:val="both"/>
        <w:rPr>
          <w:rFonts w:ascii="Arial" w:hAnsi="Arial" w:cs="Arial"/>
        </w:rPr>
      </w:pPr>
    </w:p>
    <w:p w14:paraId="6CD58055" w14:textId="77777777" w:rsidR="0043581A" w:rsidRPr="0025180C" w:rsidRDefault="0043581A" w:rsidP="00533333">
      <w:pPr>
        <w:pStyle w:val="1"/>
        <w:numPr>
          <w:ilvl w:val="0"/>
          <w:numId w:val="97"/>
        </w:numPr>
        <w:jc w:val="both"/>
        <w:rPr>
          <w:rFonts w:ascii="Arial" w:hAnsi="Arial" w:cs="Arial"/>
          <w:u w:val="single"/>
        </w:rPr>
      </w:pPr>
      <w:r w:rsidRPr="0025180C">
        <w:rPr>
          <w:rFonts w:ascii="Arial" w:hAnsi="Arial" w:cs="Arial"/>
          <w:u w:val="single"/>
        </w:rPr>
        <w:t>Ex-post reconciliation for Demand Users:</w:t>
      </w:r>
    </w:p>
    <w:p w14:paraId="55A9373C" w14:textId="77777777" w:rsidR="0043581A" w:rsidRPr="0025180C" w:rsidRDefault="0043581A" w:rsidP="0043581A">
      <w:pPr>
        <w:pStyle w:val="1"/>
        <w:ind w:left="720"/>
        <w:jc w:val="both"/>
        <w:rPr>
          <w:rFonts w:ascii="Arial" w:hAnsi="Arial" w:cs="Arial"/>
        </w:rPr>
      </w:pPr>
    </w:p>
    <w:p w14:paraId="57B8EA76" w14:textId="77777777" w:rsidR="0043581A" w:rsidRPr="00612996" w:rsidRDefault="0043581A" w:rsidP="0043581A">
      <w:pPr>
        <w:ind w:left="1440"/>
        <w:rPr>
          <w:rFonts w:ascii="Arial" w:hAnsi="Arial" w:cs="Arial"/>
          <w:sz w:val="22"/>
          <w:szCs w:val="22"/>
        </w:rPr>
      </w:pPr>
      <w:r w:rsidRPr="00612996">
        <w:rPr>
          <w:rFonts w:ascii="Arial" w:hAnsi="Arial" w:cs="Arial"/>
          <w:sz w:val="22"/>
          <w:szCs w:val="22"/>
        </w:rPr>
        <w:t>Dadj = GCharge (Actual)-0</w:t>
      </w:r>
    </w:p>
    <w:p w14:paraId="6C079FC2" w14:textId="77777777" w:rsidR="0043581A" w:rsidRPr="00E91193" w:rsidRDefault="0043581A" w:rsidP="0043581A">
      <w:pPr>
        <w:ind w:left="1440"/>
        <w:rPr>
          <w:rFonts w:cs="Arial"/>
          <w:szCs w:val="22"/>
        </w:rPr>
      </w:pPr>
    </w:p>
    <w:p w14:paraId="7B88CF15" w14:textId="0A4BA7C9" w:rsidR="0043581A" w:rsidRDefault="0043581A" w:rsidP="0043581A">
      <w:pPr>
        <w:pStyle w:val="1"/>
        <w:ind w:left="1440"/>
        <w:rPr>
          <w:rFonts w:ascii="Arial" w:hAnsi="Arial" w:cs="Arial"/>
          <w:szCs w:val="22"/>
        </w:rPr>
      </w:pPr>
      <w:r w:rsidRPr="00E91193">
        <w:rPr>
          <w:rFonts w:ascii="Arial" w:hAnsi="Arial" w:cs="Arial"/>
          <w:szCs w:val="22"/>
        </w:rPr>
        <w:t>Where:</w:t>
      </w:r>
    </w:p>
    <w:p w14:paraId="13707C00" w14:textId="1C23A909" w:rsidR="00EA032C" w:rsidRDefault="00EA032C" w:rsidP="0043581A">
      <w:pPr>
        <w:pStyle w:val="1"/>
        <w:ind w:left="1440"/>
        <w:rPr>
          <w:rFonts w:ascii="Arial" w:hAnsi="Arial" w:cs="Arial"/>
          <w:szCs w:val="22"/>
        </w:rPr>
      </w:pPr>
    </w:p>
    <w:p w14:paraId="1F188D06" w14:textId="77777777" w:rsidR="00C85144" w:rsidRDefault="00C85144" w:rsidP="0043581A">
      <w:pPr>
        <w:pStyle w:val="1"/>
        <w:ind w:left="1440"/>
        <w:rPr>
          <w:rFonts w:ascii="Arial" w:hAnsi="Arial" w:cs="Arial"/>
          <w:szCs w:val="22"/>
        </w:rPr>
      </w:pPr>
    </w:p>
    <w:p w14:paraId="20560390" w14:textId="77777777" w:rsidR="00EA032C" w:rsidRPr="00E91193" w:rsidRDefault="00EA032C" w:rsidP="00EA032C">
      <w:pPr>
        <w:ind w:left="1440"/>
        <w:rPr>
          <w:rFonts w:cs="Arial"/>
          <w:szCs w:val="22"/>
        </w:rPr>
      </w:pPr>
      <w:r w:rsidRPr="00612996">
        <w:rPr>
          <w:rFonts w:ascii="Arial" w:hAnsi="Arial" w:cs="Arial"/>
          <w:sz w:val="22"/>
          <w:szCs w:val="22"/>
        </w:rPr>
        <w:t>Dadj =</w:t>
      </w:r>
      <w:r w:rsidRPr="00E91193">
        <w:rPr>
          <w:rFonts w:cs="Arial"/>
          <w:szCs w:val="22"/>
        </w:rPr>
        <w:t xml:space="preserve"> </w:t>
      </w:r>
      <w:r w:rsidRPr="00AD7A23">
        <w:rPr>
          <w:rFonts w:ascii="Arial" w:hAnsi="Arial" w:cs="Arial"/>
          <w:sz w:val="22"/>
          <w:szCs w:val="22"/>
        </w:rPr>
        <w:t>Revenue to be credited to Demand</w:t>
      </w:r>
    </w:p>
    <w:p w14:paraId="1ED36FB9" w14:textId="0EE59A41" w:rsidR="00EA032C" w:rsidRPr="001D06C7" w:rsidRDefault="00EA032C" w:rsidP="00EA032C">
      <w:pPr>
        <w:pStyle w:val="1"/>
        <w:ind w:left="1440"/>
        <w:rPr>
          <w:rFonts w:ascii="Arial" w:hAnsi="Arial" w:cs="Arial"/>
          <w:bCs/>
          <w:szCs w:val="22"/>
        </w:rPr>
      </w:pPr>
      <w:r w:rsidRPr="00E91193">
        <w:rPr>
          <w:rFonts w:ascii="Arial" w:hAnsi="Arial" w:cs="Arial"/>
          <w:szCs w:val="22"/>
        </w:rPr>
        <w:t xml:space="preserve">GCharge (Actual) = Actual charges to Generators in the previous </w:t>
      </w:r>
      <w:r w:rsidR="001D06C7">
        <w:rPr>
          <w:rFonts w:ascii="Arial" w:hAnsi="Arial" w:cs="Arial"/>
          <w:szCs w:val="22"/>
        </w:rPr>
        <w:t xml:space="preserve">Charging </w:t>
      </w:r>
      <w:r w:rsidR="00FE137D" w:rsidRPr="00E71FFB">
        <w:rPr>
          <w:rFonts w:ascii="Arial" w:hAnsi="Arial" w:cs="Arial"/>
          <w:b/>
        </w:rPr>
        <w:t xml:space="preserve"> </w:t>
      </w:r>
      <w:r w:rsidR="00FE137D" w:rsidRPr="00AD7A23">
        <w:rPr>
          <w:rFonts w:ascii="Arial" w:hAnsi="Arial" w:cs="Arial"/>
          <w:bCs/>
        </w:rPr>
        <w:t>Year</w:t>
      </w:r>
    </w:p>
    <w:p w14:paraId="3071DFD4" w14:textId="77777777" w:rsidR="00EA032C" w:rsidRPr="00E91193" w:rsidRDefault="00EA032C" w:rsidP="00EA032C">
      <w:pPr>
        <w:ind w:left="1440"/>
        <w:rPr>
          <w:rFonts w:cs="Arial"/>
          <w:szCs w:val="22"/>
        </w:rPr>
      </w:pPr>
    </w:p>
    <w:p w14:paraId="1BA496C5" w14:textId="77777777" w:rsidR="00EA032C" w:rsidRPr="00E91193" w:rsidRDefault="00EA032C" w:rsidP="00EA032C">
      <w:pPr>
        <w:pStyle w:val="1"/>
        <w:ind w:left="1440"/>
        <w:rPr>
          <w:rFonts w:ascii="Arial" w:hAnsi="Arial" w:cs="Arial"/>
          <w:szCs w:val="22"/>
        </w:rPr>
      </w:pPr>
    </w:p>
    <w:p w14:paraId="1438B360" w14:textId="77777777"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HH gross Demand, </w:t>
      </w:r>
      <w:bookmarkStart w:id="448" w:name="_Int_HiQP6kuC"/>
      <w:r w:rsidRPr="0537B9E0">
        <w:rPr>
          <w:rFonts w:ascii="Arial" w:hAnsi="Arial" w:cs="Arial"/>
          <w:sz w:val="22"/>
          <w:szCs w:val="22"/>
        </w:rPr>
        <w:t>in order to</w:t>
      </w:r>
      <w:bookmarkEnd w:id="448"/>
      <w:r w:rsidRPr="0537B9E0">
        <w:rPr>
          <w:rFonts w:ascii="Arial" w:hAnsi="Arial" w:cs="Arial"/>
          <w:sz w:val="22"/>
          <w:szCs w:val="22"/>
        </w:rPr>
        <w:t xml:space="preserve"> adjust for any recovery of TNUoS from generation outside of the range of the Limiting Regulation</w:t>
      </w:r>
    </w:p>
    <w:p w14:paraId="5E461901" w14:textId="77777777" w:rsidR="00EA032C" w:rsidRPr="00E91193" w:rsidRDefault="00EA032C" w:rsidP="00EA032C">
      <w:pPr>
        <w:ind w:left="1440"/>
        <w:rPr>
          <w:rFonts w:cs="Arial"/>
          <w:szCs w:val="22"/>
        </w:rPr>
      </w:pPr>
    </w:p>
    <w:p w14:paraId="423A1EDE" w14:textId="77777777" w:rsidR="00EA032C" w:rsidRPr="0025180C" w:rsidRDefault="00EA032C" w:rsidP="00EA032C">
      <w:pPr>
        <w:pStyle w:val="1"/>
        <w:ind w:left="2312"/>
        <w:jc w:val="both"/>
      </w:pPr>
      <w:r w:rsidRPr="0025180C">
        <w:t xml:space="preserve"> </w:t>
      </w:r>
      <m:oMath>
        <m:sSub>
          <m:sSubPr>
            <m:ctrlPr>
              <w:rPr>
                <w:rFonts w:ascii="Cambria Math" w:hAnsi="Cambria Math" w:cs="Cambria Math"/>
                <w:i/>
              </w:rPr>
            </m:ctrlPr>
          </m:sSubPr>
          <m:e>
            <m:r>
              <w:rPr>
                <w:rFonts w:ascii="Cambria Math" w:hAnsi="Cambria Math" w:cs="Cambria Math"/>
              </w:rPr>
              <m:t>DRadj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r>
                      <w:rPr>
                        <w:rFonts w:ascii="Cambria Math" w:hAnsi="Cambria Math" w:cs="Cambria Math"/>
                      </w:rPr>
                      <m:t>Dadj</m:t>
                    </m:r>
                  </m:e>
                  <m:sub/>
                </m:sSub>
              </m:num>
              <m:den>
                <m:r>
                  <w:rPr>
                    <w:rFonts w:ascii="Cambria Math" w:hAnsi="Cambria Math"/>
                  </w:rPr>
                  <m:t>GTD</m:t>
                </m:r>
              </m:den>
            </m:f>
          </m:e>
        </m:d>
      </m:oMath>
    </w:p>
    <w:p w14:paraId="4ABF0CE1" w14:textId="77777777" w:rsidR="00EA032C" w:rsidRPr="0025180C" w:rsidRDefault="00EA032C" w:rsidP="00EA032C">
      <w:pPr>
        <w:ind w:left="872"/>
      </w:pPr>
    </w:p>
    <w:p w14:paraId="1E5DF29A" w14:textId="77777777" w:rsidR="00EA032C" w:rsidRPr="0025180C" w:rsidRDefault="00EA032C" w:rsidP="00EA032C">
      <w:pPr>
        <w:ind w:left="872"/>
      </w:pPr>
    </w:p>
    <w:p w14:paraId="1530AFC7"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Where</w:t>
      </w:r>
    </w:p>
    <w:p w14:paraId="07D410C1"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DRadj = Rate applied to AHHD in £/kW</w:t>
      </w:r>
    </w:p>
    <w:p w14:paraId="6D937D13"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GTD = Total actual system metered gross triad demand (kW)</w:t>
      </w:r>
    </w:p>
    <w:p w14:paraId="4E322E40" w14:textId="77777777" w:rsidR="00EA032C" w:rsidRPr="00E42A8C" w:rsidRDefault="00EA032C" w:rsidP="00EA032C">
      <w:pPr>
        <w:ind w:left="1440"/>
        <w:rPr>
          <w:rFonts w:ascii="Arial" w:hAnsi="Arial" w:cs="Arial"/>
          <w:sz w:val="22"/>
          <w:szCs w:val="22"/>
        </w:rPr>
      </w:pPr>
    </w:p>
    <w:p w14:paraId="762519E6" w14:textId="195B6DCE"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NHH energy consumption, </w:t>
      </w:r>
      <w:bookmarkStart w:id="449" w:name="_Int_5kbcJKmD"/>
      <w:r w:rsidRPr="0537B9E0">
        <w:rPr>
          <w:rFonts w:ascii="Arial" w:hAnsi="Arial" w:cs="Arial"/>
          <w:sz w:val="22"/>
          <w:szCs w:val="22"/>
        </w:rPr>
        <w:t>in order to</w:t>
      </w:r>
      <w:bookmarkEnd w:id="449"/>
      <w:r w:rsidRPr="0537B9E0">
        <w:rPr>
          <w:rFonts w:ascii="Arial" w:hAnsi="Arial" w:cs="Arial"/>
          <w:sz w:val="22"/>
          <w:szCs w:val="22"/>
        </w:rPr>
        <w:t xml:space="preserve"> adjust for compliance with the Limiting Regulation in the </w:t>
      </w:r>
      <w:r w:rsidR="067522CF"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r w:rsidRPr="0537B9E0">
        <w:rPr>
          <w:rFonts w:ascii="Arial" w:hAnsi="Arial" w:cs="Arial"/>
          <w:sz w:val="22"/>
          <w:szCs w:val="22"/>
        </w:rPr>
        <w:t xml:space="preserve"> is calculated by:</w:t>
      </w:r>
    </w:p>
    <w:p w14:paraId="085F85CB" w14:textId="77777777" w:rsidR="00EA032C" w:rsidRPr="0025180C" w:rsidRDefault="00EA032C" w:rsidP="00EA032C">
      <w:pPr>
        <w:ind w:left="1440"/>
        <w:rPr>
          <w:rFonts w:cs="Arial"/>
          <w:szCs w:val="22"/>
        </w:rPr>
      </w:pPr>
    </w:p>
    <w:p w14:paraId="539C6C53" w14:textId="77777777" w:rsidR="00EA032C" w:rsidRPr="0025180C" w:rsidRDefault="00EA032C" w:rsidP="00EA032C">
      <w:pPr>
        <w:pStyle w:val="1"/>
        <w:ind w:left="2312"/>
      </w:pPr>
      <w:r w:rsidRPr="0025180C">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sSub>
                      <m:sSubPr>
                        <m:ctrlPr>
                          <w:rPr>
                            <w:rFonts w:ascii="Cambria Math" w:hAnsi="Cambria Math" w:cs="Cambria Math"/>
                          </w:rPr>
                        </m:ctrlPr>
                      </m:sSubPr>
                      <m:e>
                        <m:r>
                          <w:rPr>
                            <w:rFonts w:ascii="Cambria Math" w:hAnsi="Cambria Math" w:cs="Cambria Math"/>
                          </w:rPr>
                          <m:t>Dadj</m:t>
                        </m:r>
                      </m:e>
                      <m:sub>
                        <m:r>
                          <w:rPr>
                            <w:rFonts w:ascii="Cambria Math" w:hAnsi="Cambria Math" w:cs="Cambria Math"/>
                          </w:rPr>
                          <m:t xml:space="preserve"> </m:t>
                        </m:r>
                      </m:sub>
                    </m:sSub>
                    <m:r>
                      <w:rPr>
                        <w:rFonts w:ascii="Cambria Math" w:hAnsi="Cambria Math" w:cs="Cambria Math"/>
                      </w:rPr>
                      <m:t>-(AHHD</m:t>
                    </m:r>
                  </m:e>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 xml:space="preserve"> 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32F4931B" w14:textId="77777777" w:rsidR="00EA032C" w:rsidRPr="00E42A8C" w:rsidRDefault="00EA032C" w:rsidP="00EA032C">
      <w:pPr>
        <w:ind w:left="1440"/>
        <w:rPr>
          <w:rFonts w:ascii="Arial" w:hAnsi="Arial" w:cs="Arial"/>
          <w:sz w:val="22"/>
          <w:szCs w:val="22"/>
        </w:rPr>
      </w:pPr>
    </w:p>
    <w:p w14:paraId="6BBC3C50"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Where</w:t>
      </w:r>
    </w:p>
    <w:p w14:paraId="2F62AA2C" w14:textId="313B7B4C"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552A42">
        <w:rPr>
          <w:rFonts w:ascii="Arial" w:hAnsi="Arial" w:cs="Arial"/>
          <w:sz w:val="22"/>
          <w:szCs w:val="22"/>
        </w:rPr>
        <w:t xml:space="preserve">HH </w:t>
      </w:r>
      <w:r w:rsidRPr="00E42A8C">
        <w:rPr>
          <w:rFonts w:ascii="Arial" w:hAnsi="Arial" w:cs="Arial"/>
          <w:sz w:val="22"/>
          <w:szCs w:val="22"/>
        </w:rPr>
        <w:t xml:space="preserve"> </w:t>
      </w:r>
      <w:r w:rsidR="0018396F">
        <w:rPr>
          <w:rFonts w:ascii="Arial" w:hAnsi="Arial" w:cs="Arial"/>
          <w:sz w:val="22"/>
          <w:szCs w:val="22"/>
        </w:rPr>
        <w:t>D</w:t>
      </w:r>
      <w:r w:rsidRPr="00E42A8C">
        <w:rPr>
          <w:rFonts w:ascii="Arial" w:hAnsi="Arial" w:cs="Arial"/>
          <w:sz w:val="22"/>
          <w:szCs w:val="22"/>
        </w:rPr>
        <w:t xml:space="preserve">emand </w:t>
      </w:r>
    </w:p>
    <w:p w14:paraId="77271D0B" w14:textId="6306C33D"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ERadj = Rate applied to energy consumption for the </w:t>
      </w:r>
      <w:r w:rsidR="0018396F">
        <w:rPr>
          <w:rFonts w:ascii="Arial" w:hAnsi="Arial" w:cs="Arial"/>
          <w:sz w:val="22"/>
          <w:szCs w:val="22"/>
        </w:rPr>
        <w:t>D</w:t>
      </w:r>
      <w:r w:rsidRPr="00E42A8C">
        <w:rPr>
          <w:rFonts w:ascii="Arial" w:hAnsi="Arial" w:cs="Arial"/>
          <w:sz w:val="22"/>
          <w:szCs w:val="22"/>
        </w:rPr>
        <w:t xml:space="preserve">emand </w:t>
      </w:r>
      <w:r w:rsidR="0018396F">
        <w:rPr>
          <w:rFonts w:ascii="Arial" w:hAnsi="Arial" w:cs="Arial"/>
          <w:sz w:val="22"/>
          <w:szCs w:val="22"/>
        </w:rPr>
        <w:t>R</w:t>
      </w:r>
      <w:r w:rsidRPr="00E42A8C">
        <w:rPr>
          <w:rFonts w:ascii="Arial" w:hAnsi="Arial" w:cs="Arial"/>
          <w:sz w:val="22"/>
          <w:szCs w:val="22"/>
        </w:rPr>
        <w:t>ecovery in p/kWh</w:t>
      </w:r>
    </w:p>
    <w:p w14:paraId="32921EA4" w14:textId="157CF4EC" w:rsidR="00EA032C" w:rsidRPr="00510C66" w:rsidRDefault="00EA032C" w:rsidP="00EA032C">
      <w:pPr>
        <w:ind w:left="1440"/>
        <w:rPr>
          <w:rFonts w:ascii="Arial" w:hAnsi="Arial" w:cs="Arial"/>
          <w:sz w:val="22"/>
          <w:szCs w:val="22"/>
        </w:rPr>
      </w:pPr>
      <w:r w:rsidRPr="00E42A8C">
        <w:rPr>
          <w:rFonts w:ascii="Arial" w:hAnsi="Arial" w:cs="Arial"/>
          <w:sz w:val="22"/>
          <w:szCs w:val="22"/>
        </w:rPr>
        <w:t xml:space="preserve">ANHHC = Total actual annual non-half-hourly metered energy consumption (kWh) for the period 16:00 hrs to 19:00 hrs inclusive (i.e. settlement periods 33 to 38) for each day of the preceding </w:t>
      </w:r>
      <w:r w:rsidR="00510C66">
        <w:rPr>
          <w:rFonts w:ascii="Arial" w:hAnsi="Arial" w:cs="Arial"/>
          <w:sz w:val="22"/>
          <w:szCs w:val="22"/>
        </w:rPr>
        <w:t xml:space="preserve">Charging </w:t>
      </w:r>
      <w:r w:rsidR="002A1EFB">
        <w:rPr>
          <w:rFonts w:ascii="Arial" w:hAnsi="Arial" w:cs="Arial"/>
          <w:b/>
          <w:bCs/>
          <w:sz w:val="22"/>
          <w:szCs w:val="22"/>
        </w:rPr>
        <w:t xml:space="preserve"> </w:t>
      </w:r>
      <w:r w:rsidR="002A1EFB" w:rsidRPr="00AD7A23">
        <w:rPr>
          <w:rFonts w:ascii="Arial" w:hAnsi="Arial" w:cs="Arial"/>
          <w:sz w:val="22"/>
          <w:szCs w:val="22"/>
        </w:rPr>
        <w:t>Year</w:t>
      </w:r>
    </w:p>
    <w:p w14:paraId="2AAE45EF" w14:textId="77777777" w:rsidR="00EA032C" w:rsidRPr="0025180C" w:rsidRDefault="00EA032C" w:rsidP="00EA032C">
      <w:pPr>
        <w:ind w:left="1440"/>
        <w:rPr>
          <w:rFonts w:cs="Arial"/>
          <w:szCs w:val="22"/>
        </w:rPr>
      </w:pPr>
    </w:p>
    <w:p w14:paraId="7ABD98D1" w14:textId="77777777" w:rsidR="00EA032C" w:rsidRPr="0025180C" w:rsidRDefault="00EA032C" w:rsidP="00EA032C">
      <w:pPr>
        <w:ind w:left="1440"/>
        <w:rPr>
          <w:rFonts w:cs="Arial"/>
          <w:szCs w:val="22"/>
        </w:rPr>
      </w:pPr>
    </w:p>
    <w:p w14:paraId="569C9691" w14:textId="75CCBB93" w:rsidR="00EA032C" w:rsidRPr="00E4190E" w:rsidRDefault="00EA032C" w:rsidP="00EA032C">
      <w:pPr>
        <w:pStyle w:val="1"/>
        <w:ind w:left="720"/>
        <w:jc w:val="both"/>
        <w:rPr>
          <w:rFonts w:ascii="Arial" w:hAnsi="Arial" w:cs="Arial"/>
          <w:u w:val="single"/>
        </w:rPr>
      </w:pPr>
      <w:r w:rsidRPr="00E4190E">
        <w:rPr>
          <w:rFonts w:ascii="Arial" w:hAnsi="Arial" w:cs="Arial"/>
          <w:u w:val="single"/>
        </w:rPr>
        <w:t>Ex-post reconciliation for Generat</w:t>
      </w:r>
      <w:r w:rsidR="00EF57B4">
        <w:rPr>
          <w:rFonts w:ascii="Arial" w:hAnsi="Arial" w:cs="Arial"/>
          <w:u w:val="single"/>
        </w:rPr>
        <w:t xml:space="preserve">ion </w:t>
      </w:r>
      <w:r>
        <w:rPr>
          <w:rFonts w:ascii="Arial" w:hAnsi="Arial" w:cs="Arial"/>
          <w:u w:val="single"/>
        </w:rPr>
        <w:t xml:space="preserve"> </w:t>
      </w:r>
      <w:r w:rsidRPr="00E4190E">
        <w:rPr>
          <w:rFonts w:ascii="Arial" w:hAnsi="Arial" w:cs="Arial"/>
          <w:u w:val="single"/>
        </w:rPr>
        <w:t>Users:</w:t>
      </w:r>
    </w:p>
    <w:p w14:paraId="50491044" w14:textId="77777777" w:rsidR="00EA032C" w:rsidRPr="004359E9" w:rsidRDefault="00EA032C" w:rsidP="00EA032C">
      <w:pPr>
        <w:ind w:left="1440"/>
        <w:rPr>
          <w:rFonts w:cs="Arial"/>
          <w:szCs w:val="22"/>
        </w:rPr>
      </w:pPr>
    </w:p>
    <w:p w14:paraId="1E01E782" w14:textId="77777777" w:rsidR="00EA032C" w:rsidRPr="004359E9" w:rsidRDefault="00EA032C" w:rsidP="00EA032C">
      <w:pPr>
        <w:ind w:left="1440"/>
        <w:rPr>
          <w:rFonts w:cs="Arial"/>
          <w:szCs w:val="22"/>
        </w:rPr>
      </w:pPr>
    </w:p>
    <w:p w14:paraId="4A1B21CB" w14:textId="77777777" w:rsidR="00EA032C" w:rsidRPr="00475CC1" w:rsidRDefault="00EA032C" w:rsidP="00EA032C">
      <w:pPr>
        <w:ind w:left="1440"/>
        <w:rPr>
          <w:rFonts w:ascii="Arial" w:hAnsi="Arial" w:cs="Arial"/>
          <w:sz w:val="22"/>
          <w:szCs w:val="22"/>
        </w:rPr>
      </w:pPr>
      <w:r w:rsidRPr="00475CC1">
        <w:rPr>
          <w:rFonts w:ascii="Arial" w:hAnsi="Arial" w:cs="Arial"/>
          <w:sz w:val="22"/>
          <w:szCs w:val="22"/>
        </w:rPr>
        <w:t>The recovery from Generator Users will be</w:t>
      </w:r>
    </w:p>
    <w:p w14:paraId="0DEC5219" w14:textId="77777777" w:rsidR="00EA032C" w:rsidRPr="004359E9" w:rsidRDefault="00EA032C" w:rsidP="00EA032C">
      <w:pPr>
        <w:ind w:left="1440"/>
        <w:rPr>
          <w:rFonts w:cs="Arial"/>
          <w:szCs w:val="22"/>
        </w:rPr>
      </w:pPr>
    </w:p>
    <w:p w14:paraId="3E164B65" w14:textId="77777777" w:rsidR="00EA032C" w:rsidRPr="004359E9" w:rsidRDefault="00EA032C" w:rsidP="00EA032C">
      <w:pPr>
        <w:ind w:left="1440"/>
        <w:rPr>
          <w:rFonts w:cs="Arial"/>
          <w:szCs w:val="22"/>
        </w:rPr>
      </w:pPr>
      <w:r w:rsidRPr="004359E9">
        <w:rPr>
          <w:rFonts w:cs="Arial"/>
          <w:szCs w:val="22"/>
        </w:rPr>
        <w:t xml:space="preserve">Gadj = </w:t>
      </w:r>
      <m:oMath>
        <m:r>
          <w:rPr>
            <w:rFonts w:ascii="Cambria Math" w:hAnsi="Cambria Math" w:cs="Arial"/>
          </w:rPr>
          <m:t>Dadj*-1</m:t>
        </m:r>
      </m:oMath>
    </w:p>
    <w:p w14:paraId="78573203" w14:textId="77777777" w:rsidR="00EA032C" w:rsidRPr="004359E9" w:rsidRDefault="00EA032C" w:rsidP="00EA032C">
      <w:pPr>
        <w:pStyle w:val="1"/>
        <w:ind w:left="1627"/>
        <w:jc w:val="both"/>
        <w:rPr>
          <w:rFonts w:cs="Arial"/>
          <w:szCs w:val="22"/>
        </w:rPr>
      </w:pPr>
    </w:p>
    <w:p w14:paraId="44269281" w14:textId="77777777" w:rsidR="00EA032C" w:rsidRPr="004359E9" w:rsidRDefault="00EA032C" w:rsidP="00EA032C">
      <w:pPr>
        <w:pStyle w:val="1"/>
        <w:rPr>
          <w:rFonts w:ascii="Arial" w:hAnsi="Arial" w:cs="Arial"/>
          <w:szCs w:val="22"/>
        </w:rPr>
      </w:pPr>
    </w:p>
    <w:p w14:paraId="16CF2A9E" w14:textId="77777777" w:rsidR="00EA032C" w:rsidRPr="004359E9" w:rsidRDefault="00EA032C" w:rsidP="00EA032C">
      <w:pPr>
        <w:pStyle w:val="1"/>
        <w:ind w:firstLine="720"/>
        <w:rPr>
          <w:rFonts w:ascii="Arial" w:hAnsi="Arial" w:cs="Arial"/>
          <w:szCs w:val="22"/>
        </w:rPr>
      </w:pPr>
      <w:r w:rsidRPr="004359E9">
        <w:rPr>
          <w:rFonts w:ascii="Arial" w:hAnsi="Arial" w:cs="Arial"/>
          <w:szCs w:val="22"/>
        </w:rPr>
        <w:t>Where:</w:t>
      </w:r>
    </w:p>
    <w:p w14:paraId="24A2BB61" w14:textId="77777777" w:rsidR="00EA032C" w:rsidRPr="004359E9" w:rsidRDefault="00EA032C" w:rsidP="00EA032C">
      <w:pPr>
        <w:pStyle w:val="1"/>
        <w:ind w:left="1440"/>
        <w:rPr>
          <w:rFonts w:ascii="Arial" w:hAnsi="Arial" w:cs="Arial"/>
          <w:szCs w:val="22"/>
        </w:rPr>
      </w:pPr>
      <w:r w:rsidRPr="004359E9">
        <w:rPr>
          <w:rFonts w:ascii="Arial" w:hAnsi="Arial" w:cs="Arial"/>
          <w:szCs w:val="22"/>
        </w:rPr>
        <w:t>Dadj =  Revenue to be dispersed to Demand</w:t>
      </w:r>
    </w:p>
    <w:p w14:paraId="11FB32C3" w14:textId="5402DB0D" w:rsidR="00EA032C" w:rsidRPr="004359E9" w:rsidRDefault="00EA032C" w:rsidP="00EA032C">
      <w:pPr>
        <w:pStyle w:val="1"/>
        <w:ind w:left="1440"/>
        <w:rPr>
          <w:rFonts w:ascii="Arial" w:hAnsi="Arial" w:cs="Arial"/>
          <w:szCs w:val="22"/>
        </w:rPr>
      </w:pPr>
      <w:r w:rsidRPr="004359E9">
        <w:rPr>
          <w:rFonts w:cs="Arial"/>
          <w:szCs w:val="22"/>
        </w:rPr>
        <w:t>Gadj = Revenue to be recovered from Gener</w:t>
      </w:r>
      <w:r>
        <w:rPr>
          <w:rFonts w:cs="Arial"/>
          <w:szCs w:val="22"/>
        </w:rPr>
        <w:t>at</w:t>
      </w:r>
      <w:r w:rsidR="00623586">
        <w:rPr>
          <w:rFonts w:cs="Arial"/>
          <w:szCs w:val="22"/>
        </w:rPr>
        <w:t xml:space="preserve">ion </w:t>
      </w:r>
    </w:p>
    <w:p w14:paraId="6CD710FE" w14:textId="77777777" w:rsidR="00EA032C" w:rsidRPr="004359E9" w:rsidRDefault="00EA032C" w:rsidP="00EA032C">
      <w:pPr>
        <w:pStyle w:val="1"/>
        <w:ind w:left="1627"/>
        <w:jc w:val="both"/>
        <w:rPr>
          <w:rFonts w:cs="Arial"/>
          <w:szCs w:val="22"/>
        </w:rPr>
      </w:pPr>
    </w:p>
    <w:p w14:paraId="11B3DC48" w14:textId="77777777" w:rsidR="00EA032C" w:rsidRPr="004359E9" w:rsidRDefault="00EA032C" w:rsidP="00EA032C">
      <w:pPr>
        <w:pStyle w:val="1"/>
        <w:ind w:left="1440"/>
        <w:rPr>
          <w:rFonts w:ascii="Arial" w:hAnsi="Arial" w:cs="Arial"/>
          <w:szCs w:val="22"/>
        </w:rPr>
      </w:pPr>
    </w:p>
    <w:p w14:paraId="3C16814F" w14:textId="1CCAE60B" w:rsidR="00EA032C" w:rsidRPr="000E3141" w:rsidRDefault="00EA032C" w:rsidP="00533333">
      <w:pPr>
        <w:pStyle w:val="ListParagraph"/>
        <w:numPr>
          <w:ilvl w:val="0"/>
          <w:numId w:val="97"/>
        </w:numPr>
        <w:rPr>
          <w:rFonts w:ascii="Arial" w:hAnsi="Arial" w:cs="Arial"/>
          <w:szCs w:val="22"/>
        </w:rPr>
      </w:pPr>
      <w:r w:rsidRPr="000E3141">
        <w:rPr>
          <w:rFonts w:ascii="Arial" w:hAnsi="Arial" w:cs="Arial"/>
          <w:szCs w:val="22"/>
        </w:rPr>
        <w:t xml:space="preserve">The rate applied to Generator Chargeable Capacity in the preceding </w:t>
      </w:r>
      <w:r w:rsidR="00B73C0E">
        <w:rPr>
          <w:rFonts w:ascii="Arial" w:hAnsi="Arial" w:cs="Arial"/>
          <w:szCs w:val="22"/>
        </w:rPr>
        <w:t xml:space="preserve">charging </w:t>
      </w:r>
      <w:r w:rsidR="00CF3AF5">
        <w:rPr>
          <w:rFonts w:ascii="Arial" w:hAnsi="Arial" w:cs="Arial"/>
          <w:szCs w:val="22"/>
        </w:rPr>
        <w:t xml:space="preserve">year, </w:t>
      </w:r>
      <w:r w:rsidRPr="000E3141">
        <w:rPr>
          <w:rFonts w:ascii="Arial" w:hAnsi="Arial" w:cs="Arial"/>
          <w:szCs w:val="22"/>
        </w:rPr>
        <w:t xml:space="preserve"> in order to adjust for any recovery of TNUoS from generation outside of the range of the Limiting Regulation, is:</w:t>
      </w:r>
    </w:p>
    <w:p w14:paraId="466B94A8" w14:textId="77777777" w:rsidR="00EA032C" w:rsidRPr="004359E9" w:rsidRDefault="00EA032C" w:rsidP="00EA032C">
      <w:pPr>
        <w:pStyle w:val="1"/>
        <w:rPr>
          <w:rFonts w:ascii="Arial" w:hAnsi="Arial" w:cs="Arial"/>
          <w:szCs w:val="22"/>
        </w:rPr>
      </w:pPr>
    </w:p>
    <w:p w14:paraId="2832CC85" w14:textId="77777777" w:rsidR="00EA032C" w:rsidRPr="004359E9" w:rsidRDefault="00EA032C" w:rsidP="00EA032C">
      <w:pPr>
        <w:pStyle w:val="1"/>
        <w:ind w:left="1627"/>
        <w:jc w:val="both"/>
        <w:rPr>
          <w:rFonts w:cs="Arial"/>
          <w:szCs w:val="22"/>
        </w:rPr>
      </w:pPr>
    </w:p>
    <w:p w14:paraId="3FDCDBD7" w14:textId="77777777" w:rsidR="00EA032C" w:rsidRPr="00E4190E" w:rsidRDefault="00EA032C" w:rsidP="00EA032C">
      <w:pPr>
        <w:pStyle w:val="1"/>
        <w:ind w:left="1627"/>
        <w:jc w:val="both"/>
      </w:pPr>
      <w:r w:rsidRPr="004359E9">
        <w:rPr>
          <w:rFonts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6EA9290" w14:textId="77777777" w:rsidR="00EA032C" w:rsidRPr="00E4190E" w:rsidRDefault="00EA032C" w:rsidP="00EA032C">
      <w:pPr>
        <w:pStyle w:val="1"/>
        <w:ind w:firstLine="720"/>
        <w:jc w:val="both"/>
      </w:pPr>
    </w:p>
    <w:p w14:paraId="40054E6B" w14:textId="77777777" w:rsidR="00EA032C" w:rsidRPr="00E70FAC" w:rsidRDefault="00EA032C" w:rsidP="00EA032C">
      <w:pPr>
        <w:pStyle w:val="1"/>
        <w:ind w:firstLine="720"/>
        <w:jc w:val="both"/>
      </w:pPr>
      <w:r w:rsidRPr="00E70FAC">
        <w:t>Where:</w:t>
      </w:r>
    </w:p>
    <w:p w14:paraId="269E29E0" w14:textId="77777777" w:rsidR="00EA032C" w:rsidRPr="0025180C" w:rsidRDefault="00EA032C" w:rsidP="00EA032C">
      <w:pPr>
        <w:pStyle w:val="1"/>
        <w:ind w:firstLine="720"/>
        <w:jc w:val="both"/>
      </w:pPr>
    </w:p>
    <w:p w14:paraId="1CB94966" w14:textId="2EE7E740" w:rsidR="00EA032C" w:rsidRPr="0025180C" w:rsidRDefault="00EA032C" w:rsidP="00EA032C">
      <w:pPr>
        <w:pStyle w:val="1"/>
        <w:ind w:firstLine="720"/>
        <w:jc w:val="both"/>
      </w:pPr>
      <w:r w:rsidRPr="0025180C">
        <w:t xml:space="preserve">GRadj = Adjustment rate to be applied to </w:t>
      </w:r>
      <w:r w:rsidR="0084657A">
        <w:t>g</w:t>
      </w:r>
      <w:r w:rsidRPr="0025180C">
        <w:t>enerators</w:t>
      </w:r>
    </w:p>
    <w:p w14:paraId="0B418B6D" w14:textId="77777777" w:rsidR="00EA032C" w:rsidRPr="00E4190E" w:rsidRDefault="00EA032C" w:rsidP="00EA032C">
      <w:pPr>
        <w:pStyle w:val="1"/>
        <w:ind w:firstLine="720"/>
        <w:jc w:val="both"/>
      </w:pPr>
      <w:r w:rsidRPr="0025180C">
        <w:t>Chargeable</w:t>
      </w:r>
      <w:r>
        <w:t xml:space="preserve"> </w:t>
      </w:r>
      <w:r w:rsidRPr="0025180C">
        <w:t xml:space="preserve">Capacity = </w:t>
      </w:r>
      <w:r>
        <w:t>As per paragraph 14.18.6</w:t>
      </w:r>
    </w:p>
    <w:p w14:paraId="6B791CE2" w14:textId="77777777" w:rsidR="00EA032C" w:rsidRPr="00E91193" w:rsidRDefault="00EA032C" w:rsidP="0043581A">
      <w:pPr>
        <w:pStyle w:val="1"/>
        <w:ind w:left="1440"/>
        <w:rPr>
          <w:rFonts w:ascii="Arial" w:hAnsi="Arial" w:cs="Arial"/>
          <w:szCs w:val="22"/>
        </w:rPr>
      </w:pPr>
    </w:p>
    <w:p w14:paraId="723B6341" w14:textId="77777777" w:rsidR="002433F2" w:rsidRDefault="002433F2" w:rsidP="00D34C2B">
      <w:pPr>
        <w:pStyle w:val="1"/>
        <w:ind w:left="1627"/>
        <w:jc w:val="both"/>
      </w:pPr>
    </w:p>
    <w:p w14:paraId="541B2FA1" w14:textId="77777777" w:rsidR="00F10ECF" w:rsidRDefault="00F10ECF" w:rsidP="007E2F78">
      <w:pPr>
        <w:pStyle w:val="1"/>
        <w:ind w:left="1627"/>
        <w:jc w:val="both"/>
      </w:pPr>
    </w:p>
    <w:p w14:paraId="31FF0E74" w14:textId="77777777" w:rsidR="00F10ECF" w:rsidRDefault="00F10ECF" w:rsidP="007E2F78">
      <w:pPr>
        <w:pStyle w:val="1"/>
        <w:ind w:firstLine="720"/>
        <w:jc w:val="both"/>
        <w:rPr>
          <w:b/>
        </w:rPr>
      </w:pPr>
      <w:r w:rsidRPr="00261C09">
        <w:rPr>
          <w:b/>
        </w:rPr>
        <w:t>Implementation of P272</w:t>
      </w:r>
    </w:p>
    <w:p w14:paraId="20DA3F40" w14:textId="77777777" w:rsidR="00F10ECF" w:rsidRPr="007E2F78" w:rsidRDefault="00F10ECF" w:rsidP="00F10ECF">
      <w:pPr>
        <w:pStyle w:val="1"/>
        <w:jc w:val="both"/>
        <w:rPr>
          <w:b/>
        </w:rPr>
      </w:pPr>
    </w:p>
    <w:p w14:paraId="7817C78D" w14:textId="77777777" w:rsidR="00672A14" w:rsidRPr="00672A14" w:rsidRDefault="00672A14" w:rsidP="00533333">
      <w:pPr>
        <w:pStyle w:val="ListParagraph"/>
        <w:numPr>
          <w:ilvl w:val="0"/>
          <w:numId w:val="93"/>
        </w:numPr>
        <w:tabs>
          <w:tab w:val="left" w:pos="720"/>
        </w:tabs>
        <w:jc w:val="both"/>
        <w:rPr>
          <w:rFonts w:ascii="Arial (W1)" w:hAnsi="Arial (W1)"/>
          <w:vanish/>
          <w:sz w:val="22"/>
          <w:szCs w:val="20"/>
          <w:lang w:eastAsia="en-US"/>
        </w:rPr>
      </w:pPr>
    </w:p>
    <w:p w14:paraId="574A770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263D4CCD"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A827F81"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772FC93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41917B6F"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FB93C2F" w14:textId="5861585B" w:rsidR="00BF5E0F" w:rsidRDefault="5F8C90BB" w:rsidP="00533333">
      <w:pPr>
        <w:pStyle w:val="1"/>
        <w:numPr>
          <w:ilvl w:val="3"/>
          <w:numId w:val="93"/>
        </w:numPr>
        <w:tabs>
          <w:tab w:val="left" w:pos="720"/>
        </w:tabs>
        <w:jc w:val="both"/>
      </w:pPr>
      <w:r>
        <w:t xml:space="preserve">BSC modification P272 requires Suppliers to move Profile Classes 5-8 to Measurement Class E - G (i.e. moving from NHH to HH settlement) by April 2016. </w:t>
      </w:r>
      <w:bookmarkStart w:id="450" w:name="_Int_olybBDAo"/>
      <w:r>
        <w:t>The majority of</w:t>
      </w:r>
      <w:bookmarkEnd w:id="450"/>
      <w:r>
        <w:t xml:space="preserve"> these meters are expected to transfer during the preceding </w:t>
      </w:r>
      <w:r w:rsidR="445B7493" w:rsidRPr="0537B9E0">
        <w:rPr>
          <w:rFonts w:ascii="Arial" w:hAnsi="Arial" w:cs="Arial"/>
          <w:b/>
          <w:bCs/>
        </w:rPr>
        <w:t>Financial Years</w:t>
      </w:r>
      <w:r w:rsidR="445B7493" w:rsidRPr="0537B9E0">
        <w:rPr>
          <w:rFonts w:ascii="Arial" w:eastAsia="Arial" w:hAnsi="Arial"/>
          <w:lang w:val="en-US"/>
        </w:rPr>
        <w:t xml:space="preserve"> </w:t>
      </w:r>
      <w:r>
        <w:t>up until the implementation date of P272 and some meters will have been transferred before the start of 1</w:t>
      </w:r>
      <w:r w:rsidRPr="0537B9E0">
        <w:rPr>
          <w:vertAlign w:val="superscript"/>
        </w:rPr>
        <w:t>ST</w:t>
      </w:r>
      <w:r>
        <w:t xml:space="preserve"> April 2015. A change from NHH to HH within a </w:t>
      </w:r>
      <w:r w:rsidR="445B7493" w:rsidRPr="0537B9E0">
        <w:rPr>
          <w:rFonts w:ascii="Arial" w:hAnsi="Arial" w:cs="Arial"/>
          <w:b/>
          <w:bCs/>
        </w:rPr>
        <w:t>Financial Year</w:t>
      </w:r>
      <w:r>
        <w:t xml:space="preserve"> would normally result in Suppliers being liable for TNUoS for part of the year as NHH </w:t>
      </w:r>
      <w:bookmarkStart w:id="451" w:name="_Int_FVrteR5Y"/>
      <w:r>
        <w:t>and also</w:t>
      </w:r>
      <w:bookmarkEnd w:id="451"/>
      <w:r>
        <w:t xml:space="preserve"> being subject to HH charging. This section describes how </w:t>
      </w:r>
      <w:r w:rsidR="58867969" w:rsidRPr="0537B9E0">
        <w:rPr>
          <w:b/>
          <w:bCs/>
        </w:rPr>
        <w:t>The</w:t>
      </w:r>
      <w:r w:rsidRPr="0537B9E0">
        <w:rPr>
          <w:b/>
          <w:bCs/>
        </w:rPr>
        <w:t xml:space="preserve"> Company </w:t>
      </w:r>
      <w:r>
        <w:t xml:space="preserve">will treat this situation in the transition to P272 implementation for the purposes of TNUoS charging; and the forecasts that Suppliers should provide to </w:t>
      </w:r>
      <w:r w:rsidR="58867969" w:rsidRPr="0537B9E0">
        <w:rPr>
          <w:b/>
          <w:bCs/>
        </w:rPr>
        <w:t>The Company</w:t>
      </w:r>
      <w:r>
        <w:t>.</w:t>
      </w:r>
    </w:p>
    <w:p w14:paraId="0E23ED9F" w14:textId="77777777" w:rsidR="00AD7A23" w:rsidRDefault="00AD7A23" w:rsidP="00447FCA">
      <w:pPr>
        <w:pStyle w:val="1"/>
        <w:tabs>
          <w:tab w:val="left" w:pos="720"/>
        </w:tabs>
        <w:ind w:left="720"/>
        <w:jc w:val="both"/>
      </w:pPr>
    </w:p>
    <w:p w14:paraId="155DC73E" w14:textId="38D38C55" w:rsidR="00556B6D" w:rsidRPr="00447FCA" w:rsidRDefault="00BF5E0F" w:rsidP="009F4595">
      <w:pPr>
        <w:pStyle w:val="ListParagraph"/>
        <w:numPr>
          <w:ilvl w:val="3"/>
          <w:numId w:val="108"/>
        </w:numPr>
        <w:rPr>
          <w:rFonts w:ascii="Arial (W1)" w:hAnsi="Arial (W1)"/>
          <w:sz w:val="22"/>
          <w:szCs w:val="20"/>
          <w:lang w:eastAsia="en-US"/>
        </w:rPr>
      </w:pPr>
      <w:r w:rsidRPr="009F4595">
        <w:rPr>
          <w:rFonts w:ascii="Arial (W1)" w:hAnsi="Arial (W1)"/>
          <w:sz w:val="22"/>
          <w:szCs w:val="20"/>
          <w:lang w:eastAsia="en-US"/>
        </w:rPr>
        <w:t xml:space="preserve">Notwithstanding 14.17.13, for each </w:t>
      </w:r>
      <w:r w:rsidR="00985FC4"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which begins after 31 March 2015 and prior to implementation of BSC Modification P272, all demand associated with meters that are in NHH Profile Classes 5 to 8 at the start of that charging year </w:t>
      </w:r>
      <w:r w:rsidR="00FE137D"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as well as all meters in Measurement Classes E G will be treated as Chargeable Energy Capacity (NHH) for the purposes of TNUoS charging for the full </w:t>
      </w:r>
      <w:r w:rsidR="007F464B" w:rsidRPr="009F4595">
        <w:rPr>
          <w:rFonts w:ascii="Arial (W1)" w:hAnsi="Arial (W1)"/>
          <w:sz w:val="22"/>
          <w:szCs w:val="20"/>
          <w:lang w:eastAsia="en-US"/>
        </w:rPr>
        <w:t>Financial Year</w:t>
      </w:r>
      <w:r w:rsidR="7D2CE17A" w:rsidRPr="009F4595">
        <w:rPr>
          <w:rFonts w:ascii="Arial (W1)" w:hAnsi="Arial (W1)"/>
          <w:sz w:val="22"/>
          <w:szCs w:val="20"/>
          <w:lang w:eastAsia="en-US"/>
        </w:rPr>
        <w:t>.</w:t>
      </w:r>
    </w:p>
    <w:p w14:paraId="0A9AFC4D" w14:textId="77777777" w:rsidR="00AD7A23" w:rsidRDefault="00AD7A23" w:rsidP="009F4595">
      <w:pPr>
        <w:pStyle w:val="ListParagraph"/>
        <w:ind w:left="1740"/>
      </w:pPr>
    </w:p>
    <w:p w14:paraId="49B141A8" w14:textId="5929CD55" w:rsidR="00556B6D" w:rsidRDefault="1CE92958" w:rsidP="00533333">
      <w:pPr>
        <w:pStyle w:val="1"/>
        <w:numPr>
          <w:ilvl w:val="3"/>
          <w:numId w:val="108"/>
        </w:numPr>
        <w:tabs>
          <w:tab w:val="left" w:pos="720"/>
        </w:tabs>
        <w:jc w:val="both"/>
      </w:pPr>
      <w:r w:rsidRPr="00C94D4B">
        <w:rPr>
          <w:b/>
        </w:rPr>
        <w:t>The</w:t>
      </w:r>
      <w:r w:rsidR="00556B6D" w:rsidRPr="00C94D4B">
        <w:rPr>
          <w:b/>
        </w:rPr>
        <w:t xml:space="preserv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3030A359" w14:textId="77777777" w:rsidR="00556B6D" w:rsidRDefault="00556B6D" w:rsidP="00556B6D">
      <w:pPr>
        <w:pStyle w:val="ListParagraph"/>
      </w:pPr>
    </w:p>
    <w:p w14:paraId="54F75496" w14:textId="057F8FD3" w:rsidR="00F10ECF" w:rsidRDefault="00556B6D" w:rsidP="00533333">
      <w:pPr>
        <w:pStyle w:val="1"/>
        <w:numPr>
          <w:ilvl w:val="3"/>
          <w:numId w:val="108"/>
        </w:numPr>
        <w:tabs>
          <w:tab w:val="left" w:pos="720"/>
        </w:tabs>
        <w:jc w:val="both"/>
      </w:pPr>
      <w:r w:rsidRPr="007E2F78">
        <w:t xml:space="preserve">The forecasts that Suppliers submit to </w:t>
      </w:r>
      <w:r w:rsidR="1CE92958" w:rsidRPr="00C94D4B">
        <w:rPr>
          <w:b/>
        </w:rPr>
        <w:t>The Company</w:t>
      </w:r>
      <w:r w:rsidRPr="00C94D4B">
        <w:rPr>
          <w:b/>
        </w:rPr>
        <w:t xml:space="preserve"> </w:t>
      </w:r>
      <w:r w:rsidRPr="007E2F78">
        <w:t>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rsidR="090DFBFF">
        <w:t>.</w:t>
      </w:r>
      <w:r>
        <w:t>.</w:t>
      </w:r>
    </w:p>
    <w:p w14:paraId="2F74F4BB" w14:textId="77777777" w:rsidR="00556B6D" w:rsidRDefault="00556B6D" w:rsidP="00556B6D">
      <w:pPr>
        <w:pStyle w:val="ListParagraph"/>
      </w:pPr>
    </w:p>
    <w:p w14:paraId="34DD758A" w14:textId="27909C2D" w:rsidR="00F10ECF" w:rsidRDefault="00556B6D" w:rsidP="00533333">
      <w:pPr>
        <w:pStyle w:val="1"/>
        <w:numPr>
          <w:ilvl w:val="3"/>
          <w:numId w:val="108"/>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1CE92958" w:rsidRPr="00C94D4B">
        <w:rPr>
          <w:b/>
        </w:rPr>
        <w:t>The Company</w:t>
      </w:r>
      <w:r w:rsidRPr="007E2F78">
        <w:t xml:space="preserve"> prior to October</w:t>
      </w:r>
      <w:r>
        <w:t xml:space="preserve"> 2015.</w:t>
      </w:r>
      <w:r w:rsidRPr="007E2F78">
        <w:t xml:space="preserve"> </w:t>
      </w:r>
      <w:r w:rsidR="1CE92958" w:rsidRPr="009F4595">
        <w:rPr>
          <w:b/>
        </w:rPr>
        <w:t>The</w:t>
      </w:r>
      <w:r w:rsidRPr="009F4595">
        <w:rPr>
          <w:b/>
        </w:rPr>
        <w:t xml:space="preserve"> Company </w:t>
      </w:r>
      <w:r w:rsidRPr="007E2F78">
        <w:t>will treat these as Chargeable Demand Capacity (HH / Measurement Class settled) for the purposes of calculating the actual annual liability</w:t>
      </w:r>
      <w:r>
        <w:t xml:space="preserve"> for the </w:t>
      </w:r>
      <w:r w:rsidR="000074DD">
        <w:rPr>
          <w:b/>
          <w:bCs/>
        </w:rPr>
        <w:t>Financial</w:t>
      </w:r>
      <w:r w:rsidRPr="00CB53CD">
        <w:rPr>
          <w:b/>
          <w:bCs/>
        </w:rPr>
        <w:t xml:space="preserve"> Years</w:t>
      </w:r>
      <w:r>
        <w:t xml:space="preserve"> up until implementation of P272</w:t>
      </w:r>
      <w:r w:rsidRPr="007E2F78">
        <w:t>. For these cases only, the Supplier should notify</w:t>
      </w:r>
      <w:r w:rsidRPr="00C94D4B">
        <w:rPr>
          <w:b/>
        </w:rPr>
        <w:t xml:space="preserve"> </w:t>
      </w:r>
      <w:r w:rsidR="1CE92958" w:rsidRPr="00C94D4B">
        <w:rPr>
          <w:b/>
        </w:rPr>
        <w:t>The Company</w:t>
      </w:r>
      <w:r w:rsidRPr="007E2F78">
        <w:t xml:space="preserve"> of the Meter Point Administration Number(s) (MPAN). For these notified meters the Supplier shall provide </w:t>
      </w:r>
      <w:r w:rsidR="1CE92958" w:rsidRPr="00C94D4B">
        <w:rPr>
          <w:b/>
        </w:rPr>
        <w:t>The Company</w:t>
      </w:r>
      <w:r w:rsidRPr="00C94D4B">
        <w:rPr>
          <w:b/>
        </w:rPr>
        <w:t xml:space="preserve"> </w:t>
      </w:r>
      <w:r w:rsidRPr="007E2F78">
        <w:t xml:space="preserve">with verified metered demand data for the hours between 4pm and 7pm of each day of </w:t>
      </w:r>
      <w:r>
        <w:t>each</w:t>
      </w:r>
      <w:r w:rsidRPr="007E2F78">
        <w:t xml:space="preserve"> </w:t>
      </w:r>
      <w:r w:rsidR="00F41674">
        <w:rPr>
          <w:b/>
          <w:bCs/>
        </w:rPr>
        <w:t>Financial</w:t>
      </w:r>
      <w:r w:rsidRPr="00CB53CD">
        <w:rPr>
          <w:b/>
          <w:bCs/>
        </w:rPr>
        <w:t xml:space="preserve"> Year</w:t>
      </w:r>
      <w:r>
        <w:t xml:space="preserve"> up to implementation of P272</w:t>
      </w:r>
      <w:r w:rsidRPr="007E2F78">
        <w:t xml:space="preserve"> and for each Triad half hour as notified by </w:t>
      </w:r>
      <w:r w:rsidR="1CE92958" w:rsidRPr="00C94D4B">
        <w:rPr>
          <w:b/>
        </w:rPr>
        <w:t>The Company</w:t>
      </w:r>
      <w:r w:rsidRPr="00C94D4B">
        <w:rPr>
          <w:b/>
        </w:rPr>
        <w:t xml:space="preserve"> </w:t>
      </w:r>
      <w:r w:rsidRPr="007E2F78">
        <w:t>prior to May of the</w:t>
      </w:r>
      <w:r>
        <w:t xml:space="preserve"> following </w:t>
      </w:r>
      <w:r w:rsidR="00F41674">
        <w:rPr>
          <w:b/>
          <w:bCs/>
        </w:rPr>
        <w:t>Financial</w:t>
      </w:r>
      <w:r w:rsidRPr="00CB53CD">
        <w:rPr>
          <w:b/>
          <w:bCs/>
        </w:rPr>
        <w:t xml:space="preserve">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9C222A">
        <w:rPr>
          <w:b/>
          <w:bCs/>
        </w:rPr>
        <w:t>Financial</w:t>
      </w:r>
      <w:r>
        <w:t xml:space="preserve"> </w:t>
      </w:r>
      <w:r w:rsidRPr="006B0CEB">
        <w:rPr>
          <w:b/>
          <w:bCs/>
        </w:rPr>
        <w:t>Year</w:t>
      </w:r>
      <w:r>
        <w:t xml:space="preserve"> 2016/17</w:t>
      </w:r>
      <w:r w:rsidRPr="007E2F78">
        <w:t>). Where the Supplier fails to provide the data or the data is incomplete</w:t>
      </w:r>
      <w:r>
        <w:t xml:space="preserve"> for a </w:t>
      </w:r>
      <w:r w:rsidR="00F41674">
        <w:rPr>
          <w:b/>
          <w:bCs/>
        </w:rPr>
        <w:t>Financial</w:t>
      </w:r>
      <w:r w:rsidRPr="00CB53CD">
        <w:rPr>
          <w:b/>
          <w:bCs/>
        </w:rPr>
        <w:t xml:space="preserve">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35.</w:t>
      </w:r>
      <w:r w:rsidR="00671E33">
        <w:t>4</w:t>
      </w:r>
      <w:r>
        <w:t xml:space="preserve"> </w:t>
      </w:r>
      <w:r w:rsidRPr="007E2F78">
        <w:t>taking account of this</w:t>
      </w:r>
      <w:r>
        <w:t>.</w:t>
      </w:r>
    </w:p>
    <w:p w14:paraId="2EF2ED2D" w14:textId="77777777" w:rsidR="00556B6D" w:rsidRDefault="00556B6D" w:rsidP="00556B6D">
      <w:pPr>
        <w:pStyle w:val="1"/>
        <w:tabs>
          <w:tab w:val="left" w:pos="720"/>
        </w:tabs>
        <w:ind w:left="1740"/>
        <w:jc w:val="both"/>
      </w:pPr>
    </w:p>
    <w:p w14:paraId="38819A1C" w14:textId="71C43E44" w:rsidR="00F10ECF" w:rsidRPr="007E2F78" w:rsidRDefault="1CE92958" w:rsidP="00533333">
      <w:pPr>
        <w:pStyle w:val="1"/>
        <w:numPr>
          <w:ilvl w:val="3"/>
          <w:numId w:val="108"/>
        </w:numPr>
        <w:tabs>
          <w:tab w:val="left" w:pos="720"/>
        </w:tabs>
        <w:jc w:val="both"/>
      </w:pPr>
      <w:r w:rsidRPr="00C94D4B">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5F01F7F1" w14:textId="77777777" w:rsidR="00800968" w:rsidRDefault="00800968" w:rsidP="00800968">
      <w:pPr>
        <w:pStyle w:val="1"/>
        <w:ind w:left="2127"/>
        <w:jc w:val="both"/>
        <w:rPr>
          <w:b/>
        </w:rPr>
      </w:pPr>
    </w:p>
    <w:p w14:paraId="6991B53C" w14:textId="0ACE6533"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15E2B317" w14:textId="77777777" w:rsidR="00F10ECF" w:rsidRDefault="00F10ECF" w:rsidP="00F10ECF">
      <w:pPr>
        <w:pStyle w:val="1"/>
        <w:jc w:val="both"/>
      </w:pPr>
    </w:p>
    <w:p w14:paraId="34FD293C" w14:textId="575AD946" w:rsidR="00800968" w:rsidRPr="001319DB" w:rsidRDefault="4E7172A3" w:rsidP="00C94D4B">
      <w:pPr>
        <w:pStyle w:val="1"/>
        <w:tabs>
          <w:tab w:val="num" w:pos="2694"/>
        </w:tabs>
        <w:ind w:left="2127" w:hanging="1418"/>
        <w:jc w:val="both"/>
      </w:pPr>
      <w:r>
        <w:t xml:space="preserve">14.17.40.1     </w:t>
      </w:r>
      <w:r w:rsidR="66E8A699">
        <w:t xml:space="preserve">A change from NHH to HH within a </w:t>
      </w:r>
      <w:r w:rsidR="02D5AFEF" w:rsidRPr="0537B9E0">
        <w:rPr>
          <w:b/>
          <w:bCs/>
        </w:rPr>
        <w:t>Financial</w:t>
      </w:r>
      <w:r w:rsidR="66E8A699" w:rsidRPr="0537B9E0">
        <w:rPr>
          <w:b/>
          <w:bCs/>
        </w:rPr>
        <w:t xml:space="preserve"> Year</w:t>
      </w:r>
      <w:r w:rsidR="66E8A699">
        <w:t xml:space="preserve"> would normally result in Suppliers being liable for TNUoS for part of the year as NHH </w:t>
      </w:r>
      <w:bookmarkStart w:id="452" w:name="_Int_ajxNUWSl"/>
      <w:r w:rsidR="66E8A699">
        <w:t>and also</w:t>
      </w:r>
      <w:bookmarkEnd w:id="452"/>
      <w:r w:rsidR="66E8A699">
        <w:t xml:space="preserve"> being subject to HH charging. This section describes how </w:t>
      </w:r>
      <w:r w:rsidR="58867969" w:rsidRPr="0537B9E0">
        <w:rPr>
          <w:b/>
          <w:bCs/>
        </w:rPr>
        <w:t xml:space="preserve">The </w:t>
      </w:r>
      <w:r w:rsidR="66E8A699" w:rsidRPr="0537B9E0">
        <w:rPr>
          <w:b/>
          <w:bCs/>
        </w:rPr>
        <w:t xml:space="preserve">Company </w:t>
      </w:r>
      <w:r w:rsidR="66E8A699">
        <w:t xml:space="preserve">will treat this situation for Non-Half Hourly (NHH) meters migrating to Measurement Classes E, F &amp; G for the </w:t>
      </w:r>
      <w:r w:rsidR="2C369C31" w:rsidRPr="0537B9E0">
        <w:rPr>
          <w:rFonts w:ascii="Arial" w:hAnsi="Arial" w:cs="Arial"/>
          <w:b/>
          <w:bCs/>
        </w:rPr>
        <w:t>Financial Year</w:t>
      </w:r>
      <w:r w:rsidR="2C369C31" w:rsidRPr="0537B9E0">
        <w:rPr>
          <w:rFonts w:ascii="Arial" w:eastAsia="Arial" w:hAnsi="Arial"/>
          <w:lang w:val="en-US"/>
        </w:rPr>
        <w:t xml:space="preserve"> </w:t>
      </w:r>
      <w:r w:rsidR="66E8A699">
        <w:t xml:space="preserve">which begins after 31 March 2017. </w:t>
      </w:r>
    </w:p>
    <w:p w14:paraId="6F23BF41" w14:textId="77777777" w:rsidR="00800968" w:rsidRPr="001319DB" w:rsidRDefault="00800968" w:rsidP="00800968">
      <w:pPr>
        <w:pStyle w:val="1"/>
        <w:ind w:left="2127"/>
        <w:jc w:val="both"/>
      </w:pPr>
    </w:p>
    <w:p w14:paraId="5C435CA8" w14:textId="34053C0F" w:rsidR="00E35179" w:rsidRPr="00E35179" w:rsidRDefault="00E35179" w:rsidP="00E35179">
      <w:pPr>
        <w:pStyle w:val="ListParagraph"/>
        <w:numPr>
          <w:ilvl w:val="3"/>
          <w:numId w:val="100"/>
        </w:numPr>
        <w:rPr>
          <w:rFonts w:ascii="Arial (W1)" w:hAnsi="Arial (W1)"/>
          <w:sz w:val="22"/>
          <w:szCs w:val="20"/>
          <w:lang w:eastAsia="en-US"/>
        </w:rPr>
      </w:pPr>
      <w:r w:rsidRPr="00E35179">
        <w:rPr>
          <w:rFonts w:ascii="Arial (W1)" w:hAnsi="Arial (W1)"/>
          <w:sz w:val="22"/>
          <w:szCs w:val="20"/>
          <w:lang w:eastAsia="en-US"/>
        </w:rPr>
        <w:t>Notwithstanding 14.17.</w:t>
      </w:r>
      <w:r>
        <w:rPr>
          <w:rFonts w:ascii="Arial (W1)" w:hAnsi="Arial (W1)"/>
          <w:sz w:val="22"/>
          <w:szCs w:val="20"/>
          <w:lang w:eastAsia="en-US"/>
        </w:rPr>
        <w:t>13</w:t>
      </w:r>
      <w:r w:rsidRPr="00E35179">
        <w:rPr>
          <w:rFonts w:ascii="Arial (W1)" w:hAnsi="Arial (W1)"/>
          <w:sz w:val="22"/>
          <w:szCs w:val="20"/>
          <w:lang w:eastAsia="en-US"/>
        </w:rPr>
        <w:t xml:space="preserve">, for each Financial Year which begins after 31 March 2017 demand associated with Measurement Classes F and G will be treated as Chargeable Energy Capacity (NHH) for the purposes of TNUoS charging for the full Financial Year. This will be up until the end of the Financial Year (31st March) following delivery of M15 of the Transition Timeline as outlined in the Authority’s decision dated 20th April 2021 on the introduction of half-hourly settlement on a market-wide basis (MHHS). Demand associated with Measurement Class E will continue to be treated as Chargeable Demand Capacity (HH). </w:t>
      </w:r>
    </w:p>
    <w:p w14:paraId="7B657A19" w14:textId="77777777" w:rsidR="00800968" w:rsidRPr="00800968" w:rsidRDefault="00800968" w:rsidP="00800968">
      <w:pPr>
        <w:pStyle w:val="ListParagraph"/>
      </w:pPr>
    </w:p>
    <w:p w14:paraId="7F0A19BF" w14:textId="3EFCAAD2" w:rsidR="00800968" w:rsidRPr="00800968" w:rsidRDefault="00800968" w:rsidP="00533333">
      <w:pPr>
        <w:pStyle w:val="1"/>
        <w:numPr>
          <w:ilvl w:val="3"/>
          <w:numId w:val="100"/>
        </w:numPr>
        <w:ind w:left="2127" w:hanging="1418"/>
        <w:jc w:val="both"/>
      </w:pPr>
      <w:r w:rsidRPr="00C94D4B">
        <w:rPr>
          <w:b/>
        </w:rPr>
        <w:t>The Company</w:t>
      </w:r>
      <w:r w:rsidRPr="00800968">
        <w:t xml:space="preserve"> will calculate the Chargeable Energy Capacity associated with meters that have transferred to HH settlement but are still treated as NHH for the purposes of TNUoS charging from Settlement data provided directly from E</w:t>
      </w:r>
      <w:r>
        <w:t>LEXON</w:t>
      </w:r>
      <w:r w:rsidRPr="00800968">
        <w:t xml:space="preserve"> i.e. Suppliers need not Supply any additional information.</w:t>
      </w:r>
    </w:p>
    <w:p w14:paraId="418AC094" w14:textId="77777777" w:rsidR="00800968" w:rsidRPr="00800968" w:rsidRDefault="00800968" w:rsidP="00800968">
      <w:pPr>
        <w:pStyle w:val="ListParagraph"/>
      </w:pPr>
    </w:p>
    <w:p w14:paraId="030AC1EA" w14:textId="35400387" w:rsidR="00800968" w:rsidRPr="001319DB" w:rsidRDefault="00800968" w:rsidP="00533333">
      <w:pPr>
        <w:pStyle w:val="1"/>
        <w:numPr>
          <w:ilvl w:val="3"/>
          <w:numId w:val="100"/>
        </w:numPr>
        <w:ind w:left="2127" w:hanging="1418"/>
        <w:jc w:val="both"/>
      </w:pPr>
      <w:r w:rsidRPr="00800968">
        <w:t xml:space="preserve">The forecasts that Suppliers submit to </w:t>
      </w:r>
      <w:r w:rsidR="1CE92958" w:rsidRPr="00C94D4B">
        <w:rPr>
          <w:b/>
        </w:rPr>
        <w:t>The Company</w:t>
      </w:r>
      <w:r w:rsidRPr="00C94D4B">
        <w:rPr>
          <w:b/>
        </w:rPr>
        <w:t xml:space="preserve"> </w:t>
      </w:r>
      <w:r w:rsidRPr="00800968">
        <w:t>under CUSC 3.10, 3.11 and 3.12 for the purpose of TNUoS monthly billing referred to in 14.17.</w:t>
      </w:r>
      <w:r w:rsidR="00E0362D">
        <w:t>20</w:t>
      </w:r>
      <w:r w:rsidRPr="00800968">
        <w:t xml:space="preserve"> and 14.17.</w:t>
      </w:r>
      <w:r w:rsidR="00E0362D">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4EBDE0CF" w14:textId="77777777" w:rsidR="00F10ECF" w:rsidRDefault="00F10ECF" w:rsidP="007E2F78">
      <w:pPr>
        <w:pStyle w:val="1"/>
        <w:ind w:left="1627"/>
        <w:jc w:val="both"/>
      </w:pPr>
    </w:p>
    <w:p w14:paraId="656644E2" w14:textId="77777777" w:rsidR="006661FE" w:rsidRDefault="006661FE" w:rsidP="006661FE">
      <w:pPr>
        <w:pStyle w:val="1"/>
        <w:jc w:val="both"/>
        <w:rPr>
          <w:sz w:val="20"/>
        </w:rPr>
      </w:pPr>
    </w:p>
    <w:p w14:paraId="1F6D8139" w14:textId="77777777" w:rsidR="006661FE" w:rsidRDefault="006661FE" w:rsidP="006661FE">
      <w:pPr>
        <w:pStyle w:val="Heading2"/>
      </w:pPr>
      <w:bookmarkStart w:id="453" w:name="_Toc274049713"/>
      <w:r>
        <w:t>Further Information</w:t>
      </w:r>
      <w:bookmarkEnd w:id="453"/>
    </w:p>
    <w:p w14:paraId="4703297E" w14:textId="77777777" w:rsidR="006661FE" w:rsidRDefault="006661FE" w:rsidP="006661FE"/>
    <w:p w14:paraId="5F5BB30B" w14:textId="532B260E" w:rsidR="006661FE" w:rsidRDefault="4DB720A2" w:rsidP="00533333">
      <w:pPr>
        <w:pStyle w:val="1"/>
        <w:numPr>
          <w:ilvl w:val="2"/>
          <w:numId w:val="100"/>
        </w:numPr>
        <w:jc w:val="both"/>
      </w:pPr>
      <w:r>
        <w:t>14</w:t>
      </w:r>
      <w:r w:rsidRPr="0537B9E0">
        <w:rPr>
          <w:b/>
          <w:bCs/>
        </w:rPr>
        <w:t>.</w:t>
      </w:r>
      <w:r>
        <w:t>2</w:t>
      </w:r>
      <w:r w:rsidR="44A6D22D">
        <w:t>5</w:t>
      </w:r>
      <w:r>
        <w:t xml:space="preserve"> Reconciliation of Demand Related Transmission Network Use of System Charges</w:t>
      </w:r>
      <w:r w:rsidRPr="0537B9E0">
        <w:rPr>
          <w:b/>
          <w:bCs/>
        </w:rPr>
        <w:t xml:space="preserve"> </w:t>
      </w:r>
      <w:r>
        <w:t xml:space="preserve">of this statement illustrates how the monthly charges are reconciled against the actual values for </w:t>
      </w:r>
      <w:r w:rsidR="3BB2A63A">
        <w:t xml:space="preserve">gross </w:t>
      </w:r>
      <w:r>
        <w:t>demand</w:t>
      </w:r>
      <w:r w:rsidR="3BB2A63A">
        <w:t>, embedded consumption</w:t>
      </w:r>
      <w:r>
        <w:t xml:space="preserve"> and consumption for half-hourly </w:t>
      </w:r>
      <w:r w:rsidR="3BB2A63A">
        <w:t xml:space="preserve">gross demand, embedded </w:t>
      </w:r>
      <w:bookmarkStart w:id="454" w:name="_Int_7stUSqP4"/>
      <w:r w:rsidR="3BB2A63A">
        <w:t>export</w:t>
      </w:r>
      <w:bookmarkEnd w:id="454"/>
      <w:r w:rsidR="3BB2A63A">
        <w:t xml:space="preserve"> </w:t>
      </w:r>
      <w:r>
        <w:t xml:space="preserve">and non-half-hourly metered </w:t>
      </w:r>
      <w:bookmarkStart w:id="455" w:name="_Int_LEj1ZaZ7"/>
      <w:r>
        <w:t>demand</w:t>
      </w:r>
      <w:bookmarkEnd w:id="455"/>
      <w:r>
        <w:t xml:space="preserve"> respectively. </w:t>
      </w:r>
    </w:p>
    <w:p w14:paraId="5BF098E4" w14:textId="77777777" w:rsidR="006661FE" w:rsidRDefault="006661FE" w:rsidP="006661FE">
      <w:pPr>
        <w:pStyle w:val="1"/>
        <w:jc w:val="both"/>
      </w:pPr>
    </w:p>
    <w:p w14:paraId="3826523F" w14:textId="11C74086" w:rsidR="006661FE" w:rsidRDefault="4DB720A2" w:rsidP="00533333">
      <w:pPr>
        <w:pStyle w:val="1"/>
        <w:numPr>
          <w:ilvl w:val="2"/>
          <w:numId w:val="100"/>
        </w:numPr>
        <w:jc w:val="both"/>
      </w:pPr>
      <w:r w:rsidRPr="0537B9E0">
        <w:rPr>
          <w:b/>
          <w:bCs/>
        </w:rPr>
        <w:t xml:space="preserve">The Statement of Use of System Charges </w:t>
      </w:r>
      <w:r>
        <w:t xml:space="preserve">contains the £/kW zonal </w:t>
      </w:r>
      <w:r w:rsidR="3BB2A63A">
        <w:t xml:space="preserve"> </w:t>
      </w:r>
      <w:r>
        <w:t>demand</w:t>
      </w:r>
      <w:r w:rsidR="2089E02F">
        <w:t xml:space="preserve"> locational</w:t>
      </w:r>
      <w:r>
        <w:t xml:space="preserve"> tariffs,</w:t>
      </w:r>
      <w:r w:rsidR="3BB2A63A">
        <w:t xml:space="preserve"> the £/kW zonal embedded export tariffs,</w:t>
      </w:r>
      <w:r>
        <w:t xml:space="preserve"> the p/kWh energy consumption </w:t>
      </w:r>
      <w:bookmarkStart w:id="456" w:name="_Int_9yE8yapL"/>
      <w:r>
        <w:t>tariffs</w:t>
      </w:r>
      <w:bookmarkEnd w:id="456"/>
      <w:r w:rsidR="464F08E2">
        <w:t xml:space="preserve"> and the Transmission Demand Residual tariffs</w:t>
      </w:r>
      <w:r>
        <w:t xml:space="preserve"> for the current </w:t>
      </w:r>
      <w:r w:rsidR="464F08E2">
        <w:t xml:space="preserve">Charging </w:t>
      </w:r>
      <w:r w:rsidRPr="0537B9E0">
        <w:rPr>
          <w:b/>
          <w:bCs/>
        </w:rPr>
        <w:t xml:space="preserve"> </w:t>
      </w:r>
      <w:r w:rsidR="1BAC2888">
        <w:t>y</w:t>
      </w:r>
      <w:r>
        <w:t>ear.</w:t>
      </w:r>
    </w:p>
    <w:p w14:paraId="312E188C" w14:textId="77777777" w:rsidR="006661FE" w:rsidRDefault="006661FE" w:rsidP="006661FE">
      <w:pPr>
        <w:pStyle w:val="1"/>
        <w:jc w:val="both"/>
      </w:pPr>
    </w:p>
    <w:p w14:paraId="50708EA5" w14:textId="6C3DF341" w:rsidR="006661FE" w:rsidRDefault="006661FE" w:rsidP="00533333">
      <w:pPr>
        <w:pStyle w:val="1"/>
        <w:numPr>
          <w:ilvl w:val="2"/>
          <w:numId w:val="100"/>
        </w:numPr>
        <w:jc w:val="both"/>
      </w:pPr>
      <w:r w:rsidRPr="00212A4A">
        <w:t>Transmission Network Use of System Charging Flowcharts</w:t>
      </w:r>
      <w:r>
        <w:t xml:space="preserve"> of this statement contains flowcharts demonstrating the calculation of these charges for those parties liable.</w:t>
      </w:r>
    </w:p>
    <w:p w14:paraId="091D3D57" w14:textId="77777777" w:rsidR="006661FE" w:rsidRPr="00FE40FB" w:rsidRDefault="006661FE" w:rsidP="006661FE">
      <w:pPr>
        <w:pStyle w:val="Heading1"/>
        <w:rPr>
          <w:color w:val="auto"/>
          <w:sz w:val="28"/>
          <w:szCs w:val="28"/>
        </w:rPr>
      </w:pPr>
      <w:r>
        <w:br w:type="page"/>
      </w:r>
      <w:bookmarkStart w:id="457" w:name="_Toc32201092"/>
      <w:bookmarkStart w:id="458" w:name="_Toc49661139"/>
      <w:bookmarkStart w:id="459" w:name="_Toc274049714"/>
      <w:bookmarkEnd w:id="434"/>
      <w:r w:rsidRPr="00FE40FB">
        <w:rPr>
          <w:color w:val="auto"/>
          <w:sz w:val="28"/>
          <w:szCs w:val="28"/>
        </w:rPr>
        <w:lastRenderedPageBreak/>
        <w:t>14.18 Generation charges</w:t>
      </w:r>
      <w:bookmarkEnd w:id="457"/>
      <w:bookmarkEnd w:id="458"/>
      <w:bookmarkEnd w:id="459"/>
    </w:p>
    <w:p w14:paraId="41C6ED93" w14:textId="77777777" w:rsidR="006661FE" w:rsidRDefault="006661FE" w:rsidP="006661FE">
      <w:pPr>
        <w:jc w:val="both"/>
        <w:rPr>
          <w:rFonts w:ascii="Arial" w:hAnsi="Arial"/>
        </w:rPr>
      </w:pPr>
    </w:p>
    <w:p w14:paraId="0794F85F" w14:textId="77777777" w:rsidR="006661FE" w:rsidRDefault="006661FE" w:rsidP="006661FE">
      <w:pPr>
        <w:pStyle w:val="Heading2"/>
      </w:pPr>
      <w:bookmarkStart w:id="460" w:name="_Toc32201093"/>
      <w:bookmarkStart w:id="461" w:name="_Toc49661140"/>
      <w:bookmarkStart w:id="462" w:name="_Toc274049715"/>
      <w:r>
        <w:t>Parties Liable for Generation Charges</w:t>
      </w:r>
      <w:bookmarkEnd w:id="460"/>
      <w:bookmarkEnd w:id="461"/>
      <w:bookmarkEnd w:id="462"/>
    </w:p>
    <w:p w14:paraId="7909116D" w14:textId="77777777" w:rsidR="006661FE" w:rsidRDefault="006661FE" w:rsidP="006661FE">
      <w:pPr>
        <w:pStyle w:val="1"/>
      </w:pPr>
    </w:p>
    <w:p w14:paraId="6BEE7649" w14:textId="77777777" w:rsidR="006661FE" w:rsidRDefault="006661FE" w:rsidP="00533333">
      <w:pPr>
        <w:pStyle w:val="1"/>
        <w:numPr>
          <w:ilvl w:val="0"/>
          <w:numId w:val="76"/>
        </w:numPr>
      </w:pPr>
      <w:r>
        <w:t xml:space="preserve">The following CUSC parties shall be liable for generation charges: </w:t>
      </w:r>
    </w:p>
    <w:p w14:paraId="363CB9BE" w14:textId="77777777" w:rsidR="006661FE" w:rsidRDefault="006661FE" w:rsidP="006661FE">
      <w:pPr>
        <w:pStyle w:val="1"/>
        <w:jc w:val="both"/>
      </w:pPr>
    </w:p>
    <w:p w14:paraId="52AE852A" w14:textId="0C51BB73" w:rsidR="006661FE" w:rsidRDefault="4DB720A2" w:rsidP="00533333">
      <w:pPr>
        <w:pStyle w:val="1"/>
        <w:numPr>
          <w:ilvl w:val="0"/>
          <w:numId w:val="101"/>
        </w:numPr>
        <w:tabs>
          <w:tab w:val="num" w:pos="2347"/>
        </w:tabs>
        <w:ind w:left="2347" w:hanging="720"/>
        <w:jc w:val="both"/>
      </w:pPr>
      <w:r>
        <w:t xml:space="preserve">Parties of Generators that have a Bilateral Connection Agreement with </w:t>
      </w:r>
      <w:r w:rsidR="58867969" w:rsidRPr="0537B9E0">
        <w:rPr>
          <w:b/>
          <w:bCs/>
        </w:rPr>
        <w:t>The Company</w:t>
      </w:r>
      <w:r w:rsidR="7A0B6A23">
        <w:t xml:space="preserve">. </w:t>
      </w:r>
    </w:p>
    <w:p w14:paraId="0C377F9E" w14:textId="77777777" w:rsidR="006661FE" w:rsidRDefault="006661FE" w:rsidP="006661FE">
      <w:pPr>
        <w:pStyle w:val="1"/>
        <w:ind w:left="907"/>
        <w:jc w:val="both"/>
      </w:pPr>
    </w:p>
    <w:p w14:paraId="48277E54" w14:textId="270E6DA8" w:rsidR="006661FE" w:rsidRDefault="006661FE" w:rsidP="00533333">
      <w:pPr>
        <w:pStyle w:val="1"/>
        <w:numPr>
          <w:ilvl w:val="0"/>
          <w:numId w:val="101"/>
        </w:numPr>
        <w:tabs>
          <w:tab w:val="num" w:pos="2347"/>
        </w:tabs>
        <w:ind w:left="2347" w:hanging="720"/>
        <w:jc w:val="both"/>
        <w:rPr>
          <w:rFonts w:eastAsia="Arial (W1)" w:cs="Arial (W1)"/>
          <w:szCs w:val="22"/>
        </w:rPr>
      </w:pPr>
      <w:r>
        <w:t>Parties of Licensable Generation that have a Bilateral Embedded Generation Agreement with</w:t>
      </w:r>
      <w:r w:rsidRPr="002F4A25">
        <w:t xml:space="preserve"> </w:t>
      </w:r>
      <w:r w:rsidR="031E2446" w:rsidRPr="002F4A25">
        <w:rPr>
          <w:b/>
          <w:bCs/>
          <w:szCs w:val="22"/>
        </w:rPr>
        <w:t xml:space="preserve"> The</w:t>
      </w:r>
      <w:r w:rsidR="1CE92958" w:rsidRPr="002F4A25">
        <w:rPr>
          <w:b/>
          <w:szCs w:val="22"/>
        </w:rPr>
        <w:t xml:space="preserve"> Company</w:t>
      </w:r>
      <w:r w:rsidRPr="002F4A25">
        <w:t>.</w:t>
      </w:r>
    </w:p>
    <w:p w14:paraId="2E26439E" w14:textId="77777777" w:rsidR="006661FE" w:rsidRDefault="006661FE" w:rsidP="006661FE">
      <w:pPr>
        <w:pStyle w:val="1"/>
        <w:jc w:val="both"/>
      </w:pPr>
    </w:p>
    <w:p w14:paraId="0CFCDBD8" w14:textId="77777777" w:rsidR="006661FE" w:rsidRDefault="006661FE" w:rsidP="006661FE">
      <w:pPr>
        <w:pStyle w:val="1"/>
        <w:ind w:left="1418"/>
        <w:jc w:val="both"/>
      </w:pPr>
    </w:p>
    <w:p w14:paraId="5B8A9FF8" w14:textId="77777777" w:rsidR="006661FE" w:rsidRDefault="006661FE" w:rsidP="00533333">
      <w:pPr>
        <w:pStyle w:val="1"/>
        <w:numPr>
          <w:ilvl w:val="0"/>
          <w:numId w:val="76"/>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027D744" w14:textId="77777777" w:rsidR="006661FE" w:rsidRDefault="006661FE" w:rsidP="006661FE">
      <w:pPr>
        <w:jc w:val="both"/>
        <w:rPr>
          <w:rFonts w:ascii="Arial" w:hAnsi="Arial"/>
        </w:rPr>
      </w:pPr>
    </w:p>
    <w:p w14:paraId="437A344E" w14:textId="77777777" w:rsidR="006661FE" w:rsidRDefault="006661FE" w:rsidP="006661FE">
      <w:pPr>
        <w:pStyle w:val="Heading2"/>
      </w:pPr>
      <w:bookmarkStart w:id="463" w:name="_Toc274049716"/>
      <w:bookmarkStart w:id="464" w:name="_Toc32201094"/>
      <w:bookmarkStart w:id="465" w:name="_Toc49661141"/>
      <w:r>
        <w:t>Structure of Generation Charges</w:t>
      </w:r>
      <w:bookmarkEnd w:id="463"/>
    </w:p>
    <w:p w14:paraId="42355DB1" w14:textId="77777777" w:rsidR="006661FE" w:rsidRDefault="006661FE" w:rsidP="006661FE"/>
    <w:p w14:paraId="14582279" w14:textId="4DCA545B" w:rsidR="00674102" w:rsidRDefault="006661FE" w:rsidP="00533333">
      <w:pPr>
        <w:pStyle w:val="1"/>
        <w:numPr>
          <w:ilvl w:val="0"/>
          <w:numId w:val="76"/>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w:t>
      </w:r>
      <w:r w:rsidR="00373181" w:rsidRPr="00373181">
        <w:t xml:space="preserve"> </w:t>
      </w:r>
      <w:r w:rsidR="00373181">
        <w:t>and, (iv) the Adjustment tariff (if required).</w:t>
      </w:r>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142F4743" w14:textId="77777777" w:rsidR="00674102" w:rsidRDefault="00674102" w:rsidP="000B6C0D">
      <w:pPr>
        <w:pStyle w:val="1"/>
        <w:ind w:left="1627"/>
        <w:jc w:val="both"/>
      </w:pPr>
    </w:p>
    <w:p w14:paraId="74CD9DDE" w14:textId="1143A4ED" w:rsidR="006661FE" w:rsidRDefault="7ED80495" w:rsidP="00533333">
      <w:pPr>
        <w:pStyle w:val="1"/>
        <w:numPr>
          <w:ilvl w:val="0"/>
          <w:numId w:val="76"/>
        </w:numPr>
        <w:jc w:val="both"/>
      </w:pPr>
      <w:r>
        <w:t xml:space="preserve">The Local Tariff </w:t>
      </w:r>
      <w:r w:rsidR="4DB720A2">
        <w:t>contains a substation element and may also contain a circuit element</w:t>
      </w:r>
      <w:r w:rsidR="538961BA">
        <w:t xml:space="preserve">. </w:t>
      </w:r>
      <w:r w:rsidR="4DB720A2">
        <w:t>Specifically, a</w:t>
      </w:r>
      <w:r w:rsidR="4DB720A2" w:rsidRPr="0537B9E0">
        <w:rPr>
          <w:rFonts w:ascii="Helvetica" w:hAnsi="Helvetica" w:cs="Helvetica"/>
          <w:lang w:eastAsia="en-GB"/>
        </w:rPr>
        <w:t xml:space="preserve">ll transmission connected generation will be liable to pay a local substation charge, with some of these </w:t>
      </w:r>
      <w:r w:rsidR="4DB720A2">
        <w:t>also being liable to pay a local circuit charge. For the avoidance of doubt, embedded generation has a zero local tariff.</w:t>
      </w:r>
    </w:p>
    <w:p w14:paraId="0F2E4743" w14:textId="77777777" w:rsidR="006661FE" w:rsidRDefault="006661FE" w:rsidP="006661FE">
      <w:pPr>
        <w:pStyle w:val="1"/>
        <w:jc w:val="both"/>
      </w:pPr>
    </w:p>
    <w:p w14:paraId="7D708152" w14:textId="77777777" w:rsidR="006661FE" w:rsidRDefault="006661FE" w:rsidP="00533333">
      <w:pPr>
        <w:pStyle w:val="1"/>
        <w:numPr>
          <w:ilvl w:val="0"/>
          <w:numId w:val="76"/>
        </w:numPr>
        <w:jc w:val="both"/>
      </w:pPr>
      <w:r>
        <w:t>The intention of the charging rules is to charge the same physical entity only once.</w:t>
      </w:r>
    </w:p>
    <w:p w14:paraId="601E1887" w14:textId="77777777" w:rsidR="006661FE" w:rsidRDefault="006661FE" w:rsidP="006661FE">
      <w:pPr>
        <w:pStyle w:val="1"/>
        <w:jc w:val="both"/>
      </w:pPr>
    </w:p>
    <w:p w14:paraId="7D9FE90D" w14:textId="77777777" w:rsidR="006661FE" w:rsidRDefault="006661FE" w:rsidP="00533333">
      <w:pPr>
        <w:pStyle w:val="1"/>
        <w:numPr>
          <w:ilvl w:val="0"/>
          <w:numId w:val="76"/>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7ABC9B25" w14:textId="77777777" w:rsidR="006661FE" w:rsidRDefault="006661FE" w:rsidP="006661FE">
      <w:pPr>
        <w:pStyle w:val="1"/>
        <w:jc w:val="both"/>
      </w:pPr>
    </w:p>
    <w:p w14:paraId="6E54FB2D" w14:textId="77777777" w:rsidR="00827678" w:rsidRDefault="00827678" w:rsidP="00533333">
      <w:pPr>
        <w:pStyle w:val="1"/>
        <w:numPr>
          <w:ilvl w:val="0"/>
          <w:numId w:val="76"/>
        </w:numPr>
        <w:jc w:val="both"/>
      </w:pPr>
      <w:r>
        <w:t xml:space="preserve">If there is a single set of Wider and Local generation tariffs within a </w:t>
      </w:r>
      <w:r w:rsidRPr="00E71FFB">
        <w:rPr>
          <w:rFonts w:ascii="Arial" w:hAnsi="Arial" w:cs="Arial"/>
          <w:b/>
        </w:rPr>
        <w:t>Financial Year</w:t>
      </w:r>
      <w:r>
        <w:t>, the Chargeable Capacity is multiplied by the relevant generation tariff to calculate the annual liability of a generator.</w:t>
      </w:r>
    </w:p>
    <w:p w14:paraId="4D34D533" w14:textId="77777777" w:rsidR="00827678" w:rsidRDefault="00827678" w:rsidP="00827678">
      <w:pPr>
        <w:pStyle w:val="1"/>
        <w:jc w:val="both"/>
        <w:rPr>
          <w:rFonts w:ascii="Times New Roman" w:hAnsi="Times New Roman"/>
          <w:sz w:val="24"/>
          <w:szCs w:val="24"/>
          <w:lang w:eastAsia="en-GB"/>
        </w:rPr>
      </w:pPr>
    </w:p>
    <w:p w14:paraId="7EE3D612" w14:textId="77777777" w:rsidR="00827678" w:rsidRDefault="00827678" w:rsidP="00827678">
      <w:pPr>
        <w:pStyle w:val="1"/>
        <w:jc w:val="both"/>
        <w:rPr>
          <w:rFonts w:cs="Arial"/>
          <w:szCs w:val="22"/>
          <w:vertAlign w:val="subscript"/>
        </w:rPr>
      </w:pPr>
      <w:r w:rsidRPr="009E4401">
        <w:rPr>
          <w:rFonts w:cs="Arial"/>
          <w:noProof/>
          <w:position w:val="-10"/>
          <w:szCs w:val="22"/>
          <w:vertAlign w:val="subscript"/>
        </w:rPr>
        <w:drawing>
          <wp:inline distT="0" distB="0" distL="0" distR="0" wp14:anchorId="6329C668" wp14:editId="54AD80B0">
            <wp:extent cx="3810000" cy="20002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810000" cy="200025"/>
                    </a:xfrm>
                    <a:prstGeom prst="rect">
                      <a:avLst/>
                    </a:prstGeom>
                    <a:noFill/>
                    <a:ln>
                      <a:noFill/>
                    </a:ln>
                  </pic:spPr>
                </pic:pic>
              </a:graphicData>
            </a:graphic>
          </wp:inline>
        </w:drawing>
      </w:r>
    </w:p>
    <w:p w14:paraId="05987ADC" w14:textId="77777777" w:rsidR="00827678" w:rsidRDefault="00827678" w:rsidP="00827678">
      <w:pPr>
        <w:pStyle w:val="1"/>
        <w:jc w:val="both"/>
        <w:rPr>
          <w:rFonts w:cs="Arial"/>
          <w:szCs w:val="22"/>
          <w:vertAlign w:val="subscript"/>
        </w:rPr>
      </w:pPr>
    </w:p>
    <w:p w14:paraId="45AE0963" w14:textId="77777777" w:rsidR="00827678" w:rsidRDefault="00827678" w:rsidP="00827678">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40AAEF09" w14:textId="77777777" w:rsidR="00827678" w:rsidRDefault="00827678" w:rsidP="00827678">
      <w:pPr>
        <w:pStyle w:val="1"/>
        <w:ind w:left="1627"/>
        <w:jc w:val="both"/>
        <w:rPr>
          <w:rFonts w:cs="Arial"/>
          <w:szCs w:val="22"/>
        </w:rPr>
      </w:pPr>
    </w:p>
    <w:p w14:paraId="78A0FE76" w14:textId="77777777" w:rsidR="00827678" w:rsidRPr="000B6C0D" w:rsidRDefault="00827678" w:rsidP="00827678">
      <w:pPr>
        <w:pStyle w:val="1"/>
        <w:ind w:left="1627"/>
        <w:jc w:val="both"/>
        <w:rPr>
          <w:rFonts w:cs="Arial"/>
          <w:szCs w:val="22"/>
        </w:rPr>
      </w:pPr>
      <w:r w:rsidRPr="000B6C0D">
        <w:rPr>
          <w:rFonts w:cs="Arial"/>
          <w:szCs w:val="22"/>
        </w:rPr>
        <w:t xml:space="preserve">Conventional </w:t>
      </w:r>
      <w:r>
        <w:rPr>
          <w:rFonts w:cs="Arial"/>
          <w:szCs w:val="22"/>
        </w:rPr>
        <w:t>Low Carbon</w:t>
      </w:r>
      <w:r w:rsidRPr="000B6C0D">
        <w:rPr>
          <w:rFonts w:cs="Arial"/>
          <w:szCs w:val="22"/>
        </w:rPr>
        <w:t xml:space="preserve">- </w:t>
      </w:r>
    </w:p>
    <w:p w14:paraId="534EFF09" w14:textId="77777777" w:rsidR="00827678" w:rsidRDefault="00827678" w:rsidP="00827678">
      <w:pPr>
        <w:pStyle w:val="1"/>
        <w:ind w:left="1627"/>
        <w:jc w:val="both"/>
        <w:rPr>
          <w:rFonts w:cs="Arial"/>
          <w:szCs w:val="22"/>
        </w:rPr>
      </w:pPr>
      <m:oMathPara>
        <m:oMath>
          <m:r>
            <w:rPr>
              <w:rFonts w:ascii="Cambria Math" w:hAnsi="Cambria Math" w:cs="Arial"/>
              <w:szCs w:val="22"/>
            </w:rPr>
            <m:t xml:space="preserve"> 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m:oMathPara>
    </w:p>
    <w:p w14:paraId="189AD403" w14:textId="77777777" w:rsidR="00827678" w:rsidRPr="00C14B15" w:rsidRDefault="00827678" w:rsidP="00827678">
      <w:pPr>
        <w:pStyle w:val="1"/>
        <w:ind w:left="1627"/>
        <w:jc w:val="both"/>
        <w:rPr>
          <w:rFonts w:cs="Arial"/>
          <w:szCs w:val="22"/>
        </w:rPr>
      </w:pPr>
      <w:r w:rsidRPr="00C14B15">
        <w:rPr>
          <w:rFonts w:cs="Arial"/>
          <w:szCs w:val="22"/>
        </w:rPr>
        <w:t>Conventional Carbon</w:t>
      </w:r>
    </w:p>
    <w:p w14:paraId="06C44578" w14:textId="77777777" w:rsidR="00827678" w:rsidRPr="00C14B15" w:rsidRDefault="00827678" w:rsidP="00827678">
      <w:pPr>
        <w:pStyle w:val="1"/>
        <w:ind w:left="1627"/>
        <w:jc w:val="both"/>
        <w:rPr>
          <w:rFonts w:cs="Arial"/>
          <w:szCs w:val="22"/>
        </w:rPr>
      </w:pPr>
    </w:p>
    <w:p w14:paraId="32A9BFEC" w14:textId="77777777" w:rsidR="00827678" w:rsidRDefault="00827678" w:rsidP="00827678">
      <w:pPr>
        <w:pStyle w:val="1"/>
        <w:ind w:left="1627"/>
        <w:jc w:val="both"/>
        <w:rPr>
          <w:rFonts w:cs="Arial"/>
          <w:szCs w:val="22"/>
        </w:rPr>
      </w:pPr>
      <m:oMathPara>
        <m:oMath>
          <m:r>
            <w:rPr>
              <w:rFonts w:ascii="Cambria Math" w:eastAsia="Calibri" w:hAnsi="Cambria Math" w:cs="Arial"/>
              <w:color w:val="000000"/>
              <w:szCs w:val="22"/>
              <w:lang w:val="en-US"/>
            </w:rPr>
            <m:t>Wider Annual Liabiity= Chargeable Capacity × (PS Tariff+(YRNS Tariff × ALF)+(YRS Tariff × ALF)+AdjTariff)</m:t>
          </m:r>
        </m:oMath>
      </m:oMathPara>
    </w:p>
    <w:p w14:paraId="35348478" w14:textId="77777777" w:rsidR="00827678" w:rsidRPr="000B6C0D" w:rsidRDefault="00827678" w:rsidP="00827678">
      <w:pPr>
        <w:pStyle w:val="1"/>
        <w:ind w:left="1627"/>
        <w:jc w:val="both"/>
      </w:pPr>
      <w:r w:rsidRPr="000B6C0D">
        <w:rPr>
          <w:rFonts w:cs="Arial"/>
          <w:szCs w:val="22"/>
        </w:rPr>
        <w:t>Intermittent -</w:t>
      </w:r>
      <w:r w:rsidRPr="000B6C0D">
        <w:tab/>
      </w:r>
      <w:r w:rsidRPr="000B6C0D">
        <w:tab/>
        <w:t xml:space="preserve">   </w:t>
      </w:r>
    </w:p>
    <w:p w14:paraId="3ACAD13A" w14:textId="77777777" w:rsidR="00827678" w:rsidRDefault="00827678" w:rsidP="00827678">
      <w:pPr>
        <w:pStyle w:val="1"/>
        <w:ind w:left="1627"/>
        <w:jc w:val="both"/>
        <w:rPr>
          <w:rFonts w:cs="Arial"/>
          <w:position w:val="-10"/>
          <w:szCs w:val="22"/>
          <w:vertAlign w:val="subscript"/>
        </w:rPr>
      </w:pPr>
    </w:p>
    <w:p w14:paraId="11C96B8D" w14:textId="77777777" w:rsidR="00827678" w:rsidRDefault="00827678" w:rsidP="00827678">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772FACA7" w14:textId="77777777" w:rsidR="00827678" w:rsidRPr="000B6C0D" w:rsidRDefault="00827678" w:rsidP="00827678">
      <w:pPr>
        <w:pStyle w:val="1"/>
        <w:ind w:left="1627"/>
        <w:jc w:val="both"/>
        <w:rPr>
          <w:rFonts w:cs="Arial"/>
          <w:szCs w:val="22"/>
          <w:vertAlign w:val="subscript"/>
        </w:rPr>
      </w:pPr>
    </w:p>
    <w:p w14:paraId="7AFF77DA" w14:textId="77777777" w:rsidR="00827678" w:rsidRDefault="00827678" w:rsidP="00827678">
      <w:pPr>
        <w:pStyle w:val="1"/>
        <w:ind w:left="1627"/>
        <w:jc w:val="both"/>
      </w:pPr>
      <w:r w:rsidRPr="000B6C0D">
        <w:t>Where:</w:t>
      </w:r>
    </w:p>
    <w:p w14:paraId="35A5E9B2" w14:textId="77777777" w:rsidR="00827678" w:rsidRPr="000B6C0D" w:rsidRDefault="00827678" w:rsidP="00827678">
      <w:pPr>
        <w:pStyle w:val="1"/>
        <w:ind w:left="1627"/>
        <w:jc w:val="both"/>
      </w:pPr>
      <w:r w:rsidRPr="000B6C0D">
        <w:t>PS Tariff = Wider Peak Security Tariff</w:t>
      </w:r>
    </w:p>
    <w:p w14:paraId="3903231D" w14:textId="77777777" w:rsidR="00827678" w:rsidRPr="000B6C0D" w:rsidRDefault="00827678" w:rsidP="00827678">
      <w:pPr>
        <w:pStyle w:val="1"/>
        <w:ind w:left="1627"/>
        <w:jc w:val="both"/>
      </w:pPr>
      <w:r w:rsidRPr="000B6C0D">
        <w:t>YRNS Tariff  = Wider Year Round Not-Shared Tariff</w:t>
      </w:r>
    </w:p>
    <w:p w14:paraId="4866D405" w14:textId="77777777" w:rsidR="00827678" w:rsidRDefault="00827678" w:rsidP="00827678">
      <w:pPr>
        <w:pStyle w:val="1"/>
        <w:ind w:left="1627"/>
        <w:jc w:val="both"/>
      </w:pPr>
      <w:r w:rsidRPr="000B6C0D">
        <w:t>YRS Tariff = Wider Year Round Shared Tariff</w:t>
      </w:r>
    </w:p>
    <w:p w14:paraId="2BE09E68" w14:textId="77777777" w:rsidR="00827678" w:rsidRDefault="00827678" w:rsidP="00827678">
      <w:pPr>
        <w:pStyle w:val="1"/>
        <w:ind w:left="907" w:firstLine="720"/>
        <w:jc w:val="both"/>
      </w:pPr>
      <w:r>
        <w:t>Adj Tariff = Adjustment Tariff</w:t>
      </w:r>
    </w:p>
    <w:p w14:paraId="35FB72C9" w14:textId="77777777" w:rsidR="00A31CF0" w:rsidRDefault="00A31CF0" w:rsidP="00674102">
      <w:pPr>
        <w:pStyle w:val="1"/>
        <w:ind w:left="1627"/>
        <w:jc w:val="both"/>
      </w:pPr>
    </w:p>
    <w:p w14:paraId="335DC98D" w14:textId="77777777" w:rsidR="00674102" w:rsidRDefault="00674102" w:rsidP="000B6C0D">
      <w:pPr>
        <w:pStyle w:val="1"/>
        <w:jc w:val="both"/>
      </w:pPr>
    </w:p>
    <w:p w14:paraId="300A0528" w14:textId="77777777" w:rsidR="006661FE" w:rsidRDefault="006661FE" w:rsidP="006661FE">
      <w:pPr>
        <w:pStyle w:val="1"/>
        <w:jc w:val="both"/>
      </w:pPr>
    </w:p>
    <w:p w14:paraId="3B4D9B39" w14:textId="77777777" w:rsidR="00827678" w:rsidRDefault="00827678" w:rsidP="00533333">
      <w:pPr>
        <w:pStyle w:val="1"/>
        <w:numPr>
          <w:ilvl w:val="0"/>
          <w:numId w:val="76"/>
        </w:numPr>
        <w:jc w:val="both"/>
      </w:pPr>
      <w:r>
        <w:t xml:space="preserve">If multiple sets of Wider and Local generation tariffs are applicable within a single </w:t>
      </w:r>
      <w:r w:rsidRPr="00E71FFB">
        <w:rPr>
          <w:rFonts w:ascii="Arial" w:hAnsi="Arial" w:cs="Arial"/>
          <w:b/>
        </w:rPr>
        <w:t>Financial Year</w:t>
      </w:r>
      <w:r>
        <w:t xml:space="preserve">, the Chargeable Capacity is multiplied by the relevant tariffs pro rated over the entire </w:t>
      </w:r>
      <w:r w:rsidRPr="00E71FFB">
        <w:rPr>
          <w:rFonts w:ascii="Arial" w:hAnsi="Arial" w:cs="Arial"/>
          <w:b/>
        </w:rPr>
        <w:t>Financial Year</w:t>
      </w:r>
      <w:r>
        <w:t>, across the months that they are applicable for.</w:t>
      </w:r>
    </w:p>
    <w:p w14:paraId="2B48A0BE" w14:textId="77777777" w:rsidR="00827678" w:rsidRPr="00AA5229" w:rsidRDefault="00827678" w:rsidP="00827678">
      <w:pPr>
        <w:pStyle w:val="1"/>
        <w:jc w:val="both"/>
        <w:rPr>
          <w:sz w:val="16"/>
          <w:szCs w:val="16"/>
        </w:rPr>
      </w:pPr>
    </w:p>
    <w:p w14:paraId="1C4B5F75" w14:textId="77777777" w:rsidR="00827678" w:rsidRDefault="00827678" w:rsidP="00827678">
      <w:pPr>
        <w:pStyle w:val="StyleArial11ptJustified"/>
        <w:ind w:left="1440" w:firstLine="720"/>
        <w:rPr>
          <w:rFonts w:cs="Arial"/>
          <w:szCs w:val="22"/>
        </w:rPr>
      </w:pPr>
      <w:r w:rsidRPr="00735C39">
        <w:rPr>
          <w:rFonts w:cs="Arial"/>
          <w:noProof/>
          <w:position w:val="-28"/>
          <w:szCs w:val="22"/>
        </w:rPr>
        <w:drawing>
          <wp:inline distT="0" distB="0" distL="0" distR="0" wp14:anchorId="6E40FBD9" wp14:editId="4E0AA353">
            <wp:extent cx="4352925" cy="42862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352925" cy="428625"/>
                    </a:xfrm>
                    <a:prstGeom prst="rect">
                      <a:avLst/>
                    </a:prstGeom>
                    <a:noFill/>
                    <a:ln>
                      <a:noFill/>
                    </a:ln>
                  </pic:spPr>
                </pic:pic>
              </a:graphicData>
            </a:graphic>
          </wp:inline>
        </w:drawing>
      </w:r>
    </w:p>
    <w:p w14:paraId="1299DB75" w14:textId="77777777" w:rsidR="00827678" w:rsidRDefault="00827678" w:rsidP="00827678">
      <w:pPr>
        <w:pStyle w:val="StyleArial11ptJustified"/>
        <w:spacing w:before="80" w:after="80"/>
        <w:ind w:left="1440" w:firstLine="720"/>
        <w:rPr>
          <w:rFonts w:cs="Arial"/>
          <w:szCs w:val="22"/>
        </w:rPr>
      </w:pPr>
      <w:r>
        <w:rPr>
          <w:rFonts w:cs="Arial"/>
          <w:szCs w:val="22"/>
        </w:rPr>
        <w:t>where:</w:t>
      </w:r>
      <w:r>
        <w:rPr>
          <w:rFonts w:cs="Arial"/>
          <w:szCs w:val="22"/>
        </w:rPr>
        <w:tab/>
      </w:r>
    </w:p>
    <w:p w14:paraId="3384C3B6" w14:textId="77777777" w:rsidR="00827678" w:rsidRDefault="00827678" w:rsidP="00827678">
      <w:pPr>
        <w:pStyle w:val="StyleArial11ptJustified"/>
        <w:spacing w:before="80" w:after="80"/>
        <w:ind w:left="1440" w:firstLine="720"/>
        <w:rPr>
          <w:rFonts w:cs="Arial"/>
          <w:szCs w:val="22"/>
        </w:rPr>
      </w:pPr>
      <w:r>
        <w:rPr>
          <w:rFonts w:cs="Arial"/>
          <w:szCs w:val="22"/>
        </w:rPr>
        <w:t>Liability 1</w:t>
      </w:r>
      <w:r w:rsidRPr="007668A3">
        <w:rPr>
          <w:rFonts w:cs="Arial"/>
          <w:szCs w:val="22"/>
          <w:vertAlign w:val="subscript"/>
        </w:rPr>
        <w:t xml:space="preserve"> </w:t>
      </w:r>
      <w:r>
        <w:rPr>
          <w:rFonts w:cs="Arial"/>
          <w:szCs w:val="22"/>
        </w:rPr>
        <w:t>=</w:t>
      </w:r>
      <w:r>
        <w:rPr>
          <w:rFonts w:cs="Arial"/>
          <w:szCs w:val="22"/>
        </w:rPr>
        <w:tab/>
        <w:t>Original annual liability,</w:t>
      </w:r>
    </w:p>
    <w:p w14:paraId="0754FD67" w14:textId="77777777" w:rsidR="00827678" w:rsidRDefault="00827678" w:rsidP="00827678">
      <w:pPr>
        <w:pStyle w:val="StyleArial11ptJustified"/>
        <w:spacing w:before="80" w:after="80"/>
        <w:ind w:left="1440" w:firstLine="720"/>
        <w:rPr>
          <w:rFonts w:cs="Arial"/>
          <w:szCs w:val="22"/>
        </w:rPr>
      </w:pPr>
      <w:r>
        <w:rPr>
          <w:rFonts w:cs="Arial"/>
          <w:szCs w:val="22"/>
        </w:rPr>
        <w:t>Liability 2</w:t>
      </w:r>
      <w:r w:rsidRPr="007668A3">
        <w:rPr>
          <w:rFonts w:cs="Arial"/>
          <w:szCs w:val="22"/>
          <w:vertAlign w:val="subscript"/>
        </w:rPr>
        <w:t xml:space="preserve"> </w:t>
      </w:r>
      <w:r>
        <w:rPr>
          <w:rFonts w:cs="Arial"/>
          <w:szCs w:val="22"/>
        </w:rPr>
        <w:t>=</w:t>
      </w:r>
      <w:r>
        <w:rPr>
          <w:rFonts w:cs="Arial"/>
          <w:szCs w:val="22"/>
        </w:rPr>
        <w:tab/>
        <w:t>Revised annual liability,</w:t>
      </w:r>
    </w:p>
    <w:p w14:paraId="628A1B8D" w14:textId="77777777" w:rsidR="00827678" w:rsidRDefault="00827678" w:rsidP="00827678">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liability is applicable,</w:t>
      </w:r>
    </w:p>
    <w:p w14:paraId="674FE6D5" w14:textId="77777777" w:rsidR="00827678" w:rsidRDefault="00827678" w:rsidP="00827678">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liability is applicable. </w:t>
      </w:r>
    </w:p>
    <w:p w14:paraId="7F5767D2" w14:textId="77777777" w:rsidR="00827678" w:rsidRPr="002F7695" w:rsidRDefault="00827678" w:rsidP="00827678">
      <w:pPr>
        <w:pStyle w:val="StyleArial11ptJustified"/>
        <w:ind w:left="1440" w:firstLine="720"/>
        <w:rPr>
          <w:rFonts w:cs="Arial"/>
          <w:sz w:val="12"/>
          <w:szCs w:val="12"/>
        </w:rPr>
      </w:pPr>
    </w:p>
    <w:p w14:paraId="5736D973" w14:textId="77777777" w:rsidR="00827678" w:rsidRDefault="00827678" w:rsidP="00827678">
      <w:pPr>
        <w:pStyle w:val="1"/>
        <w:ind w:left="1440"/>
        <w:jc w:val="both"/>
      </w:pPr>
      <w:r>
        <w:rPr>
          <w:noProof/>
        </w:rPr>
        <w:drawing>
          <wp:inline distT="0" distB="0" distL="0" distR="0" wp14:anchorId="09288BC9" wp14:editId="73874F52">
            <wp:extent cx="3543300" cy="146685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43300" cy="1466850"/>
                    </a:xfrm>
                    <a:prstGeom prst="rect">
                      <a:avLst/>
                    </a:prstGeom>
                    <a:noFill/>
                    <a:ln>
                      <a:noFill/>
                    </a:ln>
                  </pic:spPr>
                </pic:pic>
              </a:graphicData>
            </a:graphic>
          </wp:inline>
        </w:drawing>
      </w:r>
    </w:p>
    <w:p w14:paraId="361C2CD1" w14:textId="77777777" w:rsidR="006661FE" w:rsidRPr="002F7695" w:rsidRDefault="006661FE" w:rsidP="006661FE">
      <w:pPr>
        <w:pStyle w:val="StyleArial11ptJustified"/>
        <w:ind w:left="1440" w:firstLine="720"/>
        <w:rPr>
          <w:rFonts w:cs="Arial"/>
          <w:sz w:val="12"/>
          <w:szCs w:val="12"/>
        </w:rPr>
      </w:pPr>
    </w:p>
    <w:p w14:paraId="71F025D1" w14:textId="53991B56" w:rsidR="006661FE" w:rsidRDefault="006661FE" w:rsidP="006661FE">
      <w:pPr>
        <w:pStyle w:val="1"/>
        <w:ind w:left="1440"/>
        <w:jc w:val="both"/>
      </w:pPr>
    </w:p>
    <w:p w14:paraId="24E7B63E" w14:textId="78B56948" w:rsidR="006661FE" w:rsidRDefault="006661FE" w:rsidP="00533333">
      <w:pPr>
        <w:pStyle w:val="1"/>
        <w:numPr>
          <w:ilvl w:val="0"/>
          <w:numId w:val="76"/>
        </w:numPr>
        <w:jc w:val="both"/>
      </w:pPr>
      <w:r>
        <w:t xml:space="preserve">For the avoidance of doubt if there are multiple sets of Wider and Local generation tariffs applicable within a single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and a tariff changes from being positive to negative or vice versa, the Chargeable Capacity for the entire </w:t>
      </w:r>
      <w:r w:rsidR="00CB53CD" w:rsidRPr="00E71FFB">
        <w:rPr>
          <w:rFonts w:ascii="Arial" w:hAnsi="Arial" w:cs="Arial"/>
          <w:b/>
        </w:rPr>
        <w:t>Financial Year</w:t>
      </w:r>
      <w:r w:rsidR="00CB53CD" w:rsidRPr="00AB4296">
        <w:rPr>
          <w:rFonts w:ascii="Arial" w:eastAsia="Arial" w:hAnsi="Arial"/>
          <w:szCs w:val="22"/>
          <w:lang w:val="en-US"/>
        </w:rPr>
        <w:t xml:space="preserve"> </w:t>
      </w:r>
      <w:r>
        <w:t>will be determined based on the net position of the pro rated tariffs for each affected generator.</w:t>
      </w:r>
    </w:p>
    <w:p w14:paraId="684730FA" w14:textId="77777777" w:rsidR="006661FE" w:rsidRPr="00481F85" w:rsidRDefault="006661FE" w:rsidP="006661FE">
      <w:pPr>
        <w:pStyle w:val="1"/>
        <w:jc w:val="both"/>
      </w:pPr>
    </w:p>
    <w:p w14:paraId="0E2ED977" w14:textId="77777777" w:rsidR="006661FE" w:rsidRPr="00481F85" w:rsidRDefault="006661FE" w:rsidP="006661FE"/>
    <w:p w14:paraId="36595A43" w14:textId="77777777" w:rsidR="006661FE" w:rsidRDefault="006661FE" w:rsidP="006661FE">
      <w:pPr>
        <w:pStyle w:val="Heading2"/>
      </w:pPr>
      <w:bookmarkStart w:id="466" w:name="_Toc274049717"/>
      <w:r>
        <w:t>Basis of Wider Generation Charges</w:t>
      </w:r>
      <w:bookmarkEnd w:id="464"/>
      <w:bookmarkEnd w:id="465"/>
      <w:bookmarkEnd w:id="466"/>
    </w:p>
    <w:p w14:paraId="1CE88061" w14:textId="77777777" w:rsidR="006661FE" w:rsidRDefault="006661FE" w:rsidP="006661FE">
      <w:pPr>
        <w:pStyle w:val="1"/>
        <w:jc w:val="center"/>
      </w:pPr>
      <w:r>
        <w:fldChar w:fldCharType="begin"/>
      </w:r>
      <w:r>
        <w:instrText xml:space="preserve"> XE "Triad" </w:instrText>
      </w:r>
      <w:r>
        <w:fldChar w:fldCharType="end"/>
      </w:r>
    </w:p>
    <w:p w14:paraId="1E91BA05"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467" w:name="_Toc274049718"/>
      <w:r w:rsidRPr="00887323">
        <w:rPr>
          <w:rFonts w:ascii="Arial" w:hAnsi="Arial" w:cs="Arial"/>
          <w:b/>
        </w:rPr>
        <w:t>Generation with positive wider tariffs</w:t>
      </w:r>
      <w:bookmarkEnd w:id="467"/>
    </w:p>
    <w:p w14:paraId="579A0ECF" w14:textId="09C5526A" w:rsidR="006661FE" w:rsidRDefault="4DB720A2" w:rsidP="00533333">
      <w:pPr>
        <w:pStyle w:val="1"/>
        <w:numPr>
          <w:ilvl w:val="0"/>
          <w:numId w:val="76"/>
        </w:numPr>
        <w:jc w:val="both"/>
      </w:pPr>
      <w:r>
        <w:t xml:space="preserve">The Chargeable Capacity for Power Stations with positive wider generation tariffs is the highest Transmission Entry Capacity (TEC) applicable to that Power Station for that </w:t>
      </w:r>
      <w:r w:rsidRPr="0537B9E0">
        <w:rPr>
          <w:b/>
          <w:bCs/>
        </w:rPr>
        <w:t>Financial Year</w:t>
      </w:r>
      <w:r w:rsidR="4E68B0CF">
        <w:t xml:space="preserve">. </w:t>
      </w:r>
      <w:r>
        <w:t>A Power Station should not exceed its TEC as to do so would be in breach of the CUSC, except where it is entitled to do so under the specific circumstances laid out in the CUSC (e.g. where a User has been granted Short Term Transmission Entry Capacity, STTEC)</w:t>
      </w:r>
      <w:r w:rsidR="7A9947D1">
        <w:t xml:space="preserve">. </w:t>
      </w:r>
      <w:r>
        <w:t xml:space="preserve">For the avoidance of doubt, TNUoS Charges will be determined on the TEC held by a User as specified within a relevant bilateral agreement regardless of </w:t>
      </w:r>
      <w:bookmarkStart w:id="468" w:name="_Int_wC5tX78w"/>
      <w:r>
        <w:t>whether or not</w:t>
      </w:r>
      <w:bookmarkEnd w:id="468"/>
      <w:r>
        <w:t xml:space="preserve"> it </w:t>
      </w:r>
      <w:bookmarkStart w:id="469" w:name="_Int_KjmaLCfP"/>
      <w:r>
        <w:t>enters into</w:t>
      </w:r>
      <w:bookmarkEnd w:id="469"/>
      <w:r>
        <w:t xml:space="preserve"> a temporary TEC Exchange (as defined in the CUSC).</w:t>
      </w:r>
    </w:p>
    <w:p w14:paraId="4C36EF7E" w14:textId="77777777" w:rsidR="006661FE" w:rsidRDefault="006661FE" w:rsidP="006661FE">
      <w:pPr>
        <w:pStyle w:val="1"/>
        <w:jc w:val="both"/>
      </w:pPr>
    </w:p>
    <w:p w14:paraId="728E9BDF" w14:textId="77777777" w:rsidR="006661FE" w:rsidRDefault="006661FE" w:rsidP="00533333">
      <w:pPr>
        <w:pStyle w:val="1"/>
        <w:numPr>
          <w:ilvl w:val="0"/>
          <w:numId w:val="76"/>
        </w:numPr>
        <w:jc w:val="both"/>
      </w:pPr>
      <w:bookmarkStart w:id="470" w:name="_Ref272935596"/>
      <w:r>
        <w:t>The short-term chargeable capacity for Power Stations situated with positive generation tariffs is any approved STTEC or LDTEC applicable to that Power Station during a valid STTEC Period or LDTEC Period, as appropriate.</w:t>
      </w:r>
      <w:bookmarkEnd w:id="470"/>
    </w:p>
    <w:p w14:paraId="63FEB7D1" w14:textId="77777777" w:rsidR="006661FE" w:rsidRDefault="006661FE" w:rsidP="006661FE">
      <w:pPr>
        <w:pStyle w:val="1"/>
        <w:jc w:val="both"/>
      </w:pPr>
    </w:p>
    <w:p w14:paraId="3DDEA5DE" w14:textId="6ADA0441" w:rsidR="006661FE" w:rsidRDefault="4DB720A2" w:rsidP="0537B9E0">
      <w:pPr>
        <w:pStyle w:val="1"/>
        <w:numPr>
          <w:ilvl w:val="0"/>
          <w:numId w:val="76"/>
        </w:numPr>
        <w:jc w:val="both"/>
        <w:rPr>
          <w:rFonts w:cs="Arial"/>
        </w:rPr>
      </w:pPr>
      <w:r w:rsidRPr="0537B9E0">
        <w:rPr>
          <w:rFonts w:cs="Arial"/>
        </w:rPr>
        <w:t>For Power Stations, the short term chargeable capacity for LDTEC</w:t>
      </w:r>
      <w:r w:rsidRPr="001B0AD0">
        <w:t xml:space="preserve"> </w:t>
      </w:r>
      <w:r w:rsidRPr="0537B9E0">
        <w:rPr>
          <w:rFonts w:cs="Arial"/>
        </w:rPr>
        <w:t xml:space="preserve">with positive generation tariffs referred to in Paragraph </w:t>
      </w:r>
      <w:r w:rsidR="7ED80495" w:rsidRPr="0537B9E0">
        <w:rPr>
          <w:rFonts w:cs="Arial"/>
        </w:rPr>
        <w:t>14.18.11</w:t>
      </w:r>
      <w:r w:rsidRPr="0537B9E0">
        <w:rPr>
          <w:rFonts w:cs="Arial"/>
        </w:rPr>
        <w:t>will be the capacity purchased either on a profiled firm</w:t>
      </w:r>
      <w:r w:rsidR="006661FE" w:rsidRPr="0537B9E0">
        <w:rPr>
          <w:rStyle w:val="FootnoteReference"/>
          <w:rFonts w:cs="Arial"/>
          <w:vertAlign w:val="superscript"/>
        </w:rPr>
        <w:footnoteReference w:id="4"/>
      </w:r>
      <w:r w:rsidRPr="0537B9E0">
        <w:rPr>
          <w:rFonts w:cs="Arial"/>
        </w:rPr>
        <w:t xml:space="preserve"> or indicative</w:t>
      </w:r>
      <w:r w:rsidR="006661FE" w:rsidRPr="0537B9E0">
        <w:rPr>
          <w:rStyle w:val="FootnoteReference"/>
          <w:rFonts w:cs="Arial"/>
          <w:vertAlign w:val="superscript"/>
        </w:rPr>
        <w:footnoteReference w:id="5"/>
      </w:r>
      <w:r w:rsidRPr="0537B9E0">
        <w:rPr>
          <w:rFonts w:cs="Arial"/>
        </w:rPr>
        <w:t xml:space="preserve"> basis and shall be assessed according to the capacity purchased on a weekly basis</w:t>
      </w:r>
      <w:r w:rsidR="19A06DAF" w:rsidRPr="0537B9E0">
        <w:rPr>
          <w:rFonts w:cs="Arial"/>
        </w:rPr>
        <w:t xml:space="preserve">. </w:t>
      </w:r>
      <w:r w:rsidRPr="0537B9E0">
        <w:rPr>
          <w:rFonts w:cs="Arial"/>
        </w:rPr>
        <w:t xml:space="preserve">The short-term chargeable capacity for LDTEC in any week may comprise of </w:t>
      </w:r>
      <w:bookmarkStart w:id="473" w:name="_Int_oyDwGxAv"/>
      <w:r w:rsidRPr="0537B9E0">
        <w:rPr>
          <w:rFonts w:cs="Arial"/>
        </w:rPr>
        <w:t>a number of</w:t>
      </w:r>
      <w:bookmarkEnd w:id="473"/>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74" w:name="_Int_Br7BPDb9"/>
      <w:r w:rsidRPr="0537B9E0">
        <w:rPr>
          <w:rFonts w:cs="Arial"/>
        </w:rPr>
        <w:t>whether or not</w:t>
      </w:r>
      <w:bookmarkEnd w:id="474"/>
      <w:r w:rsidRPr="0537B9E0">
        <w:rPr>
          <w:rFonts w:cs="Arial"/>
        </w:rPr>
        <w:t xml:space="preserve"> in the same LDTEC Period)</w:t>
      </w:r>
      <w:r w:rsidR="0F683DB7" w:rsidRPr="0537B9E0">
        <w:rPr>
          <w:rFonts w:cs="Arial"/>
        </w:rPr>
        <w:t xml:space="preserve">. </w:t>
      </w:r>
      <w:r w:rsidRPr="0537B9E0">
        <w:rPr>
          <w:rFonts w:cs="Arial"/>
        </w:rPr>
        <w:t xml:space="preserve">For example, if </w:t>
      </w:r>
      <w:bookmarkStart w:id="475" w:name="_Int_92g3EQw1"/>
      <w:r w:rsidRPr="0537B9E0">
        <w:rPr>
          <w:rFonts w:cs="Arial"/>
        </w:rPr>
        <w:t>in a given</w:t>
      </w:r>
      <w:bookmarkEnd w:id="475"/>
      <w:r w:rsidRPr="0537B9E0">
        <w:rPr>
          <w:rFonts w:cs="Arial"/>
        </w:rPr>
        <w:t xml:space="preserve"> week the LDTEC is 200MW but in a previous week the LDTEC had been 150MW, the short-term chargeable capacity in the latter week would comprise of two increments: one of 150MW and a second of 50MW</w:t>
      </w:r>
      <w:r w:rsidR="1F169ADE" w:rsidRPr="0537B9E0">
        <w:rPr>
          <w:rFonts w:cs="Arial"/>
        </w:rPr>
        <w:t xml:space="preserve">. </w:t>
      </w:r>
      <w:r w:rsidRPr="0537B9E0">
        <w:rPr>
          <w:rFonts w:cs="Arial"/>
        </w:rPr>
        <w:t>Further examples are provided in 14.16.6.</w:t>
      </w:r>
    </w:p>
    <w:p w14:paraId="218E006E" w14:textId="77777777" w:rsidR="006661FE" w:rsidRDefault="006661FE" w:rsidP="006661FE">
      <w:pPr>
        <w:pStyle w:val="1"/>
        <w:ind w:left="709"/>
        <w:jc w:val="both"/>
      </w:pPr>
    </w:p>
    <w:p w14:paraId="5FB33A13" w14:textId="77777777" w:rsidR="006661FE" w:rsidRPr="004248A1" w:rsidRDefault="006661FE" w:rsidP="006661FE">
      <w:pPr>
        <w:pStyle w:val="Heading3"/>
        <w:ind w:left="709"/>
        <w:jc w:val="both"/>
        <w:rPr>
          <w:rFonts w:ascii="Arial" w:hAnsi="Arial" w:cs="Arial"/>
          <w:b/>
        </w:rPr>
      </w:pPr>
      <w:bookmarkStart w:id="476" w:name="_Toc49661143"/>
      <w:bookmarkStart w:id="477" w:name="_Toc274049719"/>
      <w:r w:rsidRPr="004248A1">
        <w:rPr>
          <w:rFonts w:ascii="Arial" w:hAnsi="Arial" w:cs="Arial"/>
          <w:b/>
        </w:rPr>
        <w:t xml:space="preserve">Generation with negative wider </w:t>
      </w:r>
      <w:bookmarkEnd w:id="476"/>
      <w:r w:rsidRPr="004248A1">
        <w:rPr>
          <w:rFonts w:ascii="Arial" w:hAnsi="Arial" w:cs="Arial"/>
          <w:b/>
        </w:rPr>
        <w:t>tariffs</w:t>
      </w:r>
      <w:bookmarkEnd w:id="477"/>
    </w:p>
    <w:p w14:paraId="79C7DAFE" w14:textId="3021ED47" w:rsidR="006661FE" w:rsidRDefault="4DB720A2" w:rsidP="00533333">
      <w:pPr>
        <w:pStyle w:val="1"/>
        <w:numPr>
          <w:ilvl w:val="0"/>
          <w:numId w:val="76"/>
        </w:numPr>
        <w:jc w:val="both"/>
      </w:pPr>
      <w:bookmarkStart w:id="478" w:name="_Ref488566487"/>
      <w:r>
        <w:t xml:space="preserve">The Chargeable Capacity for Power Stations with negative wider generation tariffs is the average of the capped metered volumes during the three settlement periods described in </w:t>
      </w:r>
      <w:r w:rsidR="7ED80495">
        <w:t>14.18.14</w:t>
      </w:r>
      <w:r>
        <w:t xml:space="preserve"> below, for the Power Station (i.e. the sum of the metered volume of each BM Unit associated with Power Station in Appendix C of its Bilateral Agreement)</w:t>
      </w:r>
      <w:r w:rsidR="646C4904">
        <w:t xml:space="preserve">. </w:t>
      </w:r>
      <w:r>
        <w:t>A Power Station should not exceed its TEC as to do so would be in breach of the CUSC, except where it is entitled to do so under the specific circumstances laid out in the CUSC (e.g. where a User has been granted Short Term Transmission Entry Capacity)</w:t>
      </w:r>
      <w:r w:rsidR="07ECE786">
        <w:t xml:space="preserve">. </w:t>
      </w:r>
      <w:r>
        <w:t xml:space="preserve">If TEC is exceeded, the metered volumes would each be capped by the TEC for the Power Station applicable for that </w:t>
      </w:r>
      <w:r w:rsidRPr="0537B9E0">
        <w:rPr>
          <w:b/>
          <w:bCs/>
        </w:rPr>
        <w:t>Financial Year</w:t>
      </w:r>
      <w:r w:rsidR="12700352">
        <w:t xml:space="preserve">. </w:t>
      </w:r>
      <w:r>
        <w:t xml:space="preserve">For the avoidance of doubt, TNUoS Charges will be determined on the TEC held by a User as specified within a relevant bilateral agreement regardless of </w:t>
      </w:r>
      <w:bookmarkStart w:id="479" w:name="_Int_XcS4KcVs"/>
      <w:r>
        <w:t>whether or not</w:t>
      </w:r>
      <w:bookmarkEnd w:id="479"/>
      <w:r>
        <w:t xml:space="preserve"> it </w:t>
      </w:r>
      <w:bookmarkStart w:id="480" w:name="_Int_pdGbhQuq"/>
      <w:r>
        <w:t>enters into</w:t>
      </w:r>
      <w:bookmarkEnd w:id="480"/>
      <w:r>
        <w:t xml:space="preserve"> a temporary TEC Exchange (as defined in the CUSC).</w:t>
      </w:r>
    </w:p>
    <w:p w14:paraId="0329384A" w14:textId="77777777" w:rsidR="006661FE" w:rsidRDefault="006661FE" w:rsidP="006661FE">
      <w:pPr>
        <w:pStyle w:val="1"/>
        <w:jc w:val="both"/>
      </w:pPr>
    </w:p>
    <w:p w14:paraId="5DB05479" w14:textId="5B8A6672" w:rsidR="00533333" w:rsidRDefault="58E1C585" w:rsidP="00533333">
      <w:pPr>
        <w:pStyle w:val="1"/>
        <w:numPr>
          <w:ilvl w:val="0"/>
          <w:numId w:val="76"/>
        </w:numPr>
        <w:jc w:val="both"/>
      </w:pPr>
      <w:bookmarkStart w:id="48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Pr="0537B9E0">
        <w:rPr>
          <w:b/>
          <w:bCs/>
        </w:rPr>
        <w:t>Financial Year</w:t>
      </w:r>
      <w:r>
        <w:t xml:space="preserve"> inclusive</w:t>
      </w:r>
      <w:r w:rsidR="44AD6C06">
        <w:t xml:space="preserve">. </w:t>
      </w:r>
      <w:r>
        <w:t>These settlement periods do not have to coincide with the Triad.</w:t>
      </w:r>
    </w:p>
    <w:p w14:paraId="50A5918E" w14:textId="77777777" w:rsidR="00533333" w:rsidRDefault="00533333" w:rsidP="00533333">
      <w:pPr>
        <w:pStyle w:val="1"/>
        <w:ind w:left="720"/>
        <w:jc w:val="both"/>
        <w:rPr>
          <w:b/>
          <w:u w:val="single"/>
        </w:rPr>
      </w:pPr>
    </w:p>
    <w:p w14:paraId="7ACDC821" w14:textId="77777777" w:rsidR="00533333" w:rsidRDefault="00533333" w:rsidP="00533333">
      <w:pPr>
        <w:pStyle w:val="1"/>
        <w:ind w:left="1627"/>
        <w:jc w:val="both"/>
        <w:rPr>
          <w:b/>
          <w:u w:val="single"/>
        </w:rPr>
      </w:pPr>
      <w:r>
        <w:rPr>
          <w:b/>
          <w:u w:val="single"/>
        </w:rPr>
        <w:t>Example</w:t>
      </w:r>
    </w:p>
    <w:p w14:paraId="43838822" w14:textId="77777777" w:rsidR="00533333" w:rsidRDefault="00533333" w:rsidP="00533333">
      <w:pPr>
        <w:pStyle w:val="1"/>
        <w:ind w:left="2041" w:right="488"/>
        <w:jc w:val="both"/>
      </w:pPr>
    </w:p>
    <w:p w14:paraId="280A5ACB" w14:textId="77777777" w:rsidR="00533333" w:rsidRDefault="00533333" w:rsidP="00533333">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049DA70" w14:textId="77777777" w:rsidR="00533333" w:rsidRDefault="00533333" w:rsidP="00533333">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533333" w14:paraId="3E3B8823" w14:textId="77777777" w:rsidTr="00C846AA">
        <w:trPr>
          <w:trHeight w:val="400"/>
        </w:trPr>
        <w:tc>
          <w:tcPr>
            <w:tcW w:w="3260" w:type="dxa"/>
            <w:vAlign w:val="center"/>
          </w:tcPr>
          <w:p w14:paraId="1C4DD979" w14:textId="77777777" w:rsidR="00533333" w:rsidRDefault="00533333" w:rsidP="00C846AA">
            <w:pPr>
              <w:pStyle w:val="1"/>
              <w:ind w:left="34"/>
            </w:pPr>
            <w:r>
              <w:t>Date</w:t>
            </w:r>
          </w:p>
        </w:tc>
        <w:tc>
          <w:tcPr>
            <w:tcW w:w="1276" w:type="dxa"/>
            <w:vAlign w:val="center"/>
          </w:tcPr>
          <w:p w14:paraId="719CC82D" w14:textId="77777777" w:rsidR="00533333" w:rsidRDefault="00533333" w:rsidP="00C846AA">
            <w:pPr>
              <w:pStyle w:val="1"/>
              <w:jc w:val="center"/>
            </w:pPr>
            <w:r>
              <w:t>19/11/08</w:t>
            </w:r>
          </w:p>
        </w:tc>
        <w:tc>
          <w:tcPr>
            <w:tcW w:w="1276" w:type="dxa"/>
            <w:vAlign w:val="center"/>
          </w:tcPr>
          <w:p w14:paraId="26B862A8" w14:textId="77777777" w:rsidR="00533333" w:rsidRDefault="00533333" w:rsidP="00C846AA">
            <w:pPr>
              <w:pStyle w:val="1"/>
              <w:jc w:val="center"/>
            </w:pPr>
            <w:r>
              <w:t>13/12/08</w:t>
            </w:r>
          </w:p>
        </w:tc>
        <w:tc>
          <w:tcPr>
            <w:tcW w:w="1276" w:type="dxa"/>
            <w:vAlign w:val="center"/>
          </w:tcPr>
          <w:p w14:paraId="0AAD87B3" w14:textId="77777777" w:rsidR="00533333" w:rsidRDefault="00533333" w:rsidP="00C846AA">
            <w:pPr>
              <w:pStyle w:val="1"/>
              <w:jc w:val="center"/>
            </w:pPr>
            <w:r>
              <w:t>06/02/09</w:t>
            </w:r>
          </w:p>
        </w:tc>
      </w:tr>
      <w:tr w:rsidR="00533333" w14:paraId="061BBA47" w14:textId="77777777" w:rsidTr="00C846AA">
        <w:trPr>
          <w:trHeight w:val="695"/>
        </w:trPr>
        <w:tc>
          <w:tcPr>
            <w:tcW w:w="3260" w:type="dxa"/>
            <w:vAlign w:val="center"/>
          </w:tcPr>
          <w:p w14:paraId="0CE283B4" w14:textId="77777777" w:rsidR="00533333" w:rsidRDefault="00533333" w:rsidP="00C846AA">
            <w:pPr>
              <w:pStyle w:val="1"/>
            </w:pPr>
            <w:r>
              <w:t>Highest Metered Volume in month (MW)</w:t>
            </w:r>
          </w:p>
        </w:tc>
        <w:tc>
          <w:tcPr>
            <w:tcW w:w="1276" w:type="dxa"/>
            <w:vAlign w:val="center"/>
          </w:tcPr>
          <w:p w14:paraId="68E353D3" w14:textId="77777777" w:rsidR="00533333" w:rsidRDefault="00533333" w:rsidP="00C846AA">
            <w:pPr>
              <w:pStyle w:val="1"/>
              <w:jc w:val="center"/>
              <w:rPr>
                <w:b/>
              </w:rPr>
            </w:pPr>
            <w:r>
              <w:rPr>
                <w:b/>
              </w:rPr>
              <w:t>245.5</w:t>
            </w:r>
          </w:p>
        </w:tc>
        <w:tc>
          <w:tcPr>
            <w:tcW w:w="1276" w:type="dxa"/>
            <w:vAlign w:val="center"/>
          </w:tcPr>
          <w:p w14:paraId="7413B1C5" w14:textId="77777777" w:rsidR="00533333" w:rsidRDefault="00533333" w:rsidP="00C846AA">
            <w:pPr>
              <w:pStyle w:val="1"/>
              <w:jc w:val="center"/>
              <w:rPr>
                <w:b/>
              </w:rPr>
            </w:pPr>
            <w:r>
              <w:rPr>
                <w:b/>
              </w:rPr>
              <w:t>250.3</w:t>
            </w:r>
          </w:p>
        </w:tc>
        <w:tc>
          <w:tcPr>
            <w:tcW w:w="1276" w:type="dxa"/>
            <w:vAlign w:val="center"/>
          </w:tcPr>
          <w:p w14:paraId="3297D6E4" w14:textId="77777777" w:rsidR="00533333" w:rsidRDefault="00533333" w:rsidP="00C846AA">
            <w:pPr>
              <w:pStyle w:val="1"/>
              <w:jc w:val="center"/>
              <w:rPr>
                <w:b/>
              </w:rPr>
            </w:pPr>
            <w:r>
              <w:rPr>
                <w:b/>
              </w:rPr>
              <w:t>251.4</w:t>
            </w:r>
          </w:p>
        </w:tc>
      </w:tr>
      <w:tr w:rsidR="00533333" w14:paraId="64CAC58D" w14:textId="77777777" w:rsidTr="00C846AA">
        <w:trPr>
          <w:trHeight w:val="690"/>
        </w:trPr>
        <w:tc>
          <w:tcPr>
            <w:tcW w:w="3260" w:type="dxa"/>
            <w:vAlign w:val="center"/>
          </w:tcPr>
          <w:p w14:paraId="70C5FA46" w14:textId="77777777" w:rsidR="00533333" w:rsidRDefault="00533333" w:rsidP="00C846AA">
            <w:pPr>
              <w:pStyle w:val="1"/>
            </w:pPr>
            <w:r>
              <w:t>Capped Metered Volume (MW)</w:t>
            </w:r>
          </w:p>
        </w:tc>
        <w:tc>
          <w:tcPr>
            <w:tcW w:w="1276" w:type="dxa"/>
            <w:vAlign w:val="center"/>
          </w:tcPr>
          <w:p w14:paraId="761F5061" w14:textId="77777777" w:rsidR="00533333" w:rsidRDefault="00533333" w:rsidP="00C846AA">
            <w:pPr>
              <w:pStyle w:val="1"/>
              <w:jc w:val="center"/>
              <w:rPr>
                <w:b/>
              </w:rPr>
            </w:pPr>
            <w:r>
              <w:rPr>
                <w:b/>
              </w:rPr>
              <w:t>245.5</w:t>
            </w:r>
          </w:p>
        </w:tc>
        <w:tc>
          <w:tcPr>
            <w:tcW w:w="1276" w:type="dxa"/>
            <w:vAlign w:val="center"/>
          </w:tcPr>
          <w:p w14:paraId="2A5B8A4F" w14:textId="77777777" w:rsidR="00533333" w:rsidRDefault="00533333" w:rsidP="00C846AA">
            <w:pPr>
              <w:pStyle w:val="1"/>
              <w:jc w:val="center"/>
              <w:rPr>
                <w:b/>
              </w:rPr>
            </w:pPr>
            <w:r>
              <w:rPr>
                <w:b/>
              </w:rPr>
              <w:t>250.0</w:t>
            </w:r>
          </w:p>
        </w:tc>
        <w:tc>
          <w:tcPr>
            <w:tcW w:w="1276" w:type="dxa"/>
            <w:vAlign w:val="center"/>
          </w:tcPr>
          <w:p w14:paraId="14D5AFED" w14:textId="77777777" w:rsidR="00533333" w:rsidRDefault="00533333" w:rsidP="00C846AA">
            <w:pPr>
              <w:pStyle w:val="1"/>
              <w:jc w:val="center"/>
              <w:rPr>
                <w:b/>
              </w:rPr>
            </w:pPr>
            <w:r>
              <w:rPr>
                <w:b/>
              </w:rPr>
              <w:t>250.0</w:t>
            </w:r>
          </w:p>
        </w:tc>
      </w:tr>
    </w:tbl>
    <w:p w14:paraId="5209A3BD" w14:textId="77777777" w:rsidR="00533333" w:rsidRDefault="00533333" w:rsidP="00533333">
      <w:pPr>
        <w:pStyle w:val="1"/>
        <w:ind w:left="1627"/>
        <w:jc w:val="both"/>
      </w:pPr>
    </w:p>
    <w:p w14:paraId="56DB6A9E" w14:textId="77777777" w:rsidR="00533333" w:rsidRDefault="00533333" w:rsidP="00533333">
      <w:pPr>
        <w:pStyle w:val="1"/>
        <w:ind w:left="1616" w:right="488"/>
      </w:pPr>
      <w:r>
        <w:t>Then, the chargeable Capacity for the Power Station would be:</w:t>
      </w:r>
    </w:p>
    <w:p w14:paraId="3A960AE3" w14:textId="77777777" w:rsidR="00533333" w:rsidRDefault="00533333" w:rsidP="00533333">
      <w:pPr>
        <w:pStyle w:val="1"/>
        <w:ind w:left="2041" w:right="488"/>
      </w:pPr>
    </w:p>
    <w:p w14:paraId="292C77FD" w14:textId="77777777" w:rsidR="00533333" w:rsidRDefault="00533333" w:rsidP="00533333">
      <w:pPr>
        <w:pStyle w:val="1"/>
        <w:ind w:left="2041" w:right="488"/>
        <w:jc w:val="center"/>
      </w:pPr>
      <w:r>
        <w:rPr>
          <w:b/>
          <w:noProof/>
          <w:position w:val="-28"/>
        </w:rPr>
        <w:drawing>
          <wp:inline distT="0" distB="0" distL="0" distR="0" wp14:anchorId="627BE69D" wp14:editId="464B0E7E">
            <wp:extent cx="1295400" cy="42862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Pr>
          <w:b/>
        </w:rPr>
        <w:t xml:space="preserve"> = 248.5 MW</w:t>
      </w:r>
    </w:p>
    <w:p w14:paraId="2A03F05D" w14:textId="77777777" w:rsidR="00533333" w:rsidRDefault="00533333" w:rsidP="00533333">
      <w:pPr>
        <w:pStyle w:val="1"/>
        <w:ind w:left="907"/>
        <w:jc w:val="both"/>
      </w:pPr>
    </w:p>
    <w:p w14:paraId="7428F640" w14:textId="77777777" w:rsidR="00533333" w:rsidRDefault="00533333" w:rsidP="00533333">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bookmarkEnd w:id="478"/>
    <w:bookmarkEnd w:id="481"/>
    <w:p w14:paraId="5A531679" w14:textId="77777777" w:rsidR="006661FE" w:rsidRDefault="006661FE" w:rsidP="006661FE">
      <w:pPr>
        <w:pStyle w:val="1"/>
        <w:ind w:left="720" w:hanging="720"/>
        <w:jc w:val="both"/>
      </w:pPr>
    </w:p>
    <w:p w14:paraId="409217C5" w14:textId="77777777" w:rsidR="006661FE" w:rsidRDefault="006661FE" w:rsidP="00533333">
      <w:pPr>
        <w:pStyle w:val="1"/>
        <w:numPr>
          <w:ilvl w:val="0"/>
          <w:numId w:val="76"/>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3FA6A50D" w14:textId="77777777" w:rsidR="006661FE" w:rsidRDefault="006661FE" w:rsidP="006661FE">
      <w:pPr>
        <w:pStyle w:val="1"/>
        <w:jc w:val="both"/>
      </w:pPr>
    </w:p>
    <w:p w14:paraId="7716BE4F" w14:textId="56FB698E" w:rsidR="006661FE" w:rsidRDefault="4DB720A2" w:rsidP="0537B9E0">
      <w:pPr>
        <w:pStyle w:val="1"/>
        <w:numPr>
          <w:ilvl w:val="0"/>
          <w:numId w:val="76"/>
        </w:numPr>
        <w:jc w:val="both"/>
        <w:rPr>
          <w:rFonts w:cs="Arial"/>
        </w:rPr>
      </w:pPr>
      <w:r w:rsidRPr="0537B9E0">
        <w:rPr>
          <w:rFonts w:cs="Arial"/>
        </w:rPr>
        <w:t>For Power Stations with negative generation tariffs, the short-term chargeable capacity for LDTEC referred to in Paragraph 14.18.</w:t>
      </w:r>
      <w:r w:rsidR="37C8F74D" w:rsidRPr="0537B9E0">
        <w:rPr>
          <w:rFonts w:cs="Arial"/>
        </w:rPr>
        <w:t xml:space="preserve">15 </w:t>
      </w:r>
      <w:r w:rsidRPr="0537B9E0">
        <w:rPr>
          <w:rFonts w:cs="Arial"/>
        </w:rPr>
        <w:t>will be the capacity purchased either on a profiled firm or indicative basis and shall be assessed according to the capacity purchased on a weekly basis</w:t>
      </w:r>
      <w:r w:rsidR="41B0EAFC" w:rsidRPr="0537B9E0">
        <w:rPr>
          <w:rFonts w:cs="Arial"/>
        </w:rPr>
        <w:t xml:space="preserve">. </w:t>
      </w:r>
      <w:r w:rsidRPr="0537B9E0">
        <w:rPr>
          <w:rFonts w:cs="Arial"/>
        </w:rPr>
        <w:t xml:space="preserve">The short-term chargeable capacity for LDTEC in any week may comprise of </w:t>
      </w:r>
      <w:bookmarkStart w:id="482" w:name="_Int_dXoviqKF"/>
      <w:r w:rsidRPr="0537B9E0">
        <w:rPr>
          <w:rFonts w:cs="Arial"/>
        </w:rPr>
        <w:t>a number of</w:t>
      </w:r>
      <w:bookmarkEnd w:id="482"/>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483" w:name="_Int_j4mtAVcl"/>
      <w:r w:rsidRPr="0537B9E0">
        <w:rPr>
          <w:rFonts w:cs="Arial"/>
        </w:rPr>
        <w:t>whether or not</w:t>
      </w:r>
      <w:bookmarkEnd w:id="483"/>
      <w:r w:rsidRPr="0537B9E0">
        <w:rPr>
          <w:rFonts w:cs="Arial"/>
        </w:rPr>
        <w:t xml:space="preserve"> in the same LDTEC Period)</w:t>
      </w:r>
      <w:r w:rsidR="4FD57C95" w:rsidRPr="0537B9E0">
        <w:rPr>
          <w:rFonts w:cs="Arial"/>
        </w:rPr>
        <w:t xml:space="preserve">. </w:t>
      </w:r>
      <w:r w:rsidRPr="0537B9E0">
        <w:rPr>
          <w:rFonts w:cs="Arial"/>
        </w:rPr>
        <w:t xml:space="preserve">For example, if </w:t>
      </w:r>
      <w:bookmarkStart w:id="484" w:name="_Int_4If3jWpa"/>
      <w:r w:rsidRPr="0537B9E0">
        <w:rPr>
          <w:rFonts w:cs="Arial"/>
        </w:rPr>
        <w:t>in a given</w:t>
      </w:r>
      <w:bookmarkEnd w:id="484"/>
      <w:r w:rsidRPr="0537B9E0">
        <w:rPr>
          <w:rFonts w:cs="Arial"/>
        </w:rPr>
        <w:t xml:space="preserve"> week the LDTEC is 200MW but in a previous week the LDTEC had been 150MW, the short-term chargeable capacity in the latter week would comprise of two increments: one of 150MW and a second at 50MW.</w:t>
      </w:r>
    </w:p>
    <w:p w14:paraId="3E8FCDB1" w14:textId="77777777" w:rsidR="006661FE" w:rsidRDefault="006661FE" w:rsidP="006661FE">
      <w:pPr>
        <w:jc w:val="both"/>
        <w:rPr>
          <w:rFonts w:ascii="Arial" w:hAnsi="Arial" w:cs="Arial"/>
          <w:sz w:val="22"/>
          <w:szCs w:val="22"/>
        </w:rPr>
      </w:pPr>
    </w:p>
    <w:p w14:paraId="2DD2D5D8" w14:textId="222FCB43" w:rsidR="006661FE" w:rsidRDefault="4DB720A2" w:rsidP="0537B9E0">
      <w:pPr>
        <w:pStyle w:val="1"/>
        <w:numPr>
          <w:ilvl w:val="0"/>
          <w:numId w:val="76"/>
        </w:numPr>
        <w:jc w:val="both"/>
        <w:rPr>
          <w:rFonts w:cs="Arial"/>
        </w:rPr>
      </w:pPr>
      <w:r w:rsidRPr="0537B9E0">
        <w:rPr>
          <w:rFonts w:cs="Arial"/>
        </w:rPr>
        <w:t>As noted above, a negative LDTEC tariff in negative generation charging zones is set to zero</w:t>
      </w:r>
      <w:r w:rsidR="719B8D95" w:rsidRPr="0537B9E0">
        <w:rPr>
          <w:rFonts w:cs="Arial"/>
        </w:rPr>
        <w:t xml:space="preserve">. </w:t>
      </w:r>
      <w:r w:rsidRPr="0537B9E0">
        <w:rPr>
          <w:rFonts w:cs="Arial"/>
        </w:rPr>
        <w:t>Accordingly no payments will be made for use of LDTEC (in any of its forms) in these zones.</w:t>
      </w:r>
    </w:p>
    <w:p w14:paraId="0C629172" w14:textId="77777777" w:rsidR="006661FE" w:rsidRDefault="006661FE" w:rsidP="006661FE">
      <w:pPr>
        <w:pStyle w:val="1"/>
        <w:jc w:val="both"/>
      </w:pPr>
    </w:p>
    <w:p w14:paraId="3C726AF3" w14:textId="77777777" w:rsidR="006661FE" w:rsidRDefault="006661FE" w:rsidP="006661FE">
      <w:pPr>
        <w:pStyle w:val="Heading2"/>
      </w:pPr>
      <w:bookmarkStart w:id="485" w:name="_Toc274049720"/>
      <w:r>
        <w:t>Basis of Local Generation Charges</w:t>
      </w:r>
      <w:bookmarkEnd w:id="485"/>
    </w:p>
    <w:p w14:paraId="0C7DD063" w14:textId="77777777" w:rsidR="006661FE" w:rsidRDefault="006661FE" w:rsidP="006661FE">
      <w:pPr>
        <w:pStyle w:val="1"/>
        <w:jc w:val="both"/>
      </w:pPr>
    </w:p>
    <w:p w14:paraId="51B00CDA" w14:textId="745EE9A9" w:rsidR="006661FE" w:rsidRPr="00197B2F" w:rsidRDefault="4DB720A2" w:rsidP="00533333">
      <w:pPr>
        <w:pStyle w:val="1"/>
        <w:numPr>
          <w:ilvl w:val="0"/>
          <w:numId w:val="76"/>
        </w:numPr>
        <w:jc w:val="both"/>
        <w:rPr>
          <w:rFonts w:cs="Arial"/>
        </w:rPr>
      </w:pPr>
      <w:r w:rsidRPr="0537B9E0">
        <w:rPr>
          <w:rFonts w:cs="Arial"/>
        </w:rPr>
        <w:t>The Chargeable Capacity for Power Stations will be the same as that used for wider generation charges, except that each component of the local tariff shall be considered separately as to whether it is a positive or negative tariff component</w:t>
      </w:r>
      <w:r w:rsidR="46ED7EEA" w:rsidRPr="0537B9E0">
        <w:rPr>
          <w:rFonts w:cs="Arial"/>
        </w:rPr>
        <w:t xml:space="preserve">. </w:t>
      </w:r>
      <w:r w:rsidRPr="0537B9E0">
        <w:rPr>
          <w:rFonts w:cs="Arial"/>
        </w:rPr>
        <w:t>This means that where a local circuit tariff is negative, the final charging liability for this element will be based on actual metered output as described in Paragraph 14.18.1</w:t>
      </w:r>
      <w:r w:rsidR="5CC9CAB0" w:rsidRPr="0537B9E0">
        <w:rPr>
          <w:rFonts w:cs="Arial"/>
        </w:rPr>
        <w:t>3</w:t>
      </w:r>
      <w:r w:rsidRPr="0537B9E0">
        <w:rPr>
          <w:rFonts w:cs="Arial"/>
        </w:rPr>
        <w:t>.</w:t>
      </w:r>
    </w:p>
    <w:p w14:paraId="69E9EB72" w14:textId="77777777" w:rsidR="006661FE" w:rsidRDefault="006661FE" w:rsidP="006661FE">
      <w:pPr>
        <w:pStyle w:val="Heading2"/>
      </w:pPr>
    </w:p>
    <w:p w14:paraId="48C49656" w14:textId="77777777" w:rsidR="006661FE" w:rsidRDefault="006661FE" w:rsidP="006661FE">
      <w:pPr>
        <w:pStyle w:val="1"/>
        <w:jc w:val="both"/>
      </w:pPr>
    </w:p>
    <w:p w14:paraId="38C83A55" w14:textId="77777777" w:rsidR="006661FE" w:rsidRDefault="006661FE" w:rsidP="006661FE">
      <w:pPr>
        <w:pStyle w:val="Heading2"/>
      </w:pPr>
      <w:bookmarkStart w:id="486" w:name="_Toc497131273"/>
      <w:bookmarkStart w:id="487" w:name="_Toc32201095"/>
      <w:bookmarkStart w:id="488" w:name="_Toc49661145"/>
      <w:bookmarkStart w:id="489" w:name="_Toc274049722"/>
      <w:bookmarkStart w:id="490" w:name="_Hlt497625183"/>
      <w:r>
        <w:t>Monthly Charges</w:t>
      </w:r>
      <w:bookmarkEnd w:id="486"/>
      <w:bookmarkEnd w:id="487"/>
      <w:bookmarkEnd w:id="488"/>
      <w:bookmarkEnd w:id="489"/>
    </w:p>
    <w:p w14:paraId="7472A797" w14:textId="77777777" w:rsidR="006661FE" w:rsidRDefault="006661FE" w:rsidP="006661FE">
      <w:pPr>
        <w:pStyle w:val="Heading2"/>
      </w:pPr>
    </w:p>
    <w:p w14:paraId="6D944E74" w14:textId="1780D9A5" w:rsidR="006661FE" w:rsidRDefault="4DB720A2" w:rsidP="00533333">
      <w:pPr>
        <w:pStyle w:val="1"/>
        <w:numPr>
          <w:ilvl w:val="0"/>
          <w:numId w:val="76"/>
        </w:numPr>
        <w:jc w:val="both"/>
      </w:pPr>
      <w:bookmarkStart w:id="491" w:name="_Hlt532284319"/>
      <w:bookmarkStart w:id="492" w:name="_Ref272933161"/>
      <w:bookmarkEnd w:id="491"/>
      <w:r>
        <w:t xml:space="preserve">Initial Transmission Network Use of System Generation Charges for each </w:t>
      </w:r>
      <w:r w:rsidRPr="0537B9E0">
        <w:rPr>
          <w:b/>
          <w:bCs/>
        </w:rPr>
        <w:t>Financial Year</w:t>
      </w:r>
      <w:r>
        <w:t xml:space="preserve"> will be based on the Power Station Transmission Entry Capacity (TEC) for each User as</w:t>
      </w:r>
      <w:r w:rsidR="006661FE">
        <w:fldChar w:fldCharType="begin"/>
      </w:r>
      <w:r w:rsidR="006661FE">
        <w:instrText xml:space="preserve"> XE "Triad" </w:instrText>
      </w:r>
      <w:r w:rsidR="006661FE">
        <w:fldChar w:fldCharType="end"/>
      </w:r>
      <w:r>
        <w:t xml:space="preserve"> set out in their Bilateral Agreement</w:t>
      </w:r>
      <w:r w:rsidR="7E5F6827">
        <w:t xml:space="preserve">. </w:t>
      </w:r>
      <w:r>
        <w:t xml:space="preserve">The charge is </w:t>
      </w:r>
      <w:r>
        <w:lastRenderedPageBreak/>
        <w:t>calculated as above</w:t>
      </w:r>
      <w:r w:rsidR="3453DC5F">
        <w:t xml:space="preserve">. </w:t>
      </w:r>
      <w:r>
        <w:t xml:space="preserve">This annual TNUoS generation charge is split evenly over the months remaining in the year. For positive final generation tariffs, if TEC increases during the </w:t>
      </w:r>
      <w:r w:rsidR="2C369C31" w:rsidRPr="0537B9E0">
        <w:rPr>
          <w:rFonts w:ascii="Arial" w:hAnsi="Arial" w:cs="Arial"/>
          <w:b/>
          <w:bCs/>
        </w:rPr>
        <w:t>Financial Year</w:t>
      </w:r>
      <w:r>
        <w:t xml:space="preserve">, the party will be liable for the additional charge incurred for the </w:t>
      </w:r>
      <w:r w:rsidRPr="0537B9E0">
        <w:rPr>
          <w:b/>
          <w:bCs/>
        </w:rPr>
        <w:t>full</w:t>
      </w:r>
      <w:r>
        <w:t xml:space="preserve"> year, which will be recovered uniformly across the remaining chargeable months in the relevant </w:t>
      </w:r>
      <w:r w:rsidR="2C369C31" w:rsidRPr="0537B9E0">
        <w:rPr>
          <w:rFonts w:ascii="Arial" w:hAnsi="Arial" w:cs="Arial"/>
          <w:b/>
          <w:bCs/>
        </w:rPr>
        <w:t>Financial Year</w:t>
      </w:r>
      <w:r w:rsidR="2C369C31" w:rsidRPr="0537B9E0">
        <w:rPr>
          <w:rFonts w:ascii="Arial" w:eastAsia="Arial" w:hAnsi="Arial"/>
          <w:lang w:val="en-US"/>
        </w:rPr>
        <w:t xml:space="preserve"> </w:t>
      </w:r>
      <w:r>
        <w:t>(subject to Paragraph 14.18.2</w:t>
      </w:r>
      <w:r w:rsidR="41348C0C">
        <w:t>0</w:t>
      </w:r>
      <w:r>
        <w:t xml:space="preserve"> below). An increase in monthly charges reflecting an increase in TEC during the </w:t>
      </w:r>
      <w:r w:rsidR="2C369C31" w:rsidRPr="0537B9E0">
        <w:rPr>
          <w:rFonts w:ascii="Arial" w:hAnsi="Arial" w:cs="Arial"/>
          <w:b/>
          <w:bCs/>
        </w:rPr>
        <w:t>Financial Year</w:t>
      </w:r>
      <w:r w:rsidR="2C369C31" w:rsidRPr="0537B9E0">
        <w:rPr>
          <w:rFonts w:ascii="Arial" w:eastAsia="Arial" w:hAnsi="Arial"/>
          <w:lang w:val="en-US"/>
        </w:rPr>
        <w:t xml:space="preserve"> </w:t>
      </w:r>
      <w:r>
        <w:t xml:space="preserve">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2C369C31" w:rsidRPr="0537B9E0">
        <w:rPr>
          <w:rFonts w:ascii="Arial" w:hAnsi="Arial" w:cs="Arial"/>
          <w:b/>
          <w:bCs/>
        </w:rPr>
        <w:t>Financial Year</w:t>
      </w:r>
      <w:r>
        <w:t xml:space="preserve">. However, as TEC decreases do not become effective until the start of the </w:t>
      </w:r>
      <w:r w:rsidR="2C369C31" w:rsidRPr="0537B9E0">
        <w:rPr>
          <w:rFonts w:ascii="Arial" w:hAnsi="Arial" w:cs="Arial"/>
          <w:b/>
          <w:bCs/>
        </w:rPr>
        <w:t>Financial Year</w:t>
      </w:r>
      <w:r>
        <w:t xml:space="preserve"> following approval, no recalculation is necessary in these cases. As a result, if TEC increases, monthly payments to the generator will increase accordingly.</w:t>
      </w:r>
      <w:bookmarkEnd w:id="492"/>
    </w:p>
    <w:p w14:paraId="6D92A90E" w14:textId="77777777" w:rsidR="006661FE" w:rsidRDefault="006661FE" w:rsidP="006661FE">
      <w:pPr>
        <w:pStyle w:val="1"/>
        <w:jc w:val="both"/>
      </w:pPr>
    </w:p>
    <w:p w14:paraId="2E6C7419" w14:textId="0F5B3A3A" w:rsidR="006661FE" w:rsidRDefault="4DB720A2" w:rsidP="00533333">
      <w:pPr>
        <w:pStyle w:val="1"/>
        <w:numPr>
          <w:ilvl w:val="0"/>
          <w:numId w:val="76"/>
        </w:numPr>
        <w:jc w:val="both"/>
      </w:pPr>
      <w:r>
        <w:t xml:space="preserve">The provisions described above for increases in TEC during the </w:t>
      </w:r>
      <w:r w:rsidR="2C369C31" w:rsidRPr="0537B9E0">
        <w:rPr>
          <w:rFonts w:ascii="Arial" w:hAnsi="Arial" w:cs="Arial"/>
          <w:b/>
          <w:bCs/>
        </w:rPr>
        <w:t>Financial Year</w:t>
      </w:r>
      <w:r w:rsidR="2C369C31" w:rsidRPr="0537B9E0">
        <w:rPr>
          <w:rFonts w:ascii="Arial" w:eastAsia="Arial" w:hAnsi="Arial"/>
          <w:lang w:val="en-US"/>
        </w:rPr>
        <w:t xml:space="preserve"> </w:t>
      </w:r>
      <w:r>
        <w:t>shall not apply where the LDTEC (in any of its forms) has been approved for use before the TEC is available, which will typically mean the LDTEC has been approved after the TEC increase has been approved</w:t>
      </w:r>
      <w:r w:rsidR="44537FE4">
        <w:t xml:space="preserve">. </w:t>
      </w:r>
      <w:r>
        <w:t>In such instances, the party shall commence payments for TEC during the LDTEC Period for LDTEC purchased up to the future level of TEC and LDTEC Charges will only apply to LDTEC that is incremental to the TEC increase</w:t>
      </w:r>
      <w:r w:rsidR="492BBAA5">
        <w:t xml:space="preserve">. </w:t>
      </w:r>
      <w:r>
        <w:t xml:space="preserve">For the avoidance of doubt, where TEC has been approved after LDTEC </w:t>
      </w:r>
      <w:bookmarkStart w:id="493" w:name="_Int_OZ9SdXkh"/>
      <w:r>
        <w:t>in a given year</w:t>
      </w:r>
      <w:bookmarkEnd w:id="493"/>
      <w:r>
        <w:t>, these provisions shall not apply and the LDTEC shall be considered additional to the TEC and charged accordingly.</w:t>
      </w:r>
    </w:p>
    <w:p w14:paraId="11AEC039" w14:textId="77777777" w:rsidR="006661FE" w:rsidRDefault="006661FE" w:rsidP="006661FE">
      <w:pPr>
        <w:pStyle w:val="1"/>
        <w:jc w:val="both"/>
      </w:pPr>
    </w:p>
    <w:p w14:paraId="7810F5B6" w14:textId="77777777" w:rsidR="006661FE" w:rsidRDefault="006661FE" w:rsidP="006661FE">
      <w:pPr>
        <w:pStyle w:val="Heading2"/>
      </w:pPr>
      <w:bookmarkStart w:id="494" w:name="_Toc274049723"/>
      <w:r>
        <w:t>Ad hoc Charges</w:t>
      </w:r>
      <w:bookmarkEnd w:id="494"/>
    </w:p>
    <w:p w14:paraId="3DAF515C" w14:textId="77777777" w:rsidR="006661FE" w:rsidRDefault="006661FE" w:rsidP="006661FE"/>
    <w:p w14:paraId="09D11536" w14:textId="6F97E033" w:rsidR="006661FE" w:rsidRDefault="006661FE" w:rsidP="00533333">
      <w:pPr>
        <w:pStyle w:val="1"/>
        <w:numPr>
          <w:ilvl w:val="0"/>
          <w:numId w:val="76"/>
        </w:numPr>
        <w:jc w:val="both"/>
      </w:pPr>
      <w:r>
        <w:t xml:space="preserve">For each STTEC period successfully applied for, a charge will be calculated by multiplying the STTEC by the tariff calculated in accordance with Paragraph 14.16.3. </w:t>
      </w:r>
      <w:r w:rsidR="1CE92958" w:rsidRPr="00C94D4B">
        <w:rPr>
          <w:b/>
        </w:rPr>
        <w:t>The</w:t>
      </w:r>
      <w:r w:rsidRPr="00C94D4B">
        <w:rPr>
          <w:b/>
        </w:rPr>
        <w:t xml:space="preserve"> Company </w:t>
      </w:r>
      <w:r>
        <w:t>will invoice Users for the STTEC charge once the application for STTEC is approved.</w:t>
      </w:r>
    </w:p>
    <w:p w14:paraId="3527637A" w14:textId="77777777" w:rsidR="006661FE" w:rsidRDefault="006661FE" w:rsidP="006661FE">
      <w:pPr>
        <w:ind w:left="720" w:hanging="720"/>
        <w:jc w:val="both"/>
        <w:rPr>
          <w:rFonts w:ascii="Arial" w:hAnsi="Arial"/>
          <w:sz w:val="22"/>
        </w:rPr>
      </w:pPr>
    </w:p>
    <w:p w14:paraId="43201543" w14:textId="34D5BA84" w:rsidR="006661FE" w:rsidRPr="0074131D" w:rsidRDefault="4DB720A2" w:rsidP="00533333">
      <w:pPr>
        <w:pStyle w:val="1"/>
        <w:numPr>
          <w:ilvl w:val="0"/>
          <w:numId w:val="76"/>
        </w:numPr>
        <w:jc w:val="both"/>
        <w:rPr>
          <w:rFonts w:cs="Arial"/>
        </w:rPr>
      </w:pPr>
      <w:r w:rsidRPr="0537B9E0">
        <w:rPr>
          <w:rFonts w:cs="Arial"/>
        </w:rPr>
        <w:t>For Power Stations utilising LDTEC (in any of its forms) the LDTEC Charge for each LDTEC Period is the sum of the charging liabilities associated with each incremental level of short term chargeable capacity provided by LDTEC within the LDTEC Period (assessed on a weekly basis)</w:t>
      </w:r>
      <w:r w:rsidR="60FA3FFC" w:rsidRPr="0537B9E0">
        <w:rPr>
          <w:rFonts w:cs="Arial"/>
        </w:rPr>
        <w:t xml:space="preserve">. </w:t>
      </w:r>
      <w:r w:rsidRPr="0537B9E0">
        <w:rPr>
          <w:rFonts w:cs="Arial"/>
        </w:rPr>
        <w:t>The charging liability for a given incremental level of short term chargeable capacity is the sum of:</w:t>
      </w:r>
    </w:p>
    <w:p w14:paraId="40DC924B" w14:textId="77777777" w:rsidR="006661FE" w:rsidRPr="0074131D" w:rsidRDefault="006661FE" w:rsidP="006661FE">
      <w:pPr>
        <w:jc w:val="both"/>
        <w:rPr>
          <w:rFonts w:ascii="Arial" w:hAnsi="Arial" w:cs="Arial"/>
          <w:sz w:val="22"/>
          <w:szCs w:val="22"/>
        </w:rPr>
      </w:pPr>
    </w:p>
    <w:p w14:paraId="68E510C0"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Pr="00CB53CD">
        <w:rPr>
          <w:b/>
          <w:bCs/>
        </w:rPr>
        <w:t>Financial Year</w:t>
      </w:r>
      <w:r>
        <w:t xml:space="preserve"> </w:t>
      </w:r>
      <w:r w:rsidRPr="0074131D">
        <w:t>(whether consecutive or not)</w:t>
      </w:r>
      <w:r>
        <w:t>; and</w:t>
      </w:r>
    </w:p>
    <w:p w14:paraId="36C076DC"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Pr="00CB53CD">
        <w:rPr>
          <w:rFonts w:cs="Arial"/>
          <w:b/>
          <w:bCs/>
          <w:szCs w:val="22"/>
        </w:rPr>
        <w:t>Financial Year</w:t>
      </w:r>
      <w:r>
        <w:rPr>
          <w:rFonts w:cs="Arial"/>
          <w:szCs w:val="22"/>
        </w:rPr>
        <w:t xml:space="preserve"> </w:t>
      </w:r>
      <w:r w:rsidRPr="0074131D">
        <w:rPr>
          <w:rFonts w:cs="Arial"/>
          <w:szCs w:val="22"/>
        </w:rPr>
        <w:t>(whether consecutive or not).</w:t>
      </w:r>
    </w:p>
    <w:p w14:paraId="109C98FC" w14:textId="39F2F67D" w:rsidR="006661FE" w:rsidRDefault="4DB720A2" w:rsidP="00533333">
      <w:pPr>
        <w:pStyle w:val="1"/>
        <w:numPr>
          <w:ilvl w:val="0"/>
          <w:numId w:val="76"/>
        </w:numPr>
        <w:jc w:val="both"/>
        <w:rPr>
          <w:rFonts w:cs="Arial"/>
        </w:rPr>
      </w:pPr>
      <w:r w:rsidRPr="0537B9E0">
        <w:rPr>
          <w:rFonts w:cs="Arial"/>
        </w:rPr>
        <w:t>For each LDTEC Period successfully applied for, the LDTEC Charge will be split evenly over the relevant LDTEC Period and charged on a monthly basis</w:t>
      </w:r>
      <w:r w:rsidR="0DD26806" w:rsidRPr="0537B9E0">
        <w:rPr>
          <w:rFonts w:cs="Arial"/>
        </w:rPr>
        <w:t xml:space="preserve">. </w:t>
      </w:r>
      <w:r w:rsidRPr="0537B9E0">
        <w:rPr>
          <w:rFonts w:cs="Arial"/>
        </w:rPr>
        <w:t>LDTEC charges will apply to both LDTEC (in any of its forms) and Temporary Received TEC held by a User</w:t>
      </w:r>
      <w:r w:rsidR="3572D9E8" w:rsidRPr="0537B9E0">
        <w:rPr>
          <w:rFonts w:cs="Arial"/>
        </w:rPr>
        <w:t xml:space="preserve">. </w:t>
      </w:r>
      <w:r w:rsidRPr="0537B9E0">
        <w:rPr>
          <w:rFonts w:cs="Arial"/>
        </w:rPr>
        <w:t>For the avoidance of doubt, the charging methodology will not differentiate between access rights provided to a generator by LDTEC or through Temporary Received TEC obtained through a Temporary TEC Exchange (as defined in the CUSC).</w:t>
      </w:r>
    </w:p>
    <w:p w14:paraId="62A5C4D3" w14:textId="77777777" w:rsidR="006661FE" w:rsidRDefault="006661FE" w:rsidP="006661FE">
      <w:pPr>
        <w:rPr>
          <w:rFonts w:ascii="Arial" w:hAnsi="Arial" w:cs="Arial"/>
          <w:sz w:val="22"/>
          <w:szCs w:val="22"/>
        </w:rPr>
      </w:pPr>
    </w:p>
    <w:p w14:paraId="0C7CC539"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9A6C4C5" w14:textId="77777777" w:rsidR="006661FE" w:rsidRDefault="006661FE" w:rsidP="006661FE">
      <w:pPr>
        <w:ind w:left="907"/>
        <w:rPr>
          <w:rFonts w:ascii="Arial" w:hAnsi="Arial" w:cs="Arial"/>
          <w:sz w:val="22"/>
          <w:szCs w:val="22"/>
        </w:rPr>
      </w:pPr>
    </w:p>
    <w:p w14:paraId="7DD781B8" w14:textId="39F4296D" w:rsidR="006661FE" w:rsidRDefault="4DB720A2" w:rsidP="006661FE">
      <w:pPr>
        <w:ind w:left="1627"/>
        <w:jc w:val="both"/>
        <w:rPr>
          <w:rFonts w:ascii="Arial" w:hAnsi="Arial" w:cs="Arial"/>
          <w:sz w:val="22"/>
          <w:szCs w:val="22"/>
        </w:rPr>
      </w:pPr>
      <w:r w:rsidRPr="0537B9E0">
        <w:rPr>
          <w:rFonts w:ascii="Arial" w:hAnsi="Arial" w:cs="Arial"/>
          <w:sz w:val="22"/>
          <w:szCs w:val="22"/>
        </w:rPr>
        <w:t>The diagrams below show two cases where LDTEC has been purchased: in Case A, two LDTEC Periods have been purchased; and in Case B one LDTEC Period has been purchased</w:t>
      </w:r>
      <w:r w:rsidR="5C839A96" w:rsidRPr="0537B9E0">
        <w:rPr>
          <w:rFonts w:ascii="Arial" w:hAnsi="Arial" w:cs="Arial"/>
          <w:sz w:val="22"/>
          <w:szCs w:val="22"/>
        </w:rPr>
        <w:t xml:space="preserve">. </w:t>
      </w:r>
      <w:r w:rsidRPr="0537B9E0">
        <w:rPr>
          <w:rFonts w:ascii="Arial" w:hAnsi="Arial" w:cs="Arial"/>
          <w:sz w:val="22"/>
          <w:szCs w:val="22"/>
        </w:rPr>
        <w:t>The total capacity purchased in both cases is the same</w:t>
      </w:r>
      <w:r w:rsidR="2120BF1F" w:rsidRPr="0537B9E0">
        <w:rPr>
          <w:rFonts w:ascii="Arial" w:hAnsi="Arial" w:cs="Arial"/>
          <w:sz w:val="22"/>
          <w:szCs w:val="22"/>
        </w:rPr>
        <w:t xml:space="preserve">. </w:t>
      </w:r>
      <w:r w:rsidRPr="0537B9E0">
        <w:rPr>
          <w:rFonts w:ascii="Arial" w:hAnsi="Arial" w:cs="Arial"/>
          <w:sz w:val="22"/>
          <w:szCs w:val="22"/>
        </w:rPr>
        <w:t>The top diagrams illustrate the capacity purchased, while lower diagrams illustrate the incremental levels of short term chargeable capacities of LDTEC and the tariff rate that would apply to that capacity.</w:t>
      </w:r>
    </w:p>
    <w:p w14:paraId="31D7CFCE" w14:textId="3F4BF14C" w:rsidR="007219D1" w:rsidRDefault="007219D1" w:rsidP="006661FE">
      <w:pPr>
        <w:ind w:left="1627"/>
        <w:jc w:val="both"/>
        <w:rPr>
          <w:rFonts w:ascii="Arial" w:hAnsi="Arial" w:cs="Arial"/>
          <w:sz w:val="22"/>
          <w:szCs w:val="22"/>
        </w:rPr>
      </w:pPr>
    </w:p>
    <w:p w14:paraId="5F74B3D2" w14:textId="1B235682" w:rsidR="007219D1" w:rsidRDefault="007219D1" w:rsidP="006661FE">
      <w:pPr>
        <w:ind w:left="1627"/>
        <w:jc w:val="both"/>
        <w:rPr>
          <w:rFonts w:ascii="Arial" w:hAnsi="Arial" w:cs="Arial"/>
          <w:sz w:val="22"/>
          <w:szCs w:val="22"/>
        </w:rPr>
      </w:pPr>
      <w:r>
        <w:rPr>
          <w:noProof/>
        </w:rPr>
        <w:drawing>
          <wp:inline distT="0" distB="0" distL="0" distR="0" wp14:anchorId="35BA7D30" wp14:editId="4E616A9C">
            <wp:extent cx="5314950" cy="273367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6" cstate="print">
                      <a:extLst>
                        <a:ext uri="{28A0092B-C50C-407E-A947-70E740481C1C}">
                          <a14:useLocalDpi xmlns:a14="http://schemas.microsoft.com/office/drawing/2010/main" val="0"/>
                        </a:ext>
                      </a:extLst>
                    </a:blip>
                    <a:srcRect r="2979"/>
                    <a:stretch>
                      <a:fillRect/>
                    </a:stretch>
                  </pic:blipFill>
                  <pic:spPr bwMode="auto">
                    <a:xfrm>
                      <a:off x="0" y="0"/>
                      <a:ext cx="5314950" cy="2733675"/>
                    </a:xfrm>
                    <a:prstGeom prst="rect">
                      <a:avLst/>
                    </a:prstGeom>
                    <a:noFill/>
                    <a:ln>
                      <a:noFill/>
                    </a:ln>
                  </pic:spPr>
                </pic:pic>
              </a:graphicData>
            </a:graphic>
          </wp:inline>
        </w:drawing>
      </w:r>
    </w:p>
    <w:p w14:paraId="4F986CF9" w14:textId="77777777" w:rsidR="006661FE" w:rsidRDefault="006661FE" w:rsidP="006661FE">
      <w:pPr>
        <w:ind w:left="907"/>
        <w:rPr>
          <w:rFonts w:ascii="Arial" w:hAnsi="Arial" w:cs="Arial"/>
          <w:sz w:val="22"/>
          <w:szCs w:val="22"/>
        </w:rPr>
      </w:pPr>
    </w:p>
    <w:p w14:paraId="2599737C" w14:textId="19EFAD06" w:rsidR="006661FE" w:rsidRPr="007C0A50" w:rsidRDefault="006661FE" w:rsidP="006661FE">
      <w:pPr>
        <w:ind w:left="907"/>
        <w:jc w:val="center"/>
      </w:pPr>
    </w:p>
    <w:p w14:paraId="0AF02C86" w14:textId="77777777" w:rsidR="006661FE" w:rsidRDefault="006661FE" w:rsidP="006661FE">
      <w:pPr>
        <w:ind w:left="907"/>
        <w:jc w:val="both"/>
        <w:rPr>
          <w:rFonts w:ascii="Arial" w:hAnsi="Arial" w:cs="Arial"/>
          <w:sz w:val="22"/>
          <w:szCs w:val="22"/>
        </w:rPr>
      </w:pPr>
    </w:p>
    <w:p w14:paraId="3AE8C74E"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0F32BEC6"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6C61E54A" w14:textId="77777777" w:rsidTr="002A1B08">
        <w:tc>
          <w:tcPr>
            <w:tcW w:w="4230" w:type="dxa"/>
            <w:shd w:val="clear" w:color="auto" w:fill="auto"/>
          </w:tcPr>
          <w:p w14:paraId="28CD77B1"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6D7578E5"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4EABE0DA"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32DDE82F"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6211683" w14:textId="77777777" w:rsidR="006661FE" w:rsidRPr="002A1B08" w:rsidRDefault="006661FE" w:rsidP="00533333">
            <w:pPr>
              <w:numPr>
                <w:ilvl w:val="0"/>
                <w:numId w:val="69"/>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3E696559" w14:textId="77777777" w:rsidR="006661FE" w:rsidRPr="002A1B08" w:rsidRDefault="006661FE" w:rsidP="00533333">
            <w:pPr>
              <w:numPr>
                <w:ilvl w:val="0"/>
                <w:numId w:val="70"/>
              </w:numPr>
              <w:jc w:val="both"/>
              <w:rPr>
                <w:rFonts w:ascii="Arial" w:hAnsi="Arial" w:cs="Arial"/>
                <w:sz w:val="22"/>
                <w:szCs w:val="22"/>
              </w:rPr>
            </w:pPr>
          </w:p>
        </w:tc>
      </w:tr>
    </w:tbl>
    <w:p w14:paraId="02A63F8C" w14:textId="77777777" w:rsidR="006661FE" w:rsidRDefault="006661FE" w:rsidP="006661FE">
      <w:pPr>
        <w:ind w:left="720" w:hanging="720"/>
        <w:rPr>
          <w:rFonts w:ascii="Arial" w:hAnsi="Arial"/>
          <w:sz w:val="22"/>
        </w:rPr>
      </w:pPr>
    </w:p>
    <w:p w14:paraId="3EE0947C" w14:textId="77777777" w:rsidR="006661FE" w:rsidRDefault="006661FE" w:rsidP="006661FE">
      <w:pPr>
        <w:pStyle w:val="Heading2"/>
      </w:pPr>
      <w:bookmarkStart w:id="495" w:name="_Toc274049724"/>
      <w:r w:rsidRPr="00FE2E3E">
        <w:t>Embedded Transmission Use of System Charges “ETUoS”</w:t>
      </w:r>
      <w:bookmarkEnd w:id="495"/>
    </w:p>
    <w:p w14:paraId="48AD1C7C" w14:textId="77777777" w:rsidR="006661FE" w:rsidRDefault="006661FE" w:rsidP="006661FE">
      <w:pPr>
        <w:ind w:left="720" w:hanging="720"/>
        <w:rPr>
          <w:rFonts w:ascii="Arial" w:hAnsi="Arial"/>
          <w:sz w:val="22"/>
        </w:rPr>
      </w:pPr>
    </w:p>
    <w:p w14:paraId="342A9DCF" w14:textId="520B5C2E" w:rsidR="006661FE" w:rsidRDefault="4DB720A2" w:rsidP="00533333">
      <w:pPr>
        <w:pStyle w:val="1"/>
        <w:numPr>
          <w:ilvl w:val="0"/>
          <w:numId w:val="76"/>
        </w:numPr>
        <w:jc w:val="both"/>
      </w:pPr>
      <w:bookmarkStart w:id="496" w:name="_Ref272933204"/>
      <w:r>
        <w:t>The ETUoS charges are a component of Use of System charges levied on offshore generators whose offshore transmission connection is embedded in an onshore distribution network</w:t>
      </w:r>
      <w:r w:rsidR="7CB8D4B2">
        <w:t xml:space="preserve">. </w:t>
      </w:r>
      <w:r>
        <w:t>The charge relates to the provision and use of the onshore distribution network.</w:t>
      </w:r>
      <w:bookmarkEnd w:id="496"/>
    </w:p>
    <w:p w14:paraId="61F4E317" w14:textId="77777777" w:rsidR="006661FE" w:rsidRDefault="006661FE" w:rsidP="006661FE">
      <w:pPr>
        <w:pStyle w:val="1"/>
        <w:ind w:left="709" w:hanging="709"/>
        <w:jc w:val="both"/>
      </w:pPr>
    </w:p>
    <w:p w14:paraId="0AB8E1D8" w14:textId="1EA3820C" w:rsidR="006661FE" w:rsidRDefault="4DB720A2" w:rsidP="00533333">
      <w:pPr>
        <w:pStyle w:val="1"/>
        <w:numPr>
          <w:ilvl w:val="0"/>
          <w:numId w:val="76"/>
        </w:numPr>
        <w:jc w:val="both"/>
      </w:pPr>
      <w:r>
        <w:t>The main purpose of ETUoS charges is to pass through the charges that are levied by the DNO on the NETSO to the offshore generator(s)</w:t>
      </w:r>
      <w:r w:rsidR="2C877920">
        <w:t xml:space="preserve">. </w:t>
      </w:r>
      <w:r>
        <w:t>This charge</w:t>
      </w:r>
      <w:r w:rsidR="23D6003B" w:rsidRPr="0537B9E0">
        <w:rPr>
          <w:rFonts w:ascii="Arial" w:hAnsi="Arial" w:cs="Arial"/>
        </w:rPr>
        <w:t>, known as the ETUoS</w:t>
      </w:r>
      <w:r w:rsidR="23D6003B" w:rsidRPr="0537B9E0">
        <w:rPr>
          <w:rFonts w:ascii="Arial" w:hAnsi="Arial" w:cs="Arial"/>
          <w:vertAlign w:val="subscript"/>
        </w:rPr>
        <w:t>DNO</w:t>
      </w:r>
      <w:r w:rsidR="23D6003B" w:rsidRPr="0537B9E0">
        <w:rPr>
          <w:rFonts w:ascii="Arial" w:hAnsi="Arial" w:cs="Arial"/>
        </w:rPr>
        <w:t xml:space="preserve"> charge,</w:t>
      </w:r>
      <w:r w:rsidRPr="0537B9E0">
        <w:rPr>
          <w:rFonts w:ascii="Arial" w:hAnsi="Arial" w:cs="Arial"/>
        </w:rPr>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1BCD1F0" w14:textId="77777777" w:rsidR="006661FE" w:rsidRDefault="006661FE" w:rsidP="006661FE">
      <w:pPr>
        <w:pStyle w:val="1"/>
        <w:jc w:val="both"/>
      </w:pPr>
    </w:p>
    <w:p w14:paraId="73CEE669" w14:textId="6DA7AE73" w:rsidR="006661FE" w:rsidRDefault="006661FE" w:rsidP="00533333">
      <w:pPr>
        <w:pStyle w:val="1"/>
        <w:numPr>
          <w:ilvl w:val="0"/>
          <w:numId w:val="76"/>
        </w:numPr>
        <w:jc w:val="both"/>
      </w:pPr>
      <w:r>
        <w:t>In the case of some relevant transitional offshore generation projects, ETUoS will also be used to pass through historic DNO capital contributions forming part of the Offshore Transmission Owner tender revenue stream</w:t>
      </w:r>
      <w:r w:rsidR="000E3CD5">
        <w:t>, this is known as the ETUoS</w:t>
      </w:r>
      <w:r w:rsidR="000E3CD5" w:rsidRPr="000E3CD5">
        <w:rPr>
          <w:vertAlign w:val="subscript"/>
        </w:rPr>
        <w:t>OFTO</w:t>
      </w:r>
      <w:r w:rsidR="000E3CD5">
        <w:t xml:space="preserve"> tariff</w:t>
      </w:r>
      <w:r>
        <w:t>.</w:t>
      </w:r>
    </w:p>
    <w:p w14:paraId="599CCB52" w14:textId="77777777" w:rsidR="00BA1E76" w:rsidRDefault="00BA1E76" w:rsidP="00BA1E76">
      <w:pPr>
        <w:pStyle w:val="ListParagraph"/>
      </w:pPr>
    </w:p>
    <w:p w14:paraId="209A46DA" w14:textId="5742FCD5" w:rsidR="00BA1E76" w:rsidRDefault="00BA1E76" w:rsidP="00533333">
      <w:pPr>
        <w:pStyle w:val="1"/>
        <w:numPr>
          <w:ilvl w:val="0"/>
          <w:numId w:val="95"/>
        </w:numPr>
        <w:jc w:val="both"/>
      </w:pPr>
      <w:r>
        <w:t>The ETUoS</w:t>
      </w:r>
      <w:r w:rsidRPr="00BA1E76">
        <w:rPr>
          <w:vertAlign w:val="subscript"/>
        </w:rPr>
        <w:t>OFTO</w:t>
      </w:r>
      <w:r>
        <w:t xml:space="preserve"> tariff shall be the ratio of the Offshore Transmission Owner revenue (£) associated with DNO capital contributions and the </w:t>
      </w:r>
      <w:r>
        <w:lastRenderedPageBreak/>
        <w:t>Transmission Entry Capacity (TEC) of the generation connected to the offshore substation.</w:t>
      </w:r>
    </w:p>
    <w:p w14:paraId="3FEA5112" w14:textId="77777777" w:rsidR="00C929CA" w:rsidRDefault="00C929CA" w:rsidP="00852613">
      <w:pPr>
        <w:pStyle w:val="1"/>
        <w:ind w:left="2347"/>
        <w:jc w:val="both"/>
      </w:pPr>
    </w:p>
    <w:p w14:paraId="08980EA8" w14:textId="0CE47921" w:rsidR="00852613" w:rsidRPr="00B40484" w:rsidRDefault="00852613" w:rsidP="00533333">
      <w:pPr>
        <w:pStyle w:val="1"/>
        <w:numPr>
          <w:ilvl w:val="0"/>
          <w:numId w:val="95"/>
        </w:numPr>
        <w:jc w:val="both"/>
        <w:rPr>
          <w:rFonts w:ascii="Arial" w:hAnsi="Arial" w:cs="Arial"/>
          <w:color w:val="000000" w:themeColor="text1"/>
        </w:rPr>
      </w:pPr>
      <w:r w:rsidRPr="00B40484">
        <w:rPr>
          <w:rFonts w:ascii="Arial" w:hAnsi="Arial" w:cs="Arial"/>
          <w:color w:val="000000" w:themeColor="text1"/>
        </w:rPr>
        <w:t>In the year of asset transfer to the OFTO, the ETUoS</w:t>
      </w:r>
      <w:r w:rsidRPr="00B40484">
        <w:rPr>
          <w:rFonts w:ascii="Arial" w:hAnsi="Arial" w:cs="Arial"/>
          <w:color w:val="000000" w:themeColor="text1"/>
          <w:vertAlign w:val="subscript"/>
        </w:rPr>
        <w:t>OFTO</w:t>
      </w:r>
      <w:r w:rsidRPr="00B40484">
        <w:rPr>
          <w:rFonts w:ascii="Arial" w:hAnsi="Arial" w:cs="Arial"/>
          <w:color w:val="000000" w:themeColor="text1"/>
        </w:rPr>
        <w:t xml:space="preserve"> tariff would be calculated as follows:</w:t>
      </w:r>
    </w:p>
    <w:p w14:paraId="250DBE43" w14:textId="77777777" w:rsidR="00852613" w:rsidRPr="00021731" w:rsidRDefault="00852613" w:rsidP="00B423D9">
      <w:pPr>
        <w:pStyle w:val="ListParagraph"/>
        <w:rPr>
          <w:rFonts w:ascii="Arial" w:hAnsi="Arial" w:cs="Arial"/>
          <w:color w:val="000000" w:themeColor="text1"/>
        </w:rPr>
      </w:pPr>
    </w:p>
    <w:p w14:paraId="3407A9E6" w14:textId="1824DB9E" w:rsidR="00852613" w:rsidRPr="00B40484" w:rsidRDefault="00B428B8" w:rsidP="00B423D9">
      <w:pPr>
        <w:pStyle w:val="1"/>
        <w:ind w:left="2347"/>
        <w:jc w:val="both"/>
        <w:rPr>
          <w:rFonts w:ascii="Arial" w:hAnsi="Arial" w:cs="Arial"/>
          <w:color w:val="000000" w:themeColor="text1"/>
        </w:rPr>
      </w:pPr>
      <m:oMathPara>
        <m:oMath>
          <m:f>
            <m:fPr>
              <m:ctrlPr>
                <w:rPr>
                  <w:rFonts w:ascii="Cambria Math" w:hAnsi="Cambria Math" w:cs="Arial"/>
                  <w:i/>
                  <w:color w:val="000000" w:themeColor="text1"/>
                  <w:szCs w:val="22"/>
                </w:rPr>
              </m:ctrlPr>
            </m:fPr>
            <m:num>
              <m:r>
                <w:rPr>
                  <w:rFonts w:ascii="Cambria Math" w:hAnsi="Cambria Math" w:cs="Arial"/>
                  <w:color w:val="000000" w:themeColor="text1"/>
                </w:rPr>
                <m:t>DNRevOFTO</m:t>
              </m:r>
              <m:r>
                <w:rPr>
                  <w:rFonts w:ascii="Cambria Math" w:hAnsi="Cambria Math" w:cs="Arial"/>
                  <w:color w:val="000000" w:themeColor="text1"/>
                </w:rPr>
                <m:t>1</m:t>
              </m:r>
            </m:num>
            <m:den>
              <m:r>
                <w:rPr>
                  <w:rFonts w:ascii="Cambria Math" w:hAnsi="Cambria Math" w:cs="Arial"/>
                  <w:color w:val="000000" w:themeColor="text1"/>
                </w:rPr>
                <m:t>TEC</m:t>
              </m:r>
            </m:den>
          </m:f>
        </m:oMath>
      </m:oMathPara>
    </w:p>
    <w:p w14:paraId="3362180E" w14:textId="77777777" w:rsidR="00D30F78" w:rsidRPr="00B40484" w:rsidRDefault="00D30F78" w:rsidP="00D30F78">
      <w:pPr>
        <w:pStyle w:val="1"/>
        <w:ind w:left="2268"/>
        <w:jc w:val="both"/>
        <w:rPr>
          <w:rFonts w:ascii="Arial" w:hAnsi="Arial" w:cs="Arial"/>
          <w:color w:val="000000" w:themeColor="text1"/>
          <w:u w:val="single"/>
        </w:rPr>
      </w:pPr>
      <w:r w:rsidRPr="00B40484">
        <w:rPr>
          <w:rFonts w:ascii="Arial" w:hAnsi="Arial" w:cs="Arial"/>
          <w:color w:val="000000" w:themeColor="text1"/>
          <w:u w:val="single"/>
        </w:rPr>
        <w:t>Where:</w:t>
      </w:r>
    </w:p>
    <w:p w14:paraId="4F5EC4C6" w14:textId="773FD368" w:rsidR="00D30F78" w:rsidRPr="00C43D1A" w:rsidRDefault="00D30F78" w:rsidP="00B423D9">
      <w:pPr>
        <w:pStyle w:val="1"/>
        <w:jc w:val="both"/>
        <w:rPr>
          <w:rFonts w:ascii="Arial" w:hAnsi="Arial" w:cs="Arial"/>
          <w:color w:val="000000" w:themeColor="text1"/>
          <w:u w:val="single"/>
        </w:rPr>
      </w:pPr>
      <m:oMath>
        <m:r>
          <w:rPr>
            <w:rFonts w:ascii="Cambria Math" w:hAnsi="Cambria Math" w:cs="Arial"/>
            <w:color w:val="000000" w:themeColor="text1"/>
          </w:rPr>
          <m:t>DNRevOFTO1</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t>=The offshore revenue associated to DN</w:t>
      </w:r>
      <w:r w:rsidR="00A16233" w:rsidRPr="00984A6E">
        <w:rPr>
          <w:rFonts w:ascii="Arial" w:hAnsi="Arial" w:cs="Arial"/>
          <w:color w:val="000000" w:themeColor="text1"/>
          <w:u w:val="single"/>
        </w:rPr>
        <w:t xml:space="preserve"> capital </w:t>
      </w:r>
      <w:r w:rsidR="008E6691" w:rsidRPr="00B40484">
        <w:rPr>
          <w:rFonts w:ascii="Arial" w:hAnsi="Arial" w:cs="Arial"/>
          <w:color w:val="000000" w:themeColor="text1"/>
          <w:u w:val="single"/>
        </w:rPr>
        <w:t>contributions</w:t>
      </w:r>
      <w:r w:rsidR="00A16233" w:rsidRPr="00C43D1A">
        <w:rPr>
          <w:rFonts w:ascii="Arial" w:hAnsi="Arial" w:cs="Arial"/>
          <w:color w:val="000000" w:themeColor="text1"/>
          <w:u w:val="single"/>
        </w:rPr>
        <w:t xml:space="preserve">, in £, for Year 1 </w:t>
      </w:r>
    </w:p>
    <w:p w14:paraId="01AFC802" w14:textId="77777777" w:rsidR="00D30F78" w:rsidRPr="00984A6E" w:rsidRDefault="00D30F78" w:rsidP="00B423D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4F98B3AA" w14:textId="70B90AB1" w:rsidR="00D30F78" w:rsidRPr="00984A6E" w:rsidRDefault="00D30F78" w:rsidP="00B423D9">
      <w:pPr>
        <w:pStyle w:val="1"/>
        <w:ind w:left="4820" w:hanging="142"/>
        <w:jc w:val="both"/>
        <w:rPr>
          <w:rFonts w:ascii="Arial" w:hAnsi="Arial" w:cs="Arial"/>
          <w:color w:val="000000" w:themeColor="text1"/>
          <w:u w:val="single"/>
        </w:rPr>
      </w:pPr>
      <w:r w:rsidRPr="00984A6E">
        <w:rPr>
          <w:rFonts w:ascii="Arial" w:hAnsi="Arial" w:cs="Arial"/>
          <w:color w:val="000000" w:themeColor="text1"/>
          <w:u w:val="single"/>
        </w:rPr>
        <w:t>generation connected to the offshore substation</w:t>
      </w:r>
    </w:p>
    <w:p w14:paraId="05DC2177" w14:textId="77777777" w:rsidR="00F204A1" w:rsidRPr="00984A6E" w:rsidRDefault="00F204A1" w:rsidP="00B423D9">
      <w:pPr>
        <w:pStyle w:val="1"/>
        <w:ind w:left="4820" w:hanging="142"/>
        <w:jc w:val="both"/>
        <w:rPr>
          <w:rFonts w:ascii="Arial" w:hAnsi="Arial" w:cs="Arial"/>
          <w:color w:val="000000" w:themeColor="text1"/>
          <w:u w:val="single"/>
        </w:rPr>
      </w:pPr>
    </w:p>
    <w:p w14:paraId="6CFF5FA8" w14:textId="3E14E4AA" w:rsidR="00226BD7" w:rsidRPr="00B40484" w:rsidRDefault="00226BD7" w:rsidP="00533333">
      <w:pPr>
        <w:pStyle w:val="1"/>
        <w:numPr>
          <w:ilvl w:val="0"/>
          <w:numId w:val="95"/>
        </w:numPr>
        <w:jc w:val="both"/>
        <w:rPr>
          <w:rFonts w:ascii="Arial" w:hAnsi="Arial" w:cs="Arial"/>
          <w:color w:val="000000" w:themeColor="text1"/>
          <w:u w:val="single"/>
        </w:rPr>
      </w:pPr>
      <w:r w:rsidRPr="00B40484">
        <w:rPr>
          <w:rFonts w:ascii="Arial" w:hAnsi="Arial" w:cs="Arial"/>
          <w:color w:val="000000" w:themeColor="text1"/>
          <w:u w:val="single"/>
        </w:rPr>
        <w:t>In all subsequent years, the ETUoS</w:t>
      </w:r>
      <w:r w:rsidRPr="00B40484">
        <w:rPr>
          <w:rFonts w:ascii="Arial" w:hAnsi="Arial" w:cs="Arial"/>
          <w:color w:val="000000" w:themeColor="text1"/>
          <w:u w:val="single"/>
          <w:vertAlign w:val="subscript"/>
        </w:rPr>
        <w:t>OFTO</w:t>
      </w:r>
      <w:r w:rsidRPr="00B40484">
        <w:rPr>
          <w:rFonts w:ascii="Arial" w:hAnsi="Arial" w:cs="Arial"/>
          <w:color w:val="000000" w:themeColor="text1"/>
          <w:u w:val="single"/>
        </w:rPr>
        <w:t xml:space="preserve"> tariff would be calculated as follows:</w:t>
      </w:r>
    </w:p>
    <w:p w14:paraId="02366013" w14:textId="77777777" w:rsidR="00027216" w:rsidRPr="00984A6E" w:rsidRDefault="00B428B8" w:rsidP="00B40484">
      <w:pPr>
        <w:pStyle w:val="ListParagraph"/>
        <w:ind w:left="2347"/>
        <w:jc w:val="center"/>
        <w:rPr>
          <w:rFonts w:ascii="Arial" w:hAnsi="Arial" w:cs="Arial"/>
          <w:color w:val="000000" w:themeColor="text1"/>
          <w:u w:val="single"/>
        </w:rPr>
      </w:pPr>
      <m:oMathPara>
        <m:oMath>
          <m:f>
            <m:fPr>
              <m:ctrlPr>
                <w:rPr>
                  <w:rFonts w:ascii="Cambria Math" w:hAnsi="Cambria Math" w:cs="Arial"/>
                  <w:i/>
                  <w:color w:val="000000" w:themeColor="text1"/>
                  <w:sz w:val="22"/>
                  <w:szCs w:val="22"/>
                </w:rPr>
              </m:ctrlPr>
            </m:fPr>
            <m:num>
              <m:r>
                <w:rPr>
                  <w:rFonts w:ascii="Cambria Math" w:hAnsi="Cambria Math" w:cs="Arial"/>
                  <w:color w:val="000000" w:themeColor="text1"/>
                </w:rPr>
                <m:t>AvDNRevOFTO</m:t>
              </m:r>
            </m:num>
            <m:den>
              <m:r>
                <w:rPr>
                  <w:rFonts w:ascii="Cambria Math" w:hAnsi="Cambria Math" w:cs="Arial"/>
                  <w:color w:val="000000" w:themeColor="text1"/>
                </w:rPr>
                <m:t>TEC</m:t>
              </m:r>
            </m:den>
          </m:f>
        </m:oMath>
      </m:oMathPara>
    </w:p>
    <w:p w14:paraId="42952DBE" w14:textId="77777777" w:rsidR="00226BD7" w:rsidRPr="00984A6E" w:rsidRDefault="00226BD7" w:rsidP="00B40484">
      <w:pPr>
        <w:pStyle w:val="1"/>
        <w:ind w:left="2347"/>
        <w:jc w:val="both"/>
        <w:rPr>
          <w:rFonts w:ascii="Arial" w:hAnsi="Arial" w:cs="Arial"/>
          <w:color w:val="000000" w:themeColor="text1"/>
          <w:u w:val="single"/>
        </w:rPr>
      </w:pPr>
    </w:p>
    <w:p w14:paraId="3DA01DC0" w14:textId="77777777" w:rsidR="00772045" w:rsidRPr="00984A6E" w:rsidRDefault="00772045" w:rsidP="0043049E">
      <w:pPr>
        <w:pStyle w:val="1"/>
        <w:ind w:left="720" w:firstLine="1548"/>
        <w:jc w:val="both"/>
        <w:rPr>
          <w:rFonts w:ascii="Arial" w:hAnsi="Arial" w:cs="Arial"/>
          <w:color w:val="000000" w:themeColor="text1"/>
          <w:u w:val="single"/>
        </w:rPr>
      </w:pPr>
      <w:r w:rsidRPr="00984A6E">
        <w:rPr>
          <w:rFonts w:ascii="Arial" w:hAnsi="Arial" w:cs="Arial"/>
          <w:color w:val="000000" w:themeColor="text1"/>
          <w:u w:val="single"/>
        </w:rPr>
        <w:t>Where:</w:t>
      </w:r>
    </w:p>
    <w:p w14:paraId="34D089F0" w14:textId="77777777" w:rsidR="00511E00" w:rsidRPr="00984A6E" w:rsidRDefault="00772045" w:rsidP="00B40484">
      <w:pPr>
        <w:pStyle w:val="1"/>
        <w:ind w:left="3582" w:hanging="1314"/>
        <w:jc w:val="both"/>
        <w:rPr>
          <w:rFonts w:ascii="Arial" w:hAnsi="Arial" w:cs="Arial"/>
          <w:color w:val="000000" w:themeColor="text1"/>
          <w:u w:val="single"/>
        </w:rPr>
      </w:pPr>
      <m:oMath>
        <m:r>
          <w:rPr>
            <w:rFonts w:ascii="Cambria Math" w:hAnsi="Cambria Math" w:cs="Arial"/>
            <w:color w:val="000000" w:themeColor="text1"/>
          </w:rPr>
          <m:t>AvDNRevOFTO</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annual offshore revenue associated to </w:t>
      </w:r>
    </w:p>
    <w:p w14:paraId="5AEB627C" w14:textId="77777777" w:rsidR="00406938" w:rsidRPr="00984A6E" w:rsidRDefault="00406938" w:rsidP="009559A2">
      <w:pPr>
        <w:pStyle w:val="1"/>
        <w:ind w:left="3582"/>
        <w:jc w:val="both"/>
        <w:rPr>
          <w:rFonts w:ascii="Arial" w:hAnsi="Arial" w:cs="Arial"/>
          <w:color w:val="000000" w:themeColor="text1"/>
          <w:u w:val="single"/>
        </w:rPr>
      </w:pPr>
    </w:p>
    <w:p w14:paraId="78F0EE29" w14:textId="3322D8FE" w:rsidR="009559A2" w:rsidRPr="00984A6E" w:rsidRDefault="009559A2" w:rsidP="009559A2">
      <w:pPr>
        <w:pStyle w:val="1"/>
        <w:ind w:left="3582"/>
        <w:jc w:val="both"/>
        <w:rPr>
          <w:rFonts w:ascii="Arial" w:hAnsi="Arial" w:cs="Arial"/>
          <w:color w:val="000000" w:themeColor="text1"/>
          <w:u w:val="single"/>
        </w:rPr>
      </w:pPr>
      <w:r w:rsidRPr="00984A6E">
        <w:rPr>
          <w:rFonts w:ascii="Arial" w:hAnsi="Arial" w:cs="Arial"/>
          <w:color w:val="000000" w:themeColor="text1"/>
          <w:u w:val="single"/>
        </w:rPr>
        <w:t>DN capital contributions averaged over the remaining years of the National Electricity Transmission System Operator (NETSO) price control, in £</w:t>
      </w:r>
    </w:p>
    <w:p w14:paraId="4DED83CB" w14:textId="77777777" w:rsidR="009559A2" w:rsidRPr="00984A6E" w:rsidRDefault="009559A2" w:rsidP="001D5A3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2BE5E7FA" w14:textId="77777777" w:rsidR="009559A2" w:rsidRPr="00984A6E" w:rsidRDefault="009559A2" w:rsidP="009559A2">
      <w:pPr>
        <w:pStyle w:val="1"/>
        <w:ind w:left="3580"/>
        <w:jc w:val="both"/>
        <w:rPr>
          <w:rFonts w:ascii="Arial" w:hAnsi="Arial" w:cs="Arial"/>
          <w:color w:val="000000" w:themeColor="text1"/>
          <w:u w:val="single"/>
        </w:rPr>
      </w:pPr>
      <w:r w:rsidRPr="00984A6E">
        <w:rPr>
          <w:rFonts w:ascii="Arial" w:hAnsi="Arial" w:cs="Arial"/>
          <w:color w:val="000000" w:themeColor="text1"/>
          <w:u w:val="single"/>
        </w:rPr>
        <w:t>generation connected to the offshore substation</w:t>
      </w:r>
    </w:p>
    <w:p w14:paraId="42A226CA" w14:textId="73CC56B7" w:rsidR="00772045" w:rsidRPr="00984A6E" w:rsidRDefault="00772045" w:rsidP="0043049E">
      <w:pPr>
        <w:pStyle w:val="1"/>
        <w:ind w:left="720" w:firstLine="1548"/>
        <w:jc w:val="both"/>
        <w:rPr>
          <w:rFonts w:ascii="Arial" w:hAnsi="Arial" w:cs="Arial"/>
          <w:color w:val="000000" w:themeColor="text1"/>
          <w:u w:val="single"/>
        </w:rPr>
      </w:pPr>
    </w:p>
    <w:p w14:paraId="78D51E3F" w14:textId="77777777" w:rsidR="00B40484" w:rsidRPr="00984A6E" w:rsidRDefault="00B40484" w:rsidP="00533333">
      <w:pPr>
        <w:pStyle w:val="1"/>
        <w:numPr>
          <w:ilvl w:val="0"/>
          <w:numId w:val="95"/>
        </w:numPr>
        <w:jc w:val="both"/>
        <w:rPr>
          <w:rFonts w:ascii="Arial" w:hAnsi="Arial" w:cs="Arial"/>
          <w:color w:val="000000" w:themeColor="text1"/>
          <w:u w:val="single"/>
        </w:rPr>
      </w:pPr>
      <w:r w:rsidRPr="00984A6E">
        <w:rPr>
          <w:rFonts w:ascii="Arial" w:hAnsi="Arial" w:cs="Arial"/>
          <w:color w:val="000000" w:themeColor="text1"/>
          <w:u w:val="single"/>
        </w:rPr>
        <w:t>ETUoS</w:t>
      </w:r>
      <w:r w:rsidRPr="00984A6E">
        <w:rPr>
          <w:rFonts w:ascii="Arial" w:hAnsi="Arial" w:cs="Arial"/>
          <w:color w:val="000000" w:themeColor="text1"/>
          <w:u w:val="single"/>
          <w:vertAlign w:val="subscript"/>
        </w:rPr>
        <w:t>OFTO</w:t>
      </w:r>
      <w:r w:rsidRPr="00984A6E">
        <w:rPr>
          <w:rFonts w:ascii="Arial" w:hAnsi="Arial" w:cs="Arial"/>
          <w:color w:val="000000" w:themeColor="text1"/>
          <w:u w:val="single"/>
        </w:rPr>
        <w:t xml:space="preserve"> tariffs shall be reviewed at the start of every onshore price control period. For each subsequent year within the price control period, these shall be inflated in the same manner as the associated Offshore Transmission Owner Revenue.</w:t>
      </w:r>
    </w:p>
    <w:p w14:paraId="0127A225" w14:textId="338BD253" w:rsidR="001242FF" w:rsidRDefault="001242FF" w:rsidP="00B40484">
      <w:pPr>
        <w:pStyle w:val="1"/>
        <w:ind w:left="2347"/>
        <w:jc w:val="both"/>
        <w:rPr>
          <w:color w:val="0070C0"/>
          <w:u w:val="single"/>
        </w:rPr>
      </w:pPr>
    </w:p>
    <w:p w14:paraId="303170C7" w14:textId="1A47F546" w:rsidR="00D30F78" w:rsidRPr="008B11EF" w:rsidRDefault="00D30F78" w:rsidP="00B40484">
      <w:pPr>
        <w:pStyle w:val="1"/>
        <w:ind w:left="2347"/>
        <w:jc w:val="both"/>
        <w:rPr>
          <w:color w:val="0070C0"/>
          <w:u w:val="single"/>
        </w:rPr>
      </w:pPr>
    </w:p>
    <w:p w14:paraId="4413F057" w14:textId="77777777" w:rsidR="00BA1E76" w:rsidRDefault="00BA1E76" w:rsidP="00B423D9">
      <w:pPr>
        <w:pStyle w:val="1"/>
        <w:jc w:val="both"/>
      </w:pPr>
    </w:p>
    <w:p w14:paraId="636A3EA8" w14:textId="77777777" w:rsidR="006661FE" w:rsidRDefault="006661FE" w:rsidP="006661FE">
      <w:pPr>
        <w:pStyle w:val="1"/>
        <w:jc w:val="both"/>
      </w:pPr>
    </w:p>
    <w:p w14:paraId="7DF29E40" w14:textId="7AC271CF" w:rsidR="006661FE" w:rsidRDefault="4DB720A2" w:rsidP="0537B9E0">
      <w:pPr>
        <w:pStyle w:val="1"/>
        <w:numPr>
          <w:ilvl w:val="0"/>
          <w:numId w:val="76"/>
        </w:numPr>
        <w:jc w:val="both"/>
        <w:rPr>
          <w:rFonts w:ascii="Arial" w:hAnsi="Arial" w:cs="Arial"/>
          <w:color w:val="000000" w:themeColor="text1"/>
        </w:rPr>
      </w:pPr>
      <w:r>
        <w:t>The specific nature of the ETUoS</w:t>
      </w:r>
      <w:r w:rsidR="7C3292F1" w:rsidRPr="0537B9E0">
        <w:rPr>
          <w:vertAlign w:val="subscript"/>
        </w:rPr>
        <w:t>DNO</w:t>
      </w:r>
      <w:r>
        <w:t xml:space="preserve"> charge and the payment profile for these will depend upon the charging arrangements of the relevant DNO and reference should be made to the relevant DNO’s charging statement</w:t>
      </w:r>
      <w:r w:rsidR="2BFA854B">
        <w:t xml:space="preserve">. </w:t>
      </w:r>
      <w:r>
        <w:t>In terms of applicable transitional offshore generation projects the ETUoS</w:t>
      </w:r>
      <w:r w:rsidR="3E2C06E2" w:rsidRPr="0537B9E0">
        <w:rPr>
          <w:vertAlign w:val="subscript"/>
        </w:rPr>
        <w:t>OFTO</w:t>
      </w:r>
      <w:r>
        <w:t xml:space="preserve"> payment profile will be consistent with the recovery of the Offshore Transmission Owner revenue stream</w:t>
      </w:r>
      <w:r w:rsidR="0DD8BA32" w:rsidRPr="0537B9E0">
        <w:rPr>
          <w:rFonts w:ascii="Arial" w:hAnsi="Arial" w:cs="Arial"/>
          <w:color w:val="000000" w:themeColor="text1"/>
        </w:rPr>
        <w:t>, and paragraph 14.18.2</w:t>
      </w:r>
      <w:r w:rsidR="41348C0C" w:rsidRPr="0537B9E0">
        <w:rPr>
          <w:rFonts w:ascii="Arial" w:hAnsi="Arial" w:cs="Arial"/>
          <w:color w:val="000000" w:themeColor="text1"/>
        </w:rPr>
        <w:t>6</w:t>
      </w:r>
      <w:r w:rsidRPr="0537B9E0">
        <w:rPr>
          <w:rFonts w:ascii="Arial" w:hAnsi="Arial" w:cs="Arial"/>
          <w:color w:val="000000" w:themeColor="text1"/>
        </w:rPr>
        <w:t>.</w:t>
      </w:r>
    </w:p>
    <w:p w14:paraId="5FADFAAE" w14:textId="77777777" w:rsidR="006661FE" w:rsidRDefault="006661FE" w:rsidP="006661FE">
      <w:pPr>
        <w:pStyle w:val="1"/>
        <w:jc w:val="both"/>
      </w:pPr>
    </w:p>
    <w:p w14:paraId="3076C1C0" w14:textId="2445205D" w:rsidR="006661FE" w:rsidRDefault="4DB720A2" w:rsidP="00533333">
      <w:pPr>
        <w:pStyle w:val="1"/>
        <w:numPr>
          <w:ilvl w:val="0"/>
          <w:numId w:val="76"/>
        </w:numPr>
        <w:jc w:val="both"/>
      </w:pPr>
      <w:r>
        <w:t>Where a DNO’s charge relates to more than one offshore generator, the related ETUoS</w:t>
      </w:r>
      <w:r w:rsidR="06B78714" w:rsidRPr="0537B9E0">
        <w:rPr>
          <w:vertAlign w:val="subscript"/>
        </w:rPr>
        <w:t>DNO</w:t>
      </w:r>
      <w:r w:rsidRPr="0537B9E0">
        <w:rPr>
          <w:vertAlign w:val="subscript"/>
        </w:rPr>
        <w:t xml:space="preserve"> </w:t>
      </w:r>
      <w:r>
        <w:t>charge will represent a straight pass through of the distribution charge specific to each relevant offshore generator</w:t>
      </w:r>
      <w:r w:rsidR="4865FD74">
        <w:t xml:space="preserve">. </w:t>
      </w:r>
      <w:r>
        <w:t>Where specific information is not available, charges will be pro-rated based on the TEC of the relevant offshore generators connected to that offshore network.</w:t>
      </w:r>
    </w:p>
    <w:p w14:paraId="56F3A2BD" w14:textId="77777777" w:rsidR="006661FE" w:rsidRDefault="006661FE" w:rsidP="006661FE">
      <w:pPr>
        <w:pStyle w:val="1"/>
        <w:jc w:val="both"/>
      </w:pPr>
    </w:p>
    <w:p w14:paraId="5BB70B25" w14:textId="37104877" w:rsidR="006661FE" w:rsidRDefault="4DB720A2" w:rsidP="00533333">
      <w:pPr>
        <w:pStyle w:val="1"/>
        <w:numPr>
          <w:ilvl w:val="0"/>
          <w:numId w:val="76"/>
        </w:numPr>
        <w:jc w:val="both"/>
      </w:pPr>
      <w:r>
        <w:t>Invoices for ETUoS</w:t>
      </w:r>
      <w:r w:rsidR="06B78714" w:rsidRPr="0537B9E0">
        <w:rPr>
          <w:vertAlign w:val="subscript"/>
        </w:rPr>
        <w:t>DNO</w:t>
      </w:r>
      <w:r>
        <w:t xml:space="preserve"> charges shall be levied by </w:t>
      </w:r>
      <w:r w:rsidR="58867969" w:rsidRPr="0537B9E0">
        <w:rPr>
          <w:b/>
          <w:bCs/>
        </w:rPr>
        <w:t xml:space="preserve">The </w:t>
      </w:r>
      <w:r w:rsidR="745A5616" w:rsidRPr="0537B9E0">
        <w:rPr>
          <w:b/>
          <w:bCs/>
        </w:rPr>
        <w:t xml:space="preserve">Company </w:t>
      </w:r>
      <w:r w:rsidR="745A5616">
        <w:t xml:space="preserve"> </w:t>
      </w:r>
      <w:r>
        <w:t xml:space="preserve">on the offshore generator as soon as reasonably practicable after invoices have been received by </w:t>
      </w:r>
      <w:r w:rsidR="58867969" w:rsidRPr="0537B9E0">
        <w:rPr>
          <w:b/>
          <w:bCs/>
        </w:rPr>
        <w:t xml:space="preserve">The </w:t>
      </w:r>
      <w:r w:rsidR="745A5616" w:rsidRPr="0537B9E0">
        <w:rPr>
          <w:b/>
          <w:bCs/>
        </w:rPr>
        <w:t>Company</w:t>
      </w:r>
      <w:r w:rsidR="745A5616">
        <w:t xml:space="preserve"> </w:t>
      </w:r>
      <w:r>
        <w:t xml:space="preserve">for payment such that </w:t>
      </w:r>
      <w:r w:rsidR="58867969" w:rsidRPr="0537B9E0">
        <w:rPr>
          <w:b/>
          <w:bCs/>
        </w:rPr>
        <w:t xml:space="preserve">The </w:t>
      </w:r>
      <w:r w:rsidR="745A5616" w:rsidRPr="0537B9E0">
        <w:rPr>
          <w:b/>
          <w:bCs/>
        </w:rPr>
        <w:t>Company</w:t>
      </w:r>
      <w:r w:rsidR="745A5616">
        <w:t xml:space="preserve"> </w:t>
      </w:r>
      <w:r>
        <w:t>can meet its payment obligations to the DNO</w:t>
      </w:r>
      <w:r w:rsidR="606216EF">
        <w:t xml:space="preserve">. </w:t>
      </w:r>
      <w:r>
        <w:t>The initial payments and payment dates will be outlined in a User’s Construction Agreement and/or Bilateral Agreement.</w:t>
      </w:r>
    </w:p>
    <w:p w14:paraId="18336628" w14:textId="77777777" w:rsidR="006661FE" w:rsidRDefault="006661FE" w:rsidP="006661FE">
      <w:pPr>
        <w:pStyle w:val="1"/>
        <w:jc w:val="both"/>
      </w:pPr>
    </w:p>
    <w:p w14:paraId="06E2CC99" w14:textId="24A987D4" w:rsidR="006661FE" w:rsidRDefault="4DB720A2" w:rsidP="00533333">
      <w:pPr>
        <w:pStyle w:val="1"/>
        <w:numPr>
          <w:ilvl w:val="0"/>
          <w:numId w:val="76"/>
        </w:numPr>
        <w:jc w:val="both"/>
      </w:pPr>
      <w:r>
        <w:t>As the ETUoS</w:t>
      </w:r>
      <w:r w:rsidR="31FE0302" w:rsidRPr="0537B9E0">
        <w:rPr>
          <w:vertAlign w:val="subscript"/>
        </w:rPr>
        <w:t>DNO</w:t>
      </w:r>
      <w:r>
        <w:t xml:space="preserve"> charges reflect the DNO charges to</w:t>
      </w:r>
      <w:r w:rsidR="745A5616">
        <w:t xml:space="preserve"> </w:t>
      </w:r>
      <w:r w:rsidR="58867969" w:rsidRPr="0537B9E0">
        <w:rPr>
          <w:b/>
          <w:bCs/>
        </w:rPr>
        <w:t>The Company</w:t>
      </w:r>
      <w:r>
        <w:t>, such charges will be subject to variation when varied by the DNO</w:t>
      </w:r>
      <w:r w:rsidR="404F9C86">
        <w:t xml:space="preserve">. </w:t>
      </w:r>
      <w:r>
        <w:t xml:space="preserve">Where the User </w:t>
      </w:r>
      <w:r>
        <w:lastRenderedPageBreak/>
        <w:t>disputes regarding the ETUoS</w:t>
      </w:r>
      <w:r w:rsidR="31FE0302" w:rsidRPr="0537B9E0">
        <w:rPr>
          <w:vertAlign w:val="subscript"/>
        </w:rPr>
        <w:t>DNO</w:t>
      </w:r>
      <w:r>
        <w:t xml:space="preserve"> charge please note that this will result in a dispute between </w:t>
      </w:r>
      <w:r w:rsidR="58867969" w:rsidRPr="0537B9E0">
        <w:rPr>
          <w:b/>
          <w:bCs/>
        </w:rPr>
        <w:t>The Company</w:t>
      </w:r>
      <w:r w:rsidR="745A5616">
        <w:t xml:space="preserve"> </w:t>
      </w:r>
      <w:r>
        <w:t>and DNO under the DCUSA.</w:t>
      </w:r>
    </w:p>
    <w:p w14:paraId="45CFC8AC" w14:textId="77777777" w:rsidR="006661FE" w:rsidRDefault="006661FE" w:rsidP="006661FE">
      <w:pPr>
        <w:pStyle w:val="1"/>
        <w:jc w:val="both"/>
      </w:pPr>
    </w:p>
    <w:p w14:paraId="4F524613" w14:textId="77777777" w:rsidR="006661FE" w:rsidRDefault="006661FE" w:rsidP="006661FE">
      <w:pPr>
        <w:pStyle w:val="Heading2"/>
      </w:pPr>
      <w:bookmarkStart w:id="497" w:name="_Toc32201096"/>
      <w:bookmarkStart w:id="498" w:name="_Toc49661146"/>
      <w:bookmarkStart w:id="499" w:name="_Toc274049725"/>
      <w:r>
        <w:t>Reconciliation of Generation Charges</w:t>
      </w:r>
      <w:bookmarkEnd w:id="497"/>
      <w:bookmarkEnd w:id="498"/>
      <w:bookmarkEnd w:id="499"/>
    </w:p>
    <w:p w14:paraId="22572DB5" w14:textId="77777777" w:rsidR="006661FE" w:rsidRDefault="006661FE" w:rsidP="006661FE">
      <w:pPr>
        <w:pStyle w:val="1"/>
        <w:keepNext/>
        <w:ind w:left="720" w:hanging="720"/>
        <w:jc w:val="both"/>
      </w:pPr>
    </w:p>
    <w:p w14:paraId="05813453" w14:textId="77777777" w:rsidR="006661FE" w:rsidRDefault="006661FE" w:rsidP="00533333">
      <w:pPr>
        <w:pStyle w:val="1"/>
        <w:numPr>
          <w:ilvl w:val="0"/>
          <w:numId w:val="76"/>
        </w:numPr>
        <w:jc w:val="both"/>
      </w:pPr>
      <w:r>
        <w:t>The reconciliation process is set out in the CUSC and in line with the principles set out above.</w:t>
      </w:r>
    </w:p>
    <w:p w14:paraId="48C11723" w14:textId="77777777" w:rsidR="006661FE" w:rsidRDefault="006661FE" w:rsidP="006661FE">
      <w:pPr>
        <w:pStyle w:val="Text"/>
        <w:numPr>
          <w:ilvl w:val="0"/>
          <w:numId w:val="0"/>
        </w:numPr>
        <w:spacing w:after="0" w:line="240" w:lineRule="auto"/>
        <w:jc w:val="both"/>
        <w:rPr>
          <w:rFonts w:ascii="Arial" w:hAnsi="Arial"/>
        </w:rPr>
      </w:pPr>
    </w:p>
    <w:p w14:paraId="32A18264" w14:textId="25385931" w:rsidR="006661FE" w:rsidRDefault="006661FE" w:rsidP="00533333">
      <w:pPr>
        <w:pStyle w:val="1"/>
        <w:numPr>
          <w:ilvl w:val="0"/>
          <w:numId w:val="76"/>
        </w:numPr>
        <w:jc w:val="both"/>
      </w:pPr>
      <w:r>
        <w:t xml:space="preserve">In the event of a manifest error in the calculation of TNUoS charges which results in a material discrepancy in a User’s TNUoS charge as defined in Sections </w:t>
      </w:r>
      <w:r w:rsidR="00257685">
        <w:t>14.17.3</w:t>
      </w:r>
      <w:r w:rsidR="0061142D">
        <w:t>2</w:t>
      </w:r>
      <w:r>
        <w:t xml:space="preserve"> to </w:t>
      </w:r>
      <w:r w:rsidR="00175AC6">
        <w:t>14.17.35</w:t>
      </w:r>
      <w:r>
        <w:t xml:space="preserve">, the generation charges of Users qualifying under Section </w:t>
      </w:r>
      <w:r>
        <w:fldChar w:fldCharType="begin"/>
      </w:r>
      <w:r>
        <w:instrText xml:space="preserve"> REF _Ref272931090 \r \h </w:instrText>
      </w:r>
      <w:r>
        <w:fldChar w:fldCharType="separate"/>
      </w:r>
      <w:r w:rsidR="004B2E96">
        <w:t>14.17.34</w:t>
      </w:r>
      <w:r>
        <w:fldChar w:fldCharType="end"/>
      </w:r>
      <w:r>
        <w:t xml:space="preserve"> will be reconciled in line with </w:t>
      </w:r>
      <w:r w:rsidR="00674102">
        <w:t>14.18.20</w:t>
      </w:r>
      <w:r>
        <w:t xml:space="preserve"> and </w:t>
      </w:r>
      <w:r w:rsidR="00674102">
        <w:t>14.18.2</w:t>
      </w:r>
      <w:r w:rsidR="002962EE">
        <w:t>4</w:t>
      </w:r>
      <w:r w:rsidR="00674102">
        <w:t xml:space="preserve"> </w:t>
      </w:r>
      <w:r>
        <w:t>using the recalculated tariffs.</w:t>
      </w:r>
    </w:p>
    <w:p w14:paraId="791406A6" w14:textId="77777777" w:rsidR="006661FE" w:rsidRDefault="006661FE" w:rsidP="006661FE">
      <w:pPr>
        <w:pStyle w:val="1"/>
        <w:ind w:right="84"/>
        <w:jc w:val="both"/>
      </w:pPr>
    </w:p>
    <w:p w14:paraId="105003B8" w14:textId="77777777" w:rsidR="006661FE" w:rsidRDefault="006661FE" w:rsidP="006661FE">
      <w:pPr>
        <w:pStyle w:val="Heading2"/>
      </w:pPr>
      <w:bookmarkStart w:id="500" w:name="_Toc32201097"/>
      <w:bookmarkStart w:id="501" w:name="_Toc49661147"/>
      <w:bookmarkStart w:id="502" w:name="_Toc274049726"/>
      <w:bookmarkEnd w:id="490"/>
      <w:r>
        <w:t>Further Information</w:t>
      </w:r>
      <w:bookmarkEnd w:id="500"/>
      <w:bookmarkEnd w:id="501"/>
      <w:bookmarkEnd w:id="502"/>
    </w:p>
    <w:p w14:paraId="68AB7598" w14:textId="77777777" w:rsidR="006661FE" w:rsidRDefault="006661FE" w:rsidP="006661FE">
      <w:pPr>
        <w:pStyle w:val="1"/>
        <w:jc w:val="both"/>
      </w:pPr>
    </w:p>
    <w:p w14:paraId="14CB3A90" w14:textId="77777777" w:rsidR="006661FE" w:rsidRDefault="006661FE" w:rsidP="00533333">
      <w:pPr>
        <w:pStyle w:val="1"/>
        <w:numPr>
          <w:ilvl w:val="0"/>
          <w:numId w:val="76"/>
        </w:numPr>
        <w:jc w:val="both"/>
      </w:pPr>
      <w:r>
        <w:rPr>
          <w:b/>
        </w:rPr>
        <w:t>The Statement of Use of System Charges</w:t>
      </w:r>
      <w:r>
        <w:t xml:space="preserve"> contains the £/kW generation zonal tariffs for the current </w:t>
      </w:r>
      <w:r w:rsidRPr="00CB53CD">
        <w:rPr>
          <w:b/>
          <w:bCs/>
        </w:rPr>
        <w:t>Financial Year</w:t>
      </w:r>
      <w:r>
        <w:t>.</w:t>
      </w:r>
    </w:p>
    <w:p w14:paraId="539260D5" w14:textId="77777777" w:rsidR="006661FE" w:rsidRPr="00FE40FB" w:rsidRDefault="006661FE" w:rsidP="006661FE">
      <w:pPr>
        <w:pStyle w:val="Heading1"/>
        <w:rPr>
          <w:color w:val="auto"/>
          <w:sz w:val="28"/>
          <w:szCs w:val="28"/>
        </w:rPr>
      </w:pPr>
      <w:bookmarkStart w:id="503" w:name="_Toc32201098"/>
      <w:r>
        <w:br w:type="page"/>
      </w:r>
      <w:bookmarkStart w:id="504" w:name="_Toc49661148"/>
      <w:bookmarkStart w:id="505" w:name="_Toc274049727"/>
      <w:r w:rsidRPr="00FE40FB">
        <w:rPr>
          <w:color w:val="auto"/>
          <w:sz w:val="28"/>
          <w:szCs w:val="28"/>
        </w:rPr>
        <w:lastRenderedPageBreak/>
        <w:t>14.19 Data Requirements</w:t>
      </w:r>
      <w:bookmarkEnd w:id="503"/>
      <w:bookmarkEnd w:id="504"/>
      <w:bookmarkEnd w:id="505"/>
    </w:p>
    <w:p w14:paraId="31999FE6" w14:textId="77777777" w:rsidR="006661FE" w:rsidRDefault="006661FE" w:rsidP="006661FE">
      <w:pPr>
        <w:pStyle w:val="Heading2"/>
      </w:pPr>
    </w:p>
    <w:p w14:paraId="6D981032" w14:textId="77777777" w:rsidR="006661FE" w:rsidRDefault="006661FE" w:rsidP="006661FE">
      <w:pPr>
        <w:pStyle w:val="Heading2"/>
      </w:pPr>
      <w:bookmarkStart w:id="506" w:name="_Toc32201099"/>
      <w:bookmarkStart w:id="507" w:name="_Toc49661149"/>
      <w:bookmarkStart w:id="508" w:name="_Toc274049728"/>
      <w:r>
        <w:t>Data Required for Charge Setting</w:t>
      </w:r>
      <w:bookmarkEnd w:id="506"/>
      <w:bookmarkEnd w:id="507"/>
      <w:bookmarkEnd w:id="508"/>
    </w:p>
    <w:p w14:paraId="7DB23F9A" w14:textId="77777777" w:rsidR="006661FE" w:rsidRDefault="006661FE" w:rsidP="006661FE">
      <w:pPr>
        <w:jc w:val="both"/>
        <w:rPr>
          <w:rFonts w:ascii="Arial" w:hAnsi="Arial"/>
        </w:rPr>
      </w:pPr>
    </w:p>
    <w:p w14:paraId="3A3EF773" w14:textId="1A29E285" w:rsidR="006661FE" w:rsidRDefault="4DB720A2" w:rsidP="00533333">
      <w:pPr>
        <w:pStyle w:val="1"/>
        <w:numPr>
          <w:ilvl w:val="0"/>
          <w:numId w:val="77"/>
        </w:numPr>
        <w:jc w:val="both"/>
      </w:pPr>
      <w:r>
        <w:t xml:space="preserve">Users who are Generators or Interconnector Asset Owners provide to </w:t>
      </w:r>
      <w:r w:rsidR="58867969" w:rsidRPr="0537B9E0">
        <w:rPr>
          <w:b/>
          <w:bCs/>
        </w:rPr>
        <w:t xml:space="preserve">The </w:t>
      </w:r>
      <w:r w:rsidRPr="0537B9E0">
        <w:rPr>
          <w:b/>
          <w:bCs/>
        </w:rPr>
        <w:t>Company</w:t>
      </w:r>
      <w:r>
        <w:t xml:space="preserve"> a forecast for the following </w:t>
      </w:r>
      <w:r w:rsidRPr="0537B9E0">
        <w:rPr>
          <w:b/>
          <w:bCs/>
        </w:rPr>
        <w:t>Financial Year</w:t>
      </w:r>
      <w:r>
        <w:t xml:space="preserve"> of the highest Transmission Entry Capacity (TEC) applicable to each Power Station or Interconnector for that </w:t>
      </w:r>
      <w:r w:rsidRPr="0537B9E0">
        <w:rPr>
          <w:b/>
          <w:bCs/>
        </w:rPr>
        <w:t>Financial Year</w:t>
      </w:r>
      <w:r>
        <w:t xml:space="preserve">. For </w:t>
      </w:r>
      <w:r w:rsidRPr="0537B9E0">
        <w:rPr>
          <w:b/>
          <w:bCs/>
        </w:rPr>
        <w:t>Financial Year</w:t>
      </w:r>
      <w:r>
        <w:t xml:space="preserve"> 2008/9 Scottish Generators or Interconnector Asset Owners provide to </w:t>
      </w:r>
      <w:r w:rsidR="58867969" w:rsidRPr="0537B9E0">
        <w:rPr>
          <w:b/>
          <w:bCs/>
        </w:rPr>
        <w:t xml:space="preserve">The </w:t>
      </w:r>
      <w:r w:rsidRPr="0537B9E0">
        <w:rPr>
          <w:b/>
          <w:bCs/>
        </w:rPr>
        <w:t>Company</w:t>
      </w:r>
      <w:r>
        <w:t xml:space="preserve"> a forecast of the equivalent highest ‘export’ capacity figure</w:t>
      </w:r>
      <w:r w:rsidR="1ED83E7C">
        <w:t xml:space="preserve">. </w:t>
      </w:r>
      <w:r>
        <w:t xml:space="preserve">This data is required by </w:t>
      </w:r>
      <w:r w:rsidR="58867969" w:rsidRPr="0537B9E0">
        <w:rPr>
          <w:b/>
          <w:bCs/>
        </w:rPr>
        <w:t xml:space="preserve">The </w:t>
      </w:r>
      <w:r w:rsidRPr="0537B9E0">
        <w:rPr>
          <w:b/>
          <w:bCs/>
        </w:rPr>
        <w:t>Company</w:t>
      </w:r>
      <w:r>
        <w:t xml:space="preserve"> as the basis for setting TNUoS tariffs</w:t>
      </w:r>
      <w:r w:rsidR="006661FE">
        <w:fldChar w:fldCharType="begin"/>
      </w:r>
      <w:r w:rsidR="006661FE">
        <w:instrText xml:space="preserve"> XE "TNUoS" </w:instrText>
      </w:r>
      <w:r w:rsidR="006661FE">
        <w:fldChar w:fldCharType="end"/>
      </w:r>
      <w:r w:rsidR="2DAB048E">
        <w:t xml:space="preserve">. </w:t>
      </w:r>
      <w:r w:rsidR="58867969" w:rsidRPr="0537B9E0">
        <w:rPr>
          <w:b/>
          <w:bCs/>
        </w:rPr>
        <w:t>The</w:t>
      </w:r>
      <w:r w:rsidRPr="0537B9E0">
        <w:rPr>
          <w:b/>
          <w:bCs/>
        </w:rPr>
        <w:t xml:space="preserve"> Company</w:t>
      </w:r>
      <w:r>
        <w:t xml:space="preserve"> may request these forecasts in the November prior to the </w:t>
      </w:r>
      <w:r w:rsidRPr="0537B9E0">
        <w:rPr>
          <w:b/>
          <w:bCs/>
        </w:rPr>
        <w:t>Financial Year</w:t>
      </w:r>
      <w:r>
        <w:t xml:space="preserve"> to which they relate, in accordance with the CUSC</w:t>
      </w:r>
      <w:r w:rsidR="5FA0610C">
        <w:t xml:space="preserve">. </w:t>
      </w:r>
      <w:r w:rsidR="37C8F74D">
        <w:t xml:space="preserve">Additionally users who are Generators provide to </w:t>
      </w:r>
      <w:r w:rsidR="58867969" w:rsidRPr="0537B9E0">
        <w:rPr>
          <w:b/>
          <w:bCs/>
        </w:rPr>
        <w:t xml:space="preserve">The </w:t>
      </w:r>
      <w:r w:rsidR="37C8F74D" w:rsidRPr="0537B9E0">
        <w:rPr>
          <w:b/>
          <w:bCs/>
        </w:rPr>
        <w:t>Company</w:t>
      </w:r>
      <w:r w:rsidR="37C8F74D">
        <w:t xml:space="preserve"> details of their generation plant type. </w:t>
      </w:r>
    </w:p>
    <w:p w14:paraId="1CA7BE09" w14:textId="77777777" w:rsidR="006661FE" w:rsidRDefault="006661FE" w:rsidP="006661FE">
      <w:pPr>
        <w:pStyle w:val="1"/>
        <w:jc w:val="both"/>
      </w:pPr>
    </w:p>
    <w:p w14:paraId="6A322F24" w14:textId="282981B9" w:rsidR="006661FE" w:rsidRDefault="4DB720A2" w:rsidP="00533333">
      <w:pPr>
        <w:pStyle w:val="1"/>
        <w:numPr>
          <w:ilvl w:val="0"/>
          <w:numId w:val="77"/>
        </w:numPr>
        <w:jc w:val="both"/>
      </w:pPr>
      <w:r>
        <w:t xml:space="preserve">Users who are owners or operators of a User System (e.g. Distribution companies) provide a forecast for the following </w:t>
      </w:r>
      <w:r w:rsidRPr="0537B9E0">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w:t>
      </w:r>
      <w:r w:rsidR="3ACD16ED">
        <w:t xml:space="preserve">. </w:t>
      </w:r>
      <w:r>
        <w:t xml:space="preserve">This data is published in table 2.4 of the Seven Year Statement and is compiled from week 24 data submitted in accordance with the Grid Code. </w:t>
      </w:r>
    </w:p>
    <w:p w14:paraId="2D95EBF9" w14:textId="77777777" w:rsidR="00C512FC" w:rsidRDefault="00C512FC" w:rsidP="009F4595">
      <w:pPr>
        <w:pStyle w:val="ListParagraph"/>
      </w:pPr>
    </w:p>
    <w:p w14:paraId="415206B9" w14:textId="77777777" w:rsidR="009A5AC9" w:rsidRDefault="009A5AC9" w:rsidP="009A5AC9">
      <w:pPr>
        <w:pStyle w:val="1"/>
        <w:numPr>
          <w:ilvl w:val="0"/>
          <w:numId w:val="77"/>
        </w:numPr>
        <w:jc w:val="both"/>
      </w:pPr>
      <w:r>
        <w:rPr>
          <w:b/>
        </w:rPr>
        <w:t>The BSCCo</w:t>
      </w:r>
      <w:r>
        <w:t xml:space="preserve"> will provide data to </w:t>
      </w:r>
      <w:r>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22476A0C" w14:textId="77777777" w:rsidR="006661FE" w:rsidRDefault="006661FE" w:rsidP="006661FE">
      <w:pPr>
        <w:pStyle w:val="1"/>
      </w:pPr>
    </w:p>
    <w:p w14:paraId="28BC0C67" w14:textId="02A5C703" w:rsidR="006661FE" w:rsidRPr="00B52FA0" w:rsidRDefault="4DB720A2" w:rsidP="0537B9E0">
      <w:pPr>
        <w:pStyle w:val="1"/>
        <w:numPr>
          <w:ilvl w:val="0"/>
          <w:numId w:val="77"/>
        </w:numPr>
        <w:jc w:val="both"/>
        <w:rPr>
          <w:b/>
          <w:bCs/>
        </w:rPr>
      </w:pPr>
      <w:r>
        <w:t xml:space="preserve">For the following </w:t>
      </w:r>
      <w:r w:rsidRPr="0537B9E0">
        <w:rPr>
          <w:b/>
          <w:bCs/>
        </w:rPr>
        <w:t>Financial Year</w:t>
      </w:r>
      <w:r>
        <w:t xml:space="preserve">, </w:t>
      </w:r>
      <w:r w:rsidR="58867969" w:rsidRPr="0537B9E0">
        <w:rPr>
          <w:b/>
          <w:bCs/>
        </w:rPr>
        <w:t>The Company</w:t>
      </w:r>
      <w:r>
        <w:t xml:space="preserve"> shall use these forecasts as the basis of Transmission Network Use of System charges for such </w:t>
      </w:r>
      <w:r w:rsidRPr="0537B9E0">
        <w:rPr>
          <w:b/>
          <w:bCs/>
        </w:rPr>
        <w:t>Financial Year</w:t>
      </w:r>
      <w:r w:rsidR="481890CD">
        <w:t xml:space="preserve">. </w:t>
      </w:r>
      <w:r>
        <w:t>A description of how this data is incorporated is included in 14.15 Derivation of the Transmission Network Use of System Tariff.</w:t>
      </w:r>
      <w:r w:rsidRPr="0537B9E0">
        <w:rPr>
          <w:b/>
          <w:bCs/>
        </w:rPr>
        <w:t xml:space="preserve"> </w:t>
      </w:r>
    </w:p>
    <w:p w14:paraId="51348E2E" w14:textId="77777777" w:rsidR="006661FE" w:rsidRDefault="006661FE" w:rsidP="006661FE">
      <w:pPr>
        <w:pStyle w:val="1"/>
      </w:pPr>
    </w:p>
    <w:p w14:paraId="683F4E7B" w14:textId="4237017A" w:rsidR="006661FE" w:rsidRDefault="4DB720A2" w:rsidP="00533333">
      <w:pPr>
        <w:pStyle w:val="1"/>
        <w:numPr>
          <w:ilvl w:val="0"/>
          <w:numId w:val="77"/>
        </w:numPr>
        <w:jc w:val="both"/>
      </w:pPr>
      <w:r>
        <w:t xml:space="preserve">If no data is received from the User, then </w:t>
      </w:r>
      <w:r w:rsidR="58867969" w:rsidRPr="0537B9E0">
        <w:rPr>
          <w:b/>
          <w:bCs/>
        </w:rPr>
        <w:t xml:space="preserve">The </w:t>
      </w:r>
      <w:r w:rsidRPr="0537B9E0">
        <w:rPr>
          <w:b/>
          <w:bCs/>
        </w:rPr>
        <w:t>Company</w:t>
      </w:r>
      <w:r>
        <w:t xml:space="preserve"> will use the best information available for the purposes of calculation of the TNUoS</w:t>
      </w:r>
      <w:r w:rsidR="006661FE">
        <w:fldChar w:fldCharType="begin"/>
      </w:r>
      <w:r w:rsidR="006661FE">
        <w:instrText xml:space="preserve"> XE "TNUoS" </w:instrText>
      </w:r>
      <w:r w:rsidR="006661FE">
        <w:fldChar w:fldCharType="end"/>
      </w:r>
      <w:r>
        <w:t xml:space="preserve"> tariffs</w:t>
      </w:r>
      <w:r w:rsidR="3C8ED98C">
        <w:t xml:space="preserve">. </w:t>
      </w:r>
      <w:r>
        <w:t xml:space="preserve">This will normally be the forecasts provided for the previous </w:t>
      </w:r>
      <w:r w:rsidRPr="0537B9E0">
        <w:rPr>
          <w:b/>
          <w:bCs/>
        </w:rPr>
        <w:t>Financial Year</w:t>
      </w:r>
      <w:r>
        <w:t>.</w:t>
      </w:r>
    </w:p>
    <w:p w14:paraId="5FB2A15E" w14:textId="77777777" w:rsidR="006661FE" w:rsidRDefault="006661FE" w:rsidP="006661FE">
      <w:pPr>
        <w:pStyle w:val="1"/>
        <w:ind w:left="720"/>
        <w:jc w:val="both"/>
      </w:pPr>
    </w:p>
    <w:p w14:paraId="62E5876F" w14:textId="77777777" w:rsidR="006661FE" w:rsidRDefault="006661FE" w:rsidP="006661FE">
      <w:pPr>
        <w:pStyle w:val="Heading2"/>
      </w:pPr>
      <w:bookmarkStart w:id="509" w:name="_Toc32201100"/>
      <w:bookmarkStart w:id="510" w:name="_Toc49661150"/>
      <w:bookmarkStart w:id="511" w:name="_Toc274049729"/>
      <w:r>
        <w:t>Data Required for Calculating Users’ Charges</w:t>
      </w:r>
      <w:bookmarkEnd w:id="509"/>
      <w:bookmarkEnd w:id="510"/>
      <w:bookmarkEnd w:id="511"/>
    </w:p>
    <w:p w14:paraId="1A89A9EF" w14:textId="77777777" w:rsidR="006661FE" w:rsidRDefault="006661FE" w:rsidP="006661FE">
      <w:pPr>
        <w:pStyle w:val="1"/>
        <w:jc w:val="both"/>
      </w:pPr>
    </w:p>
    <w:p w14:paraId="2E48EBED" w14:textId="1E2A8718" w:rsidR="006661FE" w:rsidRDefault="4DB720A2" w:rsidP="0537B9E0">
      <w:pPr>
        <w:pStyle w:val="1"/>
        <w:numPr>
          <w:ilvl w:val="0"/>
          <w:numId w:val="77"/>
        </w:numPr>
        <w:jc w:val="both"/>
        <w:rPr>
          <w:b/>
          <w:bCs/>
          <w:i/>
          <w:iCs/>
        </w:rPr>
      </w:pPr>
      <w:bookmarkStart w:id="512" w:name="_Int_8CGAG6IK"/>
      <w:r>
        <w:t>In order for</w:t>
      </w:r>
      <w:bookmarkEnd w:id="512"/>
      <w:r>
        <w:t xml:space="preserve"> </w:t>
      </w:r>
      <w:r w:rsidR="58867969" w:rsidRPr="0537B9E0">
        <w:rPr>
          <w:b/>
          <w:bCs/>
        </w:rPr>
        <w:t>The Company</w:t>
      </w:r>
      <w:r w:rsidRPr="0537B9E0">
        <w:rPr>
          <w:b/>
          <w:bCs/>
        </w:rPr>
        <w:t xml:space="preserve"> </w:t>
      </w:r>
      <w:r>
        <w:t xml:space="preserve">to calculate Users' TNUoS charges, Users who are Suppliers shall provide to </w:t>
      </w:r>
      <w:r w:rsidR="58867969" w:rsidRPr="0537B9E0">
        <w:rPr>
          <w:b/>
          <w:bCs/>
        </w:rPr>
        <w:t>The Company</w:t>
      </w:r>
      <w:r w:rsidRPr="0537B9E0">
        <w:rPr>
          <w:b/>
          <w:bCs/>
        </w:rPr>
        <w:t xml:space="preserve"> </w:t>
      </w:r>
      <w:r>
        <w:t>forecasts of half-hourly and non-half-hourly demand in accordance with paragraph 14.17.</w:t>
      </w:r>
      <w:r w:rsidR="09A86CCA">
        <w:t>19</w:t>
      </w:r>
      <w:r>
        <w:t xml:space="preserve"> and 14.17.</w:t>
      </w:r>
      <w:r w:rsidR="09A86CCA">
        <w:t>20</w:t>
      </w:r>
      <w:r>
        <w:t xml:space="preserve"> and in accordance with the CUSC.</w:t>
      </w:r>
    </w:p>
    <w:p w14:paraId="3E8F9C1E" w14:textId="77777777" w:rsidR="006661FE" w:rsidRPr="00FE40FB" w:rsidRDefault="006661FE" w:rsidP="006661FE">
      <w:pPr>
        <w:pStyle w:val="Heading1"/>
        <w:rPr>
          <w:color w:val="auto"/>
          <w:sz w:val="28"/>
          <w:szCs w:val="28"/>
        </w:rPr>
      </w:pPr>
      <w:bookmarkStart w:id="513" w:name="_Toc32201101"/>
      <w:r>
        <w:br w:type="page"/>
      </w:r>
      <w:bookmarkStart w:id="514" w:name="_Toc49661151"/>
      <w:bookmarkStart w:id="515" w:name="_Toc274049730"/>
      <w:r w:rsidRPr="00FE40FB">
        <w:rPr>
          <w:color w:val="auto"/>
          <w:sz w:val="28"/>
          <w:szCs w:val="28"/>
        </w:rPr>
        <w:lastRenderedPageBreak/>
        <w:t>14.20 Applications</w:t>
      </w:r>
      <w:bookmarkEnd w:id="513"/>
      <w:bookmarkEnd w:id="514"/>
      <w:bookmarkEnd w:id="515"/>
    </w:p>
    <w:p w14:paraId="26650D82" w14:textId="77777777" w:rsidR="006661FE" w:rsidRDefault="006661FE" w:rsidP="006661FE">
      <w:pPr>
        <w:pStyle w:val="Heading1"/>
      </w:pPr>
    </w:p>
    <w:p w14:paraId="0DC3E934" w14:textId="77777777" w:rsidR="006661FE" w:rsidRDefault="006661FE" w:rsidP="00533333">
      <w:pPr>
        <w:pStyle w:val="1"/>
        <w:numPr>
          <w:ilvl w:val="0"/>
          <w:numId w:val="78"/>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2FD6337A" w14:textId="77777777" w:rsidR="006661FE" w:rsidRDefault="006661FE" w:rsidP="006661FE">
      <w:pPr>
        <w:pStyle w:val="1"/>
        <w:jc w:val="both"/>
      </w:pPr>
    </w:p>
    <w:p w14:paraId="4781A304" w14:textId="77777777" w:rsidR="006661FE" w:rsidRPr="005B37ED" w:rsidRDefault="006661FE" w:rsidP="006661FE">
      <w:pPr>
        <w:pStyle w:val="1"/>
        <w:jc w:val="both"/>
        <w:rPr>
          <w:b/>
          <w:color w:val="008080"/>
        </w:rPr>
      </w:pPr>
      <w:r w:rsidRPr="005B37ED">
        <w:rPr>
          <w:b/>
          <w:color w:val="008080"/>
        </w:rPr>
        <w:t>Applications for short-term access</w:t>
      </w:r>
    </w:p>
    <w:p w14:paraId="5357A62C" w14:textId="77777777" w:rsidR="006661FE" w:rsidRDefault="006661FE" w:rsidP="006661FE">
      <w:pPr>
        <w:pStyle w:val="1"/>
        <w:jc w:val="both"/>
      </w:pPr>
    </w:p>
    <w:p w14:paraId="648EB807" w14:textId="77777777" w:rsidR="006661FE" w:rsidRDefault="006661FE" w:rsidP="00533333">
      <w:pPr>
        <w:pStyle w:val="1"/>
        <w:numPr>
          <w:ilvl w:val="0"/>
          <w:numId w:val="78"/>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5236E0C6" w14:textId="77777777" w:rsidR="006661FE" w:rsidRDefault="006661FE" w:rsidP="006661FE">
      <w:pPr>
        <w:pStyle w:val="1"/>
        <w:jc w:val="both"/>
      </w:pPr>
    </w:p>
    <w:p w14:paraId="1E59EBEA" w14:textId="77777777" w:rsidR="006661FE" w:rsidRDefault="006661FE" w:rsidP="00533333">
      <w:pPr>
        <w:pStyle w:val="1"/>
        <w:numPr>
          <w:ilvl w:val="0"/>
          <w:numId w:val="79"/>
        </w:numPr>
        <w:ind w:left="1987" w:hanging="360"/>
        <w:jc w:val="both"/>
      </w:pPr>
      <w:r>
        <w:t>Where a User (or Users) withdraw their application in accordance with any interactivity provisions that may be contained within the CUSC; or</w:t>
      </w:r>
    </w:p>
    <w:p w14:paraId="7ABC3DA1" w14:textId="77777777" w:rsidR="006661FE" w:rsidRDefault="006661FE" w:rsidP="006661FE">
      <w:pPr>
        <w:pStyle w:val="1"/>
        <w:ind w:left="2347"/>
        <w:jc w:val="both"/>
      </w:pPr>
    </w:p>
    <w:p w14:paraId="22955096" w14:textId="77777777" w:rsidR="006661FE" w:rsidRDefault="006661FE" w:rsidP="00533333">
      <w:pPr>
        <w:pStyle w:val="1"/>
        <w:numPr>
          <w:ilvl w:val="0"/>
          <w:numId w:val="80"/>
        </w:numPr>
        <w:ind w:left="1987" w:hanging="360"/>
        <w:jc w:val="both"/>
      </w:pPr>
      <w:r>
        <w:t>Where the application fee covers ongoing assessment work that is contingent on the acceptance of the offer.</w:t>
      </w:r>
    </w:p>
    <w:p w14:paraId="55415126" w14:textId="77777777" w:rsidR="006661FE" w:rsidRDefault="006661FE" w:rsidP="006661FE">
      <w:pPr>
        <w:pStyle w:val="1"/>
        <w:jc w:val="both"/>
      </w:pPr>
    </w:p>
    <w:p w14:paraId="45D303A8" w14:textId="77777777" w:rsidR="006661FE" w:rsidRDefault="006661FE" w:rsidP="00533333">
      <w:pPr>
        <w:pStyle w:val="1"/>
        <w:numPr>
          <w:ilvl w:val="0"/>
          <w:numId w:val="78"/>
        </w:numPr>
        <w:jc w:val="both"/>
      </w:pPr>
      <w:r>
        <w:t>In either case, the refunded amount will be proportional to the remaining assessment time available.</w:t>
      </w:r>
    </w:p>
    <w:p w14:paraId="4B40309A" w14:textId="77777777" w:rsidR="006661FE" w:rsidRDefault="006661FE" w:rsidP="006661FE">
      <w:pPr>
        <w:pStyle w:val="1"/>
        <w:jc w:val="both"/>
      </w:pPr>
    </w:p>
    <w:p w14:paraId="78956559" w14:textId="4D212C64" w:rsidR="006661FE" w:rsidRDefault="4DB720A2" w:rsidP="00533333">
      <w:pPr>
        <w:pStyle w:val="1"/>
        <w:numPr>
          <w:ilvl w:val="0"/>
          <w:numId w:val="78"/>
        </w:numPr>
        <w:jc w:val="both"/>
      </w:pPr>
      <w:r>
        <w:t xml:space="preserve">To ensure that application fees for short-term access are cost reflective, fees may be comprised of </w:t>
      </w:r>
      <w:bookmarkStart w:id="516" w:name="_Int_FuUZbuVP"/>
      <w:r>
        <w:t>a number of</w:t>
      </w:r>
      <w:bookmarkEnd w:id="516"/>
      <w:r>
        <w:t xml:space="preserve"> components</w:t>
      </w:r>
      <w:r w:rsidR="1E6D9C43">
        <w:t xml:space="preserve">. </w:t>
      </w:r>
      <w:r>
        <w:t xml:space="preserve">For instance, the LDTEC Request Fee is comprised of </w:t>
      </w:r>
      <w:bookmarkStart w:id="517" w:name="_Int_Cr5k7scj"/>
      <w:r>
        <w:t>a number of</w:t>
      </w:r>
      <w:bookmarkEnd w:id="517"/>
      <w:r>
        <w:t xml:space="preserve"> components and the total fee payable is the sum of those components that apply to the type(s) of LDTEC Offer(s) requested</w:t>
      </w:r>
      <w:r w:rsidR="3668BCD8">
        <w:t xml:space="preserve">. </w:t>
      </w:r>
      <w:r>
        <w:t>For example:</w:t>
      </w:r>
    </w:p>
    <w:p w14:paraId="165E0CA2" w14:textId="77777777" w:rsidR="006661FE" w:rsidRDefault="006661FE" w:rsidP="006661FE">
      <w:pPr>
        <w:pStyle w:val="1"/>
        <w:jc w:val="both"/>
      </w:pPr>
    </w:p>
    <w:p w14:paraId="31175BB9" w14:textId="77777777" w:rsidR="006661FE" w:rsidRPr="00AB40D1" w:rsidRDefault="006661FE" w:rsidP="00533333">
      <w:pPr>
        <w:pStyle w:val="1"/>
        <w:numPr>
          <w:ilvl w:val="0"/>
          <w:numId w:val="57"/>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68269CE0" w14:textId="77777777" w:rsidR="006661FE" w:rsidRPr="00AB40D1" w:rsidRDefault="006661FE" w:rsidP="006661FE">
      <w:pPr>
        <w:pStyle w:val="1"/>
        <w:ind w:left="1627"/>
        <w:jc w:val="both"/>
      </w:pPr>
    </w:p>
    <w:p w14:paraId="2C5D20F5"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0BC619D8" w14:textId="77777777" w:rsidR="006661FE" w:rsidRPr="00AB40D1" w:rsidRDefault="006661FE" w:rsidP="006661FE">
      <w:pPr>
        <w:pStyle w:val="1"/>
        <w:ind w:left="1627"/>
        <w:jc w:val="both"/>
      </w:pPr>
    </w:p>
    <w:p w14:paraId="49DA27D8"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51376209" w14:textId="77777777" w:rsidR="006661FE" w:rsidRDefault="006661FE" w:rsidP="006661FE">
      <w:pPr>
        <w:rPr>
          <w:rFonts w:ascii="Arial" w:hAnsi="Arial"/>
        </w:rPr>
      </w:pPr>
    </w:p>
    <w:p w14:paraId="54B8C192"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4EE6D0C2" w14:textId="77777777" w:rsidR="006661FE" w:rsidRDefault="006661FE" w:rsidP="006661FE">
      <w:pPr>
        <w:rPr>
          <w:rFonts w:ascii="Arial" w:hAnsi="Arial"/>
        </w:rPr>
      </w:pPr>
    </w:p>
    <w:p w14:paraId="07E390B3" w14:textId="77777777" w:rsidR="006661FE" w:rsidRDefault="006661FE" w:rsidP="00533333">
      <w:pPr>
        <w:pStyle w:val="1"/>
        <w:numPr>
          <w:ilvl w:val="0"/>
          <w:numId w:val="78"/>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4032DDEC" w14:textId="77777777" w:rsidR="006661FE" w:rsidRDefault="006661FE" w:rsidP="006661FE">
      <w:pPr>
        <w:pStyle w:val="1"/>
        <w:jc w:val="both"/>
      </w:pPr>
    </w:p>
    <w:p w14:paraId="7A7877BB" w14:textId="2C22AAA3" w:rsidR="006661FE" w:rsidRDefault="006661FE" w:rsidP="00533333">
      <w:pPr>
        <w:pStyle w:val="1"/>
        <w:numPr>
          <w:ilvl w:val="0"/>
          <w:numId w:val="78"/>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returned to the User.</w:t>
      </w:r>
    </w:p>
    <w:p w14:paraId="7A962855" w14:textId="77777777" w:rsidR="006661FE" w:rsidRDefault="006661FE" w:rsidP="006661FE">
      <w:pPr>
        <w:pStyle w:val="1"/>
        <w:jc w:val="both"/>
      </w:pPr>
    </w:p>
    <w:p w14:paraId="6D963831" w14:textId="49C4026D" w:rsidR="006661FE" w:rsidRDefault="58867969" w:rsidP="00533333">
      <w:pPr>
        <w:pStyle w:val="1"/>
        <w:numPr>
          <w:ilvl w:val="0"/>
          <w:numId w:val="78"/>
        </w:numPr>
        <w:jc w:val="both"/>
      </w:pPr>
      <w:r w:rsidRPr="0537B9E0">
        <w:rPr>
          <w:b/>
          <w:bCs/>
        </w:rPr>
        <w:t>The</w:t>
      </w:r>
      <w:r w:rsidR="4DB720A2" w:rsidRPr="0537B9E0">
        <w:rPr>
          <w:b/>
          <w:bCs/>
        </w:rPr>
        <w:t xml:space="preserve"> Company</w:t>
      </w:r>
      <w:r w:rsidR="4DB720A2">
        <w:t xml:space="preserve"> will refund the first application fee paid (the fixed fee or the amount post-reconciliation) and consent payments made under the Construction Agreement for new or modified existing agreements</w:t>
      </w:r>
      <w:r w:rsidR="07B73DEA">
        <w:t xml:space="preserve">. </w:t>
      </w:r>
      <w:r w:rsidR="4DB720A2">
        <w:t xml:space="preserve">The refund shall be made </w:t>
      </w:r>
      <w:r w:rsidR="4DB720A2">
        <w:lastRenderedPageBreak/>
        <w:t>either on commissioning or against the charges payable in the first three years of the new or modified agreement. The refund will be net of external costs.</w:t>
      </w:r>
    </w:p>
    <w:p w14:paraId="36F69E9F" w14:textId="77777777" w:rsidR="006661FE" w:rsidRDefault="006661FE" w:rsidP="006661FE">
      <w:pPr>
        <w:pStyle w:val="1"/>
        <w:jc w:val="both"/>
      </w:pPr>
    </w:p>
    <w:p w14:paraId="2E30061D" w14:textId="737F1765" w:rsidR="006661FE" w:rsidRDefault="1CE92958" w:rsidP="00533333">
      <w:pPr>
        <w:pStyle w:val="1"/>
        <w:numPr>
          <w:ilvl w:val="0"/>
          <w:numId w:val="78"/>
        </w:numPr>
        <w:jc w:val="both"/>
      </w:pPr>
      <w:r w:rsidRPr="00C94D4B">
        <w:rPr>
          <w:b/>
        </w:rPr>
        <w:t>The</w:t>
      </w:r>
      <w:r w:rsidR="006661FE" w:rsidRPr="00C94D4B">
        <w:rPr>
          <w:b/>
        </w:rPr>
        <w:t xml:space="preserve"> Company </w:t>
      </w:r>
      <w:r w:rsidR="006661FE">
        <w:t xml:space="preserve">will not refund application fees for applications to modify a new agreement or modified existing agreement at the User’s request before any charges become payable. For example, </w:t>
      </w:r>
      <w:r w:rsidRPr="00C94D4B">
        <w:rPr>
          <w:b/>
        </w:rPr>
        <w:t>The Company</w:t>
      </w:r>
      <w:r w:rsidR="006661FE" w:rsidRPr="00C94D4B">
        <w:rPr>
          <w:b/>
        </w:rPr>
        <w:t xml:space="preserve"> </w:t>
      </w:r>
      <w:r w:rsidR="006661FE">
        <w:t>will not refund an application fee to delay the provision of a new connection if this is made prior to charges becoming payable.</w:t>
      </w:r>
    </w:p>
    <w:p w14:paraId="036763E6" w14:textId="77777777" w:rsidR="006661FE" w:rsidRDefault="006661FE" w:rsidP="006661FE">
      <w:pPr>
        <w:pStyle w:val="1"/>
      </w:pPr>
    </w:p>
    <w:p w14:paraId="259A1111" w14:textId="6E2B22A5" w:rsidR="00533333" w:rsidRPr="00FE40FB" w:rsidRDefault="006661FE" w:rsidP="00533333">
      <w:pPr>
        <w:pStyle w:val="Heading1"/>
        <w:rPr>
          <w:color w:val="auto"/>
          <w:sz w:val="28"/>
          <w:szCs w:val="28"/>
        </w:rPr>
      </w:pPr>
      <w:bookmarkStart w:id="518" w:name="_Ref531603538"/>
      <w:bookmarkStart w:id="519" w:name="_Toc32201102"/>
      <w:r>
        <w:br w:type="page"/>
      </w:r>
      <w:bookmarkStart w:id="520" w:name="_Toc49661152"/>
      <w:bookmarkStart w:id="521" w:name="_Toc274049731"/>
      <w:bookmarkEnd w:id="518"/>
      <w:bookmarkEnd w:id="519"/>
      <w:r w:rsidRPr="00FE40FB">
        <w:rPr>
          <w:color w:val="auto"/>
        </w:rPr>
        <w:lastRenderedPageBreak/>
        <w:t xml:space="preserve">14.21 </w:t>
      </w:r>
      <w:r w:rsidR="00533333" w:rsidRPr="00FE40FB">
        <w:rPr>
          <w:color w:val="auto"/>
          <w:sz w:val="28"/>
          <w:szCs w:val="28"/>
        </w:rPr>
        <w:t>Transport Model Example</w:t>
      </w:r>
    </w:p>
    <w:p w14:paraId="228D8C59" w14:textId="77777777" w:rsidR="00533333" w:rsidRDefault="00533333" w:rsidP="00533333">
      <w:pPr>
        <w:jc w:val="both"/>
        <w:rPr>
          <w:rFonts w:ascii="Arial" w:hAnsi="Arial"/>
          <w:sz w:val="22"/>
        </w:rPr>
      </w:pPr>
    </w:p>
    <w:p w14:paraId="2B4DFDA3" w14:textId="77777777" w:rsidR="00533333" w:rsidRDefault="00533333" w:rsidP="00533333">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6A081EBE" w14:textId="77777777" w:rsidR="00533333" w:rsidRDefault="00533333" w:rsidP="00533333">
      <w:pPr>
        <w:jc w:val="both"/>
        <w:rPr>
          <w:rFonts w:ascii="Arial" w:hAnsi="Arial"/>
          <w:sz w:val="22"/>
        </w:rPr>
      </w:pPr>
    </w:p>
    <w:p w14:paraId="549058A2" w14:textId="77777777" w:rsidR="00533333" w:rsidRDefault="00533333" w:rsidP="00533333">
      <w:pPr>
        <w:jc w:val="both"/>
        <w:rPr>
          <w:rFonts w:ascii="Arial" w:hAnsi="Arial"/>
          <w:sz w:val="22"/>
        </w:rPr>
      </w:pPr>
      <w:r>
        <w:rPr>
          <w:rFonts w:ascii="Arial" w:hAnsi="Arial"/>
          <w:sz w:val="22"/>
        </w:rPr>
        <w:t>Consider the following 3-node network, where generation at node A is intermittent and generation at node B is conventional:</w:t>
      </w:r>
    </w:p>
    <w:p w14:paraId="40A51120" w14:textId="77777777" w:rsidR="00533333" w:rsidRDefault="00533333" w:rsidP="00533333">
      <w:pPr>
        <w:jc w:val="both"/>
        <w:rPr>
          <w:rFonts w:ascii="Arial" w:hAnsi="Arial"/>
          <w:sz w:val="22"/>
        </w:rPr>
      </w:pPr>
    </w:p>
    <w:p w14:paraId="178EBD0A" w14:textId="07838612" w:rsidR="00533333" w:rsidRDefault="00533333" w:rsidP="00533333">
      <w:pPr>
        <w:jc w:val="both"/>
        <w:rPr>
          <w:rFonts w:ascii="Arial" w:hAnsi="Arial"/>
          <w:sz w:val="22"/>
        </w:rPr>
      </w:pPr>
      <w:r>
        <w:rPr>
          <w:rFonts w:ascii="Arial" w:hAnsi="Arial"/>
          <w:noProof/>
          <w:sz w:val="22"/>
        </w:rPr>
        <w:drawing>
          <wp:anchor distT="0" distB="0" distL="114300" distR="114300" simplePos="0" relativeHeight="251658265" behindDoc="0" locked="0" layoutInCell="0" allowOverlap="1" wp14:anchorId="76E0B8B4" wp14:editId="75743E36">
            <wp:simplePos x="0" y="0"/>
            <wp:positionH relativeFrom="column">
              <wp:posOffset>-295910</wp:posOffset>
            </wp:positionH>
            <wp:positionV relativeFrom="paragraph">
              <wp:posOffset>292735</wp:posOffset>
            </wp:positionV>
            <wp:extent cx="5935980" cy="2281555"/>
            <wp:effectExtent l="0" t="0" r="0" b="4445"/>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935980" cy="2281555"/>
                    </a:xfrm>
                    <a:prstGeom prst="rect">
                      <a:avLst/>
                    </a:prstGeom>
                    <a:noFill/>
                  </pic:spPr>
                </pic:pic>
              </a:graphicData>
            </a:graphic>
            <wp14:sizeRelH relativeFrom="page">
              <wp14:pctWidth>0</wp14:pctWidth>
            </wp14:sizeRelH>
            <wp14:sizeRelV relativeFrom="page">
              <wp14:pctHeight>0</wp14:pctHeight>
            </wp14:sizeRelV>
          </wp:anchor>
        </w:drawing>
      </w:r>
    </w:p>
    <w:p w14:paraId="59F6D5E3" w14:textId="77777777" w:rsidR="00533333" w:rsidRDefault="00533333" w:rsidP="00533333">
      <w:pPr>
        <w:pStyle w:val="BodyText"/>
        <w:rPr>
          <w:sz w:val="22"/>
        </w:rPr>
      </w:pPr>
    </w:p>
    <w:p w14:paraId="6D785A93" w14:textId="77777777" w:rsidR="00533333" w:rsidRPr="00887323" w:rsidRDefault="00533333" w:rsidP="00533333">
      <w:pPr>
        <w:pStyle w:val="BodyText"/>
        <w:rPr>
          <w:rFonts w:ascii="Arial" w:hAnsi="Arial" w:cs="Arial"/>
          <w:sz w:val="22"/>
        </w:rPr>
      </w:pPr>
      <w:r>
        <w:rPr>
          <w:noProof/>
          <w:sz w:val="22"/>
        </w:rPr>
        <mc:AlternateContent>
          <mc:Choice Requires="wps">
            <w:drawing>
              <wp:anchor distT="0" distB="0" distL="114300" distR="114300" simplePos="0" relativeHeight="251658243" behindDoc="0" locked="0" layoutInCell="1" allowOverlap="1" wp14:anchorId="491C39DD" wp14:editId="5AE4A94D">
                <wp:simplePos x="0" y="0"/>
                <wp:positionH relativeFrom="column">
                  <wp:posOffset>533400</wp:posOffset>
                </wp:positionH>
                <wp:positionV relativeFrom="paragraph">
                  <wp:posOffset>114935</wp:posOffset>
                </wp:positionV>
                <wp:extent cx="91440" cy="0"/>
                <wp:effectExtent l="9525" t="57785" r="22860" b="56515"/>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23BAE0F" id="Straight Connector 94"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1" behindDoc="0" locked="0" layoutInCell="1" allowOverlap="1" wp14:anchorId="113FDCE5" wp14:editId="5A0A0293">
                <wp:simplePos x="0" y="0"/>
                <wp:positionH relativeFrom="column">
                  <wp:posOffset>533400</wp:posOffset>
                </wp:positionH>
                <wp:positionV relativeFrom="paragraph">
                  <wp:posOffset>114935</wp:posOffset>
                </wp:positionV>
                <wp:extent cx="365760" cy="0"/>
                <wp:effectExtent l="9525" t="10160" r="5715" b="8890"/>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7153909" id="Straight Connector 90"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2" behindDoc="0" locked="0" layoutInCell="0" allowOverlap="1" wp14:anchorId="4D11A2E2" wp14:editId="38A29E01">
                <wp:simplePos x="0" y="0"/>
                <wp:positionH relativeFrom="column">
                  <wp:posOffset>984250</wp:posOffset>
                </wp:positionH>
                <wp:positionV relativeFrom="paragraph">
                  <wp:posOffset>69850</wp:posOffset>
                </wp:positionV>
                <wp:extent cx="0" cy="0"/>
                <wp:effectExtent l="12700" t="60325" r="15875" b="53975"/>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5EB0102" id="Straight Connector 8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Pr>
          <w:sz w:val="22"/>
        </w:rPr>
        <w:tab/>
        <w:t xml:space="preserve">                       </w:t>
      </w:r>
      <w:r w:rsidRPr="00887323">
        <w:rPr>
          <w:rFonts w:ascii="Arial" w:hAnsi="Arial" w:cs="Arial"/>
          <w:sz w:val="22"/>
        </w:rPr>
        <w:t>Denotes cable</w:t>
      </w:r>
    </w:p>
    <w:p w14:paraId="3D37B5EF" w14:textId="087A62AB" w:rsidR="00533333" w:rsidRDefault="58E1C585" w:rsidP="0537B9E0">
      <w:pPr>
        <w:pStyle w:val="BodyText"/>
        <w:rPr>
          <w:rFonts w:ascii="Arial" w:hAnsi="Arial" w:cs="Arial"/>
          <w:sz w:val="22"/>
          <w:szCs w:val="22"/>
        </w:rPr>
      </w:pPr>
      <w:r w:rsidRPr="0537B9E0">
        <w:rPr>
          <w:rFonts w:ascii="Arial" w:hAnsi="Arial" w:cs="Arial"/>
          <w:sz w:val="22"/>
          <w:szCs w:val="22"/>
        </w:rPr>
        <w:t>For both Peak Security and Year Round  generation  backgrounds, the nodal generation is scaled according to the relevant Scaling Factors as set out in the Security Standard, such that total system generation equals total system demand</w:t>
      </w:r>
      <w:r w:rsidR="1DB26277" w:rsidRPr="0537B9E0">
        <w:rPr>
          <w:rFonts w:ascii="Arial" w:hAnsi="Arial" w:cs="Arial"/>
          <w:sz w:val="22"/>
          <w:szCs w:val="22"/>
        </w:rPr>
        <w:t xml:space="preserve">. </w:t>
      </w:r>
    </w:p>
    <w:p w14:paraId="1D4B6778" w14:textId="77777777" w:rsidR="00533333" w:rsidRDefault="00533333" w:rsidP="00533333">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70CD31AB" w14:textId="77777777" w:rsidR="00533333" w:rsidRPr="004248A1" w:rsidRDefault="00533333" w:rsidP="00533333">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0AF76D7A" w14:textId="77777777" w:rsidR="00533333" w:rsidRDefault="00533333" w:rsidP="00533333">
      <w:pPr>
        <w:pStyle w:val="BodyText"/>
        <w:rPr>
          <w:rFonts w:ascii="Arial" w:hAnsi="Arial" w:cs="Arial"/>
          <w:sz w:val="22"/>
        </w:rPr>
      </w:pPr>
      <w:r w:rsidRPr="004248A1">
        <w:rPr>
          <w:rFonts w:ascii="Arial" w:hAnsi="Arial" w:cs="Arial"/>
          <w:sz w:val="22"/>
        </w:rPr>
        <w:t xml:space="preserve">Node A Generation = </w:t>
      </w:r>
    </w:p>
    <w:p w14:paraId="512F9AA4" w14:textId="77777777" w:rsidR="00533333" w:rsidRPr="004248A1" w:rsidRDefault="00533333" w:rsidP="00533333">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2A4C5DB2" w14:textId="77777777" w:rsidR="00533333" w:rsidRDefault="00533333" w:rsidP="00533333">
      <w:pPr>
        <w:pStyle w:val="BodyText"/>
        <w:rPr>
          <w:rFonts w:ascii="Arial" w:hAnsi="Arial" w:cs="Arial"/>
          <w:sz w:val="22"/>
        </w:rPr>
      </w:pPr>
      <w:r w:rsidRPr="004248A1">
        <w:rPr>
          <w:rFonts w:ascii="Arial" w:hAnsi="Arial" w:cs="Arial"/>
          <w:sz w:val="22"/>
        </w:rPr>
        <w:t>Node B Generation = 1150/</w:t>
      </w:r>
    </w:p>
    <w:p w14:paraId="4EB34084" w14:textId="77777777" w:rsidR="00533333" w:rsidRPr="004248A1" w:rsidRDefault="00533333" w:rsidP="00533333">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4DBEF366"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sidRPr="00BE1EF5">
        <w:rPr>
          <w:rFonts w:ascii="Arial" w:hAnsi="Arial" w:cs="Arial"/>
        </w:rPr>
        <w:t xml:space="preserve"> </w:t>
      </w:r>
      <w:r>
        <w:rPr>
          <w:rFonts w:ascii="Arial" w:hAnsi="Arial" w:cs="Arial"/>
          <w:sz w:val="22"/>
        </w:rPr>
        <w:t>, where the actual generation after the application of scaling factors is shown:</w:t>
      </w:r>
    </w:p>
    <w:p w14:paraId="318C7C07" w14:textId="77777777" w:rsidR="00533333" w:rsidRPr="004248A1" w:rsidRDefault="00533333" w:rsidP="00533333">
      <w:pPr>
        <w:pStyle w:val="BodyText"/>
        <w:rPr>
          <w:rFonts w:ascii="Arial" w:hAnsi="Arial" w:cs="Arial"/>
          <w:sz w:val="22"/>
        </w:rPr>
      </w:pPr>
    </w:p>
    <w:p w14:paraId="757EE890" w14:textId="77777777" w:rsidR="00533333" w:rsidRDefault="00533333" w:rsidP="00533333">
      <w:pPr>
        <w:pStyle w:val="BodyText"/>
        <w:rPr>
          <w:sz w:val="22"/>
        </w:rPr>
      </w:pPr>
    </w:p>
    <w:p w14:paraId="20ACDC38" w14:textId="462EC155" w:rsidR="00533333" w:rsidRDefault="00533333" w:rsidP="00533333">
      <w:pPr>
        <w:pStyle w:val="BodyText"/>
        <w:rPr>
          <w:sz w:val="22"/>
        </w:rPr>
      </w:pPr>
      <w:r>
        <w:rPr>
          <w:noProof/>
        </w:rPr>
        <w:lastRenderedPageBreak/>
        <w:drawing>
          <wp:anchor distT="0" distB="0" distL="114300" distR="114300" simplePos="0" relativeHeight="251658266" behindDoc="0" locked="0" layoutInCell="0" allowOverlap="1" wp14:anchorId="261AB87E" wp14:editId="2ED54116">
            <wp:simplePos x="0" y="0"/>
            <wp:positionH relativeFrom="column">
              <wp:posOffset>-204470</wp:posOffset>
            </wp:positionH>
            <wp:positionV relativeFrom="paragraph">
              <wp:posOffset>304165</wp:posOffset>
            </wp:positionV>
            <wp:extent cx="5935980" cy="2282190"/>
            <wp:effectExtent l="0" t="0" r="0" b="381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p>
    <w:p w14:paraId="22890638" w14:textId="77777777" w:rsidR="00533333" w:rsidRPr="004248A1" w:rsidRDefault="00533333" w:rsidP="00533333">
      <w:pPr>
        <w:pStyle w:val="BodyText"/>
        <w:rPr>
          <w:rFonts w:ascii="Arial" w:hAnsi="Arial" w:cs="Arial"/>
          <w:sz w:val="22"/>
          <w:szCs w:val="22"/>
        </w:rPr>
      </w:pPr>
    </w:p>
    <w:p w14:paraId="7DC05CD2" w14:textId="77777777" w:rsidR="00533333" w:rsidRPr="004248A1" w:rsidRDefault="00533333" w:rsidP="00533333">
      <w:pPr>
        <w:pStyle w:val="BodyText"/>
        <w:rPr>
          <w:rFonts w:ascii="Arial" w:hAnsi="Arial" w:cs="Arial"/>
          <w:sz w:val="22"/>
          <w:szCs w:val="22"/>
        </w:rPr>
      </w:pPr>
      <w:r w:rsidRPr="004248A1">
        <w:rPr>
          <w:rFonts w:ascii="Arial" w:hAnsi="Arial" w:cs="Arial"/>
          <w:sz w:val="22"/>
          <w:szCs w:val="22"/>
        </w:rPr>
        <w:t>Assuming Node A is the reference node</w:t>
      </w:r>
      <w:r w:rsidRPr="00E943BC">
        <w:rPr>
          <w:rStyle w:val="FootnoteReference"/>
          <w:rFonts w:ascii="Arial" w:hAnsi="Arial" w:cs="Arial"/>
          <w:sz w:val="22"/>
          <w:szCs w:val="22"/>
          <w:vertAlign w:val="superscript"/>
        </w:rPr>
        <w:footnoteReference w:customMarkFollows="1" w:id="6"/>
        <w:t>†</w:t>
      </w:r>
      <w:r>
        <w:rPr>
          <w:rFonts w:ascii="Arial" w:hAnsi="Arial" w:cs="Arial"/>
          <w:sz w:val="22"/>
          <w:szCs w:val="22"/>
        </w:rPr>
        <w:t>,</w:t>
      </w:r>
      <w:r w:rsidRPr="004248A1">
        <w:rPr>
          <w:rFonts w:ascii="Arial" w:hAnsi="Arial" w:cs="Arial"/>
          <w:sz w:val="22"/>
          <w:szCs w:val="22"/>
        </w:rPr>
        <w:t>, each</w:t>
      </w:r>
      <w:r>
        <w:rPr>
          <w:rFonts w:ascii="Arial" w:hAnsi="Arial" w:cs="Arial"/>
          <w:sz w:val="22"/>
          <w:szCs w:val="22"/>
        </w:rPr>
        <w:t xml:space="preserve"> 400kV</w:t>
      </w:r>
      <w:r w:rsidRPr="004248A1">
        <w:rPr>
          <w:rFonts w:ascii="Arial" w:hAnsi="Arial" w:cs="Arial"/>
          <w:sz w:val="22"/>
          <w:szCs w:val="22"/>
        </w:rPr>
        <w:t xml:space="preserve"> circuit has impedance X</w:t>
      </w:r>
      <w:r>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"cable factor"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Pr>
          <w:rFonts w:ascii="Arial" w:hAnsi="Arial" w:cs="Arial"/>
          <w:sz w:val="22"/>
          <w:szCs w:val="22"/>
        </w:rPr>
        <w:t xml:space="preserve"> for Peak Security background</w:t>
      </w:r>
      <w:r w:rsidRPr="004248A1">
        <w:rPr>
          <w:rFonts w:ascii="Arial" w:hAnsi="Arial" w:cs="Arial"/>
          <w:sz w:val="22"/>
          <w:szCs w:val="22"/>
        </w:rPr>
        <w:t xml:space="preserve"> as follows: </w:t>
      </w:r>
    </w:p>
    <w:p w14:paraId="57B5D342" w14:textId="77777777" w:rsidR="00533333" w:rsidRDefault="00533333" w:rsidP="00533333">
      <w:pPr>
        <w:pStyle w:val="BodyText"/>
        <w:rPr>
          <w:sz w:val="22"/>
        </w:rPr>
      </w:pPr>
    </w:p>
    <w:p w14:paraId="75766543" w14:textId="77777777" w:rsidR="00533333" w:rsidRDefault="00533333" w:rsidP="00533333">
      <w:pPr>
        <w:pStyle w:val="BodyText"/>
        <w:rPr>
          <w:sz w:val="22"/>
        </w:rPr>
      </w:pPr>
    </w:p>
    <w:p w14:paraId="5A17B6D2" w14:textId="77777777" w:rsidR="00533333" w:rsidRDefault="00533333" w:rsidP="00533333">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ACD7D50" w14:textId="77777777" w:rsidR="00533333" w:rsidRDefault="00533333" w:rsidP="00533333">
      <w:pPr>
        <w:jc w:val="both"/>
        <w:rPr>
          <w:rFonts w:ascii="Arial" w:hAnsi="Arial"/>
          <w:sz w:val="22"/>
        </w:rPr>
      </w:pPr>
    </w:p>
    <w:p w14:paraId="184D5CE7"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6AF1C08A" w14:textId="77777777" w:rsidR="00533333" w:rsidRDefault="00533333" w:rsidP="00533333">
      <w:pPr>
        <w:ind w:left="720" w:hanging="720"/>
        <w:jc w:val="both"/>
        <w:rPr>
          <w:rFonts w:ascii="Arial" w:hAnsi="Arial"/>
          <w:sz w:val="22"/>
        </w:rPr>
      </w:pPr>
    </w:p>
    <w:p w14:paraId="577457EE" w14:textId="77777777" w:rsidR="00533333" w:rsidRDefault="00533333" w:rsidP="00533333">
      <w:pPr>
        <w:ind w:left="720" w:hanging="720"/>
        <w:jc w:val="both"/>
        <w:rPr>
          <w:rFonts w:ascii="Arial" w:hAnsi="Arial"/>
          <w:sz w:val="22"/>
        </w:rPr>
      </w:pPr>
    </w:p>
    <w:p w14:paraId="255E3196" w14:textId="77777777" w:rsidR="00533333" w:rsidRDefault="00533333" w:rsidP="00533333">
      <w:pPr>
        <w:ind w:left="720" w:hanging="720"/>
        <w:jc w:val="both"/>
        <w:rPr>
          <w:rFonts w:ascii="Arial" w:hAnsi="Arial"/>
          <w:sz w:val="22"/>
        </w:rPr>
      </w:pPr>
    </w:p>
    <w:p w14:paraId="29A0FF17" w14:textId="77777777" w:rsidR="00533333" w:rsidRDefault="00533333" w:rsidP="00533333">
      <w:pPr>
        <w:ind w:left="720" w:hanging="720"/>
        <w:jc w:val="both"/>
        <w:rPr>
          <w:rFonts w:ascii="Arial" w:hAnsi="Arial"/>
          <w:sz w:val="22"/>
        </w:rPr>
      </w:pPr>
    </w:p>
    <w:p w14:paraId="2066E6A8" w14:textId="77777777" w:rsidR="00533333" w:rsidRDefault="00533333" w:rsidP="00533333">
      <w:pPr>
        <w:ind w:left="720" w:hanging="720"/>
        <w:jc w:val="both"/>
        <w:rPr>
          <w:rFonts w:ascii="Arial" w:hAnsi="Arial"/>
          <w:sz w:val="22"/>
        </w:rPr>
      </w:pPr>
    </w:p>
    <w:p w14:paraId="26AB7195" w14:textId="77777777" w:rsidR="00533333" w:rsidRDefault="00533333" w:rsidP="00533333">
      <w:pPr>
        <w:ind w:left="720" w:hanging="720"/>
        <w:jc w:val="both"/>
        <w:rPr>
          <w:rFonts w:ascii="Arial" w:hAnsi="Arial"/>
          <w:sz w:val="22"/>
        </w:rPr>
      </w:pPr>
    </w:p>
    <w:p w14:paraId="1A311D99" w14:textId="3C5C499D" w:rsidR="00533333" w:rsidRDefault="00533333" w:rsidP="00533333">
      <w:pPr>
        <w:ind w:left="720" w:hanging="720"/>
        <w:jc w:val="both"/>
        <w:rPr>
          <w:rFonts w:ascii="Arial" w:hAnsi="Arial"/>
          <w:sz w:val="22"/>
        </w:rPr>
      </w:pPr>
      <w:r>
        <w:rPr>
          <w:noProof/>
        </w:rPr>
        <w:drawing>
          <wp:anchor distT="0" distB="0" distL="114300" distR="114300" simplePos="0" relativeHeight="251658267" behindDoc="0" locked="0" layoutInCell="1" allowOverlap="1" wp14:anchorId="6A249136" wp14:editId="5AF32195">
            <wp:simplePos x="0" y="0"/>
            <wp:positionH relativeFrom="column">
              <wp:posOffset>-152400</wp:posOffset>
            </wp:positionH>
            <wp:positionV relativeFrom="paragraph">
              <wp:posOffset>73660</wp:posOffset>
            </wp:positionV>
            <wp:extent cx="5935980" cy="2282190"/>
            <wp:effectExtent l="0" t="0" r="0" b="381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sz w:val="22"/>
        </w:rPr>
        <w:t>Step 2:</w:t>
      </w:r>
      <w:r>
        <w:rPr>
          <w:rFonts w:ascii="Arial" w:hAnsi="Arial"/>
          <w:sz w:val="22"/>
        </w:rPr>
        <w:tab/>
        <w:t>Net export from Node B to Node C is 1000MW; route BC has impedance X and route BA-AC has impedance 3X; hence 750MW would flow down BC and 250MW along BA-AC</w:t>
      </w:r>
    </w:p>
    <w:p w14:paraId="69494076" w14:textId="77777777" w:rsidR="00533333" w:rsidRDefault="00533333" w:rsidP="00533333">
      <w:pPr>
        <w:ind w:left="720" w:hanging="720"/>
        <w:jc w:val="both"/>
        <w:rPr>
          <w:rFonts w:ascii="Arial" w:hAnsi="Arial"/>
          <w:sz w:val="22"/>
        </w:rPr>
      </w:pPr>
    </w:p>
    <w:p w14:paraId="3A3ACC74" w14:textId="77777777" w:rsidR="00533333" w:rsidRDefault="00533333" w:rsidP="00533333">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7CC252F5" w14:textId="77777777" w:rsidR="00533333" w:rsidRDefault="00533333" w:rsidP="00533333">
      <w:pPr>
        <w:ind w:left="720" w:hanging="720"/>
        <w:jc w:val="both"/>
        <w:rPr>
          <w:rFonts w:ascii="Arial" w:hAnsi="Arial"/>
          <w:sz w:val="22"/>
        </w:rPr>
      </w:pPr>
    </w:p>
    <w:p w14:paraId="45F57285"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4373958"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059FEDCB"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63722BEF" w14:textId="77777777" w:rsidR="00533333" w:rsidRPr="00AD4D4E" w:rsidRDefault="00533333" w:rsidP="00533333">
      <w:pPr>
        <w:pStyle w:val="BodyText"/>
        <w:rPr>
          <w:rFonts w:ascii="Arial" w:hAnsi="Arial" w:cs="Arial"/>
          <w:b/>
          <w:sz w:val="22"/>
        </w:rPr>
      </w:pPr>
      <w:r w:rsidRPr="00AD4D4E">
        <w:rPr>
          <w:rFonts w:ascii="Arial" w:hAnsi="Arial" w:cs="Arial"/>
          <w:b/>
          <w:sz w:val="22"/>
        </w:rPr>
        <w:t>Year Round background:</w:t>
      </w:r>
    </w:p>
    <w:p w14:paraId="2E0C4997" w14:textId="77777777" w:rsidR="00533333" w:rsidRDefault="00533333" w:rsidP="00533333">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286FF090"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696C7B75"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01C92BB9"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1D9F011F" w14:textId="15F2B874" w:rsidR="00533333" w:rsidRDefault="00533333" w:rsidP="00533333">
      <w:pPr>
        <w:pStyle w:val="BodyText"/>
        <w:rPr>
          <w:rFonts w:ascii="Arial" w:hAnsi="Arial" w:cs="Arial"/>
          <w:sz w:val="22"/>
        </w:rPr>
      </w:pPr>
      <w:r>
        <w:rPr>
          <w:noProof/>
        </w:rPr>
        <w:drawing>
          <wp:anchor distT="0" distB="0" distL="114300" distR="114300" simplePos="0" relativeHeight="251658268" behindDoc="0" locked="0" layoutInCell="1" allowOverlap="1" wp14:anchorId="17E3C3D9" wp14:editId="67612C70">
            <wp:simplePos x="0" y="0"/>
            <wp:positionH relativeFrom="column">
              <wp:posOffset>-296545</wp:posOffset>
            </wp:positionH>
            <wp:positionV relativeFrom="paragraph">
              <wp:posOffset>428625</wp:posOffset>
            </wp:positionV>
            <wp:extent cx="5935980" cy="229743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35980" cy="2297430"/>
                    </a:xfrm>
                    <a:prstGeom prst="rect">
                      <a:avLst/>
                    </a:prstGeom>
                    <a:noFill/>
                  </pic:spPr>
                </pic:pic>
              </a:graphicData>
            </a:graphic>
            <wp14:sizeRelH relativeFrom="page">
              <wp14:pctWidth>0</wp14:pctWidth>
            </wp14:sizeRelH>
            <wp14:sizeRelV relativeFrom="page">
              <wp14:pctHeight>0</wp14:pctHeight>
            </wp14:sizeRelV>
          </wp:anchor>
        </w:drawing>
      </w:r>
    </w:p>
    <w:p w14:paraId="77FABC7B" w14:textId="77777777" w:rsidR="00533333" w:rsidRDefault="00533333" w:rsidP="00533333">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691DB0B2" w14:textId="77777777" w:rsidR="00533333" w:rsidRDefault="00533333" w:rsidP="00533333">
      <w:pPr>
        <w:pStyle w:val="BodyText"/>
        <w:rPr>
          <w:rFonts w:ascii="Arial" w:hAnsi="Arial" w:cs="Arial"/>
          <w:sz w:val="22"/>
        </w:rPr>
      </w:pPr>
    </w:p>
    <w:p w14:paraId="331079CD" w14:textId="10632EE2" w:rsidR="00533333" w:rsidRDefault="00533333" w:rsidP="00533333">
      <w:pPr>
        <w:pStyle w:val="BodyText"/>
        <w:rPr>
          <w:rFonts w:ascii="Arial" w:hAnsi="Arial" w:cs="Arial"/>
          <w:sz w:val="22"/>
        </w:rPr>
      </w:pPr>
      <w:r>
        <w:rPr>
          <w:rFonts w:ascii="Arial" w:hAnsi="Arial" w:cs="Arial"/>
          <w:noProof/>
          <w:sz w:val="22"/>
        </w:rPr>
        <w:lastRenderedPageBreak/>
        <w:drawing>
          <wp:anchor distT="0" distB="0" distL="114300" distR="114300" simplePos="0" relativeHeight="251658269" behindDoc="0" locked="0" layoutInCell="1" allowOverlap="1" wp14:anchorId="17DD1FA5" wp14:editId="32876CBC">
            <wp:simplePos x="0" y="0"/>
            <wp:positionH relativeFrom="column">
              <wp:posOffset>-279400</wp:posOffset>
            </wp:positionH>
            <wp:positionV relativeFrom="paragraph">
              <wp:posOffset>295910</wp:posOffset>
            </wp:positionV>
            <wp:extent cx="5935980" cy="2635885"/>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35980" cy="2635885"/>
                    </a:xfrm>
                    <a:prstGeom prst="rect">
                      <a:avLst/>
                    </a:prstGeom>
                    <a:noFill/>
                  </pic:spPr>
                </pic:pic>
              </a:graphicData>
            </a:graphic>
            <wp14:sizeRelH relativeFrom="page">
              <wp14:pctWidth>0</wp14:pctWidth>
            </wp14:sizeRelH>
            <wp14:sizeRelV relativeFrom="page">
              <wp14:pctHeight>0</wp14:pctHeight>
            </wp14:sizeRelV>
          </wp:anchor>
        </w:drawing>
      </w:r>
    </w:p>
    <w:p w14:paraId="1A1D7ED9" w14:textId="77777777" w:rsidR="00533333" w:rsidRDefault="00533333" w:rsidP="00533333">
      <w:pPr>
        <w:pStyle w:val="BodyText"/>
        <w:rPr>
          <w:sz w:val="22"/>
        </w:rPr>
      </w:pPr>
    </w:p>
    <w:p w14:paraId="78980858" w14:textId="77777777" w:rsidR="00533333" w:rsidRDefault="00533333" w:rsidP="00533333">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7B851D0A" w14:textId="77777777" w:rsidR="00533333" w:rsidRDefault="00533333" w:rsidP="00533333">
      <w:pPr>
        <w:jc w:val="both"/>
        <w:rPr>
          <w:rFonts w:ascii="Arial" w:hAnsi="Arial"/>
          <w:sz w:val="22"/>
        </w:rPr>
      </w:pPr>
    </w:p>
    <w:p w14:paraId="3CB7F940"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A is 350MW; route AC has impedance X and route AB-BC has impedance 3X; hence 262.5MW would flow down AC and 87.5MW along AB-BC</w:t>
      </w:r>
    </w:p>
    <w:p w14:paraId="78E1E663" w14:textId="77777777" w:rsidR="00533333" w:rsidRDefault="00533333" w:rsidP="00533333">
      <w:pPr>
        <w:ind w:left="720" w:hanging="720"/>
        <w:jc w:val="both"/>
        <w:rPr>
          <w:rFonts w:ascii="Arial" w:hAnsi="Arial"/>
          <w:sz w:val="22"/>
        </w:rPr>
      </w:pPr>
    </w:p>
    <w:p w14:paraId="0D505183" w14:textId="77777777" w:rsidR="00533333" w:rsidRDefault="00533333" w:rsidP="00533333">
      <w:pPr>
        <w:ind w:left="720" w:hanging="720"/>
        <w:jc w:val="both"/>
        <w:rPr>
          <w:rFonts w:ascii="Arial" w:hAnsi="Arial"/>
          <w:sz w:val="22"/>
        </w:rPr>
      </w:pPr>
      <w:r>
        <w:rPr>
          <w:rFonts w:ascii="Arial" w:hAnsi="Arial"/>
          <w:sz w:val="22"/>
        </w:rPr>
        <w:t>Step 2:</w:t>
      </w:r>
      <w:r>
        <w:rPr>
          <w:rFonts w:ascii="Arial" w:hAnsi="Arial"/>
          <w:sz w:val="22"/>
        </w:rPr>
        <w:tab/>
        <w:t>Net export from Node B is 650MW; route BC has impedance X and route BA-AC has impedance 3X; hence 487.5MW would flow down BC and 162.5MW along BA-AC</w:t>
      </w:r>
    </w:p>
    <w:p w14:paraId="5D53D7A5" w14:textId="77777777" w:rsidR="00533333" w:rsidRDefault="00533333" w:rsidP="00533333">
      <w:pPr>
        <w:ind w:left="720" w:hanging="720"/>
        <w:jc w:val="both"/>
        <w:rPr>
          <w:rFonts w:ascii="Arial" w:hAnsi="Arial"/>
          <w:sz w:val="22"/>
        </w:rPr>
      </w:pPr>
    </w:p>
    <w:p w14:paraId="7484B299" w14:textId="77777777" w:rsidR="00533333" w:rsidRDefault="00533333" w:rsidP="00533333">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1C499BC" w14:textId="77777777" w:rsidR="00533333" w:rsidRDefault="00533333" w:rsidP="00533333">
      <w:pPr>
        <w:ind w:left="720" w:hanging="720"/>
        <w:jc w:val="both"/>
        <w:rPr>
          <w:rFonts w:ascii="Arial" w:hAnsi="Arial"/>
          <w:sz w:val="22"/>
        </w:rPr>
      </w:pPr>
    </w:p>
    <w:p w14:paraId="0E4A8868"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262.5MW + 162.5MW</w:t>
      </w:r>
      <w:r>
        <w:rPr>
          <w:rFonts w:ascii="Arial" w:hAnsi="Arial"/>
          <w:sz w:val="22"/>
        </w:rPr>
        <w:tab/>
        <w:t>=</w:t>
      </w:r>
      <w:r>
        <w:rPr>
          <w:rFonts w:ascii="Arial" w:hAnsi="Arial"/>
          <w:sz w:val="22"/>
        </w:rPr>
        <w:tab/>
        <w:t>425MW</w:t>
      </w:r>
    </w:p>
    <w:p w14:paraId="5C5FBFB7" w14:textId="77777777" w:rsidR="00533333" w:rsidRDefault="00533333" w:rsidP="00533333">
      <w:pPr>
        <w:ind w:left="720" w:hanging="720"/>
        <w:jc w:val="both"/>
        <w:rPr>
          <w:rFonts w:ascii="Arial" w:hAnsi="Arial"/>
          <w:sz w:val="22"/>
        </w:rPr>
      </w:pPr>
    </w:p>
    <w:p w14:paraId="604AC9B0"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87.5MW – 162.5MW</w:t>
      </w:r>
      <w:r>
        <w:rPr>
          <w:rFonts w:ascii="Arial" w:hAnsi="Arial"/>
          <w:sz w:val="22"/>
        </w:rPr>
        <w:tab/>
        <w:t>=</w:t>
      </w:r>
      <w:r>
        <w:rPr>
          <w:rFonts w:ascii="Arial" w:hAnsi="Arial"/>
          <w:sz w:val="22"/>
        </w:rPr>
        <w:tab/>
        <w:t>-75MW</w:t>
      </w:r>
    </w:p>
    <w:p w14:paraId="30284898"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87.5MW + 487.5MW</w:t>
      </w:r>
      <w:r>
        <w:rPr>
          <w:rFonts w:ascii="Arial" w:hAnsi="Arial"/>
          <w:sz w:val="22"/>
        </w:rPr>
        <w:tab/>
        <w:t>=</w:t>
      </w:r>
      <w:r>
        <w:rPr>
          <w:rFonts w:ascii="Arial" w:hAnsi="Arial"/>
          <w:sz w:val="22"/>
        </w:rPr>
        <w:tab/>
        <w:t>575MW</w:t>
      </w:r>
    </w:p>
    <w:p w14:paraId="1475B907" w14:textId="77777777" w:rsidR="00533333" w:rsidRDefault="00533333" w:rsidP="00533333">
      <w:pPr>
        <w:jc w:val="both"/>
        <w:rPr>
          <w:rFonts w:ascii="Arial" w:hAnsi="Arial"/>
        </w:rPr>
      </w:pPr>
    </w:p>
    <w:p w14:paraId="0347F1CD" w14:textId="77777777" w:rsidR="00533333" w:rsidRDefault="00533333" w:rsidP="00533333">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7A13F80C" w14:textId="77777777" w:rsidR="00533333" w:rsidRDefault="00533333" w:rsidP="00533333">
      <w:pPr>
        <w:pStyle w:val="BodyText2"/>
        <w:jc w:val="both"/>
        <w:rPr>
          <w:rFonts w:ascii="Arial" w:hAnsi="Arial" w:cs="Arial"/>
          <w:i w:val="0"/>
        </w:rPr>
      </w:pPr>
    </w:p>
    <w:p w14:paraId="6B1FD580" w14:textId="77777777" w:rsidR="00533333" w:rsidRDefault="00533333" w:rsidP="00533333">
      <w:pPr>
        <w:pStyle w:val="BodyText2"/>
        <w:jc w:val="both"/>
        <w:rPr>
          <w:rFonts w:ascii="Arial" w:hAnsi="Arial" w:cs="Arial"/>
          <w:i w:val="0"/>
        </w:rPr>
      </w:pPr>
    </w:p>
    <w:p w14:paraId="3F4E8B0F" w14:textId="77777777" w:rsidR="00533333" w:rsidRDefault="00533333" w:rsidP="00533333">
      <w:pPr>
        <w:pStyle w:val="BodyText2"/>
        <w:jc w:val="both"/>
        <w:rPr>
          <w:rFonts w:ascii="Arial" w:hAnsi="Arial" w:cs="Arial"/>
          <w:i w:val="0"/>
        </w:rPr>
      </w:pPr>
    </w:p>
    <w:p w14:paraId="43398628" w14:textId="0B63DF8A" w:rsidR="00533333" w:rsidRDefault="00533333" w:rsidP="00533333">
      <w:pPr>
        <w:pStyle w:val="BodyText2"/>
        <w:jc w:val="both"/>
        <w:rPr>
          <w:rFonts w:ascii="Arial" w:hAnsi="Arial" w:cs="Arial"/>
          <w:i w:val="0"/>
        </w:rPr>
      </w:pPr>
      <w:r>
        <w:rPr>
          <w:rFonts w:ascii="Arial" w:hAnsi="Arial" w:cs="Arial"/>
          <w:i w:val="0"/>
          <w:noProof/>
          <w:lang w:eastAsia="en-GB"/>
        </w:rPr>
        <w:lastRenderedPageBreak/>
        <w:drawing>
          <wp:anchor distT="0" distB="0" distL="114300" distR="114300" simplePos="0" relativeHeight="251658270" behindDoc="0" locked="0" layoutInCell="1" allowOverlap="1" wp14:anchorId="1913BF2E" wp14:editId="0E87D0D9">
            <wp:simplePos x="0" y="0"/>
            <wp:positionH relativeFrom="column">
              <wp:posOffset>-8255</wp:posOffset>
            </wp:positionH>
            <wp:positionV relativeFrom="paragraph">
              <wp:posOffset>-229870</wp:posOffset>
            </wp:positionV>
            <wp:extent cx="5935980" cy="242633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35980" cy="2426335"/>
                    </a:xfrm>
                    <a:prstGeom prst="rect">
                      <a:avLst/>
                    </a:prstGeom>
                    <a:noFill/>
                  </pic:spPr>
                </pic:pic>
              </a:graphicData>
            </a:graphic>
            <wp14:sizeRelH relativeFrom="page">
              <wp14:pctWidth>0</wp14:pctWidth>
            </wp14:sizeRelH>
            <wp14:sizeRelV relativeFrom="page">
              <wp14:pctHeight>0</wp14:pctHeight>
            </wp14:sizeRelV>
          </wp:anchor>
        </w:drawing>
      </w:r>
    </w:p>
    <w:p w14:paraId="10DC7FDB" w14:textId="77777777" w:rsidR="00533333" w:rsidRDefault="00533333" w:rsidP="00533333">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7621A76F" w14:textId="77777777" w:rsidR="00533333" w:rsidRDefault="00533333" w:rsidP="00533333">
      <w:pPr>
        <w:pStyle w:val="BodyText2"/>
        <w:jc w:val="both"/>
        <w:rPr>
          <w:rFonts w:ascii="Arial" w:hAnsi="Arial" w:cs="Arial"/>
          <w:i w:val="0"/>
        </w:rPr>
      </w:pPr>
    </w:p>
    <w:p w14:paraId="042133FB" w14:textId="77777777" w:rsidR="00533333" w:rsidRDefault="00533333" w:rsidP="00533333">
      <w:pPr>
        <w:jc w:val="both"/>
        <w:rPr>
          <w:rFonts w:ascii="Arial" w:hAnsi="Arial"/>
        </w:rPr>
      </w:pPr>
    </w:p>
    <w:p w14:paraId="08D3D1F8" w14:textId="77777777" w:rsidR="00533333" w:rsidRDefault="00533333" w:rsidP="00533333">
      <w:pPr>
        <w:jc w:val="both"/>
        <w:rPr>
          <w:rFonts w:ascii="Arial" w:hAnsi="Arial"/>
          <w:sz w:val="22"/>
        </w:rPr>
      </w:pPr>
      <w:r>
        <w:rPr>
          <w:rFonts w:ascii="Arial" w:hAnsi="Arial"/>
          <w:sz w:val="22"/>
        </w:rPr>
        <w:t>Total Peak Security cost = (300 X  6) + (800 X 26) = 22,600MWkm</w:t>
      </w:r>
    </w:p>
    <w:p w14:paraId="412AC9E5" w14:textId="77777777" w:rsidR="00533333" w:rsidRDefault="00533333" w:rsidP="00533333">
      <w:pPr>
        <w:jc w:val="both"/>
        <w:rPr>
          <w:rFonts w:ascii="Arial" w:hAnsi="Arial"/>
          <w:sz w:val="22"/>
        </w:rPr>
      </w:pPr>
      <w:r>
        <w:rPr>
          <w:rFonts w:ascii="Arial" w:hAnsi="Arial"/>
          <w:sz w:val="22"/>
        </w:rPr>
        <w:t>(base case)</w:t>
      </w:r>
    </w:p>
    <w:p w14:paraId="219035E1" w14:textId="77777777" w:rsidR="00533333" w:rsidRDefault="00533333" w:rsidP="00533333">
      <w:pPr>
        <w:jc w:val="both"/>
        <w:rPr>
          <w:rFonts w:ascii="Arial" w:hAnsi="Arial"/>
          <w:sz w:val="22"/>
        </w:rPr>
      </w:pPr>
    </w:p>
    <w:p w14:paraId="346FAA7E" w14:textId="77777777" w:rsidR="00533333" w:rsidRDefault="00533333" w:rsidP="00533333">
      <w:pPr>
        <w:pStyle w:val="BodyText2"/>
        <w:jc w:val="both"/>
        <w:rPr>
          <w:rFonts w:ascii="Arial" w:hAnsi="Arial" w:cs="Arial"/>
          <w:i w:val="0"/>
        </w:rPr>
      </w:pPr>
      <w:r>
        <w:rPr>
          <w:rFonts w:ascii="Arial" w:hAnsi="Arial" w:cs="Arial"/>
          <w:i w:val="0"/>
        </w:rPr>
        <w:t>Total Year Round cost = 425 X 10  = 4,250 MWkm</w:t>
      </w:r>
    </w:p>
    <w:p w14:paraId="3AEC6EA1" w14:textId="77777777" w:rsidR="00533333" w:rsidRPr="000B6C0D" w:rsidRDefault="00533333" w:rsidP="00533333">
      <w:pPr>
        <w:pStyle w:val="BodyText2"/>
        <w:jc w:val="both"/>
        <w:rPr>
          <w:rFonts w:ascii="Arial" w:hAnsi="Arial" w:cs="Arial"/>
          <w:i w:val="0"/>
        </w:rPr>
      </w:pPr>
      <w:r>
        <w:rPr>
          <w:rFonts w:ascii="Arial" w:hAnsi="Arial" w:cs="Arial"/>
          <w:i w:val="0"/>
        </w:rPr>
        <w:t>(base case)</w:t>
      </w:r>
    </w:p>
    <w:p w14:paraId="1B5CDB93" w14:textId="77777777" w:rsidR="00533333" w:rsidRDefault="00533333" w:rsidP="00533333">
      <w:pPr>
        <w:jc w:val="both"/>
        <w:rPr>
          <w:rFonts w:ascii="Arial" w:hAnsi="Arial"/>
          <w:sz w:val="22"/>
        </w:rPr>
      </w:pPr>
    </w:p>
    <w:p w14:paraId="54605C03" w14:textId="5E3802FF" w:rsidR="00533333" w:rsidRPr="00E010AE" w:rsidRDefault="58E1C585" w:rsidP="0537B9E0">
      <w:pPr>
        <w:pStyle w:val="BodyText2"/>
        <w:jc w:val="both"/>
        <w:rPr>
          <w:rFonts w:ascii="Arial" w:hAnsi="Arial" w:cs="Arial"/>
          <w:i w:val="0"/>
        </w:rPr>
      </w:pPr>
      <w:r w:rsidRPr="0537B9E0">
        <w:rPr>
          <w:rFonts w:ascii="Arial" w:hAnsi="Arial" w:cs="Arial"/>
          <w:i w:val="0"/>
        </w:rPr>
        <w:t>We then ‘inject’ 1MW of generation at each node with a corresponding 1MW offtake (demand) at the reference node and recalculate the total Peak Security MWkm cost and Year Round MWkm cost (noting that each circuit is only in one background)</w:t>
      </w:r>
      <w:r w:rsidR="587DDCB4" w:rsidRPr="0537B9E0">
        <w:rPr>
          <w:rFonts w:ascii="Arial" w:hAnsi="Arial" w:cs="Arial"/>
          <w:i w:val="0"/>
        </w:rPr>
        <w:t xml:space="preserve">. </w:t>
      </w:r>
      <w:r w:rsidRPr="0537B9E0">
        <w:rPr>
          <w:rFonts w:ascii="Arial" w:hAnsi="Arial" w:cs="Arial"/>
          <w:i w:val="0"/>
        </w:rPr>
        <w:t xml:space="preserve">The difference  from the base case for Peak Security and Year Round costs is the marginal km or shadow cost for Peak Security and Year Round </w:t>
      </w:r>
      <w:bookmarkStart w:id="522" w:name="_Int_bcaVMCRc"/>
      <w:r w:rsidRPr="0537B9E0">
        <w:rPr>
          <w:rFonts w:ascii="Arial" w:hAnsi="Arial" w:cs="Arial"/>
          <w:i w:val="0"/>
        </w:rPr>
        <w:t>networks</w:t>
      </w:r>
      <w:bookmarkEnd w:id="522"/>
      <w:r w:rsidRPr="0537B9E0">
        <w:rPr>
          <w:rFonts w:ascii="Arial" w:hAnsi="Arial" w:cs="Arial"/>
          <w:i w:val="0"/>
        </w:rPr>
        <w:t xml:space="preserve"> respectively</w:t>
      </w:r>
      <w:r w:rsidR="452BA99D" w:rsidRPr="0537B9E0">
        <w:rPr>
          <w:rFonts w:ascii="Arial" w:hAnsi="Arial" w:cs="Arial"/>
          <w:i w:val="0"/>
        </w:rPr>
        <w:t xml:space="preserve">. </w:t>
      </w:r>
      <w:r w:rsidRPr="0537B9E0">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0FB6AF1E" w14:textId="77777777" w:rsidR="00533333" w:rsidRDefault="00533333" w:rsidP="00533333">
      <w:pPr>
        <w:jc w:val="both"/>
        <w:rPr>
          <w:rFonts w:ascii="Arial" w:hAnsi="Arial"/>
        </w:rPr>
      </w:pPr>
    </w:p>
    <w:p w14:paraId="6E68C512" w14:textId="77777777" w:rsidR="00533333" w:rsidRDefault="00533333" w:rsidP="00533333">
      <w:pPr>
        <w:jc w:val="both"/>
        <w:rPr>
          <w:rFonts w:ascii="Arial" w:hAnsi="Arial"/>
        </w:rPr>
      </w:pPr>
    </w:p>
    <w:p w14:paraId="445D4610" w14:textId="77777777" w:rsidR="00533333" w:rsidRDefault="00533333" w:rsidP="00533333">
      <w:pPr>
        <w:jc w:val="both"/>
        <w:rPr>
          <w:rFonts w:ascii="Arial" w:hAnsi="Arial"/>
        </w:rPr>
      </w:pPr>
    </w:p>
    <w:p w14:paraId="4955BDD6" w14:textId="77777777" w:rsidR="00533333" w:rsidRDefault="00533333" w:rsidP="00533333">
      <w:pPr>
        <w:jc w:val="both"/>
        <w:rPr>
          <w:rFonts w:ascii="Arial" w:hAnsi="Arial"/>
        </w:rPr>
      </w:pPr>
    </w:p>
    <w:p w14:paraId="79609567" w14:textId="77777777" w:rsidR="00533333" w:rsidRDefault="00533333" w:rsidP="00533333">
      <w:pPr>
        <w:jc w:val="both"/>
        <w:rPr>
          <w:rFonts w:ascii="Arial" w:hAnsi="Arial"/>
        </w:rPr>
      </w:pPr>
    </w:p>
    <w:p w14:paraId="09508862" w14:textId="77777777" w:rsidR="00533333" w:rsidRDefault="00533333" w:rsidP="00533333">
      <w:pPr>
        <w:jc w:val="both"/>
        <w:rPr>
          <w:rFonts w:ascii="Arial" w:hAnsi="Arial"/>
        </w:rPr>
      </w:pPr>
      <w:r>
        <w:rPr>
          <w:rFonts w:ascii="Arial" w:hAnsi="Arial"/>
          <w:noProof/>
        </w:rPr>
        <w:drawing>
          <wp:anchor distT="0" distB="0" distL="114300" distR="114300" simplePos="0" relativeHeight="251658240" behindDoc="0" locked="0" layoutInCell="1" allowOverlap="1" wp14:anchorId="51946767" wp14:editId="454FA8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BFFCDF5" wp14:editId="3F8CDDDC">
                <wp:extent cx="5943600" cy="2438400"/>
                <wp:effectExtent l="0" t="0" r="0" b="0"/>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61BEADA4" id="Rectangle 15" o:spid="_x0000_s1026" style="width:468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" filled="f" stroked="f">
                <o:lock v:ext="edit" aspectratio="t"/>
                <w10:anchorlock/>
              </v:rect>
            </w:pict>
          </mc:Fallback>
        </mc:AlternateContent>
      </w:r>
    </w:p>
    <w:p w14:paraId="718CC3BB" w14:textId="77777777" w:rsidR="00533333" w:rsidRDefault="00533333" w:rsidP="00533333">
      <w:pPr>
        <w:jc w:val="both"/>
        <w:rPr>
          <w:rFonts w:ascii="Arial" w:hAnsi="Arial"/>
        </w:rPr>
      </w:pPr>
    </w:p>
    <w:p w14:paraId="403DDC9D" w14:textId="77777777" w:rsidR="00533333" w:rsidRDefault="00533333" w:rsidP="00533333">
      <w:pPr>
        <w:jc w:val="both"/>
        <w:rPr>
          <w:rFonts w:ascii="Arial" w:hAnsi="Arial"/>
        </w:rPr>
      </w:pPr>
      <w:r>
        <w:rPr>
          <w:rFonts w:ascii="Arial" w:hAnsi="Arial"/>
        </w:rPr>
        <w:br w:type="page"/>
      </w:r>
    </w:p>
    <w:p w14:paraId="20453A4B" w14:textId="77777777" w:rsidR="00533333" w:rsidRDefault="00533333" w:rsidP="00533333">
      <w:pPr>
        <w:jc w:val="both"/>
        <w:rPr>
          <w:rFonts w:ascii="Arial" w:hAnsi="Arial"/>
        </w:rPr>
      </w:pPr>
    </w:p>
    <w:p w14:paraId="1ADA1F1F" w14:textId="77777777" w:rsidR="00533333" w:rsidRDefault="00533333" w:rsidP="00533333">
      <w:pPr>
        <w:jc w:val="both"/>
        <w:rPr>
          <w:rFonts w:ascii="Arial" w:hAnsi="Arial"/>
          <w:sz w:val="22"/>
        </w:rPr>
      </w:pPr>
      <w:r>
        <w:rPr>
          <w:rFonts w:ascii="Arial" w:hAnsi="Arial"/>
          <w:sz w:val="22"/>
        </w:rPr>
        <w:t>To calculate relevant Peak Security and Year Round the marginal km for node C:</w:t>
      </w:r>
    </w:p>
    <w:p w14:paraId="3CE8B3DD" w14:textId="77777777" w:rsidR="00533333" w:rsidRDefault="00533333" w:rsidP="00533333">
      <w:pPr>
        <w:jc w:val="both"/>
        <w:rPr>
          <w:rFonts w:ascii="Arial" w:hAnsi="Arial"/>
          <w:sz w:val="22"/>
        </w:rPr>
      </w:pPr>
    </w:p>
    <w:p w14:paraId="464909B0" w14:textId="77777777" w:rsidR="00533333" w:rsidRDefault="00533333" w:rsidP="00533333">
      <w:pPr>
        <w:jc w:val="both"/>
        <w:rPr>
          <w:rFonts w:ascii="Arial" w:hAnsi="Arial"/>
          <w:sz w:val="22"/>
        </w:rPr>
      </w:pPr>
      <w:r>
        <w:rPr>
          <w:rFonts w:ascii="Arial" w:hAnsi="Arial"/>
          <w:sz w:val="22"/>
        </w:rPr>
        <w:t>Total Peak Security Cost = (300.25 x 6) + (799.75 x 26) =22,595</w:t>
      </w:r>
    </w:p>
    <w:p w14:paraId="7B058E0F" w14:textId="77777777" w:rsidR="00533333" w:rsidRDefault="00533333" w:rsidP="00533333">
      <w:pPr>
        <w:jc w:val="both"/>
        <w:rPr>
          <w:rFonts w:ascii="Arial" w:hAnsi="Arial"/>
          <w:sz w:val="22"/>
        </w:rPr>
      </w:pPr>
    </w:p>
    <w:p w14:paraId="1F27CF96" w14:textId="77777777" w:rsidR="00533333" w:rsidRDefault="00533333" w:rsidP="00533333">
      <w:pPr>
        <w:jc w:val="both"/>
        <w:rPr>
          <w:rFonts w:ascii="Arial" w:hAnsi="Arial"/>
          <w:sz w:val="22"/>
        </w:rPr>
      </w:pPr>
      <w:r>
        <w:rPr>
          <w:rFonts w:ascii="Arial" w:hAnsi="Arial"/>
          <w:sz w:val="22"/>
        </w:rPr>
        <w:t>Total Year Round Cost = 424.25 X 10 = 4,242.5 MWkm</w:t>
      </w:r>
    </w:p>
    <w:p w14:paraId="555363F7" w14:textId="77777777" w:rsidR="00533333" w:rsidRDefault="00533333" w:rsidP="00533333">
      <w:pPr>
        <w:jc w:val="both"/>
        <w:rPr>
          <w:rFonts w:ascii="Arial" w:hAnsi="Arial"/>
          <w:sz w:val="22"/>
        </w:rPr>
      </w:pPr>
    </w:p>
    <w:p w14:paraId="7B2ED697" w14:textId="77777777" w:rsidR="00533333" w:rsidRDefault="00533333" w:rsidP="00533333">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1A28210F" wp14:editId="1088F1A7">
                <wp:simplePos x="0" y="0"/>
                <wp:positionH relativeFrom="column">
                  <wp:posOffset>-113030</wp:posOffset>
                </wp:positionH>
                <wp:positionV relativeFrom="paragraph">
                  <wp:posOffset>315595</wp:posOffset>
                </wp:positionV>
                <wp:extent cx="2698750" cy="1064895"/>
                <wp:effectExtent l="1270" t="1270" r="0" b="63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346087C"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987;height:10648;visibility:visible;mso-wrap-style:square">
                  <v:fill o:detectmouseclick="t"/>
                  <v:path o:connecttype="none"/>
                </v:shape>
              </v:group>
            </w:pict>
          </mc:Fallback>
        </mc:AlternateContent>
      </w:r>
      <w:r>
        <w:rPr>
          <w:rFonts w:ascii="Arial" w:hAnsi="Arial"/>
          <w:sz w:val="22"/>
        </w:rPr>
        <w:t>Marginal Peak Security cost = Incremental total Peak Security cost – Base case total Peak Security cost</w:t>
      </w:r>
    </w:p>
    <w:p w14:paraId="4EEB5338"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34E468A1" w14:textId="77777777" w:rsidR="00533333" w:rsidRDefault="00533333" w:rsidP="00533333">
      <w:pPr>
        <w:jc w:val="both"/>
        <w:rPr>
          <w:rFonts w:ascii="Arial" w:hAnsi="Arial"/>
          <w:sz w:val="22"/>
        </w:rPr>
      </w:pPr>
    </w:p>
    <w:p w14:paraId="398EC7CC" w14:textId="77777777" w:rsidR="00533333" w:rsidRDefault="00533333" w:rsidP="00533333">
      <w:pPr>
        <w:jc w:val="both"/>
        <w:rPr>
          <w:rFonts w:ascii="Arial" w:hAnsi="Arial"/>
          <w:sz w:val="22"/>
        </w:rPr>
      </w:pPr>
      <w:r>
        <w:rPr>
          <w:rFonts w:ascii="Arial" w:hAnsi="Arial"/>
          <w:sz w:val="22"/>
        </w:rPr>
        <w:t>Marginal Year Round cost = Incremental total Year Round cost – Base case total Year Round cost</w:t>
      </w:r>
    </w:p>
    <w:p w14:paraId="3593B8BF"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7F2356D8" w14:textId="77777777" w:rsidR="00533333" w:rsidRDefault="00533333" w:rsidP="00533333">
      <w:pPr>
        <w:jc w:val="both"/>
        <w:rPr>
          <w:rFonts w:ascii="Arial" w:hAnsi="Arial"/>
          <w:sz w:val="22"/>
        </w:rPr>
      </w:pPr>
    </w:p>
    <w:p w14:paraId="09C7860C" w14:textId="77777777" w:rsidR="00533333" w:rsidRDefault="00533333" w:rsidP="00533333">
      <w:pPr>
        <w:jc w:val="both"/>
        <w:rPr>
          <w:rFonts w:ascii="Arial" w:hAnsi="Arial"/>
          <w:sz w:val="22"/>
        </w:rPr>
      </w:pPr>
    </w:p>
    <w:p w14:paraId="466E2B4A" w14:textId="77777777" w:rsidR="00533333" w:rsidRDefault="00533333" w:rsidP="00533333">
      <w:pPr>
        <w:jc w:val="both"/>
        <w:rPr>
          <w:rFonts w:ascii="Arial" w:hAnsi="Arial"/>
          <w:sz w:val="22"/>
        </w:rPr>
      </w:pPr>
      <w:r>
        <w:rPr>
          <w:rFonts w:ascii="Arial" w:hAnsi="Arial"/>
          <w:sz w:val="22"/>
        </w:rPr>
        <w:t>Thus the overall cost has reduced by .5 for Peak Security (i.e. the marginal km = 5) and by 7.5 for Year Round (i.e the Year Round marginal km = -7.5)</w:t>
      </w:r>
    </w:p>
    <w:p w14:paraId="0B7F80D1" w14:textId="77777777" w:rsidR="00533333" w:rsidRDefault="00533333" w:rsidP="00533333">
      <w:pPr>
        <w:jc w:val="both"/>
        <w:rPr>
          <w:rFonts w:ascii="Arial" w:hAnsi="Arial"/>
          <w:sz w:val="22"/>
        </w:rPr>
      </w:pPr>
    </w:p>
    <w:p w14:paraId="357D779E" w14:textId="77777777" w:rsidR="00533333" w:rsidRDefault="00533333" w:rsidP="00533333">
      <w:pPr>
        <w:pStyle w:val="FootnoteText"/>
      </w:pPr>
    </w:p>
    <w:p w14:paraId="23F246BB" w14:textId="1C1BEEBC" w:rsidR="00CD2194" w:rsidRPr="00C5521A" w:rsidRDefault="00533333" w:rsidP="00CD2194">
      <w:pPr>
        <w:pStyle w:val="Heading1"/>
        <w:rPr>
          <w:color w:val="auto"/>
        </w:rPr>
      </w:pPr>
      <w:r>
        <w:br w:type="page"/>
      </w:r>
      <w:bookmarkStart w:id="523" w:name="_Toc32201103"/>
      <w:bookmarkEnd w:id="520"/>
      <w:bookmarkEnd w:id="521"/>
      <w:r w:rsidR="006661FE">
        <w:lastRenderedPageBreak/>
        <w:br w:type="page"/>
      </w:r>
      <w:bookmarkStart w:id="524" w:name="_Toc49661153"/>
      <w:bookmarkStart w:id="525" w:name="_Toc274049732"/>
      <w:r w:rsidR="00CD2194" w:rsidRPr="00C5521A">
        <w:rPr>
          <w:color w:val="auto"/>
        </w:rPr>
        <w:lastRenderedPageBreak/>
        <w:t>14.22 Illustrative Calculation of Boundary Sharing Factors (BSFs) and Shared / Not-Shared incremental km</w:t>
      </w:r>
    </w:p>
    <w:p w14:paraId="20903293" w14:textId="77777777" w:rsidR="00CD2194" w:rsidRPr="000B6C0D" w:rsidRDefault="00CD2194" w:rsidP="00CD2194">
      <w:pPr>
        <w:pStyle w:val="Heading1"/>
        <w:rPr>
          <w:rFonts w:ascii="Arial" w:hAnsi="Arial" w:cs="Arial"/>
          <w:sz w:val="22"/>
          <w:szCs w:val="22"/>
        </w:rPr>
      </w:pPr>
    </w:p>
    <w:p w14:paraId="56F1058C"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76EA505" w14:textId="77777777" w:rsidR="00CD2194" w:rsidRPr="000B6C0D" w:rsidRDefault="00CD2194" w:rsidP="00CD2194">
      <w:pPr>
        <w:rPr>
          <w:rFonts w:ascii="Arial" w:hAnsi="Arial" w:cs="Arial"/>
          <w:lang w:eastAsia="en-US"/>
        </w:rPr>
      </w:pPr>
    </w:p>
    <w:p w14:paraId="6ABDB6DC"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7"/>
        <w:gridCol w:w="1752"/>
        <w:gridCol w:w="1752"/>
        <w:gridCol w:w="1752"/>
        <w:gridCol w:w="1735"/>
      </w:tblGrid>
      <w:tr w:rsidR="00CD2194" w:rsidRPr="000B6C0D" w14:paraId="62C59A94" w14:textId="77777777" w:rsidTr="00CD2194">
        <w:tc>
          <w:tcPr>
            <w:tcW w:w="2388" w:type="dxa"/>
          </w:tcPr>
          <w:p w14:paraId="0B1D147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75A75E2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30D3726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AD8C5D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292A9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33B9B15" w14:textId="77777777" w:rsidTr="00CD2194">
        <w:tc>
          <w:tcPr>
            <w:tcW w:w="2388" w:type="dxa"/>
          </w:tcPr>
          <w:p w14:paraId="51C7FE2D"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006ED919"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78B31E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2064FF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7737D03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10B94B06" w14:textId="77777777" w:rsidR="00CD2194" w:rsidRPr="000B6C0D" w:rsidRDefault="00CD2194" w:rsidP="00CD2194">
      <w:pPr>
        <w:rPr>
          <w:rFonts w:ascii="Arial" w:hAnsi="Arial" w:cs="Arial"/>
          <w:lang w:eastAsia="en-US"/>
        </w:rPr>
      </w:pPr>
    </w:p>
    <w:p w14:paraId="2F7FE937" w14:textId="48D39255" w:rsidR="00CD2194" w:rsidRPr="00CD2194" w:rsidRDefault="00CD2194" w:rsidP="00CD2194">
      <w:pPr>
        <w:rPr>
          <w:rFonts w:ascii="Arial" w:hAnsi="Arial" w:cs="Arial"/>
          <w:lang w:eastAsia="en-US"/>
        </w:rPr>
      </w:pPr>
      <w:r w:rsidRPr="000B6C0D">
        <w:rPr>
          <w:rFonts w:ascii="Arial" w:hAnsi="Arial" w:cs="Arial"/>
          <w:lang w:eastAsia="en-US"/>
        </w:rPr>
        <w:t>The di</w:t>
      </w:r>
      <w:r w:rsidR="008C574C">
        <w:rPr>
          <w:rFonts w:ascii="Arial" w:hAnsi="Arial" w:cs="Arial"/>
          <w:lang w:eastAsia="en-US"/>
        </w:rPr>
        <w:t>a</w:t>
      </w:r>
      <w:r w:rsidRPr="000B6C0D">
        <w:rPr>
          <w:rFonts w:ascii="Arial" w:hAnsi="Arial" w:cs="Arial"/>
          <w:lang w:eastAsia="en-US"/>
        </w:rPr>
        <w:t>gram below shows the expanded connectivity of this transmission system.</w:t>
      </w:r>
    </w:p>
    <w:p w14:paraId="5922BA1F"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8"/>
      </w:tblGrid>
      <w:tr w:rsidR="00CD2194" w:rsidRPr="000B6C0D" w14:paraId="7048F3B1" w14:textId="77777777" w:rsidTr="00CD2194">
        <w:tc>
          <w:tcPr>
            <w:tcW w:w="9570" w:type="dxa"/>
          </w:tcPr>
          <w:p w14:paraId="244B1A9E" w14:textId="3FC06F36" w:rsidR="00CD2194" w:rsidRPr="00CD2194" w:rsidRDefault="00575BBD" w:rsidP="00CD2194">
            <w:pPr>
              <w:rPr>
                <w:lang w:eastAsia="en-US"/>
              </w:rPr>
            </w:pPr>
            <w:r w:rsidRPr="00CD2194">
              <w:rPr>
                <w:noProof/>
              </w:rPr>
              <w:drawing>
                <wp:inline distT="0" distB="0" distL="0" distR="0" wp14:anchorId="4F8B26E4" wp14:editId="05163373">
                  <wp:extent cx="6153150" cy="33147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53150" cy="3314700"/>
                          </a:xfrm>
                          <a:prstGeom prst="rect">
                            <a:avLst/>
                          </a:prstGeom>
                          <a:noFill/>
                          <a:ln>
                            <a:noFill/>
                          </a:ln>
                        </pic:spPr>
                      </pic:pic>
                    </a:graphicData>
                  </a:graphic>
                </wp:inline>
              </w:drawing>
            </w:r>
          </w:p>
        </w:tc>
      </w:tr>
    </w:tbl>
    <w:p w14:paraId="39B9B467" w14:textId="21684E7E" w:rsidR="00CD2194" w:rsidRPr="00CD2194" w:rsidRDefault="00CD2194" w:rsidP="00CD2194">
      <w:pPr>
        <w:rPr>
          <w:lang w:eastAsia="en-US"/>
        </w:rPr>
      </w:pPr>
      <w:r w:rsidRPr="000B6C0D">
        <w:rPr>
          <w:lang w:eastAsia="en-US"/>
        </w:rPr>
        <w:t xml:space="preserve">up </w:t>
      </w:r>
      <w:r w:rsidR="00575BBD" w:rsidRPr="00CD2194">
        <w:rPr>
          <w:noProof/>
        </w:rPr>
        <w:drawing>
          <wp:inline distT="0" distB="0" distL="0" distR="0" wp14:anchorId="285FD78A" wp14:editId="13A7A4C1">
            <wp:extent cx="6000750" cy="25050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00750" cy="2505075"/>
                    </a:xfrm>
                    <a:prstGeom prst="rect">
                      <a:avLst/>
                    </a:prstGeom>
                    <a:noFill/>
                    <a:ln>
                      <a:noFill/>
                    </a:ln>
                  </pic:spPr>
                </pic:pic>
              </a:graphicData>
            </a:graphic>
          </wp:inline>
        </w:drawing>
      </w:r>
    </w:p>
    <w:p w14:paraId="244AAADC" w14:textId="77777777" w:rsidR="00CD2194" w:rsidRPr="00CD2194" w:rsidRDefault="00CD2194" w:rsidP="00CD2194">
      <w:pPr>
        <w:rPr>
          <w:lang w:eastAsia="en-US"/>
        </w:rPr>
      </w:pPr>
    </w:p>
    <w:p w14:paraId="5F8992C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3BD11332" w14:textId="77777777" w:rsidR="00CD2194" w:rsidRPr="000B6C0D" w:rsidRDefault="00CD2194" w:rsidP="00CD2194">
      <w:pPr>
        <w:rPr>
          <w:rFonts w:ascii="Arial" w:hAnsi="Arial" w:cs="Arial"/>
          <w:sz w:val="22"/>
          <w:szCs w:val="22"/>
          <w:lang w:eastAsia="en-US"/>
        </w:rPr>
      </w:pPr>
    </w:p>
    <w:p w14:paraId="5EDA2766"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lastRenderedPageBreak/>
        <w:t xml:space="preserve">(a) For Boundary AB (where 50MW of the generation is Low Carbon (LC) and 0MW of the generation is Carbon (C) and Year Round boundary marginal km = 100km)  - </w:t>
      </w:r>
    </w:p>
    <w:p w14:paraId="722663C5" w14:textId="77777777" w:rsidR="00CD2194" w:rsidRPr="000B6C0D" w:rsidRDefault="00CD2194" w:rsidP="00CD2194">
      <w:pPr>
        <w:rPr>
          <w:rFonts w:ascii="Arial" w:hAnsi="Arial" w:cs="Arial"/>
          <w:sz w:val="22"/>
          <w:szCs w:val="22"/>
          <w:lang w:eastAsia="en-US"/>
        </w:rPr>
      </w:pPr>
    </w:p>
    <w:p w14:paraId="45CE761A" w14:textId="11681BC2"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575BBD" w:rsidRPr="000B6C0D">
        <w:rPr>
          <w:rFonts w:ascii="Arial" w:hAnsi="Arial" w:cs="Arial"/>
          <w:noProof/>
          <w:position w:val="-30"/>
          <w:sz w:val="22"/>
          <w:szCs w:val="22"/>
          <w:lang w:eastAsia="en-US"/>
        </w:rPr>
        <w:drawing>
          <wp:inline distT="0" distB="0" distL="0" distR="0" wp14:anchorId="7FDC9362" wp14:editId="3F2534D1">
            <wp:extent cx="1295400" cy="42862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1C958EE7" w14:textId="77777777" w:rsidR="00CD2194" w:rsidRPr="000B6C0D" w:rsidRDefault="00CD2194" w:rsidP="00CD2194">
      <w:pPr>
        <w:rPr>
          <w:rFonts w:ascii="Arial" w:hAnsi="Arial" w:cs="Arial"/>
          <w:sz w:val="22"/>
          <w:szCs w:val="22"/>
          <w:lang w:eastAsia="en-US"/>
        </w:rPr>
      </w:pPr>
    </w:p>
    <w:p w14:paraId="3097E406" w14:textId="085445F4"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4C0F1707" wp14:editId="3CB50A2D">
            <wp:extent cx="3457575" cy="48577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457575" cy="485775"/>
                    </a:xfrm>
                    <a:prstGeom prst="rect">
                      <a:avLst/>
                    </a:prstGeom>
                    <a:noFill/>
                    <a:ln>
                      <a:noFill/>
                    </a:ln>
                  </pic:spPr>
                </pic:pic>
              </a:graphicData>
            </a:graphic>
          </wp:inline>
        </w:drawing>
      </w:r>
    </w:p>
    <w:p w14:paraId="4E13852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5DE92F18"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55C08F73" w14:textId="77777777" w:rsidR="00CD2194" w:rsidRPr="000B6C0D" w:rsidRDefault="00CD2194" w:rsidP="00CD2194">
      <w:pPr>
        <w:rPr>
          <w:rFonts w:ascii="Arial" w:hAnsi="Arial" w:cs="Arial"/>
          <w:sz w:val="22"/>
          <w:szCs w:val="22"/>
        </w:rPr>
      </w:pPr>
    </w:p>
    <w:p w14:paraId="574BFF8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199796B9" w14:textId="77777777" w:rsidR="00CD2194" w:rsidRPr="000B6C0D" w:rsidRDefault="00CD2194" w:rsidP="00CD2194">
      <w:pPr>
        <w:rPr>
          <w:rFonts w:ascii="Arial" w:hAnsi="Arial" w:cs="Arial"/>
          <w:sz w:val="22"/>
          <w:szCs w:val="22"/>
        </w:rPr>
      </w:pPr>
    </w:p>
    <w:p w14:paraId="677DEA28" w14:textId="29F0B396"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9F34E44" wp14:editId="4C4C65F8">
            <wp:extent cx="2324100" cy="42862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324100"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648CEE26" w14:textId="77777777" w:rsidR="00CD2194" w:rsidRPr="000B6C0D" w:rsidRDefault="00CD2194" w:rsidP="00CD2194">
      <w:pPr>
        <w:rPr>
          <w:rFonts w:ascii="Arial" w:hAnsi="Arial" w:cs="Arial"/>
          <w:sz w:val="22"/>
          <w:szCs w:val="22"/>
        </w:rPr>
      </w:pPr>
    </w:p>
    <w:p w14:paraId="0D991E0C" w14:textId="3C7CDE30"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060E8809" wp14:editId="4EA574C1">
            <wp:extent cx="4010025" cy="48577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010025" cy="485775"/>
                    </a:xfrm>
                    <a:prstGeom prst="rect">
                      <a:avLst/>
                    </a:prstGeom>
                    <a:noFill/>
                    <a:ln>
                      <a:noFill/>
                    </a:ln>
                  </pic:spPr>
                </pic:pic>
              </a:graphicData>
            </a:graphic>
          </wp:inline>
        </w:drawing>
      </w:r>
    </w:p>
    <w:p w14:paraId="46225799" w14:textId="77777777" w:rsidR="00CD2194" w:rsidRPr="000B6C0D" w:rsidRDefault="00CD2194" w:rsidP="00CD2194"/>
    <w:p w14:paraId="2E876CFD"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1C6CE8A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1926E242" w14:textId="77777777" w:rsidR="00CD2194" w:rsidRPr="000B6C0D" w:rsidRDefault="00CD2194" w:rsidP="00CD2194">
      <w:pPr>
        <w:rPr>
          <w:rFonts w:ascii="Arial" w:hAnsi="Arial" w:cs="Arial"/>
          <w:sz w:val="22"/>
          <w:szCs w:val="22"/>
        </w:rPr>
      </w:pPr>
    </w:p>
    <w:p w14:paraId="03C2B44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5F8BBBE5" w14:textId="77777777" w:rsidR="00CD2194" w:rsidRPr="000B6C0D" w:rsidRDefault="00CD2194" w:rsidP="00CD2194">
      <w:pPr>
        <w:rPr>
          <w:rFonts w:ascii="Arial" w:hAnsi="Arial" w:cs="Arial"/>
          <w:sz w:val="22"/>
          <w:szCs w:val="22"/>
          <w:lang w:eastAsia="en-US"/>
        </w:rPr>
      </w:pPr>
    </w:p>
    <w:p w14:paraId="0EB43CCD" w14:textId="68CAE51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6856229" wp14:editId="32079AD0">
            <wp:extent cx="2962275" cy="42862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962275"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338D3A92" w14:textId="77777777" w:rsidR="00CD2194" w:rsidRPr="000B6C0D" w:rsidRDefault="00CD2194" w:rsidP="00CD2194">
      <w:pPr>
        <w:rPr>
          <w:rFonts w:ascii="Arial" w:hAnsi="Arial" w:cs="Arial"/>
          <w:sz w:val="22"/>
          <w:szCs w:val="22"/>
          <w:lang w:eastAsia="en-US"/>
        </w:rPr>
      </w:pPr>
    </w:p>
    <w:p w14:paraId="4C0CD26C" w14:textId="1E1FDCB2" w:rsidR="00CD2194" w:rsidRPr="000B6C0D" w:rsidRDefault="00575BBD" w:rsidP="00CD2194">
      <w:pPr>
        <w:rPr>
          <w:rFonts w:ascii="Arial" w:hAnsi="Arial" w:cs="Arial"/>
          <w:sz w:val="22"/>
          <w:szCs w:val="22"/>
        </w:rPr>
      </w:pPr>
      <w:r w:rsidRPr="000B6C0D">
        <w:rPr>
          <w:noProof/>
          <w:position w:val="-32"/>
        </w:rPr>
        <w:drawing>
          <wp:inline distT="0" distB="0" distL="0" distR="0" wp14:anchorId="7613B521" wp14:editId="6DB043A4">
            <wp:extent cx="4000500" cy="485775"/>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00500" cy="485775"/>
                    </a:xfrm>
                    <a:prstGeom prst="rect">
                      <a:avLst/>
                    </a:prstGeom>
                    <a:noFill/>
                    <a:ln>
                      <a:noFill/>
                    </a:ln>
                  </pic:spPr>
                </pic:pic>
              </a:graphicData>
            </a:graphic>
          </wp:inline>
        </w:drawing>
      </w:r>
    </w:p>
    <w:p w14:paraId="22F15BD8" w14:textId="77777777" w:rsidR="00CD2194" w:rsidRPr="000B6C0D" w:rsidRDefault="00CD2194" w:rsidP="00CD2194">
      <w:pPr>
        <w:rPr>
          <w:rFonts w:ascii="Arial" w:hAnsi="Arial" w:cs="Arial"/>
          <w:sz w:val="22"/>
          <w:szCs w:val="22"/>
        </w:rPr>
      </w:pPr>
    </w:p>
    <w:p w14:paraId="205D227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2FFF3300"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6C545AB1" w14:textId="77777777" w:rsidR="00CD2194" w:rsidRPr="000B6C0D" w:rsidRDefault="00CD2194" w:rsidP="00CD2194">
      <w:pPr>
        <w:rPr>
          <w:rFonts w:ascii="Arial" w:hAnsi="Arial" w:cs="Arial"/>
          <w:sz w:val="22"/>
          <w:szCs w:val="22"/>
        </w:rPr>
      </w:pPr>
    </w:p>
    <w:p w14:paraId="7B28346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506E65A6" w14:textId="77777777" w:rsidR="00CD2194" w:rsidRPr="000B6C0D" w:rsidRDefault="00CD2194" w:rsidP="00CD2194">
      <w:pPr>
        <w:rPr>
          <w:rFonts w:ascii="Arial" w:hAnsi="Arial" w:cs="Arial"/>
          <w:sz w:val="22"/>
          <w:szCs w:val="22"/>
          <w:lang w:eastAsia="en-US"/>
        </w:rPr>
      </w:pPr>
    </w:p>
    <w:p w14:paraId="363E6740" w14:textId="05EE6DB0"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6D18A51A" wp14:editId="67215CB5">
            <wp:extent cx="3429000" cy="42862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429000" cy="428625"/>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130BC2D7" w14:textId="77777777" w:rsidR="00CD2194" w:rsidRPr="000B6C0D" w:rsidRDefault="00CD2194" w:rsidP="00CD2194">
      <w:pPr>
        <w:rPr>
          <w:rFonts w:ascii="Arial" w:hAnsi="Arial" w:cs="Arial"/>
          <w:sz w:val="22"/>
          <w:szCs w:val="22"/>
        </w:rPr>
      </w:pPr>
    </w:p>
    <w:p w14:paraId="453E7B9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0918F0C8"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1CD9EBB8" w14:textId="270A9444"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w:t>
      </w:r>
      <w:r w:rsidRPr="0537B9E0">
        <w:rPr>
          <w:rFonts w:ascii="Arial" w:hAnsi="Arial" w:cs="Arial"/>
          <w:sz w:val="22"/>
          <w:szCs w:val="22"/>
          <w:lang w:eastAsia="en-US"/>
        </w:rPr>
        <w:lastRenderedPageBreak/>
        <w:t>centre of the system i.e. zonal MWkm of 0)</w:t>
      </w:r>
      <w:r w:rsidR="1E486260"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are then use to calculate wider £/kW generation tariffs. </w:t>
      </w:r>
    </w:p>
    <w:p w14:paraId="6F34BB1F"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1751"/>
        <w:gridCol w:w="1751"/>
        <w:gridCol w:w="1751"/>
        <w:gridCol w:w="1725"/>
      </w:tblGrid>
      <w:tr w:rsidR="00CD2194" w:rsidRPr="000B6C0D" w14:paraId="791DF170" w14:textId="77777777" w:rsidTr="00CD2194">
        <w:tc>
          <w:tcPr>
            <w:tcW w:w="2388" w:type="dxa"/>
          </w:tcPr>
          <w:p w14:paraId="54FB86D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070428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7DB4911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32E7EE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79C797F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637DC0EB" w14:textId="77777777" w:rsidTr="00CD2194">
        <w:tc>
          <w:tcPr>
            <w:tcW w:w="2388" w:type="dxa"/>
          </w:tcPr>
          <w:p w14:paraId="0CC448B5"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6125F45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081B6402" w14:textId="77777777" w:rsidR="00CD2194" w:rsidRPr="000B6C0D" w:rsidRDefault="00CD2194" w:rsidP="00CD2194">
            <w:pPr>
              <w:rPr>
                <w:rFonts w:ascii="Arial" w:hAnsi="Arial" w:cs="Arial"/>
                <w:lang w:eastAsia="en-US"/>
              </w:rPr>
            </w:pPr>
          </w:p>
        </w:tc>
        <w:tc>
          <w:tcPr>
            <w:tcW w:w="1800" w:type="dxa"/>
          </w:tcPr>
          <w:p w14:paraId="1DD84F42" w14:textId="77777777" w:rsidR="00CD2194" w:rsidRPr="000B6C0D" w:rsidRDefault="00CD2194" w:rsidP="00CD2194">
            <w:pPr>
              <w:rPr>
                <w:rFonts w:ascii="Arial" w:hAnsi="Arial" w:cs="Arial"/>
                <w:lang w:eastAsia="en-US"/>
              </w:rPr>
            </w:pPr>
          </w:p>
        </w:tc>
        <w:tc>
          <w:tcPr>
            <w:tcW w:w="1782" w:type="dxa"/>
          </w:tcPr>
          <w:p w14:paraId="0E65691A" w14:textId="77777777" w:rsidR="00CD2194" w:rsidRPr="000B6C0D" w:rsidRDefault="00CD2194" w:rsidP="00CD2194">
            <w:pPr>
              <w:rPr>
                <w:rFonts w:ascii="Arial" w:hAnsi="Arial" w:cs="Arial"/>
                <w:lang w:eastAsia="en-US"/>
              </w:rPr>
            </w:pPr>
          </w:p>
        </w:tc>
      </w:tr>
      <w:tr w:rsidR="00CD2194" w:rsidRPr="000B6C0D" w14:paraId="04445A7A" w14:textId="77777777" w:rsidTr="00CD2194">
        <w:tc>
          <w:tcPr>
            <w:tcW w:w="2388" w:type="dxa"/>
          </w:tcPr>
          <w:p w14:paraId="6A5ED3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52DA72C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2172D95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E07F721" w14:textId="77777777" w:rsidR="00CD2194" w:rsidRPr="000B6C0D" w:rsidRDefault="00CD2194" w:rsidP="00CD2194">
            <w:pPr>
              <w:rPr>
                <w:rFonts w:ascii="Arial" w:hAnsi="Arial" w:cs="Arial"/>
                <w:lang w:eastAsia="en-US"/>
              </w:rPr>
            </w:pPr>
          </w:p>
        </w:tc>
        <w:tc>
          <w:tcPr>
            <w:tcW w:w="1782" w:type="dxa"/>
          </w:tcPr>
          <w:p w14:paraId="22A08CC0" w14:textId="77777777" w:rsidR="00CD2194" w:rsidRPr="000B6C0D" w:rsidRDefault="00CD2194" w:rsidP="00CD2194">
            <w:pPr>
              <w:rPr>
                <w:rFonts w:ascii="Arial" w:hAnsi="Arial" w:cs="Arial"/>
                <w:lang w:eastAsia="en-US"/>
              </w:rPr>
            </w:pPr>
          </w:p>
        </w:tc>
      </w:tr>
      <w:tr w:rsidR="00CD2194" w:rsidRPr="000B6C0D" w14:paraId="45FF7E05" w14:textId="77777777" w:rsidTr="00CD2194">
        <w:tc>
          <w:tcPr>
            <w:tcW w:w="2388" w:type="dxa"/>
          </w:tcPr>
          <w:p w14:paraId="4D4F9A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01EE3DC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2BC423E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1EA31C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7297D627" w14:textId="77777777" w:rsidR="00CD2194" w:rsidRPr="000B6C0D" w:rsidRDefault="00CD2194" w:rsidP="00CD2194">
            <w:pPr>
              <w:rPr>
                <w:rFonts w:ascii="Arial" w:hAnsi="Arial" w:cs="Arial"/>
                <w:lang w:eastAsia="en-US"/>
              </w:rPr>
            </w:pPr>
          </w:p>
        </w:tc>
      </w:tr>
      <w:tr w:rsidR="00CD2194" w:rsidRPr="000B6C0D" w14:paraId="5563DB48" w14:textId="77777777" w:rsidTr="00CD2194">
        <w:tc>
          <w:tcPr>
            <w:tcW w:w="2388" w:type="dxa"/>
          </w:tcPr>
          <w:p w14:paraId="759256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A0811B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729D657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B4B407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30F5810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0A162E17" w14:textId="77777777" w:rsidTr="00CD2194">
        <w:tc>
          <w:tcPr>
            <w:tcW w:w="2388" w:type="dxa"/>
          </w:tcPr>
          <w:p w14:paraId="72E04F0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224441F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2FA28D3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0A0F9E6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143D2DE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63C1E5C1" w14:textId="77777777" w:rsidTr="00CD2194">
        <w:tc>
          <w:tcPr>
            <w:tcW w:w="2388" w:type="dxa"/>
          </w:tcPr>
          <w:p w14:paraId="0FF2ECEB"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7577AE9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B70B73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E305D1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6F2A9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20980378" w14:textId="77777777" w:rsidR="00CD2194" w:rsidRPr="000B6C0D" w:rsidRDefault="00CD2194" w:rsidP="00CD2194">
      <w:pPr>
        <w:rPr>
          <w:rFonts w:ascii="Arial" w:hAnsi="Arial" w:cs="Arial"/>
          <w:sz w:val="22"/>
          <w:szCs w:val="22"/>
          <w:lang w:eastAsia="en-US"/>
        </w:rPr>
      </w:pPr>
    </w:p>
    <w:p w14:paraId="02C9CAB8" w14:textId="48C62605"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The not-shared zonal marginal km for each generation charging zone will be the sum of the relevant not-shared boundary marginal km as shown in the table below (assuming the node below D is the centre of the system i.e. zonal MWkm of 0)</w:t>
      </w:r>
      <w:r w:rsidR="37E1D644"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are then use to calculate wider £/kW generation tariffs. </w:t>
      </w:r>
    </w:p>
    <w:p w14:paraId="1272AA32"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4"/>
        <w:gridCol w:w="1748"/>
        <w:gridCol w:w="1745"/>
        <w:gridCol w:w="1728"/>
      </w:tblGrid>
      <w:tr w:rsidR="00CD2194" w:rsidRPr="000B6C0D" w14:paraId="644B2265" w14:textId="77777777" w:rsidTr="00CD2194">
        <w:tc>
          <w:tcPr>
            <w:tcW w:w="2388" w:type="dxa"/>
          </w:tcPr>
          <w:p w14:paraId="53F800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6C2DAD8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2F66E29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0EBC4E"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55AB7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E2F273E" w14:textId="77777777" w:rsidTr="00CD2194">
        <w:tc>
          <w:tcPr>
            <w:tcW w:w="2388" w:type="dxa"/>
          </w:tcPr>
          <w:p w14:paraId="3173697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3A2B0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3548BFF" w14:textId="77777777" w:rsidR="00CD2194" w:rsidRPr="000B6C0D" w:rsidRDefault="00CD2194" w:rsidP="00CD2194">
            <w:pPr>
              <w:rPr>
                <w:rFonts w:ascii="Arial" w:hAnsi="Arial" w:cs="Arial"/>
                <w:lang w:eastAsia="en-US"/>
              </w:rPr>
            </w:pPr>
          </w:p>
        </w:tc>
        <w:tc>
          <w:tcPr>
            <w:tcW w:w="1800" w:type="dxa"/>
          </w:tcPr>
          <w:p w14:paraId="5D8B6F8E" w14:textId="77777777" w:rsidR="00CD2194" w:rsidRPr="000B6C0D" w:rsidRDefault="00CD2194" w:rsidP="00CD2194">
            <w:pPr>
              <w:rPr>
                <w:rFonts w:ascii="Arial" w:hAnsi="Arial" w:cs="Arial"/>
                <w:lang w:eastAsia="en-US"/>
              </w:rPr>
            </w:pPr>
          </w:p>
        </w:tc>
        <w:tc>
          <w:tcPr>
            <w:tcW w:w="1782" w:type="dxa"/>
          </w:tcPr>
          <w:p w14:paraId="49438416" w14:textId="77777777" w:rsidR="00CD2194" w:rsidRPr="000B6C0D" w:rsidRDefault="00CD2194" w:rsidP="00CD2194">
            <w:pPr>
              <w:rPr>
                <w:rFonts w:ascii="Arial" w:hAnsi="Arial" w:cs="Arial"/>
                <w:lang w:eastAsia="en-US"/>
              </w:rPr>
            </w:pPr>
          </w:p>
        </w:tc>
      </w:tr>
      <w:tr w:rsidR="00CD2194" w:rsidRPr="000B6C0D" w14:paraId="28DE4375" w14:textId="77777777" w:rsidTr="00CD2194">
        <w:tc>
          <w:tcPr>
            <w:tcW w:w="2388" w:type="dxa"/>
          </w:tcPr>
          <w:p w14:paraId="32015A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7909208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6E3239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17C3AFB8" w14:textId="77777777" w:rsidR="00CD2194" w:rsidRPr="000B6C0D" w:rsidRDefault="00CD2194" w:rsidP="00CD2194">
            <w:pPr>
              <w:rPr>
                <w:rFonts w:ascii="Arial" w:hAnsi="Arial" w:cs="Arial"/>
                <w:lang w:eastAsia="en-US"/>
              </w:rPr>
            </w:pPr>
          </w:p>
        </w:tc>
        <w:tc>
          <w:tcPr>
            <w:tcW w:w="1782" w:type="dxa"/>
          </w:tcPr>
          <w:p w14:paraId="4938F365" w14:textId="77777777" w:rsidR="00CD2194" w:rsidRPr="000B6C0D" w:rsidRDefault="00CD2194" w:rsidP="00CD2194">
            <w:pPr>
              <w:rPr>
                <w:rFonts w:ascii="Arial" w:hAnsi="Arial" w:cs="Arial"/>
                <w:lang w:eastAsia="en-US"/>
              </w:rPr>
            </w:pPr>
          </w:p>
        </w:tc>
      </w:tr>
      <w:tr w:rsidR="00CD2194" w:rsidRPr="000B6C0D" w14:paraId="3AF9605F" w14:textId="77777777" w:rsidTr="00CD2194">
        <w:tc>
          <w:tcPr>
            <w:tcW w:w="2388" w:type="dxa"/>
          </w:tcPr>
          <w:p w14:paraId="71CEAA3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06490C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4D127D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95451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2C21702" w14:textId="77777777" w:rsidR="00CD2194" w:rsidRPr="000B6C0D" w:rsidRDefault="00CD2194" w:rsidP="00CD2194">
            <w:pPr>
              <w:rPr>
                <w:rFonts w:ascii="Arial" w:hAnsi="Arial" w:cs="Arial"/>
                <w:lang w:eastAsia="en-US"/>
              </w:rPr>
            </w:pPr>
          </w:p>
        </w:tc>
      </w:tr>
      <w:tr w:rsidR="00CD2194" w:rsidRPr="000B6C0D" w14:paraId="06E2FAFC" w14:textId="77777777" w:rsidTr="00CD2194">
        <w:tc>
          <w:tcPr>
            <w:tcW w:w="2388" w:type="dxa"/>
          </w:tcPr>
          <w:p w14:paraId="0BF302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4B9172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BBA419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373BC9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4A179CB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0B6C0D" w14:paraId="2546FE48" w14:textId="77777777" w:rsidTr="00CD2194">
        <w:tc>
          <w:tcPr>
            <w:tcW w:w="2388" w:type="dxa"/>
          </w:tcPr>
          <w:p w14:paraId="4CC350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7BEEF02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1880D9D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22330CA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B79A8A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A44C29" w14:paraId="30E9FA1C" w14:textId="77777777" w:rsidTr="00CD2194">
        <w:tc>
          <w:tcPr>
            <w:tcW w:w="2388" w:type="dxa"/>
          </w:tcPr>
          <w:p w14:paraId="2F95E92C"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251F0EBC"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384FC4B"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0FCF935A"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954AFD3"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1B2CD074" w14:textId="77777777" w:rsidR="00CD2194" w:rsidRDefault="00CD2194" w:rsidP="00CD2194"/>
    <w:p w14:paraId="2145A22C" w14:textId="77777777" w:rsidR="00CD2194" w:rsidRDefault="00CD2194" w:rsidP="00CD2194">
      <w:pPr>
        <w:pStyle w:val="Heading1"/>
      </w:pPr>
    </w:p>
    <w:p w14:paraId="076B3606"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23"/>
      <w:bookmarkEnd w:id="524"/>
      <w:bookmarkEnd w:id="525"/>
    </w:p>
    <w:p w14:paraId="370434F5" w14:textId="77777777" w:rsidR="00CD2194" w:rsidRDefault="00CD2194" w:rsidP="000B6C0D">
      <w:pPr>
        <w:rPr>
          <w:lang w:eastAsia="en-US"/>
        </w:rPr>
      </w:pPr>
    </w:p>
    <w:p w14:paraId="37707E5C" w14:textId="77777777" w:rsidR="006661FE" w:rsidRDefault="00CD2194" w:rsidP="006661FE">
      <w:pPr>
        <w:jc w:val="both"/>
        <w:rPr>
          <w:rFonts w:ascii="Arial" w:hAnsi="Arial"/>
          <w:sz w:val="22"/>
        </w:rPr>
      </w:pPr>
      <w:r w:rsidRPr="0081019A">
        <w:rPr>
          <w:rFonts w:ascii="Arial" w:hAnsi="Arial"/>
          <w:b/>
          <w:sz w:val="22"/>
        </w:rPr>
        <w:t>Wider</w:t>
      </w:r>
    </w:p>
    <w:p w14:paraId="71AC63B7"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7D7A4A94" w14:textId="77777777" w:rsidR="006661FE" w:rsidRDefault="006661FE" w:rsidP="006661FE">
      <w:pPr>
        <w:jc w:val="both"/>
        <w:rPr>
          <w:rFonts w:ascii="Arial" w:hAnsi="Arial"/>
          <w:sz w:val="22"/>
        </w:rPr>
      </w:pPr>
    </w:p>
    <w:p w14:paraId="578C0D92"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2F172F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14:paraId="05E5DA29" w14:textId="77777777" w:rsidTr="00CD2194">
        <w:trPr>
          <w:trHeight w:val="645"/>
        </w:trPr>
        <w:tc>
          <w:tcPr>
            <w:tcW w:w="630" w:type="dxa"/>
            <w:shd w:val="solid" w:color="FFFFFF" w:fill="auto"/>
            <w:vAlign w:val="center"/>
          </w:tcPr>
          <w:p w14:paraId="73D4D1F6"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4687AED9"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5E4B84A3"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122C37D6"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4566BF52"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11C67792"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14:paraId="4985DA50" w14:textId="77777777" w:rsidTr="00CD2194">
        <w:trPr>
          <w:trHeight w:val="247"/>
        </w:trPr>
        <w:tc>
          <w:tcPr>
            <w:tcW w:w="630" w:type="dxa"/>
            <w:shd w:val="solid" w:color="FFFFFF" w:fill="auto"/>
          </w:tcPr>
          <w:p w14:paraId="5DEEFA4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403ABF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0BE9E5F9"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27284BD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FF31EEC"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3CF6221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8AB21B1" w14:textId="77777777" w:rsidTr="00CD2194">
        <w:trPr>
          <w:trHeight w:val="247"/>
        </w:trPr>
        <w:tc>
          <w:tcPr>
            <w:tcW w:w="630" w:type="dxa"/>
            <w:shd w:val="solid" w:color="FFFFFF" w:fill="auto"/>
          </w:tcPr>
          <w:p w14:paraId="2F151DBC"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82273A3"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3CBB12DA"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6FCEF87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21F64D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396D7EE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6C3AEC66" w14:textId="77777777" w:rsidTr="00CD2194">
        <w:trPr>
          <w:trHeight w:val="247"/>
        </w:trPr>
        <w:tc>
          <w:tcPr>
            <w:tcW w:w="630" w:type="dxa"/>
            <w:shd w:val="solid" w:color="FFFFFF" w:fill="auto"/>
          </w:tcPr>
          <w:p w14:paraId="183843B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8B8B97"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21770935"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6EA8F890"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6354A2F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40FE060D"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14:paraId="23ECC3A9" w14:textId="77777777" w:rsidTr="00CD2194">
        <w:trPr>
          <w:trHeight w:val="247"/>
        </w:trPr>
        <w:tc>
          <w:tcPr>
            <w:tcW w:w="630" w:type="dxa"/>
            <w:shd w:val="solid" w:color="FFFFFF" w:fill="auto"/>
          </w:tcPr>
          <w:p w14:paraId="2B8BF06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2936AAD"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5C7049F6"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5AD23769"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DA49734"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3E497A7C"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1A616B0" w14:textId="77777777" w:rsidTr="00CD2194">
        <w:trPr>
          <w:trHeight w:val="247"/>
        </w:trPr>
        <w:tc>
          <w:tcPr>
            <w:tcW w:w="630" w:type="dxa"/>
            <w:shd w:val="solid" w:color="FFFFFF" w:fill="auto"/>
          </w:tcPr>
          <w:p w14:paraId="4D1AF15A"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A9E410"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199EEF8A"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01583DA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42E6B2"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6E991421"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5C4C0BF2" w14:textId="77777777" w:rsidTr="00CD2194">
        <w:trPr>
          <w:trHeight w:val="247"/>
        </w:trPr>
        <w:tc>
          <w:tcPr>
            <w:tcW w:w="630" w:type="dxa"/>
            <w:shd w:val="solid" w:color="FFFFFF" w:fill="auto"/>
          </w:tcPr>
          <w:p w14:paraId="5BC10DF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841A722"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29B57F98"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32ECC58F"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4063C289"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4E2AD577"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14:paraId="199368C9" w14:textId="77777777" w:rsidTr="00CD2194">
        <w:trPr>
          <w:trHeight w:val="247"/>
        </w:trPr>
        <w:tc>
          <w:tcPr>
            <w:tcW w:w="630" w:type="dxa"/>
            <w:shd w:val="solid" w:color="FFFFFF" w:fill="auto"/>
          </w:tcPr>
          <w:p w14:paraId="6C733B5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BB7B506"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71A860F2"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639C25D6"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481BE"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42D251A8"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53A8715" w14:textId="77777777" w:rsidTr="00CD2194">
        <w:trPr>
          <w:trHeight w:val="247"/>
        </w:trPr>
        <w:tc>
          <w:tcPr>
            <w:tcW w:w="630" w:type="dxa"/>
            <w:shd w:val="solid" w:color="FFFFFF" w:fill="auto"/>
          </w:tcPr>
          <w:p w14:paraId="472796D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D1F22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154358F3"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3B81E25"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5969504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83A722A"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14:paraId="77D95AD5" w14:textId="77777777" w:rsidTr="00CD2194">
        <w:trPr>
          <w:trHeight w:val="247"/>
        </w:trPr>
        <w:tc>
          <w:tcPr>
            <w:tcW w:w="630" w:type="dxa"/>
            <w:shd w:val="solid" w:color="FFFFFF" w:fill="auto"/>
          </w:tcPr>
          <w:p w14:paraId="215CF19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5AD1A35"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5CD30964"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271C2CA1"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EE8D428"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45200129"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14:paraId="48242290" w14:textId="77777777" w:rsidTr="00CD2194">
        <w:trPr>
          <w:trHeight w:val="247"/>
        </w:trPr>
        <w:tc>
          <w:tcPr>
            <w:tcW w:w="630" w:type="dxa"/>
            <w:shd w:val="solid" w:color="FFFFFF" w:fill="auto"/>
          </w:tcPr>
          <w:p w14:paraId="687E8E8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A2E68F2"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417CE395"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6F339288"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8896F9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B8A6A7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E54B4EB" w14:textId="77777777" w:rsidTr="00CD2194">
        <w:trPr>
          <w:trHeight w:val="247"/>
        </w:trPr>
        <w:tc>
          <w:tcPr>
            <w:tcW w:w="630" w:type="dxa"/>
            <w:shd w:val="solid" w:color="FFFFFF" w:fill="auto"/>
          </w:tcPr>
          <w:p w14:paraId="2D4ED06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39D839D"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0CCEFE79"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7C0512AA"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69A9F22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7BAA4E5"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14:paraId="64932071" w14:textId="77777777" w:rsidTr="00CD2194">
        <w:trPr>
          <w:trHeight w:val="247"/>
        </w:trPr>
        <w:tc>
          <w:tcPr>
            <w:tcW w:w="630" w:type="dxa"/>
            <w:shd w:val="solid" w:color="FFFFFF" w:fill="auto"/>
            <w:vAlign w:val="center"/>
          </w:tcPr>
          <w:p w14:paraId="62AD5909"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2F3D9AEB"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696CEB61"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128EE96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0F9D670B"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2486DB2D"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6E3840A1" w14:textId="77777777" w:rsidTr="00CD2194">
        <w:trPr>
          <w:trHeight w:val="247"/>
        </w:trPr>
        <w:tc>
          <w:tcPr>
            <w:tcW w:w="630" w:type="dxa"/>
            <w:shd w:val="solid" w:color="FFFFFF" w:fill="auto"/>
            <w:vAlign w:val="center"/>
          </w:tcPr>
          <w:p w14:paraId="7B5079B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595B8767"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27664D5E"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AB2C58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75160C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7F99E3C"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7DF5CAC0" w14:textId="77777777" w:rsidTr="00CD2194">
        <w:trPr>
          <w:trHeight w:val="247"/>
        </w:trPr>
        <w:tc>
          <w:tcPr>
            <w:tcW w:w="630" w:type="dxa"/>
            <w:shd w:val="solid" w:color="FFFFFF" w:fill="auto"/>
            <w:vAlign w:val="center"/>
          </w:tcPr>
          <w:p w14:paraId="7F1462B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4C1BD4A1"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B90FB5"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709C902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1543776"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56E0825B"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47296BCD" w14:textId="77777777" w:rsidTr="00CD2194">
        <w:trPr>
          <w:trHeight w:val="301"/>
        </w:trPr>
        <w:tc>
          <w:tcPr>
            <w:tcW w:w="630" w:type="dxa"/>
            <w:shd w:val="solid" w:color="FFFFFF" w:fill="auto"/>
            <w:vAlign w:val="center"/>
          </w:tcPr>
          <w:p w14:paraId="597024F4" w14:textId="77777777" w:rsidR="00CD2194" w:rsidRDefault="00CD2194" w:rsidP="00CD2194">
            <w:pPr>
              <w:jc w:val="both"/>
              <w:rPr>
                <w:rFonts w:ascii="Arial" w:hAnsi="Arial"/>
                <w:color w:val="000000"/>
              </w:rPr>
            </w:pPr>
          </w:p>
        </w:tc>
        <w:tc>
          <w:tcPr>
            <w:tcW w:w="1320" w:type="dxa"/>
            <w:shd w:val="solid" w:color="FFFFFF" w:fill="auto"/>
            <w:vAlign w:val="center"/>
          </w:tcPr>
          <w:p w14:paraId="3E469290" w14:textId="77777777" w:rsidR="00CD2194" w:rsidRDefault="00CD2194" w:rsidP="00CD2194">
            <w:pPr>
              <w:jc w:val="both"/>
              <w:rPr>
                <w:rFonts w:ascii="Arial" w:hAnsi="Arial"/>
                <w:color w:val="000000"/>
              </w:rPr>
            </w:pPr>
          </w:p>
        </w:tc>
        <w:tc>
          <w:tcPr>
            <w:tcW w:w="1680" w:type="dxa"/>
            <w:shd w:val="solid" w:color="FFFFFF" w:fill="auto"/>
            <w:vAlign w:val="center"/>
          </w:tcPr>
          <w:p w14:paraId="347163B2"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7D0A8524"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17A2C259"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5A068501"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B197BA8" w14:textId="77777777" w:rsidR="006661FE" w:rsidRDefault="006661FE" w:rsidP="006661FE">
      <w:pPr>
        <w:jc w:val="both"/>
        <w:rPr>
          <w:rFonts w:ascii="Arial" w:hAnsi="Arial"/>
          <w:sz w:val="22"/>
        </w:rPr>
      </w:pPr>
    </w:p>
    <w:p w14:paraId="3BA989E3" w14:textId="77777777" w:rsidR="006661FE" w:rsidRDefault="4DB720A2" w:rsidP="0537B9E0">
      <w:pPr>
        <w:jc w:val="both"/>
        <w:rPr>
          <w:rFonts w:ascii="Arial" w:hAnsi="Arial"/>
          <w:sz w:val="22"/>
          <w:szCs w:val="22"/>
        </w:rPr>
      </w:pPr>
      <w:bookmarkStart w:id="526" w:name="_Int_fmzThBeZ"/>
      <w:r w:rsidRPr="0537B9E0">
        <w:rPr>
          <w:rFonts w:ascii="Arial" w:hAnsi="Arial"/>
          <w:sz w:val="22"/>
          <w:szCs w:val="22"/>
        </w:rPr>
        <w:t>In order to</w:t>
      </w:r>
      <w:bookmarkEnd w:id="526"/>
      <w:r w:rsidRPr="0537B9E0">
        <w:rPr>
          <w:rFonts w:ascii="Arial" w:hAnsi="Arial"/>
          <w:sz w:val="22"/>
          <w:szCs w:val="22"/>
        </w:rPr>
        <w:t xml:space="preserve"> calculate the generation tariff we would carry out the following steps.</w:t>
      </w:r>
    </w:p>
    <w:p w14:paraId="721BA998" w14:textId="77777777" w:rsidR="006661FE" w:rsidRDefault="006661FE" w:rsidP="006661FE">
      <w:pPr>
        <w:jc w:val="both"/>
        <w:rPr>
          <w:rFonts w:ascii="Arial" w:hAnsi="Arial"/>
          <w:sz w:val="22"/>
        </w:rPr>
      </w:pPr>
    </w:p>
    <w:p w14:paraId="2A462E25" w14:textId="77777777" w:rsidR="006661FE" w:rsidRDefault="006661FE" w:rsidP="00533333">
      <w:pPr>
        <w:numPr>
          <w:ilvl w:val="0"/>
          <w:numId w:val="59"/>
        </w:numPr>
        <w:jc w:val="both"/>
        <w:rPr>
          <w:rFonts w:ascii="Arial" w:hAnsi="Arial"/>
          <w:sz w:val="22"/>
        </w:rPr>
      </w:pPr>
      <w:r>
        <w:rPr>
          <w:rFonts w:ascii="Arial" w:hAnsi="Arial"/>
          <w:sz w:val="22"/>
        </w:rPr>
        <w:t>calculate the generation weighted wider nodal shadow costs.</w:t>
      </w:r>
    </w:p>
    <w:p w14:paraId="61651A14" w14:textId="77777777" w:rsidR="006661FE" w:rsidRDefault="006661FE" w:rsidP="006661FE">
      <w:pPr>
        <w:jc w:val="both"/>
        <w:rPr>
          <w:rFonts w:ascii="Arial" w:hAnsi="Arial"/>
          <w:sz w:val="22"/>
        </w:rPr>
      </w:pPr>
    </w:p>
    <w:p w14:paraId="7EA66CE5"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1AC8227" w14:textId="77777777" w:rsidR="00C81A86" w:rsidRDefault="00C81A86" w:rsidP="006661FE">
      <w:pPr>
        <w:jc w:val="both"/>
        <w:rPr>
          <w:rFonts w:ascii="Arial" w:hAnsi="Arial"/>
          <w:sz w:val="22"/>
        </w:rPr>
      </w:pPr>
    </w:p>
    <w:p w14:paraId="620A00D6" w14:textId="77777777" w:rsidR="00C81A86" w:rsidRDefault="00C81A86" w:rsidP="006661FE">
      <w:pPr>
        <w:jc w:val="both"/>
        <w:rPr>
          <w:rFonts w:ascii="Arial" w:hAnsi="Arial"/>
          <w:sz w:val="22"/>
        </w:rPr>
      </w:pPr>
    </w:p>
    <w:p w14:paraId="34CEF672" w14:textId="77777777" w:rsidR="00C81A86" w:rsidRDefault="00C81A86" w:rsidP="006661FE">
      <w:pPr>
        <w:jc w:val="both"/>
        <w:rPr>
          <w:rFonts w:ascii="Arial" w:hAnsi="Arial"/>
          <w:sz w:val="22"/>
        </w:rPr>
      </w:pPr>
    </w:p>
    <w:p w14:paraId="02D1520D" w14:textId="77777777" w:rsidR="00C81A86" w:rsidRDefault="00C81A86" w:rsidP="006661FE">
      <w:pPr>
        <w:jc w:val="both"/>
        <w:rPr>
          <w:rFonts w:ascii="Arial" w:hAnsi="Arial"/>
          <w:sz w:val="22"/>
        </w:rPr>
      </w:pPr>
    </w:p>
    <w:p w14:paraId="33458002" w14:textId="77777777" w:rsidR="00C81A86" w:rsidRDefault="00C81A86" w:rsidP="006661FE">
      <w:pPr>
        <w:jc w:val="both"/>
        <w:rPr>
          <w:rFonts w:ascii="Arial" w:hAnsi="Arial"/>
          <w:sz w:val="22"/>
        </w:rPr>
      </w:pPr>
    </w:p>
    <w:p w14:paraId="0C4CAAEB" w14:textId="77777777" w:rsidR="00C81A86" w:rsidRDefault="00C81A86" w:rsidP="006661FE">
      <w:pPr>
        <w:jc w:val="both"/>
        <w:rPr>
          <w:rFonts w:ascii="Arial" w:hAnsi="Arial"/>
          <w:sz w:val="22"/>
        </w:rPr>
      </w:pPr>
    </w:p>
    <w:p w14:paraId="7445A9D9" w14:textId="77777777" w:rsidR="00C81A86" w:rsidRDefault="00C81A86" w:rsidP="006661FE">
      <w:pPr>
        <w:jc w:val="both"/>
        <w:rPr>
          <w:rFonts w:ascii="Arial" w:hAnsi="Arial"/>
          <w:sz w:val="22"/>
        </w:rPr>
      </w:pPr>
    </w:p>
    <w:p w14:paraId="2F91D7AE" w14:textId="77777777" w:rsidR="00C81A86" w:rsidRDefault="00C81A86" w:rsidP="006661FE">
      <w:pPr>
        <w:jc w:val="both"/>
        <w:rPr>
          <w:rFonts w:ascii="Arial" w:hAnsi="Arial"/>
          <w:sz w:val="22"/>
        </w:rPr>
      </w:pPr>
    </w:p>
    <w:p w14:paraId="090BECC8" w14:textId="77777777" w:rsidR="00C81A86" w:rsidRDefault="00C81A86" w:rsidP="006661FE">
      <w:pPr>
        <w:jc w:val="both"/>
        <w:rPr>
          <w:rFonts w:ascii="Arial" w:hAnsi="Arial"/>
          <w:sz w:val="22"/>
        </w:rPr>
      </w:pPr>
    </w:p>
    <w:p w14:paraId="29875B79" w14:textId="77777777" w:rsidR="00C81A86" w:rsidRDefault="00C81A86" w:rsidP="006661FE">
      <w:pPr>
        <w:jc w:val="both"/>
        <w:rPr>
          <w:rFonts w:ascii="Arial" w:hAnsi="Arial"/>
          <w:sz w:val="22"/>
        </w:rPr>
      </w:pPr>
    </w:p>
    <w:p w14:paraId="48CCE7E1" w14:textId="77777777" w:rsidR="00C81A86" w:rsidRDefault="00C81A86" w:rsidP="006661FE">
      <w:pPr>
        <w:jc w:val="both"/>
        <w:rPr>
          <w:rFonts w:ascii="Arial" w:hAnsi="Arial"/>
          <w:sz w:val="22"/>
        </w:rPr>
      </w:pPr>
    </w:p>
    <w:p w14:paraId="77E8820B" w14:textId="77777777" w:rsidR="00C81A86" w:rsidRDefault="00C81A86" w:rsidP="006661FE">
      <w:pPr>
        <w:jc w:val="both"/>
        <w:rPr>
          <w:rFonts w:ascii="Arial" w:hAnsi="Arial"/>
          <w:sz w:val="22"/>
        </w:rPr>
      </w:pPr>
    </w:p>
    <w:p w14:paraId="2DD1E200" w14:textId="77777777" w:rsidR="00C81A86" w:rsidRDefault="00C81A86" w:rsidP="006661FE">
      <w:pPr>
        <w:jc w:val="both"/>
        <w:rPr>
          <w:rFonts w:ascii="Arial" w:hAnsi="Arial"/>
          <w:sz w:val="22"/>
        </w:rPr>
      </w:pPr>
    </w:p>
    <w:p w14:paraId="67D7D32B" w14:textId="77777777" w:rsidR="00C81A86" w:rsidRDefault="00C81A86" w:rsidP="006661FE">
      <w:pPr>
        <w:jc w:val="both"/>
        <w:rPr>
          <w:rFonts w:ascii="Arial" w:hAnsi="Arial"/>
          <w:sz w:val="22"/>
        </w:rPr>
      </w:pPr>
    </w:p>
    <w:p w14:paraId="5DCD0929" w14:textId="77777777" w:rsidR="00C81A86" w:rsidRDefault="00C81A86" w:rsidP="006661FE">
      <w:pPr>
        <w:jc w:val="both"/>
        <w:rPr>
          <w:rFonts w:ascii="Arial" w:hAnsi="Arial"/>
          <w:sz w:val="22"/>
        </w:rPr>
      </w:pPr>
    </w:p>
    <w:p w14:paraId="1DE5635B" w14:textId="77777777" w:rsidR="00C81A86" w:rsidRDefault="00C81A86" w:rsidP="006661FE">
      <w:pPr>
        <w:jc w:val="both"/>
        <w:rPr>
          <w:rFonts w:ascii="Arial" w:hAnsi="Arial"/>
          <w:sz w:val="22"/>
        </w:rPr>
      </w:pPr>
    </w:p>
    <w:p w14:paraId="04215E66" w14:textId="77777777" w:rsidR="006661FE" w:rsidRDefault="006661FE" w:rsidP="006661FE">
      <w:pPr>
        <w:jc w:val="both"/>
        <w:rPr>
          <w:rFonts w:ascii="Arial" w:hAnsi="Arial"/>
          <w:sz w:val="22"/>
        </w:rPr>
      </w:pPr>
    </w:p>
    <w:p w14:paraId="0F2F1559" w14:textId="77777777" w:rsidR="006661FE" w:rsidRDefault="006661FE" w:rsidP="006661FE">
      <w:pPr>
        <w:pStyle w:val="Header"/>
        <w:jc w:val="both"/>
        <w:rPr>
          <w:noProof/>
        </w:rPr>
      </w:pPr>
    </w:p>
    <w:p w14:paraId="1C52A3D8" w14:textId="77777777" w:rsidR="006661FE" w:rsidRDefault="006661FE" w:rsidP="006661FE">
      <w:pPr>
        <w:pStyle w:val="Header"/>
        <w:jc w:val="both"/>
        <w:rPr>
          <w:noProof/>
        </w:rPr>
      </w:pPr>
    </w:p>
    <w:tbl>
      <w:tblPr>
        <w:tblW w:w="10348" w:type="dxa"/>
        <w:tblLayout w:type="fixed"/>
        <w:tblCellMar>
          <w:left w:w="30" w:type="dxa"/>
          <w:right w:w="30" w:type="dxa"/>
        </w:tblCellMar>
        <w:tblLook w:val="0000" w:firstRow="0" w:lastRow="0" w:firstColumn="0" w:lastColumn="0" w:noHBand="0" w:noVBand="0"/>
      </w:tblPr>
      <w:tblGrid>
        <w:gridCol w:w="630"/>
        <w:gridCol w:w="1080"/>
        <w:gridCol w:w="1440"/>
        <w:gridCol w:w="1680"/>
        <w:gridCol w:w="1560"/>
        <w:gridCol w:w="1407"/>
        <w:gridCol w:w="1406"/>
        <w:gridCol w:w="1145"/>
      </w:tblGrid>
      <w:tr w:rsidR="00CD2194" w14:paraId="1A325BB0" w14:textId="77777777" w:rsidTr="00BD0971">
        <w:trPr>
          <w:trHeight w:val="641"/>
        </w:trPr>
        <w:tc>
          <w:tcPr>
            <w:tcW w:w="630" w:type="dxa"/>
            <w:shd w:val="solid" w:color="FFFFFF" w:fill="auto"/>
            <w:vAlign w:val="center"/>
          </w:tcPr>
          <w:p w14:paraId="296444E6" w14:textId="77777777" w:rsidR="00CD2194" w:rsidRDefault="00CD2194" w:rsidP="00CD2194">
            <w:pPr>
              <w:jc w:val="both"/>
              <w:rPr>
                <w:rFonts w:ascii="Arial" w:hAnsi="Arial"/>
                <w:color w:val="000000"/>
              </w:rPr>
            </w:pPr>
            <w:r>
              <w:rPr>
                <w:rFonts w:ascii="Arial" w:hAnsi="Arial"/>
                <w:color w:val="000000"/>
                <w:sz w:val="22"/>
              </w:rPr>
              <w:lastRenderedPageBreak/>
              <w:t>Gen Zone</w:t>
            </w:r>
          </w:p>
        </w:tc>
        <w:tc>
          <w:tcPr>
            <w:tcW w:w="1080" w:type="dxa"/>
            <w:shd w:val="solid" w:color="FFFFFF" w:fill="auto"/>
            <w:vAlign w:val="center"/>
          </w:tcPr>
          <w:p w14:paraId="06B40493" w14:textId="77777777" w:rsidR="00CD2194" w:rsidRDefault="00CD2194" w:rsidP="00CD2194">
            <w:pPr>
              <w:jc w:val="both"/>
              <w:rPr>
                <w:rFonts w:ascii="Arial" w:hAnsi="Arial"/>
                <w:color w:val="000000"/>
              </w:rPr>
            </w:pPr>
            <w:r>
              <w:rPr>
                <w:rFonts w:ascii="Arial" w:hAnsi="Arial"/>
                <w:color w:val="000000"/>
                <w:sz w:val="22"/>
              </w:rPr>
              <w:t>Node</w:t>
            </w:r>
          </w:p>
        </w:tc>
        <w:tc>
          <w:tcPr>
            <w:tcW w:w="1440" w:type="dxa"/>
            <w:shd w:val="solid" w:color="FFFFFF" w:fill="auto"/>
            <w:vAlign w:val="center"/>
          </w:tcPr>
          <w:p w14:paraId="432026C9"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vAlign w:val="center"/>
          </w:tcPr>
          <w:p w14:paraId="437CCD61" w14:textId="77777777" w:rsidR="00CD2194" w:rsidRDefault="00CD2194" w:rsidP="00CD2194">
            <w:pPr>
              <w:jc w:val="right"/>
              <w:rPr>
                <w:rFonts w:ascii="Arial" w:hAnsi="Arial"/>
                <w:color w:val="000000"/>
              </w:rPr>
            </w:pPr>
            <w:r>
              <w:rPr>
                <w:rFonts w:ascii="Arial" w:hAnsi="Arial"/>
                <w:color w:val="000000"/>
                <w:sz w:val="22"/>
              </w:rPr>
              <w:t>Scaled Generation (Peak Security) (MW)</w:t>
            </w:r>
          </w:p>
        </w:tc>
        <w:tc>
          <w:tcPr>
            <w:tcW w:w="1560" w:type="dxa"/>
            <w:shd w:val="solid" w:color="FFFFFF" w:fill="auto"/>
          </w:tcPr>
          <w:p w14:paraId="25DFCC58" w14:textId="77777777" w:rsidR="00CD2194" w:rsidRDefault="00CD2194" w:rsidP="00CD2194">
            <w:pPr>
              <w:jc w:val="right"/>
              <w:rPr>
                <w:rFonts w:ascii="Arial" w:hAnsi="Arial"/>
                <w:color w:val="000000"/>
              </w:rPr>
            </w:pPr>
            <w:r>
              <w:rPr>
                <w:rFonts w:ascii="Arial" w:hAnsi="Arial"/>
                <w:color w:val="000000"/>
                <w:sz w:val="22"/>
              </w:rPr>
              <w:t>Gen Weighted Wider Nodal Marginal  km (Peak Security)</w:t>
            </w:r>
          </w:p>
        </w:tc>
        <w:tc>
          <w:tcPr>
            <w:tcW w:w="1407" w:type="dxa"/>
            <w:shd w:val="solid" w:color="FFFFFF" w:fill="auto"/>
            <w:vAlign w:val="center"/>
          </w:tcPr>
          <w:p w14:paraId="15AF1819"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406" w:type="dxa"/>
            <w:shd w:val="solid" w:color="FFFFFF" w:fill="auto"/>
            <w:vAlign w:val="center"/>
          </w:tcPr>
          <w:p w14:paraId="793C3F89" w14:textId="77777777" w:rsidR="00CD2194" w:rsidRDefault="00CD2194" w:rsidP="00CD2194">
            <w:pPr>
              <w:jc w:val="right"/>
              <w:rPr>
                <w:rFonts w:ascii="Arial" w:hAnsi="Arial"/>
                <w:color w:val="000000"/>
              </w:rPr>
            </w:pPr>
            <w:r>
              <w:rPr>
                <w:rFonts w:ascii="Arial" w:hAnsi="Arial"/>
                <w:color w:val="000000"/>
                <w:sz w:val="22"/>
              </w:rPr>
              <w:t>Scaled Generation (Year Round) (MW)</w:t>
            </w:r>
          </w:p>
        </w:tc>
        <w:tc>
          <w:tcPr>
            <w:tcW w:w="1145" w:type="dxa"/>
            <w:shd w:val="solid" w:color="FFFFFF" w:fill="auto"/>
          </w:tcPr>
          <w:p w14:paraId="175E5D6A" w14:textId="77777777" w:rsidR="00CD2194" w:rsidRDefault="00CD2194" w:rsidP="00CD2194">
            <w:pPr>
              <w:jc w:val="right"/>
              <w:rPr>
                <w:rFonts w:ascii="Arial" w:hAnsi="Arial"/>
                <w:color w:val="000000"/>
              </w:rPr>
            </w:pPr>
            <w:r>
              <w:rPr>
                <w:rFonts w:ascii="Arial" w:hAnsi="Arial"/>
                <w:color w:val="000000"/>
                <w:sz w:val="22"/>
              </w:rPr>
              <w:t>Gen Weighted Wider Nodal Marginal km (Year Round)</w:t>
            </w:r>
          </w:p>
        </w:tc>
      </w:tr>
      <w:tr w:rsidR="00CD2194" w14:paraId="252930E2" w14:textId="77777777" w:rsidTr="00BD0971">
        <w:trPr>
          <w:trHeight w:val="247"/>
        </w:trPr>
        <w:tc>
          <w:tcPr>
            <w:tcW w:w="630" w:type="dxa"/>
            <w:shd w:val="solid" w:color="FFFFFF" w:fill="auto"/>
          </w:tcPr>
          <w:p w14:paraId="18F440E9"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6D6AF98B" w14:textId="77777777" w:rsidR="00CD2194" w:rsidRDefault="00CD2194" w:rsidP="00CD2194">
            <w:pPr>
              <w:pStyle w:val="1"/>
              <w:rPr>
                <w:snapToGrid w:val="0"/>
              </w:rPr>
            </w:pPr>
            <w:r>
              <w:rPr>
                <w:rFonts w:ascii="Arial" w:hAnsi="Arial"/>
                <w:snapToGrid w:val="0"/>
              </w:rPr>
              <w:t>CLUN1S</w:t>
            </w:r>
          </w:p>
        </w:tc>
        <w:tc>
          <w:tcPr>
            <w:tcW w:w="1440" w:type="dxa"/>
            <w:shd w:val="solid" w:color="FFFFFF" w:fill="auto"/>
            <w:vAlign w:val="bottom"/>
          </w:tcPr>
          <w:p w14:paraId="3BF42D9A" w14:textId="77777777" w:rsidR="00CD2194" w:rsidRDefault="00CD2194" w:rsidP="00CD2194">
            <w:pPr>
              <w:jc w:val="right"/>
              <w:rPr>
                <w:rFonts w:ascii="Arial" w:hAnsi="Arial"/>
                <w:snapToGrid w:val="0"/>
                <w:color w:val="000000"/>
              </w:rPr>
            </w:pPr>
            <w:r>
              <w:rPr>
                <w:rFonts w:ascii="Arial" w:hAnsi="Arial"/>
                <w:snapToGrid w:val="0"/>
              </w:rPr>
              <w:t>46.41</w:t>
            </w:r>
          </w:p>
        </w:tc>
        <w:tc>
          <w:tcPr>
            <w:tcW w:w="1680" w:type="dxa"/>
            <w:shd w:val="solid" w:color="FFFFFF" w:fill="auto"/>
          </w:tcPr>
          <w:p w14:paraId="21863A33"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573746B" w14:textId="77777777" w:rsidR="00CD2194" w:rsidRDefault="00CD2194" w:rsidP="00CD2194">
            <w:pPr>
              <w:jc w:val="right"/>
              <w:rPr>
                <w:rFonts w:ascii="Arial" w:hAnsi="Arial"/>
                <w:snapToGrid w:val="0"/>
                <w:color w:val="000000"/>
              </w:rPr>
            </w:pPr>
            <w:r>
              <w:rPr>
                <w:rFonts w:ascii="Arial" w:hAnsi="Arial"/>
                <w:snapToGrid w:val="0"/>
                <w:color w:val="000000"/>
              </w:rPr>
              <w:t>8.39</w:t>
            </w:r>
          </w:p>
        </w:tc>
        <w:tc>
          <w:tcPr>
            <w:tcW w:w="1407" w:type="dxa"/>
            <w:shd w:val="solid" w:color="FFFFFF" w:fill="auto"/>
          </w:tcPr>
          <w:p w14:paraId="2946080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406" w:type="dxa"/>
            <w:shd w:val="solid" w:color="FFFFFF" w:fill="auto"/>
            <w:vAlign w:val="bottom"/>
          </w:tcPr>
          <w:p w14:paraId="7EB00375" w14:textId="77777777" w:rsidR="00CD2194" w:rsidRDefault="00CD2194" w:rsidP="00CD2194">
            <w:pPr>
              <w:jc w:val="right"/>
              <w:rPr>
                <w:rFonts w:ascii="Arial" w:hAnsi="Arial"/>
                <w:snapToGrid w:val="0"/>
                <w:color w:val="000000"/>
              </w:rPr>
            </w:pPr>
            <w:r>
              <w:rPr>
                <w:rFonts w:ascii="Arial" w:hAnsi="Arial"/>
                <w:snapToGrid w:val="0"/>
                <w:color w:val="000000"/>
              </w:rPr>
              <w:t>18.76</w:t>
            </w:r>
          </w:p>
        </w:tc>
        <w:tc>
          <w:tcPr>
            <w:tcW w:w="1145" w:type="dxa"/>
            <w:shd w:val="solid" w:color="FFFFFF" w:fill="auto"/>
          </w:tcPr>
          <w:p w14:paraId="4181A1CE" w14:textId="77777777" w:rsidR="00CD2194" w:rsidRDefault="00CD2194" w:rsidP="00CD2194">
            <w:pPr>
              <w:jc w:val="right"/>
              <w:rPr>
                <w:rFonts w:ascii="Arial" w:hAnsi="Arial"/>
                <w:snapToGrid w:val="0"/>
                <w:color w:val="000000"/>
              </w:rPr>
            </w:pPr>
            <w:r>
              <w:rPr>
                <w:rFonts w:ascii="Arial" w:hAnsi="Arial"/>
                <w:snapToGrid w:val="0"/>
              </w:rPr>
              <w:t>53.80</w:t>
            </w:r>
          </w:p>
        </w:tc>
      </w:tr>
      <w:tr w:rsidR="00CD2194" w14:paraId="695823B8" w14:textId="77777777" w:rsidTr="00BD0971">
        <w:trPr>
          <w:trHeight w:val="247"/>
        </w:trPr>
        <w:tc>
          <w:tcPr>
            <w:tcW w:w="630" w:type="dxa"/>
            <w:shd w:val="solid" w:color="FFFFFF" w:fill="auto"/>
          </w:tcPr>
          <w:p w14:paraId="384507CC"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4B48F1B4" w14:textId="77777777" w:rsidR="00CD2194" w:rsidRDefault="00CD2194" w:rsidP="00CD2194">
            <w:pPr>
              <w:rPr>
                <w:rFonts w:ascii="Arial" w:hAnsi="Arial"/>
                <w:snapToGrid w:val="0"/>
              </w:rPr>
            </w:pPr>
            <w:r>
              <w:rPr>
                <w:rFonts w:ascii="Arial" w:hAnsi="Arial"/>
                <w:snapToGrid w:val="0"/>
              </w:rPr>
              <w:t>ERRO10</w:t>
            </w:r>
          </w:p>
        </w:tc>
        <w:tc>
          <w:tcPr>
            <w:tcW w:w="1440" w:type="dxa"/>
            <w:shd w:val="solid" w:color="FFFFFF" w:fill="auto"/>
            <w:vAlign w:val="bottom"/>
          </w:tcPr>
          <w:p w14:paraId="486D6300"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277BE452"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6F2F827" w14:textId="77777777" w:rsidR="00CD2194" w:rsidRDefault="00CD2194" w:rsidP="00CD2194">
            <w:pPr>
              <w:jc w:val="right"/>
              <w:rPr>
                <w:rFonts w:ascii="Arial" w:hAnsi="Arial"/>
                <w:snapToGrid w:val="0"/>
              </w:rPr>
            </w:pPr>
            <w:r>
              <w:rPr>
                <w:rFonts w:ascii="Arial" w:hAnsi="Arial"/>
                <w:snapToGrid w:val="0"/>
              </w:rPr>
              <w:t>20.76</w:t>
            </w:r>
          </w:p>
        </w:tc>
        <w:tc>
          <w:tcPr>
            <w:tcW w:w="1407" w:type="dxa"/>
            <w:shd w:val="solid" w:color="FFFFFF" w:fill="auto"/>
          </w:tcPr>
          <w:p w14:paraId="4226CC41" w14:textId="77777777" w:rsidR="00CD2194" w:rsidRDefault="00CD2194" w:rsidP="00CD2194">
            <w:pPr>
              <w:jc w:val="right"/>
              <w:rPr>
                <w:rFonts w:ascii="Arial" w:hAnsi="Arial"/>
                <w:snapToGrid w:val="0"/>
              </w:rPr>
            </w:pPr>
            <w:r>
              <w:rPr>
                <w:rFonts w:ascii="Arial" w:hAnsi="Arial"/>
                <w:snapToGrid w:val="0"/>
                <w:color w:val="000000"/>
              </w:rPr>
              <w:t>534.03</w:t>
            </w:r>
          </w:p>
        </w:tc>
        <w:tc>
          <w:tcPr>
            <w:tcW w:w="1406" w:type="dxa"/>
            <w:shd w:val="solid" w:color="FFFFFF" w:fill="auto"/>
            <w:vAlign w:val="bottom"/>
          </w:tcPr>
          <w:p w14:paraId="6576BC84" w14:textId="77777777" w:rsidR="00CD2194" w:rsidRDefault="00CD2194" w:rsidP="00CD2194">
            <w:pPr>
              <w:jc w:val="right"/>
              <w:rPr>
                <w:rFonts w:ascii="Arial" w:hAnsi="Arial"/>
                <w:snapToGrid w:val="0"/>
              </w:rPr>
            </w:pPr>
            <w:r>
              <w:rPr>
                <w:rFonts w:ascii="Arial" w:hAnsi="Arial"/>
                <w:snapToGrid w:val="0"/>
                <w:color w:val="000000"/>
              </w:rPr>
              <w:t>45.99</w:t>
            </w:r>
          </w:p>
        </w:tc>
        <w:tc>
          <w:tcPr>
            <w:tcW w:w="1145" w:type="dxa"/>
            <w:shd w:val="solid" w:color="FFFFFF" w:fill="auto"/>
            <w:vAlign w:val="bottom"/>
          </w:tcPr>
          <w:p w14:paraId="172B0B2B" w14:textId="77777777" w:rsidR="00CD2194" w:rsidRDefault="00CD2194" w:rsidP="00CD2194">
            <w:pPr>
              <w:jc w:val="right"/>
              <w:rPr>
                <w:rFonts w:ascii="Arial" w:eastAsia="Arial Unicode MS" w:hAnsi="Arial"/>
              </w:rPr>
            </w:pPr>
            <w:r>
              <w:rPr>
                <w:rFonts w:ascii="Arial" w:hAnsi="Arial"/>
                <w:snapToGrid w:val="0"/>
              </w:rPr>
              <w:t>140.27</w:t>
            </w:r>
          </w:p>
        </w:tc>
      </w:tr>
      <w:tr w:rsidR="00CD2194" w14:paraId="711ECE81" w14:textId="77777777" w:rsidTr="00BD0971">
        <w:trPr>
          <w:trHeight w:val="247"/>
        </w:trPr>
        <w:tc>
          <w:tcPr>
            <w:tcW w:w="630" w:type="dxa"/>
            <w:shd w:val="solid" w:color="FFFFFF" w:fill="auto"/>
          </w:tcPr>
          <w:p w14:paraId="755F4566" w14:textId="77777777" w:rsidR="00CD2194" w:rsidRDefault="00CD2194" w:rsidP="00CD2194">
            <w:pPr>
              <w:jc w:val="both"/>
              <w:rPr>
                <w:rFonts w:ascii="Arial" w:hAnsi="Arial"/>
                <w:color w:val="000000"/>
                <w:highlight w:val="yellow"/>
              </w:rPr>
            </w:pPr>
            <w:r>
              <w:rPr>
                <w:rFonts w:ascii="Arial" w:hAnsi="Arial"/>
                <w:color w:val="000000"/>
                <w:sz w:val="22"/>
              </w:rPr>
              <w:t>4</w:t>
            </w:r>
          </w:p>
        </w:tc>
        <w:tc>
          <w:tcPr>
            <w:tcW w:w="1080" w:type="dxa"/>
            <w:shd w:val="solid" w:color="FFFFFF" w:fill="auto"/>
          </w:tcPr>
          <w:p w14:paraId="62F6480C" w14:textId="77777777" w:rsidR="00CD2194" w:rsidRDefault="00CD2194" w:rsidP="00CD2194">
            <w:pPr>
              <w:rPr>
                <w:rFonts w:ascii="Arial" w:hAnsi="Arial"/>
                <w:snapToGrid w:val="0"/>
              </w:rPr>
            </w:pPr>
            <w:r>
              <w:rPr>
                <w:rFonts w:ascii="Arial" w:hAnsi="Arial"/>
                <w:snapToGrid w:val="0"/>
              </w:rPr>
              <w:t>FINL1Q</w:t>
            </w:r>
          </w:p>
        </w:tc>
        <w:tc>
          <w:tcPr>
            <w:tcW w:w="1440" w:type="dxa"/>
            <w:shd w:val="solid" w:color="FFFFFF" w:fill="auto"/>
            <w:vAlign w:val="bottom"/>
          </w:tcPr>
          <w:p w14:paraId="1D36E714"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E4BA143"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6766D9F" w14:textId="77777777" w:rsidR="00CD2194" w:rsidRDefault="00CD2194" w:rsidP="00CD2194">
            <w:pPr>
              <w:jc w:val="right"/>
              <w:rPr>
                <w:rFonts w:ascii="Arial" w:hAnsi="Arial"/>
                <w:snapToGrid w:val="0"/>
                <w:color w:val="000000"/>
              </w:rPr>
            </w:pPr>
            <w:r>
              <w:rPr>
                <w:rFonts w:ascii="Arial" w:hAnsi="Arial"/>
                <w:snapToGrid w:val="0"/>
                <w:color w:val="000000"/>
              </w:rPr>
              <w:t>7.77</w:t>
            </w:r>
          </w:p>
        </w:tc>
        <w:tc>
          <w:tcPr>
            <w:tcW w:w="1407" w:type="dxa"/>
            <w:shd w:val="solid" w:color="FFFFFF" w:fill="auto"/>
          </w:tcPr>
          <w:p w14:paraId="58581DEA"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78079D7" w14:textId="77777777" w:rsidR="00CD2194" w:rsidRDefault="00CD2194" w:rsidP="00CD2194">
            <w:pPr>
              <w:jc w:val="right"/>
              <w:rPr>
                <w:rFonts w:ascii="Arial" w:hAnsi="Arial"/>
                <w:snapToGrid w:val="0"/>
                <w:color w:val="000000"/>
              </w:rPr>
            </w:pPr>
            <w:r>
              <w:rPr>
                <w:rFonts w:ascii="Arial" w:hAnsi="Arial"/>
                <w:snapToGrid w:val="0"/>
                <w:color w:val="000000"/>
              </w:rPr>
              <w:t>10.12</w:t>
            </w:r>
          </w:p>
        </w:tc>
        <w:tc>
          <w:tcPr>
            <w:tcW w:w="1145" w:type="dxa"/>
            <w:shd w:val="solid" w:color="FFFFFF" w:fill="auto"/>
            <w:vAlign w:val="bottom"/>
          </w:tcPr>
          <w:p w14:paraId="26CF1329" w14:textId="77777777" w:rsidR="00CD2194" w:rsidRDefault="00CD2194" w:rsidP="00CD2194">
            <w:pPr>
              <w:jc w:val="right"/>
              <w:rPr>
                <w:rFonts w:ascii="Arial" w:eastAsia="Arial Unicode MS" w:hAnsi="Arial"/>
              </w:rPr>
            </w:pPr>
            <w:r>
              <w:rPr>
                <w:rFonts w:ascii="Arial" w:hAnsi="Arial"/>
                <w:snapToGrid w:val="0"/>
                <w:color w:val="000000"/>
              </w:rPr>
              <w:t>28.65</w:t>
            </w:r>
          </w:p>
        </w:tc>
      </w:tr>
      <w:tr w:rsidR="00CD2194" w14:paraId="54AA1D6C" w14:textId="77777777" w:rsidTr="00BD0971">
        <w:trPr>
          <w:trHeight w:val="283"/>
        </w:trPr>
        <w:tc>
          <w:tcPr>
            <w:tcW w:w="630" w:type="dxa"/>
            <w:shd w:val="solid" w:color="FFFFFF" w:fill="auto"/>
            <w:vAlign w:val="center"/>
          </w:tcPr>
          <w:p w14:paraId="45E5170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00B27F62" w14:textId="77777777" w:rsidR="00CD2194" w:rsidRDefault="00CD2194" w:rsidP="00CD2194">
            <w:pPr>
              <w:jc w:val="both"/>
              <w:rPr>
                <w:rFonts w:ascii="Arial" w:hAnsi="Arial"/>
              </w:rPr>
            </w:pPr>
            <w:r>
              <w:rPr>
                <w:rFonts w:ascii="Arial" w:hAnsi="Arial"/>
                <w:snapToGrid w:val="0"/>
              </w:rPr>
              <w:t>GRIF1S</w:t>
            </w:r>
          </w:p>
        </w:tc>
        <w:tc>
          <w:tcPr>
            <w:tcW w:w="1440" w:type="dxa"/>
            <w:shd w:val="solid" w:color="FFFFFF" w:fill="auto"/>
            <w:vAlign w:val="bottom"/>
          </w:tcPr>
          <w:p w14:paraId="5ACD796A" w14:textId="77777777" w:rsidR="00CD2194" w:rsidRDefault="00CD2194" w:rsidP="00CD2194">
            <w:pPr>
              <w:jc w:val="right"/>
              <w:rPr>
                <w:rFonts w:ascii="Arial" w:hAnsi="Arial"/>
                <w:color w:val="000000"/>
              </w:rPr>
            </w:pPr>
            <w:r>
              <w:rPr>
                <w:rFonts w:ascii="Arial" w:hAnsi="Arial"/>
                <w:snapToGrid w:val="0"/>
              </w:rPr>
              <w:t>N/A</w:t>
            </w:r>
          </w:p>
        </w:tc>
        <w:tc>
          <w:tcPr>
            <w:tcW w:w="1680" w:type="dxa"/>
            <w:shd w:val="solid" w:color="FFFFFF" w:fill="auto"/>
          </w:tcPr>
          <w:p w14:paraId="17B7B4CC"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560" w:type="dxa"/>
            <w:shd w:val="solid" w:color="FFFFFF" w:fill="auto"/>
          </w:tcPr>
          <w:p w14:paraId="7D9FBA84"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407" w:type="dxa"/>
            <w:shd w:val="solid" w:color="FFFFFF" w:fill="auto"/>
          </w:tcPr>
          <w:p w14:paraId="73C353E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406" w:type="dxa"/>
            <w:shd w:val="solid" w:color="FFFFFF" w:fill="auto"/>
            <w:vAlign w:val="bottom"/>
          </w:tcPr>
          <w:p w14:paraId="2777ECF0" w14:textId="77777777" w:rsidR="00CD2194" w:rsidRDefault="00CD2194" w:rsidP="00CD2194">
            <w:pPr>
              <w:jc w:val="right"/>
              <w:rPr>
                <w:rFonts w:ascii="Arial" w:hAnsi="Arial"/>
                <w:snapToGrid w:val="0"/>
                <w:color w:val="000000"/>
              </w:rPr>
            </w:pPr>
            <w:r>
              <w:rPr>
                <w:rFonts w:ascii="Arial" w:hAnsi="Arial"/>
                <w:snapToGrid w:val="0"/>
                <w:color w:val="000000"/>
              </w:rPr>
              <w:t>71.40</w:t>
            </w:r>
          </w:p>
        </w:tc>
        <w:tc>
          <w:tcPr>
            <w:tcW w:w="1145" w:type="dxa"/>
            <w:shd w:val="solid" w:color="FFFFFF" w:fill="auto"/>
            <w:vAlign w:val="center"/>
          </w:tcPr>
          <w:p w14:paraId="3EC9896E" w14:textId="77777777" w:rsidR="00CD2194" w:rsidRDefault="00CD2194" w:rsidP="00CD2194">
            <w:pPr>
              <w:jc w:val="right"/>
              <w:rPr>
                <w:rFonts w:ascii="Arial" w:hAnsi="Arial"/>
                <w:color w:val="000000"/>
              </w:rPr>
            </w:pPr>
            <w:r>
              <w:rPr>
                <w:rFonts w:ascii="Arial" w:hAnsi="Arial"/>
                <w:snapToGrid w:val="0"/>
                <w:color w:val="000000"/>
              </w:rPr>
              <w:t>212.52</w:t>
            </w:r>
          </w:p>
        </w:tc>
      </w:tr>
      <w:tr w:rsidR="00CD2194" w14:paraId="1A195A52" w14:textId="77777777" w:rsidTr="00BD0971">
        <w:trPr>
          <w:trHeight w:val="265"/>
        </w:trPr>
        <w:tc>
          <w:tcPr>
            <w:tcW w:w="630" w:type="dxa"/>
            <w:shd w:val="solid" w:color="FFFFFF" w:fill="auto"/>
            <w:vAlign w:val="center"/>
          </w:tcPr>
          <w:p w14:paraId="1D37979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78C06B00" w14:textId="77777777" w:rsidR="00CD2194" w:rsidRDefault="00CD2194" w:rsidP="00CD2194">
            <w:pPr>
              <w:jc w:val="both"/>
              <w:rPr>
                <w:rFonts w:ascii="Arial" w:hAnsi="Arial"/>
              </w:rPr>
            </w:pPr>
            <w:r>
              <w:rPr>
                <w:rFonts w:ascii="Arial" w:hAnsi="Arial"/>
                <w:snapToGrid w:val="0"/>
              </w:rPr>
              <w:t>LOCH10</w:t>
            </w:r>
          </w:p>
        </w:tc>
        <w:tc>
          <w:tcPr>
            <w:tcW w:w="1440" w:type="dxa"/>
            <w:shd w:val="solid" w:color="FFFFFF" w:fill="auto"/>
            <w:vAlign w:val="bottom"/>
          </w:tcPr>
          <w:p w14:paraId="08D5E0B4" w14:textId="77777777" w:rsidR="00CD2194" w:rsidRDefault="00CD2194" w:rsidP="00CD2194">
            <w:pPr>
              <w:jc w:val="right"/>
              <w:rPr>
                <w:rFonts w:ascii="Arial" w:hAnsi="Arial"/>
                <w:color w:val="000000"/>
              </w:rPr>
            </w:pPr>
            <w:r>
              <w:rPr>
                <w:rFonts w:ascii="Arial" w:hAnsi="Arial"/>
                <w:snapToGrid w:val="0"/>
              </w:rPr>
              <w:t>79.69</w:t>
            </w:r>
          </w:p>
        </w:tc>
        <w:tc>
          <w:tcPr>
            <w:tcW w:w="1680" w:type="dxa"/>
            <w:shd w:val="solid" w:color="FFFFFF" w:fill="auto"/>
          </w:tcPr>
          <w:p w14:paraId="101A1D0E" w14:textId="3A671017" w:rsidR="00CD2194" w:rsidRDefault="00575BBD" w:rsidP="00CD2194">
            <w:pPr>
              <w:jc w:val="right"/>
              <w:rPr>
                <w:rFonts w:ascii="Arial" w:hAnsi="Arial"/>
                <w:snapToGrid w:val="0"/>
                <w:color w:val="000000"/>
              </w:rPr>
            </w:pPr>
            <w:r>
              <w:rPr>
                <w:noProof/>
              </w:rPr>
              <mc:AlternateContent>
                <mc:Choice Requires="wps">
                  <w:drawing>
                    <wp:anchor distT="0" distB="0" distL="114300" distR="114300" simplePos="0" relativeHeight="251658264" behindDoc="0" locked="0" layoutInCell="1" allowOverlap="1" wp14:anchorId="1BF5E0B6" wp14:editId="1296B33E">
                      <wp:simplePos x="0" y="0"/>
                      <wp:positionH relativeFrom="column">
                        <wp:posOffset>971550</wp:posOffset>
                      </wp:positionH>
                      <wp:positionV relativeFrom="paragraph">
                        <wp:posOffset>133985</wp:posOffset>
                      </wp:positionV>
                      <wp:extent cx="342900" cy="457200"/>
                      <wp:effectExtent l="9525" t="48260" r="57150" b="889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612FC23" id="Straight Connector 81" o:spid="_x0000_s1026" style="position:absolute;flip:y;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CD2194">
              <w:rPr>
                <w:rFonts w:ascii="Arial" w:hAnsi="Arial"/>
                <w:snapToGrid w:val="0"/>
                <w:color w:val="000000"/>
              </w:rPr>
              <w:t>35.18</w:t>
            </w:r>
          </w:p>
        </w:tc>
        <w:tc>
          <w:tcPr>
            <w:tcW w:w="1560" w:type="dxa"/>
            <w:shd w:val="solid" w:color="FFFFFF" w:fill="auto"/>
          </w:tcPr>
          <w:p w14:paraId="54D95663" w14:textId="77777777" w:rsidR="00CD2194" w:rsidRDefault="00CD2194" w:rsidP="00CD2194">
            <w:pPr>
              <w:jc w:val="right"/>
              <w:rPr>
                <w:rFonts w:ascii="Arial" w:hAnsi="Arial"/>
                <w:snapToGrid w:val="0"/>
                <w:color w:val="000000"/>
              </w:rPr>
            </w:pPr>
            <w:r>
              <w:rPr>
                <w:rFonts w:ascii="Arial" w:hAnsi="Arial"/>
                <w:snapToGrid w:val="0"/>
                <w:color w:val="000000"/>
              </w:rPr>
              <w:t>22.15</w:t>
            </w:r>
          </w:p>
        </w:tc>
        <w:tc>
          <w:tcPr>
            <w:tcW w:w="1407" w:type="dxa"/>
            <w:shd w:val="solid" w:color="FFFFFF" w:fill="auto"/>
          </w:tcPr>
          <w:p w14:paraId="30D3E59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C1A97BC" w14:textId="77777777" w:rsidR="00CD2194" w:rsidRDefault="00CD2194" w:rsidP="00CD2194">
            <w:pPr>
              <w:jc w:val="right"/>
              <w:rPr>
                <w:rFonts w:ascii="Arial" w:hAnsi="Arial"/>
                <w:snapToGrid w:val="0"/>
                <w:color w:val="000000"/>
              </w:rPr>
            </w:pPr>
            <w:r>
              <w:rPr>
                <w:rFonts w:ascii="Arial" w:hAnsi="Arial"/>
                <w:snapToGrid w:val="0"/>
                <w:color w:val="000000"/>
              </w:rPr>
              <w:t>28.82</w:t>
            </w:r>
          </w:p>
        </w:tc>
        <w:tc>
          <w:tcPr>
            <w:tcW w:w="1145" w:type="dxa"/>
            <w:shd w:val="solid" w:color="FFFFFF" w:fill="auto"/>
            <w:vAlign w:val="center"/>
          </w:tcPr>
          <w:p w14:paraId="333BD9A5" w14:textId="77777777" w:rsidR="00CD2194" w:rsidRDefault="00CD2194" w:rsidP="00CD2194">
            <w:pPr>
              <w:jc w:val="right"/>
              <w:rPr>
                <w:rFonts w:ascii="Arial" w:hAnsi="Arial"/>
                <w:color w:val="000000"/>
              </w:rPr>
            </w:pPr>
            <w:r>
              <w:rPr>
                <w:rFonts w:ascii="Arial" w:hAnsi="Arial"/>
                <w:snapToGrid w:val="0"/>
                <w:color w:val="000000"/>
              </w:rPr>
              <w:t>81.58</w:t>
            </w:r>
          </w:p>
        </w:tc>
      </w:tr>
      <w:tr w:rsidR="00CD2194" w14:paraId="25E1C551" w14:textId="77777777" w:rsidTr="00BD0971">
        <w:trPr>
          <w:trHeight w:val="274"/>
        </w:trPr>
        <w:tc>
          <w:tcPr>
            <w:tcW w:w="630" w:type="dxa"/>
            <w:shd w:val="solid" w:color="FFFFFF" w:fill="auto"/>
            <w:vAlign w:val="center"/>
          </w:tcPr>
          <w:p w14:paraId="59AACB49" w14:textId="77777777" w:rsidR="00CD2194" w:rsidRDefault="00CD2194" w:rsidP="00CD2194">
            <w:pPr>
              <w:jc w:val="both"/>
              <w:rPr>
                <w:rFonts w:ascii="Arial" w:hAnsi="Arial"/>
                <w:color w:val="000000"/>
              </w:rPr>
            </w:pPr>
          </w:p>
        </w:tc>
        <w:tc>
          <w:tcPr>
            <w:tcW w:w="1080" w:type="dxa"/>
            <w:shd w:val="solid" w:color="FFFFFF" w:fill="auto"/>
            <w:vAlign w:val="center"/>
          </w:tcPr>
          <w:p w14:paraId="0845A503" w14:textId="77777777" w:rsidR="00CD2194" w:rsidRDefault="00CD2194" w:rsidP="00CD2194">
            <w:pPr>
              <w:jc w:val="both"/>
              <w:rPr>
                <w:rFonts w:ascii="Arial" w:hAnsi="Arial"/>
                <w:color w:val="000000"/>
              </w:rPr>
            </w:pPr>
          </w:p>
        </w:tc>
        <w:tc>
          <w:tcPr>
            <w:tcW w:w="1440" w:type="dxa"/>
            <w:shd w:val="solid" w:color="FFFFFF" w:fill="auto"/>
            <w:vAlign w:val="center"/>
          </w:tcPr>
          <w:p w14:paraId="72D8105F" w14:textId="77777777" w:rsidR="00CD2194" w:rsidRPr="00D43460" w:rsidRDefault="00CD2194" w:rsidP="00CD2194">
            <w:pPr>
              <w:jc w:val="right"/>
              <w:rPr>
                <w:rFonts w:ascii="Arial" w:hAnsi="Arial"/>
                <w:b/>
                <w:color w:val="000000"/>
              </w:rPr>
            </w:pPr>
            <w:r w:rsidRPr="00D43460">
              <w:rPr>
                <w:rFonts w:ascii="Arial" w:hAnsi="Arial"/>
                <w:b/>
                <w:color w:val="000000"/>
                <w:sz w:val="22"/>
              </w:rPr>
              <w:t>Totals</w:t>
            </w:r>
          </w:p>
        </w:tc>
        <w:tc>
          <w:tcPr>
            <w:tcW w:w="1680" w:type="dxa"/>
            <w:shd w:val="solid" w:color="FFFFFF" w:fill="auto"/>
            <w:vAlign w:val="center"/>
          </w:tcPr>
          <w:p w14:paraId="65F8F3C3" w14:textId="77777777" w:rsidR="00CD2194" w:rsidRDefault="00CD2194" w:rsidP="00CD2194">
            <w:pPr>
              <w:jc w:val="right"/>
              <w:rPr>
                <w:rFonts w:ascii="Arial" w:hAnsi="Arial"/>
                <w:color w:val="000000"/>
              </w:rPr>
            </w:pPr>
            <w:r w:rsidRPr="0034760B">
              <w:rPr>
                <w:rFonts w:ascii="Arial" w:hAnsi="Arial"/>
                <w:b/>
                <w:snapToGrid w:val="0"/>
                <w:color w:val="000000"/>
                <w:sz w:val="22"/>
              </w:rPr>
              <w:t>126.56</w:t>
            </w:r>
          </w:p>
        </w:tc>
        <w:tc>
          <w:tcPr>
            <w:tcW w:w="1560" w:type="dxa"/>
            <w:shd w:val="solid" w:color="FFFFFF" w:fill="auto"/>
          </w:tcPr>
          <w:p w14:paraId="1AAC655F" w14:textId="77777777" w:rsidR="00CD2194" w:rsidRDefault="00CD2194" w:rsidP="00CD2194">
            <w:pPr>
              <w:jc w:val="both"/>
              <w:rPr>
                <w:rFonts w:ascii="Arial" w:hAnsi="Arial"/>
                <w:color w:val="000000"/>
              </w:rPr>
            </w:pPr>
          </w:p>
        </w:tc>
        <w:tc>
          <w:tcPr>
            <w:tcW w:w="1407" w:type="dxa"/>
            <w:shd w:val="solid" w:color="FFFFFF" w:fill="auto"/>
          </w:tcPr>
          <w:p w14:paraId="62B9A5B5" w14:textId="77777777" w:rsidR="00CD2194" w:rsidRDefault="00CD2194" w:rsidP="00CD2194">
            <w:pPr>
              <w:jc w:val="both"/>
              <w:rPr>
                <w:rFonts w:ascii="Arial" w:hAnsi="Arial"/>
                <w:color w:val="000000"/>
              </w:rPr>
            </w:pPr>
          </w:p>
        </w:tc>
        <w:tc>
          <w:tcPr>
            <w:tcW w:w="1406" w:type="dxa"/>
            <w:shd w:val="solid" w:color="FFFFFF" w:fill="auto"/>
          </w:tcPr>
          <w:p w14:paraId="0716F370" w14:textId="77777777" w:rsidR="00CD2194" w:rsidRDefault="00CD2194" w:rsidP="00CD2194">
            <w:pPr>
              <w:jc w:val="right"/>
              <w:rPr>
                <w:rFonts w:ascii="Arial" w:hAnsi="Arial"/>
                <w:color w:val="000000"/>
              </w:rPr>
            </w:pPr>
            <w:r w:rsidRPr="0034760B">
              <w:rPr>
                <w:rFonts w:ascii="Arial" w:hAnsi="Arial"/>
                <w:b/>
                <w:color w:val="000000"/>
                <w:sz w:val="22"/>
              </w:rPr>
              <w:t>175.09</w:t>
            </w:r>
          </w:p>
        </w:tc>
        <w:tc>
          <w:tcPr>
            <w:tcW w:w="1145" w:type="dxa"/>
            <w:shd w:val="solid" w:color="FFFFFF" w:fill="auto"/>
            <w:vAlign w:val="center"/>
          </w:tcPr>
          <w:p w14:paraId="1685CBA2" w14:textId="77777777" w:rsidR="00CD2194" w:rsidRDefault="00CD2194" w:rsidP="00CD2194">
            <w:pPr>
              <w:jc w:val="right"/>
              <w:rPr>
                <w:rFonts w:ascii="Arial" w:hAnsi="Arial"/>
                <w:color w:val="000000"/>
              </w:rPr>
            </w:pPr>
          </w:p>
        </w:tc>
      </w:tr>
    </w:tbl>
    <w:p w14:paraId="615B887E" w14:textId="77777777" w:rsidR="00CD2194" w:rsidRDefault="00CD2194" w:rsidP="000B6C0D">
      <w:pPr>
        <w:pStyle w:val="Header"/>
        <w:keepNext/>
        <w:ind w:left="720"/>
        <w:jc w:val="both"/>
        <w:rPr>
          <w:rFonts w:ascii="Arial" w:hAnsi="Arial" w:cs="Arial"/>
          <w:noProof/>
          <w:szCs w:val="22"/>
        </w:rPr>
      </w:pPr>
    </w:p>
    <w:p w14:paraId="0F904256" w14:textId="1D30138A" w:rsidR="00CD2194" w:rsidRDefault="00575BBD"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4" behindDoc="0" locked="0" layoutInCell="1" allowOverlap="1" wp14:anchorId="42BA67FB" wp14:editId="36EC2ABB">
                <wp:simplePos x="0" y="0"/>
                <wp:positionH relativeFrom="column">
                  <wp:posOffset>1905000</wp:posOffset>
                </wp:positionH>
                <wp:positionV relativeFrom="paragraph">
                  <wp:posOffset>80010</wp:posOffset>
                </wp:positionV>
                <wp:extent cx="1514475" cy="569595"/>
                <wp:effectExtent l="9525" t="13335" r="9525" b="762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2360D52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s:wsp>
                        <wps:cNvPr id="78"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93BC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A67FB" id="Group 74" o:spid="_x0000_s1027" style="position:absolute;left:0;text-align:left;margin-left:150pt;margin-top:6.3pt;width:119.25pt;height:44.85pt;z-index:25165827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&#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AHcJj8wCAADWBwAADgAAAAAAAAAAAAAAAAAuAgAAZHJzL2Uyb0RvYy54&#10;bWxQSwECLQAUAAYACAAAACEAnShcuOAAAAAKAQAADwAAAAAAAAAAAAAAAAAmBQAAZHJzL2Rvd25y&#10;ZXYueG1sUEsFBgAAAAAEAAQA8wAAADMGAAAAAA==&#10;">
                <v:shape id="Text Box 395" o:spid="_x0000_s102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2360D528" w14:textId="77777777" w:rsidR="002A2617" w:rsidRDefault="002A2617" w:rsidP="00CD2194">
                        <w:pPr>
                          <w:rPr>
                            <w:rFonts w:ascii="Arial" w:hAnsi="Arial"/>
                            <w:sz w:val="22"/>
                          </w:rPr>
                        </w:pPr>
                      </w:p>
                    </w:txbxContent>
                  </v:textbox>
                </v:shape>
                <v:shape id="Text Box 396" o:spid="_x0000_s102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1D093BC8" w14:textId="77777777" w:rsidR="002A2617" w:rsidRDefault="002A2617" w:rsidP="00CD2194">
                        <w:pPr>
                          <w:rPr>
                            <w:rFonts w:ascii="Arial" w:hAnsi="Arial"/>
                            <w:sz w:val="22"/>
                          </w:rPr>
                        </w:pPr>
                      </w:p>
                    </w:txbxContent>
                  </v:textbox>
                </v:shape>
              </v:group>
            </w:pict>
          </mc:Fallback>
        </mc:AlternateContent>
      </w:r>
    </w:p>
    <w:p w14:paraId="2C4D9AAF" w14:textId="77777777" w:rsidR="00CD2194" w:rsidRDefault="00CD2194" w:rsidP="000B6C0D">
      <w:pPr>
        <w:pStyle w:val="Header"/>
        <w:keepNext/>
        <w:ind w:left="720"/>
        <w:jc w:val="both"/>
        <w:rPr>
          <w:rFonts w:ascii="Arial" w:hAnsi="Arial" w:cs="Arial"/>
          <w:noProof/>
          <w:szCs w:val="22"/>
        </w:rPr>
      </w:pPr>
    </w:p>
    <w:p w14:paraId="38340351" w14:textId="77777777" w:rsidR="00CD2194" w:rsidRDefault="00CD2194" w:rsidP="000B6C0D">
      <w:pPr>
        <w:pStyle w:val="Header"/>
        <w:keepNext/>
        <w:ind w:left="720"/>
        <w:jc w:val="both"/>
        <w:rPr>
          <w:rFonts w:ascii="Arial" w:hAnsi="Arial" w:cs="Arial"/>
          <w:noProof/>
          <w:szCs w:val="22"/>
        </w:rPr>
      </w:pPr>
    </w:p>
    <w:p w14:paraId="3E7008CD" w14:textId="77777777" w:rsidR="00CD2194" w:rsidRDefault="00CD2194" w:rsidP="000B6C0D">
      <w:pPr>
        <w:pStyle w:val="Header"/>
        <w:keepNext/>
        <w:ind w:left="720"/>
        <w:jc w:val="both"/>
        <w:rPr>
          <w:rFonts w:ascii="Arial" w:hAnsi="Arial" w:cs="Arial"/>
          <w:noProof/>
          <w:szCs w:val="22"/>
        </w:rPr>
      </w:pPr>
    </w:p>
    <w:p w14:paraId="6B0E7A29" w14:textId="77777777" w:rsidR="00CD2194" w:rsidRPr="004248A1" w:rsidRDefault="00CD2194" w:rsidP="000B6C0D">
      <w:pPr>
        <w:pStyle w:val="Header"/>
        <w:keepNext/>
        <w:jc w:val="both"/>
        <w:rPr>
          <w:rFonts w:ascii="Arial" w:hAnsi="Arial" w:cs="Arial"/>
          <w:noProof/>
          <w:szCs w:val="22"/>
        </w:rPr>
      </w:pPr>
    </w:p>
    <w:p w14:paraId="257160FF" w14:textId="77777777" w:rsidR="00CD2194" w:rsidRDefault="00CD2194" w:rsidP="00533333">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09A2D1E9" w14:textId="77777777" w:rsidR="00CD2194" w:rsidRDefault="00CD2194" w:rsidP="006661FE">
      <w:pPr>
        <w:pStyle w:val="Header"/>
        <w:keepNext/>
        <w:ind w:firstLine="720"/>
        <w:jc w:val="both"/>
        <w:rPr>
          <w:rFonts w:ascii="Arial" w:hAnsi="Arial" w:cs="Arial"/>
          <w:noProof/>
          <w:szCs w:val="22"/>
        </w:rPr>
      </w:pPr>
    </w:p>
    <w:p w14:paraId="465B7EC2"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3F1AAB46" w14:textId="77777777" w:rsidR="006661FE" w:rsidRPr="004248A1" w:rsidRDefault="006661FE" w:rsidP="006661FE">
      <w:pPr>
        <w:pStyle w:val="Header"/>
        <w:keepNext/>
        <w:jc w:val="both"/>
        <w:rPr>
          <w:rFonts w:ascii="Arial" w:hAnsi="Arial" w:cs="Arial"/>
          <w:noProof/>
          <w:szCs w:val="22"/>
        </w:rPr>
      </w:pPr>
    </w:p>
    <w:p w14:paraId="7D296B40"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90479C0"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7BBF8C32" w14:textId="77777777" w:rsidR="006946B3" w:rsidRDefault="006946B3" w:rsidP="006661FE">
      <w:pPr>
        <w:pStyle w:val="Header"/>
        <w:keepNext/>
        <w:jc w:val="both"/>
        <w:rPr>
          <w:rFonts w:ascii="Arial" w:hAnsi="Arial" w:cs="Arial"/>
          <w:b/>
          <w:noProof/>
          <w:szCs w:val="22"/>
          <w:u w:val="single"/>
        </w:rPr>
      </w:pPr>
    </w:p>
    <w:p w14:paraId="7E724502" w14:textId="77777777" w:rsidR="00EC7FF0" w:rsidRDefault="00EC7FF0" w:rsidP="006661FE">
      <w:pPr>
        <w:pStyle w:val="Header"/>
        <w:keepNext/>
        <w:jc w:val="both"/>
        <w:rPr>
          <w:rFonts w:ascii="Arial" w:hAnsi="Arial" w:cs="Arial"/>
          <w:b/>
          <w:noProof/>
          <w:szCs w:val="22"/>
          <w:u w:val="single"/>
        </w:rPr>
      </w:pPr>
    </w:p>
    <w:p w14:paraId="00CE5ED5" w14:textId="77777777" w:rsidR="00D37344" w:rsidRDefault="006946B3" w:rsidP="00533333">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0818C3A9" w14:textId="77777777" w:rsidR="006946B3" w:rsidRPr="000B6C0D" w:rsidRDefault="006946B3" w:rsidP="000B6C0D">
      <w:pPr>
        <w:pStyle w:val="Header"/>
        <w:ind w:left="720"/>
        <w:jc w:val="both"/>
        <w:rPr>
          <w:rFonts w:ascii="Arial" w:hAnsi="Arial" w:cs="Arial"/>
          <w:noProof/>
          <w:szCs w:val="22"/>
          <w:u w:val="single"/>
        </w:rPr>
      </w:pPr>
    </w:p>
    <w:p w14:paraId="3916D94D"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3C9B3913"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29E964D2" w14:textId="77777777" w:rsidR="006661FE" w:rsidRPr="004248A1" w:rsidRDefault="006661FE" w:rsidP="006661FE">
      <w:pPr>
        <w:pStyle w:val="Header"/>
        <w:jc w:val="both"/>
        <w:rPr>
          <w:rFonts w:ascii="Arial" w:hAnsi="Arial" w:cs="Arial"/>
          <w:b/>
          <w:noProof/>
          <w:szCs w:val="22"/>
          <w:u w:val="single"/>
        </w:rPr>
      </w:pPr>
    </w:p>
    <w:p w14:paraId="79CD9ABC" w14:textId="77777777" w:rsidR="006661FE" w:rsidRPr="004248A1" w:rsidRDefault="006661FE" w:rsidP="006661FE">
      <w:pPr>
        <w:pStyle w:val="Header"/>
        <w:jc w:val="both"/>
        <w:rPr>
          <w:rFonts w:ascii="Arial" w:hAnsi="Arial" w:cs="Arial"/>
          <w:b/>
          <w:noProof/>
          <w:szCs w:val="22"/>
          <w:u w:val="single"/>
        </w:rPr>
      </w:pPr>
    </w:p>
    <w:p w14:paraId="5FB62551"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69C27A8D" w14:textId="77777777" w:rsidR="006661FE" w:rsidRDefault="006661FE" w:rsidP="006661FE">
      <w:pPr>
        <w:pStyle w:val="Header"/>
        <w:ind w:left="720"/>
        <w:jc w:val="both"/>
        <w:rPr>
          <w:rFonts w:ascii="Arial" w:hAnsi="Arial" w:cs="Arial"/>
          <w:b/>
          <w:noProof/>
          <w:szCs w:val="22"/>
          <w:u w:val="single"/>
        </w:rPr>
      </w:pPr>
    </w:p>
    <w:p w14:paraId="64E4632A" w14:textId="77777777" w:rsidR="00EC7FF0" w:rsidRPr="004248A1" w:rsidRDefault="00EC7FF0" w:rsidP="006661FE">
      <w:pPr>
        <w:pStyle w:val="Header"/>
        <w:ind w:left="720"/>
        <w:jc w:val="both"/>
        <w:rPr>
          <w:rFonts w:ascii="Arial" w:hAnsi="Arial" w:cs="Arial"/>
          <w:b/>
          <w:noProof/>
          <w:szCs w:val="22"/>
          <w:u w:val="single"/>
        </w:rPr>
      </w:pPr>
    </w:p>
    <w:p w14:paraId="28BD2A56" w14:textId="77777777" w:rsidR="006661FE" w:rsidRPr="004248A1" w:rsidRDefault="006661FE" w:rsidP="006661FE">
      <w:pPr>
        <w:pStyle w:val="Header"/>
        <w:ind w:left="720"/>
        <w:jc w:val="both"/>
        <w:rPr>
          <w:rFonts w:ascii="Arial" w:hAnsi="Arial" w:cs="Arial"/>
          <w:b/>
          <w:noProof/>
          <w:szCs w:val="22"/>
          <w:u w:val="single"/>
        </w:rPr>
      </w:pPr>
    </w:p>
    <w:p w14:paraId="7C0DE42E" w14:textId="77777777" w:rsidR="006661FE" w:rsidRPr="004248A1" w:rsidRDefault="006661FE" w:rsidP="006661FE">
      <w:pPr>
        <w:pStyle w:val="Header"/>
        <w:ind w:left="720"/>
        <w:jc w:val="both"/>
        <w:rPr>
          <w:rFonts w:ascii="Arial" w:hAnsi="Arial" w:cs="Arial"/>
          <w:b/>
          <w:noProof/>
          <w:szCs w:val="22"/>
          <w:u w:val="single"/>
        </w:rPr>
      </w:pPr>
    </w:p>
    <w:p w14:paraId="3BF7A8BB" w14:textId="77777777" w:rsidR="006661FE" w:rsidRPr="004248A1" w:rsidRDefault="006661FE" w:rsidP="006661FE">
      <w:pPr>
        <w:pStyle w:val="Header"/>
        <w:ind w:left="720"/>
        <w:jc w:val="both"/>
        <w:rPr>
          <w:rFonts w:ascii="Arial" w:hAnsi="Arial" w:cs="Arial"/>
          <w:b/>
          <w:noProof/>
          <w:szCs w:val="22"/>
          <w:u w:val="single"/>
        </w:rPr>
      </w:pPr>
    </w:p>
    <w:p w14:paraId="2710D6B1" w14:textId="77777777" w:rsidR="006661FE" w:rsidRPr="004248A1" w:rsidRDefault="006661FE" w:rsidP="006661FE">
      <w:pPr>
        <w:pStyle w:val="Header"/>
        <w:ind w:left="720"/>
        <w:jc w:val="both"/>
        <w:rPr>
          <w:rFonts w:ascii="Arial" w:hAnsi="Arial" w:cs="Arial"/>
          <w:b/>
          <w:noProof/>
          <w:szCs w:val="22"/>
          <w:u w:val="single"/>
        </w:rPr>
      </w:pPr>
    </w:p>
    <w:p w14:paraId="4C090616" w14:textId="77777777" w:rsidR="006661FE" w:rsidRPr="004248A1" w:rsidRDefault="006661FE" w:rsidP="006661FE">
      <w:pPr>
        <w:pStyle w:val="Header"/>
        <w:ind w:left="720"/>
        <w:jc w:val="both"/>
        <w:rPr>
          <w:rFonts w:ascii="Arial" w:hAnsi="Arial" w:cs="Arial"/>
          <w:b/>
          <w:noProof/>
          <w:szCs w:val="22"/>
          <w:u w:val="single"/>
        </w:rPr>
      </w:pPr>
    </w:p>
    <w:p w14:paraId="113B6644" w14:textId="77777777" w:rsidR="006661FE" w:rsidRPr="004248A1" w:rsidRDefault="006661FE" w:rsidP="006661FE">
      <w:pPr>
        <w:pStyle w:val="Header"/>
        <w:ind w:left="720"/>
        <w:jc w:val="both"/>
        <w:rPr>
          <w:rFonts w:ascii="Arial" w:hAnsi="Arial" w:cs="Arial"/>
          <w:b/>
          <w:noProof/>
          <w:szCs w:val="22"/>
          <w:u w:val="single"/>
        </w:rPr>
      </w:pPr>
    </w:p>
    <w:p w14:paraId="2ECF043D" w14:textId="77777777" w:rsidR="006661FE" w:rsidRPr="004248A1" w:rsidRDefault="006661FE" w:rsidP="00533333">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56E26137" w14:textId="77777777" w:rsidR="006661FE" w:rsidRPr="004248A1" w:rsidRDefault="006661FE" w:rsidP="006661FE">
      <w:pPr>
        <w:pStyle w:val="Header"/>
        <w:tabs>
          <w:tab w:val="left" w:pos="851"/>
        </w:tabs>
        <w:jc w:val="both"/>
        <w:rPr>
          <w:rFonts w:ascii="Arial" w:hAnsi="Arial" w:cs="Arial"/>
          <w:noProof/>
          <w:szCs w:val="22"/>
        </w:rPr>
      </w:pPr>
    </w:p>
    <w:p w14:paraId="45B858A4"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C2D675D" w14:textId="77777777" w:rsidR="00EC7FF0" w:rsidRDefault="00EC7FF0" w:rsidP="006661FE">
      <w:pPr>
        <w:pStyle w:val="Header"/>
        <w:tabs>
          <w:tab w:val="left" w:pos="851"/>
        </w:tabs>
        <w:ind w:left="720"/>
        <w:jc w:val="both"/>
        <w:rPr>
          <w:rFonts w:ascii="Arial" w:hAnsi="Arial" w:cs="Arial"/>
          <w:noProof/>
          <w:szCs w:val="22"/>
        </w:rPr>
      </w:pPr>
    </w:p>
    <w:p w14:paraId="04E3482F"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1E54EE0C"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3B3CF3F6"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2C6807A6" w14:textId="77777777" w:rsidR="00EC7FF0" w:rsidRPr="004248A1" w:rsidRDefault="00EC7FF0" w:rsidP="00EC7FF0">
      <w:pPr>
        <w:pStyle w:val="Header"/>
        <w:tabs>
          <w:tab w:val="left" w:pos="851"/>
        </w:tabs>
        <w:ind w:left="720"/>
        <w:jc w:val="both"/>
        <w:rPr>
          <w:rFonts w:ascii="Arial" w:hAnsi="Arial" w:cs="Arial"/>
          <w:noProof/>
          <w:szCs w:val="22"/>
        </w:rPr>
      </w:pPr>
    </w:p>
    <w:p w14:paraId="2DFA38A2"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lastRenderedPageBreak/>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735B63B5"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140D1430" w14:textId="77777777" w:rsidR="00EC7FF0" w:rsidRDefault="00EC7FF0" w:rsidP="00EC7FF0">
      <w:pPr>
        <w:pStyle w:val="Header"/>
        <w:ind w:left="720" w:firstLine="720"/>
        <w:jc w:val="both"/>
        <w:rPr>
          <w:rFonts w:ascii="Arial" w:hAnsi="Arial" w:cs="Arial"/>
          <w:noProof/>
          <w:szCs w:val="22"/>
        </w:rPr>
      </w:pPr>
    </w:p>
    <w:p w14:paraId="54CC2B9C"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37B1E606" w14:textId="77777777" w:rsidR="00EC7FF0" w:rsidRPr="004248A1" w:rsidRDefault="00EC7FF0" w:rsidP="00EC7FF0">
      <w:pPr>
        <w:pStyle w:val="Header"/>
        <w:tabs>
          <w:tab w:val="left" w:pos="851"/>
        </w:tabs>
        <w:ind w:left="720"/>
        <w:jc w:val="both"/>
        <w:rPr>
          <w:rFonts w:ascii="Arial" w:hAnsi="Arial" w:cs="Arial"/>
          <w:noProof/>
          <w:szCs w:val="22"/>
        </w:rPr>
      </w:pPr>
    </w:p>
    <w:p w14:paraId="3ED252AA"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25BA1F79"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70562505" w14:textId="77777777" w:rsidR="00EC7FF0" w:rsidRDefault="00EC7FF0" w:rsidP="00EC7FF0">
      <w:pPr>
        <w:pStyle w:val="Header"/>
        <w:ind w:left="720" w:firstLine="720"/>
        <w:jc w:val="both"/>
        <w:rPr>
          <w:rFonts w:ascii="Arial" w:hAnsi="Arial" w:cs="Arial"/>
          <w:noProof/>
          <w:szCs w:val="22"/>
        </w:rPr>
      </w:pPr>
    </w:p>
    <w:p w14:paraId="33D71645"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5D7E2CCE" w14:textId="77777777" w:rsidR="00EC7FF0" w:rsidRPr="004248A1" w:rsidRDefault="00EC7FF0" w:rsidP="00EC7FF0">
      <w:pPr>
        <w:pStyle w:val="Header"/>
        <w:ind w:left="720" w:firstLine="720"/>
        <w:jc w:val="both"/>
        <w:rPr>
          <w:rFonts w:ascii="Arial" w:hAnsi="Arial" w:cs="Arial"/>
          <w:noProof/>
          <w:szCs w:val="22"/>
        </w:rPr>
      </w:pPr>
    </w:p>
    <w:p w14:paraId="4C89CF93" w14:textId="77777777" w:rsidR="006661FE" w:rsidRPr="004248A1" w:rsidRDefault="006661FE" w:rsidP="006661FE">
      <w:pPr>
        <w:pStyle w:val="Header"/>
        <w:tabs>
          <w:tab w:val="left" w:pos="284"/>
        </w:tabs>
        <w:ind w:left="709"/>
        <w:jc w:val="both"/>
        <w:rPr>
          <w:rFonts w:ascii="Arial" w:hAnsi="Arial" w:cs="Arial"/>
          <w:noProof/>
          <w:szCs w:val="22"/>
        </w:rPr>
      </w:pPr>
    </w:p>
    <w:p w14:paraId="5DED1417" w14:textId="77777777" w:rsidR="006661FE" w:rsidRPr="004248A1" w:rsidRDefault="006661FE" w:rsidP="00533333">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6B28A074" w14:textId="77777777" w:rsidR="006661FE" w:rsidRPr="004248A1" w:rsidRDefault="006661FE" w:rsidP="006661FE">
      <w:pPr>
        <w:pStyle w:val="Header"/>
        <w:jc w:val="both"/>
        <w:rPr>
          <w:rFonts w:ascii="Arial" w:hAnsi="Arial" w:cs="Arial"/>
          <w:noProof/>
          <w:szCs w:val="22"/>
        </w:rPr>
      </w:pPr>
    </w:p>
    <w:p w14:paraId="7420707A" w14:textId="7862D80E" w:rsidR="006661FE" w:rsidRPr="004248A1" w:rsidRDefault="2F16EBF8" w:rsidP="006661FE">
      <w:pPr>
        <w:pStyle w:val="Header"/>
        <w:ind w:left="720"/>
        <w:jc w:val="both"/>
        <w:rPr>
          <w:rFonts w:ascii="Arial" w:hAnsi="Arial" w:cs="Arial"/>
          <w:noProof/>
          <w:szCs w:val="22"/>
        </w:rPr>
      </w:pPr>
      <w:r w:rsidRPr="5BA47B99">
        <w:rPr>
          <w:rFonts w:ascii="Calibri" w:eastAsia="Calibri" w:hAnsi="Calibri" w:cs="Calibri"/>
          <w:noProof/>
          <w:color w:val="444444"/>
          <w:szCs w:val="22"/>
        </w:rPr>
        <w:t>the local substation tariff shall be as published in accordance with paragraph 14.15.122. For this example we the local substation tariff will be £0.133/kW; and</w:t>
      </w:r>
      <w:r w:rsidRPr="5BA47B99">
        <w:rPr>
          <w:noProof/>
        </w:rPr>
        <w:t xml:space="preserve"> </w:t>
      </w:r>
    </w:p>
    <w:p w14:paraId="1B87F873" w14:textId="77777777" w:rsidR="006661FE" w:rsidRDefault="006661FE" w:rsidP="00533333">
      <w:pPr>
        <w:pStyle w:val="Header"/>
        <w:numPr>
          <w:ilvl w:val="0"/>
          <w:numId w:val="72"/>
        </w:numPr>
        <w:jc w:val="both"/>
        <w:rPr>
          <w:rFonts w:ascii="Arial" w:hAnsi="Arial" w:cs="Arial"/>
        </w:rPr>
      </w:pPr>
      <w:r w:rsidRPr="5BA47B99">
        <w:rPr>
          <w:rFonts w:ascii="Arial" w:hAnsi="Arial" w:cs="Arial"/>
        </w:rPr>
        <w:t xml:space="preserve">running the transport model with a local circuit expansion factor of 10.0 applied to the 10km of overhead line connecting </w:t>
      </w:r>
      <w:r w:rsidR="00D37344" w:rsidRPr="5BA47B99">
        <w:rPr>
          <w:rFonts w:ascii="Arial" w:hAnsi="Arial" w:cs="Arial"/>
        </w:rPr>
        <w:t>CLUN1S</w:t>
      </w:r>
      <w:r w:rsidRPr="5BA47B99">
        <w:rPr>
          <w:rFonts w:ascii="Arial" w:hAnsi="Arial" w:cs="Arial"/>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4A531EA1" w14:textId="77777777" w:rsidR="00D37344" w:rsidRDefault="00D37344" w:rsidP="000B6C0D">
      <w:pPr>
        <w:pStyle w:val="Header"/>
        <w:jc w:val="both"/>
        <w:rPr>
          <w:rFonts w:ascii="Arial" w:hAnsi="Arial" w:cs="Arial"/>
          <w:noProof/>
          <w:sz w:val="24"/>
          <w:szCs w:val="22"/>
          <w:lang w:eastAsia="en-GB"/>
        </w:rPr>
      </w:pPr>
    </w:p>
    <w:p w14:paraId="65C8D5D7" w14:textId="02FE8B6C" w:rsidR="009102A2" w:rsidRPr="000B6C0D" w:rsidRDefault="009102A2" w:rsidP="009102A2">
      <w:pPr>
        <w:pStyle w:val="Header"/>
        <w:jc w:val="both"/>
        <w:rPr>
          <w:rFonts w:ascii="Arial" w:hAnsi="Arial" w:cs="Arial"/>
          <w:b/>
          <w:noProof/>
          <w:szCs w:val="22"/>
        </w:rPr>
      </w:pPr>
      <w:r w:rsidRPr="009102A2">
        <w:rPr>
          <w:rFonts w:ascii="Arial" w:hAnsi="Arial" w:cs="Arial"/>
          <w:b/>
          <w:noProof/>
          <w:szCs w:val="22"/>
        </w:rPr>
        <w:t xml:space="preserve"> </w:t>
      </w:r>
      <w:r>
        <w:rPr>
          <w:rFonts w:ascii="Arial" w:hAnsi="Arial" w:cs="Arial"/>
          <w:b/>
          <w:noProof/>
          <w:szCs w:val="22"/>
        </w:rPr>
        <w:t>Adjustment Tariff</w:t>
      </w:r>
    </w:p>
    <w:p w14:paraId="71CAF1EF" w14:textId="6C146739" w:rsidR="00D37344" w:rsidRPr="000B6C0D" w:rsidRDefault="00D37344" w:rsidP="000B6C0D">
      <w:pPr>
        <w:pStyle w:val="Header"/>
        <w:jc w:val="both"/>
        <w:rPr>
          <w:rFonts w:ascii="Arial" w:hAnsi="Arial" w:cs="Arial"/>
          <w:b/>
          <w:noProof/>
          <w:szCs w:val="22"/>
        </w:rPr>
      </w:pPr>
    </w:p>
    <w:p w14:paraId="11B049CD" w14:textId="77777777" w:rsidR="006661FE" w:rsidRPr="004248A1" w:rsidRDefault="006661FE" w:rsidP="00316591">
      <w:pPr>
        <w:pStyle w:val="Header"/>
        <w:jc w:val="both"/>
        <w:rPr>
          <w:rFonts w:ascii="Arial" w:hAnsi="Arial" w:cs="Arial"/>
          <w:noProof/>
          <w:szCs w:val="22"/>
        </w:rPr>
      </w:pPr>
    </w:p>
    <w:p w14:paraId="35E86794" w14:textId="4EE7233F" w:rsidR="00CC76B9" w:rsidRDefault="4DB720A2" w:rsidP="00CC76B9">
      <w:pPr>
        <w:pStyle w:val="Header"/>
        <w:ind w:left="720"/>
        <w:jc w:val="both"/>
        <w:rPr>
          <w:rFonts w:ascii="Arial" w:hAnsi="Arial" w:cs="Arial"/>
        </w:rPr>
      </w:pPr>
      <w:r w:rsidRPr="0537B9E0">
        <w:rPr>
          <w:rFonts w:ascii="Arial" w:hAnsi="Arial" w:cs="Arial"/>
        </w:rPr>
        <w:t xml:space="preserve">We now need to calculate the </w:t>
      </w:r>
      <w:r w:rsidR="6172ADF5" w:rsidRPr="0537B9E0">
        <w:rPr>
          <w:rFonts w:ascii="Arial" w:hAnsi="Arial" w:cs="Arial"/>
        </w:rPr>
        <w:t xml:space="preserve">Adjustment </w:t>
      </w:r>
      <w:r w:rsidR="4CF89D1E" w:rsidRPr="0537B9E0">
        <w:rPr>
          <w:rFonts w:ascii="Arial" w:hAnsi="Arial" w:cs="Arial"/>
        </w:rPr>
        <w:t>T</w:t>
      </w:r>
      <w:r w:rsidRPr="0537B9E0">
        <w:rPr>
          <w:rFonts w:ascii="Arial" w:hAnsi="Arial" w:cs="Arial"/>
        </w:rPr>
        <w:t>ariff</w:t>
      </w:r>
      <w:r w:rsidR="13029D05" w:rsidRPr="0537B9E0">
        <w:rPr>
          <w:rFonts w:ascii="Arial" w:hAnsi="Arial" w:cs="Arial"/>
        </w:rPr>
        <w:t xml:space="preserve">. </w:t>
      </w:r>
      <w:r w:rsidRPr="0537B9E0">
        <w:rPr>
          <w:rFonts w:ascii="Arial" w:hAnsi="Arial" w:cs="Arial"/>
        </w:rPr>
        <w:t xml:space="preserve">This is calculated by taking the </w:t>
      </w:r>
      <w:r w:rsidR="53F84C41" w:rsidRPr="0537B9E0">
        <w:rPr>
          <w:rFonts w:ascii="Arial" w:hAnsi="Arial" w:cs="Arial"/>
        </w:rPr>
        <w:t xml:space="preserve">Adjustment Revenue and dividing  this by the Chargable Generation Capacity (as per </w:t>
      </w:r>
      <w:r w:rsidR="5EE6AF32" w:rsidRPr="0537B9E0">
        <w:rPr>
          <w:rFonts w:ascii="Arial" w:hAnsi="Arial" w:cs="Arial"/>
          <w:noProof/>
        </w:rPr>
        <w:t>)</w:t>
      </w:r>
      <w:r w:rsidR="1BAFD843" w:rsidRPr="0537B9E0">
        <w:rPr>
          <w:rFonts w:ascii="Arial" w:hAnsi="Arial" w:cs="Arial"/>
          <w:noProof/>
        </w:rPr>
        <w:t xml:space="preserve"> </w:t>
      </w:r>
      <w:r w:rsidR="1BAFD843" w:rsidRPr="0537B9E0">
        <w:rPr>
          <w:rFonts w:ascii="Calibri" w:eastAsia="Calibri" w:hAnsi="Calibri" w:cs="Calibri"/>
          <w:noProof/>
          <w:color w:val="444444"/>
        </w:rPr>
        <w:t>14.14.5 (viii) (h</w:t>
      </w:r>
      <w:r w:rsidR="53F84C41" w:rsidRPr="0537B9E0">
        <w:rPr>
          <w:rFonts w:ascii="Calibri" w:eastAsia="Calibri" w:hAnsi="Calibri" w:cs="Calibri"/>
          <w:color w:val="444444"/>
        </w:rPr>
        <w:t>)</w:t>
      </w:r>
      <w:r w:rsidR="53F84C41" w:rsidRPr="0537B9E0">
        <w:rPr>
          <w:rFonts w:ascii="Arial" w:hAnsi="Arial" w:cs="Arial"/>
        </w:rPr>
        <w:t xml:space="preserve">) to create a £/kW figure </w:t>
      </w:r>
    </w:p>
    <w:p w14:paraId="4BFC871F" w14:textId="77777777" w:rsidR="00CC76B9" w:rsidRDefault="00CC76B9" w:rsidP="00CC76B9">
      <w:pPr>
        <w:pStyle w:val="Header"/>
        <w:ind w:left="720"/>
        <w:jc w:val="both"/>
        <w:rPr>
          <w:rFonts w:ascii="Arial" w:hAnsi="Arial" w:cs="Arial"/>
          <w:noProof/>
          <w:szCs w:val="22"/>
        </w:rPr>
      </w:pPr>
    </w:p>
    <w:p w14:paraId="5D987827" w14:textId="5845CDC7" w:rsidR="00CC76B9" w:rsidRPr="004248A1" w:rsidRDefault="00CC76B9" w:rsidP="00DB14C3">
      <w:pPr>
        <w:pStyle w:val="Header"/>
        <w:ind w:left="720"/>
        <w:jc w:val="both"/>
        <w:rPr>
          <w:rFonts w:ascii="Arial" w:hAnsi="Arial" w:cs="Arial"/>
          <w:noProof/>
          <w:szCs w:val="22"/>
        </w:rPr>
      </w:pPr>
      <w:r>
        <w:rPr>
          <w:rFonts w:ascii="Arial" w:hAnsi="Arial" w:cs="Arial"/>
          <w:noProof/>
          <w:szCs w:val="22"/>
        </w:rPr>
        <w:t>vi)</w:t>
      </w:r>
      <w:r w:rsidR="00DB14C3">
        <w:rPr>
          <w:rFonts w:ascii="Arial" w:hAnsi="Arial" w:cs="Arial"/>
          <w:noProof/>
          <w:szCs w:val="22"/>
        </w:rPr>
        <w:t xml:space="preserve"> </w:t>
      </w:r>
    </w:p>
    <w:p w14:paraId="6AB1BCC2" w14:textId="77777777" w:rsidR="006661FE" w:rsidRPr="004248A1" w:rsidRDefault="006661FE" w:rsidP="006661FE">
      <w:pPr>
        <w:pStyle w:val="Header"/>
        <w:tabs>
          <w:tab w:val="left" w:pos="284"/>
        </w:tabs>
        <w:jc w:val="both"/>
        <w:rPr>
          <w:rFonts w:ascii="Arial" w:hAnsi="Arial" w:cs="Arial"/>
          <w:noProof/>
          <w:szCs w:val="22"/>
        </w:rPr>
      </w:pPr>
    </w:p>
    <w:p w14:paraId="6BC6DEA9" w14:textId="52D0E77A" w:rsidR="0015522B" w:rsidRDefault="0015522B" w:rsidP="0015522B">
      <w:pPr>
        <w:pStyle w:val="Header"/>
        <w:ind w:left="720"/>
        <w:jc w:val="both"/>
        <w:rPr>
          <w:rFonts w:ascii="Arial" w:hAnsi="Arial" w:cs="Arial"/>
          <w:noProof/>
        </w:rPr>
      </w:pPr>
      <w:r w:rsidRPr="2624C699">
        <w:rPr>
          <w:rFonts w:ascii="Arial" w:hAnsi="Arial" w:cs="Arial"/>
          <w:noProof/>
        </w:rPr>
        <w:t xml:space="preserve">Assuming annual </w:t>
      </w:r>
      <w:r>
        <w:rPr>
          <w:rFonts w:ascii="Arial" w:hAnsi="Arial" w:cs="Arial"/>
          <w:noProof/>
        </w:rPr>
        <w:t xml:space="preserve">average </w:t>
      </w:r>
      <w:r w:rsidRPr="2624C699">
        <w:rPr>
          <w:rFonts w:ascii="Arial" w:hAnsi="Arial" w:cs="Arial"/>
          <w:noProof/>
        </w:rPr>
        <w:t xml:space="preserve">transmission charges paid by Generators is due to fall below €0, </w:t>
      </w:r>
      <w:r w:rsidR="1CE92958" w:rsidRPr="00C94D4B">
        <w:rPr>
          <w:rFonts w:ascii="Arial" w:hAnsi="Arial" w:cs="Arial"/>
          <w:b/>
        </w:rPr>
        <w:t>The Company</w:t>
      </w:r>
      <w:r w:rsidRPr="00C94D4B">
        <w:rPr>
          <w:rFonts w:ascii="Arial" w:hAnsi="Arial" w:cs="Arial"/>
          <w:b/>
        </w:rPr>
        <w:t xml:space="preserve"> </w:t>
      </w:r>
      <w:r w:rsidRPr="2624C699">
        <w:rPr>
          <w:rFonts w:ascii="Arial" w:hAnsi="Arial" w:cs="Arial"/>
          <w:noProof/>
        </w:rPr>
        <w:t xml:space="preserve">will add Adjustment Revenue to ensure </w:t>
      </w:r>
      <w:r>
        <w:rPr>
          <w:rFonts w:ascii="Arial" w:hAnsi="Arial" w:cs="Arial"/>
          <w:noProof/>
        </w:rPr>
        <w:t xml:space="preserve">that compliance with </w:t>
      </w:r>
      <w:r w:rsidRPr="2624C699">
        <w:rPr>
          <w:rFonts w:ascii="Arial" w:hAnsi="Arial" w:cs="Arial"/>
          <w:noProof/>
        </w:rPr>
        <w:t xml:space="preserve">the Limiting Regulation is </w:t>
      </w:r>
      <w:r>
        <w:rPr>
          <w:rFonts w:ascii="Arial" w:hAnsi="Arial" w:cs="Arial"/>
          <w:noProof/>
        </w:rPr>
        <w:t>maintained</w:t>
      </w:r>
      <w:r w:rsidRPr="2624C699">
        <w:rPr>
          <w:rFonts w:ascii="Arial" w:hAnsi="Arial" w:cs="Arial"/>
          <w:noProof/>
        </w:rPr>
        <w:t xml:space="preserve"> – in this example let us assume it is £260m </w:t>
      </w:r>
      <w:r w:rsidRPr="008B5A73">
        <w:rPr>
          <w:rFonts w:ascii="Arial" w:hAnsi="Arial" w:cs="Arial"/>
          <w:noProof/>
        </w:rPr>
        <w:t xml:space="preserve">and the </w:t>
      </w:r>
      <w:r w:rsidRPr="2624C699">
        <w:rPr>
          <w:rFonts w:ascii="Arial" w:hAnsi="Arial" w:cs="Arial"/>
          <w:noProof/>
        </w:rPr>
        <w:t xml:space="preserve">GB-wide </w:t>
      </w:r>
      <w:r w:rsidRPr="008B5A73">
        <w:rPr>
          <w:rFonts w:ascii="Arial" w:hAnsi="Arial" w:cs="Arial"/>
          <w:noProof/>
        </w:rPr>
        <w:t>generation Chargable Capacity is 60GW (60,000,000kW)</w:t>
      </w:r>
      <w:r w:rsidRPr="2624C699">
        <w:rPr>
          <w:rFonts w:ascii="Arial" w:hAnsi="Arial" w:cs="Arial"/>
          <w:noProof/>
        </w:rPr>
        <w:t>. This would mean the non-locational Adjustment Tariff would be calculated as;</w:t>
      </w:r>
    </w:p>
    <w:p w14:paraId="1B6232EF" w14:textId="2148C78E" w:rsidR="0065616D" w:rsidRDefault="0065616D" w:rsidP="0015522B">
      <w:pPr>
        <w:pStyle w:val="Header"/>
        <w:ind w:left="720"/>
        <w:jc w:val="both"/>
        <w:rPr>
          <w:rFonts w:ascii="Arial" w:hAnsi="Arial" w:cs="Arial"/>
          <w:noProof/>
        </w:rPr>
      </w:pPr>
    </w:p>
    <w:p w14:paraId="71003B43"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Adjustment Revenue</m:t>
              </m:r>
            </m:num>
            <m:den>
              <m:r>
                <w:rPr>
                  <w:rFonts w:ascii="Cambria Math" w:hAnsi="Cambria Math" w:cs="Arial"/>
                  <w:noProof/>
                  <w:szCs w:val="22"/>
                </w:rPr>
                <m:t>Chargable Capacity</m:t>
              </m:r>
            </m:den>
          </m:f>
        </m:oMath>
      </m:oMathPara>
    </w:p>
    <w:p w14:paraId="30EE7798" w14:textId="77777777" w:rsidR="00BB3B6C" w:rsidRDefault="00BB3B6C" w:rsidP="00BB3B6C">
      <w:pPr>
        <w:pStyle w:val="Header"/>
        <w:ind w:left="720"/>
        <w:jc w:val="both"/>
        <w:rPr>
          <w:rFonts w:ascii="Arial" w:hAnsi="Arial" w:cs="Arial"/>
          <w:noProof/>
          <w:szCs w:val="22"/>
        </w:rPr>
      </w:pPr>
    </w:p>
    <w:p w14:paraId="476EDE9B" w14:textId="77777777" w:rsidR="00BB3B6C" w:rsidRPr="00336175" w:rsidRDefault="00BB3B6C" w:rsidP="00BB3B6C">
      <w:pPr>
        <w:pStyle w:val="Header"/>
        <w:jc w:val="both"/>
        <w:rPr>
          <w:rFonts w:ascii="Arial" w:hAnsi="Arial" w:cs="Arial"/>
          <w:noProof/>
        </w:rPr>
      </w:pPr>
      <w:r w:rsidRPr="0011342A">
        <w:rPr>
          <w:rFonts w:ascii="Cambria Math" w:hAnsi="Cambria Math" w:cs="Arial"/>
          <w:noProof/>
          <w:szCs w:val="22"/>
        </w:rPr>
        <w:br/>
      </w: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£260m</m:t>
              </m:r>
            </m:num>
            <m:den>
              <m:r>
                <w:rPr>
                  <w:rFonts w:ascii="Cambria Math" w:hAnsi="Cambria Math" w:cs="Arial"/>
                  <w:noProof/>
                  <w:szCs w:val="22"/>
                </w:rPr>
                <m:t>60,000,000kW</m:t>
              </m:r>
            </m:den>
          </m:f>
        </m:oMath>
      </m:oMathPara>
    </w:p>
    <w:p w14:paraId="035EB8BA" w14:textId="77777777" w:rsidR="00BB3B6C" w:rsidRPr="00336175" w:rsidRDefault="00BB3B6C" w:rsidP="00BB3B6C">
      <w:pPr>
        <w:pStyle w:val="Header"/>
        <w:ind w:left="720"/>
        <w:jc w:val="both"/>
        <w:rPr>
          <w:rFonts w:ascii="Arial" w:hAnsi="Arial" w:cs="Arial"/>
          <w:noProof/>
          <w:szCs w:val="22"/>
        </w:rPr>
      </w:pPr>
    </w:p>
    <w:p w14:paraId="63E177EF"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001C4611" w14:textId="77777777" w:rsidR="0065616D" w:rsidRDefault="0065616D" w:rsidP="0015522B">
      <w:pPr>
        <w:pStyle w:val="Header"/>
        <w:ind w:left="720"/>
        <w:jc w:val="both"/>
        <w:rPr>
          <w:rFonts w:ascii="Arial" w:hAnsi="Arial" w:cs="Arial"/>
          <w:noProof/>
        </w:rPr>
      </w:pPr>
    </w:p>
    <w:p w14:paraId="1D386C1E" w14:textId="77777777" w:rsidR="006661FE" w:rsidRPr="004248A1" w:rsidRDefault="006661FE" w:rsidP="006661FE">
      <w:pPr>
        <w:pStyle w:val="Header"/>
        <w:tabs>
          <w:tab w:val="left" w:pos="284"/>
        </w:tabs>
        <w:ind w:left="142"/>
        <w:jc w:val="both"/>
        <w:rPr>
          <w:rFonts w:ascii="Arial" w:hAnsi="Arial" w:cs="Arial"/>
          <w:noProof/>
          <w:szCs w:val="22"/>
        </w:rPr>
      </w:pPr>
    </w:p>
    <w:p w14:paraId="18988036" w14:textId="77777777" w:rsidR="00D37344" w:rsidRDefault="00D37344" w:rsidP="00533333">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2D7B4BC5" w14:textId="77777777" w:rsidR="00D37344" w:rsidRDefault="00D37344" w:rsidP="000B6C0D">
      <w:pPr>
        <w:pStyle w:val="Header"/>
        <w:tabs>
          <w:tab w:val="num" w:pos="851"/>
        </w:tabs>
        <w:ind w:left="720"/>
        <w:jc w:val="both"/>
        <w:rPr>
          <w:rFonts w:ascii="Arial" w:hAnsi="Arial" w:cs="Arial"/>
          <w:noProof/>
          <w:szCs w:val="22"/>
        </w:rPr>
      </w:pPr>
    </w:p>
    <w:p w14:paraId="646D9B29" w14:textId="77777777" w:rsidR="008D2415" w:rsidRDefault="00D37344" w:rsidP="008D2415">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8D2415">
        <w:rPr>
          <w:rFonts w:ascii="Arial" w:hAnsi="Arial" w:cs="Arial"/>
          <w:noProof/>
          <w:szCs w:val="22"/>
        </w:rPr>
        <w:tab/>
        <w:t xml:space="preserve">= </w:t>
      </w:r>
      <w:r w:rsidR="008D2415">
        <w:rPr>
          <w:rFonts w:ascii="Arial" w:hAnsi="Arial" w:cs="Arial"/>
          <w:noProof/>
          <w:szCs w:val="22"/>
          <w:lang w:val="pl-PL"/>
        </w:rPr>
        <w:t xml:space="preserve">1.071 * 1 * </w:t>
      </w:r>
      <w:r w:rsidR="008D2415">
        <w:rPr>
          <w:rFonts w:ascii="Arial" w:hAnsi="Arial" w:cs="Arial"/>
          <w:color w:val="000000"/>
          <w:szCs w:val="22"/>
          <w:lang w:val="pl-PL"/>
        </w:rPr>
        <w:t>100,000</w:t>
      </w:r>
    </w:p>
    <w:p w14:paraId="6E168839" w14:textId="77777777" w:rsidR="00D37344" w:rsidRDefault="00D37344" w:rsidP="00817590">
      <w:pPr>
        <w:pStyle w:val="Header"/>
        <w:tabs>
          <w:tab w:val="left" w:pos="284"/>
        </w:tabs>
        <w:rPr>
          <w:rFonts w:ascii="Arial" w:hAnsi="Arial" w:cs="Arial"/>
          <w:noProof/>
          <w:szCs w:val="22"/>
        </w:rPr>
      </w:pPr>
    </w:p>
    <w:p w14:paraId="7174F3BB" w14:textId="4862C053" w:rsidR="00D37344"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lastRenderedPageBreak/>
        <w:t xml:space="preserve">= </w:t>
      </w:r>
      <w:r w:rsidRPr="000B6C0D">
        <w:rPr>
          <w:rFonts w:ascii="Arial" w:hAnsi="Arial" w:cs="Arial"/>
          <w:noProof/>
          <w:szCs w:val="22"/>
        </w:rPr>
        <w:t>Wider Year Round Shared Tariff * ALF * TEC</w:t>
      </w:r>
      <w:r w:rsidR="00D67F1B">
        <w:rPr>
          <w:rFonts w:ascii="Arial" w:hAnsi="Arial" w:cs="Arial"/>
          <w:noProof/>
          <w:szCs w:val="22"/>
        </w:rPr>
        <w:tab/>
        <w:t xml:space="preserve">= </w:t>
      </w:r>
      <w:r w:rsidR="00D67F1B" w:rsidRPr="000B6C0D">
        <w:rPr>
          <w:rFonts w:ascii="Arial" w:hAnsi="Arial" w:cs="Arial"/>
          <w:noProof/>
          <w:szCs w:val="22"/>
        </w:rPr>
        <w:t>6.245 * 0.</w:t>
      </w:r>
      <w:r w:rsidR="00D67F1B">
        <w:rPr>
          <w:rFonts w:ascii="Arial" w:hAnsi="Arial" w:cs="Arial"/>
          <w:noProof/>
          <w:szCs w:val="22"/>
        </w:rPr>
        <w:t>6</w:t>
      </w:r>
      <w:r w:rsidR="00D67F1B" w:rsidRPr="000B6C0D">
        <w:rPr>
          <w:rFonts w:ascii="Arial" w:hAnsi="Arial" w:cs="Arial"/>
          <w:noProof/>
          <w:szCs w:val="22"/>
        </w:rPr>
        <w:t xml:space="preserve"> * 100,000</w:t>
      </w:r>
    </w:p>
    <w:p w14:paraId="0F791ADB" w14:textId="77777777" w:rsidR="001832E2" w:rsidRPr="000B6C0D" w:rsidRDefault="001832E2" w:rsidP="000B6C0D">
      <w:pPr>
        <w:pStyle w:val="Header"/>
        <w:tabs>
          <w:tab w:val="left" w:pos="284"/>
        </w:tabs>
        <w:ind w:left="720"/>
        <w:rPr>
          <w:rFonts w:ascii="Arial" w:hAnsi="Arial" w:cs="Arial"/>
          <w:noProof/>
          <w:szCs w:val="22"/>
        </w:rPr>
      </w:pPr>
    </w:p>
    <w:p w14:paraId="2EB7450C" w14:textId="24393B02"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660FC8">
        <w:rPr>
          <w:rFonts w:ascii="Arial" w:hAnsi="Arial" w:cs="Arial"/>
          <w:noProof/>
          <w:szCs w:val="22"/>
        </w:rPr>
        <w:tab/>
        <w:t xml:space="preserve">= </w:t>
      </w:r>
      <w:r w:rsidR="00660FC8">
        <w:rPr>
          <w:rFonts w:ascii="Arial" w:hAnsi="Arial" w:cs="Arial"/>
          <w:color w:val="000000"/>
          <w:szCs w:val="22"/>
          <w:lang w:val="pl-PL"/>
        </w:rPr>
        <w:t>1.309 * 100, 000</w:t>
      </w:r>
    </w:p>
    <w:p w14:paraId="1A8D8F28" w14:textId="77777777" w:rsidR="007D7CDC" w:rsidRDefault="00D37344" w:rsidP="007D7CDC">
      <w:pPr>
        <w:pStyle w:val="Header"/>
        <w:tabs>
          <w:tab w:val="left" w:pos="284"/>
        </w:tabs>
        <w:ind w:left="720"/>
        <w:rPr>
          <w:rFonts w:ascii="Arial" w:hAnsi="Arial" w:cs="Arial"/>
          <w:noProof/>
          <w:szCs w:val="22"/>
        </w:rPr>
      </w:pPr>
      <w:r>
        <w:rPr>
          <w:rFonts w:ascii="Arial" w:hAnsi="Arial" w:cs="Arial"/>
          <w:noProof/>
          <w:szCs w:val="22"/>
        </w:rPr>
        <w:t>= Local substation Tariff * TEC</w:t>
      </w:r>
      <w:r w:rsidR="007D7CDC">
        <w:rPr>
          <w:rFonts w:ascii="Arial" w:hAnsi="Arial" w:cs="Arial"/>
          <w:noProof/>
          <w:szCs w:val="22"/>
        </w:rPr>
        <w:tab/>
      </w:r>
      <w:r w:rsidR="007D7CDC">
        <w:rPr>
          <w:rFonts w:ascii="Arial" w:hAnsi="Arial" w:cs="Arial"/>
          <w:noProof/>
          <w:szCs w:val="22"/>
        </w:rPr>
        <w:tab/>
      </w:r>
      <w:r w:rsidR="007D7CDC">
        <w:rPr>
          <w:rFonts w:ascii="Arial" w:hAnsi="Arial" w:cs="Arial"/>
          <w:noProof/>
          <w:szCs w:val="22"/>
        </w:rPr>
        <w:tab/>
        <w:t xml:space="preserve">= </w:t>
      </w:r>
      <w:r w:rsidR="007D7CDC">
        <w:rPr>
          <w:rFonts w:ascii="Arial" w:hAnsi="Arial" w:cs="Arial"/>
          <w:color w:val="000000"/>
          <w:szCs w:val="22"/>
          <w:lang w:val="pl-PL"/>
        </w:rPr>
        <w:t>0.133 * 100,000</w:t>
      </w:r>
    </w:p>
    <w:p w14:paraId="47E0976E" w14:textId="77777777" w:rsidR="00D37344" w:rsidRDefault="00D37344" w:rsidP="000B6C0D">
      <w:pPr>
        <w:pStyle w:val="Header"/>
        <w:tabs>
          <w:tab w:val="left" w:pos="284"/>
        </w:tabs>
        <w:ind w:left="720"/>
        <w:rPr>
          <w:rFonts w:ascii="Arial" w:hAnsi="Arial" w:cs="Arial"/>
          <w:noProof/>
          <w:szCs w:val="22"/>
        </w:rPr>
      </w:pPr>
    </w:p>
    <w:p w14:paraId="0E1E2809" w14:textId="3FD72C48"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t xml:space="preserve">= </w:t>
      </w:r>
      <w:r w:rsidR="00AF22EA" w:rsidRPr="00D37344">
        <w:rPr>
          <w:rFonts w:ascii="Arial" w:hAnsi="Arial" w:cs="Arial"/>
          <w:noProof/>
          <w:szCs w:val="22"/>
          <w:lang w:val="pl-PL"/>
        </w:rPr>
        <w:t>1.007</w:t>
      </w:r>
      <w:r w:rsidR="00AF22EA">
        <w:rPr>
          <w:rFonts w:ascii="Arial" w:hAnsi="Arial" w:cs="Arial"/>
          <w:noProof/>
          <w:szCs w:val="22"/>
          <w:lang w:val="pl-PL"/>
        </w:rPr>
        <w:t xml:space="preserve"> *</w:t>
      </w:r>
      <w:r w:rsidR="00AF22EA" w:rsidRPr="008B5A73">
        <w:rPr>
          <w:rFonts w:ascii="Arial" w:hAnsi="Arial" w:cs="Arial"/>
          <w:noProof/>
          <w:szCs w:val="22"/>
          <w:lang w:val="pl-PL"/>
        </w:rPr>
        <w:t xml:space="preserve"> 100,000</w:t>
      </w:r>
    </w:p>
    <w:p w14:paraId="35F2A947" w14:textId="1DAA35DF"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EE57BF">
        <w:rPr>
          <w:rFonts w:ascii="Arial" w:hAnsi="Arial" w:cs="Arial"/>
          <w:noProof/>
          <w:szCs w:val="22"/>
        </w:rPr>
        <w:t xml:space="preserve">Adjustment </w:t>
      </w:r>
      <w:r>
        <w:rPr>
          <w:rFonts w:ascii="Arial" w:hAnsi="Arial" w:cs="Arial"/>
          <w:noProof/>
          <w:szCs w:val="22"/>
        </w:rPr>
        <w:t>Tariff * TEC</w:t>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sidRPr="2624C699">
        <w:rPr>
          <w:rFonts w:ascii="Arial" w:hAnsi="Arial" w:cs="Arial"/>
          <w:noProof/>
        </w:rPr>
        <w:t xml:space="preserve">= </w:t>
      </w:r>
      <w:r w:rsidR="00E81852">
        <w:rPr>
          <w:rFonts w:ascii="Arial" w:hAnsi="Arial" w:cs="Arial"/>
          <w:noProof/>
        </w:rPr>
        <w:t xml:space="preserve"> 4.33</w:t>
      </w:r>
      <w:r w:rsidR="00E81852" w:rsidRPr="2624C699">
        <w:rPr>
          <w:rFonts w:ascii="Arial" w:hAnsi="Arial" w:cs="Arial"/>
          <w:noProof/>
        </w:rPr>
        <w:t xml:space="preserve"> * 100,000</w:t>
      </w:r>
    </w:p>
    <w:p w14:paraId="3954D1A0" w14:textId="77777777" w:rsidR="00D37344" w:rsidRDefault="00D37344" w:rsidP="000B6C0D">
      <w:pPr>
        <w:pStyle w:val="Header"/>
        <w:tabs>
          <w:tab w:val="num" w:pos="851"/>
        </w:tabs>
        <w:jc w:val="both"/>
        <w:rPr>
          <w:rFonts w:ascii="Arial" w:hAnsi="Arial" w:cs="Arial"/>
          <w:noProof/>
          <w:szCs w:val="22"/>
        </w:rPr>
      </w:pPr>
    </w:p>
    <w:p w14:paraId="05FAAFE2" w14:textId="77777777" w:rsidR="00D37344" w:rsidRDefault="00D37344" w:rsidP="000B6C0D">
      <w:pPr>
        <w:pStyle w:val="Header"/>
        <w:tabs>
          <w:tab w:val="num" w:pos="851"/>
        </w:tabs>
        <w:jc w:val="both"/>
        <w:rPr>
          <w:rFonts w:ascii="Arial" w:hAnsi="Arial" w:cs="Arial"/>
          <w:noProof/>
          <w:szCs w:val="22"/>
        </w:rPr>
      </w:pPr>
    </w:p>
    <w:p w14:paraId="48EC966E" w14:textId="30AE0296" w:rsidR="0070624C" w:rsidRDefault="0070624C" w:rsidP="006661FE">
      <w:pPr>
        <w:pStyle w:val="Header"/>
        <w:ind w:left="709"/>
        <w:jc w:val="both"/>
        <w:rPr>
          <w:rFonts w:ascii="Arial" w:hAnsi="Arial" w:cs="Arial"/>
          <w:noProof/>
          <w:szCs w:val="22"/>
        </w:rPr>
      </w:pPr>
    </w:p>
    <w:p w14:paraId="3753CF9B" w14:textId="1EA5F588"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25503864" w14:textId="77777777" w:rsidR="0070624C" w:rsidRDefault="0070624C" w:rsidP="0070624C">
      <w:pPr>
        <w:pStyle w:val="Header"/>
        <w:tabs>
          <w:tab w:val="left" w:pos="284"/>
        </w:tabs>
        <w:ind w:left="142"/>
        <w:rPr>
          <w:rFonts w:ascii="Arial" w:hAnsi="Arial" w:cs="Arial"/>
          <w:noProof/>
          <w:szCs w:val="22"/>
        </w:rPr>
      </w:pPr>
    </w:p>
    <w:p w14:paraId="119007F5" w14:textId="3301382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1F0A7A">
        <w:rPr>
          <w:rFonts w:ascii="Arial" w:hAnsi="Arial" w:cs="Arial"/>
          <w:noProof/>
          <w:szCs w:val="22"/>
        </w:rPr>
        <w:t>1</w:t>
      </w:r>
      <w:r>
        <w:rPr>
          <w:rFonts w:ascii="Arial" w:hAnsi="Arial" w:cs="Arial"/>
          <w:noProof/>
          <w:szCs w:val="22"/>
        </w:rPr>
        <w:t>.</w:t>
      </w:r>
      <w:r w:rsidR="00805798">
        <w:rPr>
          <w:rFonts w:ascii="Arial" w:hAnsi="Arial" w:cs="Arial"/>
          <w:noProof/>
          <w:szCs w:val="22"/>
        </w:rPr>
        <w:t>597</w:t>
      </w:r>
      <w:r>
        <w:rPr>
          <w:rFonts w:ascii="Arial" w:hAnsi="Arial" w:cs="Arial"/>
          <w:noProof/>
          <w:szCs w:val="22"/>
        </w:rPr>
        <w:t>/kW * 100,000kW = £1,</w:t>
      </w:r>
      <w:r w:rsidR="006625E3" w:rsidRPr="006625E3">
        <w:rPr>
          <w:rFonts w:ascii="Arial" w:hAnsi="Arial" w:cs="Arial"/>
          <w:noProof/>
          <w:szCs w:val="22"/>
        </w:rPr>
        <w:t xml:space="preserve"> </w:t>
      </w:r>
      <w:r w:rsidR="006625E3">
        <w:rPr>
          <w:rFonts w:ascii="Arial" w:hAnsi="Arial" w:cs="Arial"/>
          <w:noProof/>
          <w:szCs w:val="22"/>
        </w:rPr>
        <w:t>159</w:t>
      </w:r>
      <w:r>
        <w:rPr>
          <w:rFonts w:ascii="Arial" w:hAnsi="Arial" w:cs="Arial"/>
          <w:noProof/>
          <w:szCs w:val="22"/>
        </w:rPr>
        <w:t>,700)</w:t>
      </w:r>
    </w:p>
    <w:p w14:paraId="5D8DFB3F" w14:textId="77777777" w:rsidR="0070624C" w:rsidRDefault="0070624C" w:rsidP="0070624C">
      <w:pPr>
        <w:pStyle w:val="Header"/>
        <w:tabs>
          <w:tab w:val="left" w:pos="284"/>
        </w:tabs>
        <w:ind w:left="142"/>
        <w:rPr>
          <w:rFonts w:ascii="Arial" w:hAnsi="Arial" w:cs="Arial"/>
          <w:noProof/>
          <w:szCs w:val="22"/>
        </w:rPr>
      </w:pPr>
    </w:p>
    <w:p w14:paraId="2AEC9766"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503E4106"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xml:space="preserve">= Wider Peak Security Tariff * PS Flag * TEC </w:t>
      </w:r>
      <w:r>
        <w:rPr>
          <w:rFonts w:ascii="Arial" w:hAnsi="Arial" w:cs="Arial"/>
          <w:noProof/>
          <w:szCs w:val="22"/>
        </w:rPr>
        <w:tab/>
        <w:t xml:space="preserve">= </w:t>
      </w:r>
      <w:r>
        <w:rPr>
          <w:rFonts w:ascii="Arial" w:hAnsi="Arial" w:cs="Arial"/>
          <w:noProof/>
          <w:szCs w:val="22"/>
          <w:lang w:val="pl-PL"/>
        </w:rPr>
        <w:t xml:space="preserve">1.071 * 0 * </w:t>
      </w:r>
      <w:r>
        <w:rPr>
          <w:rFonts w:ascii="Arial" w:hAnsi="Arial" w:cs="Arial"/>
          <w:color w:val="000000"/>
          <w:szCs w:val="22"/>
          <w:lang w:val="pl-PL"/>
        </w:rPr>
        <w:t>100,000</w:t>
      </w:r>
    </w:p>
    <w:p w14:paraId="7F515778" w14:textId="77777777" w:rsidR="00644A65" w:rsidRPr="000B6C0D" w:rsidRDefault="00644A65" w:rsidP="00644A65">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Pr>
          <w:rFonts w:ascii="Arial" w:hAnsi="Arial" w:cs="Arial"/>
          <w:noProof/>
          <w:szCs w:val="22"/>
        </w:rPr>
        <w:tab/>
        <w:t xml:space="preserve">= </w:t>
      </w:r>
      <w:r w:rsidRPr="000B6C0D">
        <w:rPr>
          <w:rFonts w:ascii="Arial" w:hAnsi="Arial" w:cs="Arial"/>
          <w:noProof/>
          <w:szCs w:val="22"/>
        </w:rPr>
        <w:t>6.245 * 0.</w:t>
      </w:r>
      <w:r>
        <w:rPr>
          <w:rFonts w:ascii="Arial" w:hAnsi="Arial" w:cs="Arial"/>
          <w:noProof/>
          <w:szCs w:val="22"/>
        </w:rPr>
        <w:t>3</w:t>
      </w:r>
      <w:r w:rsidRPr="000B6C0D">
        <w:rPr>
          <w:rFonts w:ascii="Arial" w:hAnsi="Arial" w:cs="Arial"/>
          <w:noProof/>
          <w:szCs w:val="22"/>
        </w:rPr>
        <w:t xml:space="preserve"> * 100,000</w:t>
      </w:r>
    </w:p>
    <w:p w14:paraId="6E95A40E" w14:textId="77777777" w:rsidR="00644A65" w:rsidRDefault="00644A65" w:rsidP="00644A65">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Pr>
          <w:rFonts w:ascii="Arial" w:hAnsi="Arial" w:cs="Arial"/>
          <w:noProof/>
          <w:szCs w:val="22"/>
        </w:rPr>
        <w:tab/>
        <w:t xml:space="preserve">= </w:t>
      </w:r>
      <w:r>
        <w:rPr>
          <w:rFonts w:ascii="Arial" w:hAnsi="Arial" w:cs="Arial"/>
          <w:color w:val="000000"/>
          <w:szCs w:val="22"/>
          <w:lang w:val="pl-PL"/>
        </w:rPr>
        <w:t>1.309 * 100, 000</w:t>
      </w:r>
    </w:p>
    <w:p w14:paraId="7DC3AAE3"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substation Tariff * TEC</w:t>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Pr>
          <w:rFonts w:ascii="Arial" w:hAnsi="Arial" w:cs="Arial"/>
          <w:color w:val="000000"/>
          <w:szCs w:val="22"/>
          <w:lang w:val="pl-PL"/>
        </w:rPr>
        <w:t>0.133 * 100,000</w:t>
      </w:r>
    </w:p>
    <w:p w14:paraId="567FC5C4"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circuit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sidRPr="00D37344">
        <w:rPr>
          <w:rFonts w:ascii="Arial" w:hAnsi="Arial" w:cs="Arial"/>
          <w:noProof/>
          <w:szCs w:val="22"/>
          <w:lang w:val="pl-PL"/>
        </w:rPr>
        <w:t>1.007</w:t>
      </w:r>
      <w:r>
        <w:rPr>
          <w:rFonts w:ascii="Arial" w:hAnsi="Arial" w:cs="Arial"/>
          <w:noProof/>
          <w:szCs w:val="22"/>
          <w:lang w:val="pl-PL"/>
        </w:rPr>
        <w:t xml:space="preserve"> *</w:t>
      </w:r>
      <w:r w:rsidRPr="00BC5647">
        <w:rPr>
          <w:rFonts w:ascii="Arial" w:hAnsi="Arial" w:cs="Arial"/>
          <w:noProof/>
          <w:szCs w:val="22"/>
          <w:lang w:val="pl-PL"/>
        </w:rPr>
        <w:t xml:space="preserve"> 100,000</w:t>
      </w:r>
    </w:p>
    <w:p w14:paraId="7ED2E16B" w14:textId="77777777" w:rsidR="00644A65" w:rsidRDefault="00644A65" w:rsidP="00644A65">
      <w:pPr>
        <w:pStyle w:val="Header"/>
        <w:tabs>
          <w:tab w:val="left" w:pos="284"/>
        </w:tabs>
        <w:ind w:left="142"/>
        <w:rPr>
          <w:rFonts w:ascii="Arial" w:hAnsi="Arial" w:cs="Arial"/>
          <w:noProof/>
        </w:rPr>
      </w:pPr>
      <w:r>
        <w:rPr>
          <w:rFonts w:ascii="Arial" w:hAnsi="Arial" w:cs="Arial"/>
          <w:noProof/>
        </w:rPr>
        <w:tab/>
      </w:r>
      <w:r>
        <w:rPr>
          <w:rFonts w:ascii="Arial" w:hAnsi="Arial" w:cs="Arial"/>
          <w:noProof/>
        </w:rPr>
        <w:tab/>
      </w:r>
      <w:r w:rsidRPr="2624C699">
        <w:rPr>
          <w:rFonts w:ascii="Arial" w:hAnsi="Arial" w:cs="Arial"/>
          <w:noProof/>
        </w:rPr>
        <w:t>= Adjustment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r>
      <w:r w:rsidRPr="2624C699">
        <w:rPr>
          <w:rFonts w:ascii="Arial" w:hAnsi="Arial" w:cs="Arial"/>
          <w:noProof/>
        </w:rPr>
        <w:t xml:space="preserve">= </w:t>
      </w:r>
      <w:r>
        <w:rPr>
          <w:rFonts w:ascii="Arial" w:hAnsi="Arial" w:cs="Arial"/>
          <w:noProof/>
        </w:rPr>
        <w:t xml:space="preserve">4.33 </w:t>
      </w:r>
      <w:r w:rsidRPr="2624C699">
        <w:rPr>
          <w:rFonts w:ascii="Arial" w:hAnsi="Arial" w:cs="Arial"/>
          <w:noProof/>
        </w:rPr>
        <w:t>* 100,000</w:t>
      </w:r>
    </w:p>
    <w:p w14:paraId="7AD5BA56" w14:textId="77777777" w:rsidR="0070624C" w:rsidRDefault="0070624C" w:rsidP="0070624C">
      <w:pPr>
        <w:pStyle w:val="Header"/>
        <w:tabs>
          <w:tab w:val="left" w:pos="284"/>
        </w:tabs>
        <w:ind w:left="142"/>
        <w:rPr>
          <w:rFonts w:ascii="Arial" w:hAnsi="Arial" w:cs="Arial"/>
          <w:noProof/>
          <w:szCs w:val="22"/>
        </w:rPr>
      </w:pPr>
    </w:p>
    <w:p w14:paraId="745A80C1" w14:textId="79D8460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9E5922">
        <w:rPr>
          <w:rFonts w:ascii="Arial" w:hAnsi="Arial" w:cs="Arial"/>
          <w:noProof/>
          <w:szCs w:val="22"/>
        </w:rPr>
        <w:t>8.</w:t>
      </w:r>
      <w:r w:rsidR="009E5922">
        <w:rPr>
          <w:rFonts w:ascii="Arial" w:hAnsi="Arial" w:cs="Arial"/>
          <w:noProof/>
        </w:rPr>
        <w:t>653</w:t>
      </w:r>
      <w:r>
        <w:rPr>
          <w:rFonts w:ascii="Arial" w:hAnsi="Arial" w:cs="Arial"/>
          <w:noProof/>
          <w:szCs w:val="22"/>
        </w:rPr>
        <w:t>/kW * 100,000kW = £</w:t>
      </w:r>
      <w:r w:rsidR="0083519B">
        <w:rPr>
          <w:rFonts w:ascii="Arial" w:hAnsi="Arial" w:cs="Arial"/>
          <w:noProof/>
          <w:szCs w:val="22"/>
        </w:rPr>
        <w:t>865,300</w:t>
      </w:r>
      <w:r>
        <w:rPr>
          <w:rFonts w:ascii="Arial" w:hAnsi="Arial" w:cs="Arial"/>
          <w:noProof/>
          <w:szCs w:val="22"/>
        </w:rPr>
        <w:t>)</w:t>
      </w:r>
    </w:p>
    <w:p w14:paraId="4F0A74B5" w14:textId="77777777" w:rsidR="0070624C" w:rsidRPr="004248A1" w:rsidRDefault="0070624C" w:rsidP="006661FE">
      <w:pPr>
        <w:pStyle w:val="Header"/>
        <w:ind w:left="709"/>
        <w:jc w:val="both"/>
        <w:rPr>
          <w:rFonts w:ascii="Arial" w:hAnsi="Arial" w:cs="Arial"/>
          <w:noProof/>
          <w:szCs w:val="22"/>
        </w:rPr>
      </w:pPr>
    </w:p>
    <w:p w14:paraId="5F2C22B0" w14:textId="77777777" w:rsidR="006661FE" w:rsidRDefault="006661FE" w:rsidP="006661FE">
      <w:pPr>
        <w:pStyle w:val="Header"/>
        <w:ind w:left="709"/>
        <w:jc w:val="both"/>
        <w:rPr>
          <w:noProof/>
        </w:rPr>
      </w:pPr>
      <w:r w:rsidRPr="004248A1">
        <w:rPr>
          <w:rFonts w:ascii="Arial" w:hAnsi="Arial" w:cs="Arial"/>
          <w:noProof/>
          <w:szCs w:val="22"/>
        </w:rPr>
        <w:br w:type="page"/>
      </w:r>
    </w:p>
    <w:p w14:paraId="3B3B9919" w14:textId="334D0CF0" w:rsidR="006661FE" w:rsidRPr="00FE40FB" w:rsidRDefault="006661FE" w:rsidP="006661FE">
      <w:pPr>
        <w:pStyle w:val="Heading1"/>
        <w:rPr>
          <w:color w:val="auto"/>
          <w:sz w:val="28"/>
          <w:szCs w:val="28"/>
        </w:rPr>
      </w:pPr>
      <w:bookmarkStart w:id="527" w:name="_Toc32201104"/>
      <w:bookmarkStart w:id="528" w:name="_Toc49661154"/>
      <w:bookmarkStart w:id="529" w:name="_Toc274049733"/>
      <w:r w:rsidRPr="00FE40FB">
        <w:rPr>
          <w:color w:val="auto"/>
          <w:sz w:val="28"/>
          <w:szCs w:val="28"/>
        </w:rPr>
        <w:lastRenderedPageBreak/>
        <w:t>14.2</w:t>
      </w:r>
      <w:r w:rsidR="0070624C">
        <w:rPr>
          <w:color w:val="auto"/>
          <w:sz w:val="28"/>
          <w:szCs w:val="28"/>
        </w:rPr>
        <w:t>4</w:t>
      </w:r>
      <w:r w:rsidRPr="00FE40FB">
        <w:rPr>
          <w:color w:val="auto"/>
          <w:sz w:val="28"/>
          <w:szCs w:val="28"/>
        </w:rPr>
        <w:t xml:space="preserve"> Example: Calculation of Zonal </w:t>
      </w:r>
      <w:r w:rsidR="001860DC">
        <w:rPr>
          <w:color w:val="auto"/>
          <w:sz w:val="28"/>
          <w:szCs w:val="28"/>
        </w:rPr>
        <w:t xml:space="preserve"> </w:t>
      </w:r>
      <w:r w:rsidRPr="00FE40FB">
        <w:rPr>
          <w:color w:val="auto"/>
          <w:sz w:val="28"/>
          <w:szCs w:val="28"/>
        </w:rPr>
        <w:t>Demand</w:t>
      </w:r>
      <w:r w:rsidR="0011565B">
        <w:rPr>
          <w:color w:val="auto"/>
          <w:sz w:val="28"/>
          <w:szCs w:val="28"/>
        </w:rPr>
        <w:t xml:space="preserve"> Locational</w:t>
      </w:r>
      <w:r w:rsidRPr="00FE40FB">
        <w:rPr>
          <w:color w:val="auto"/>
          <w:sz w:val="28"/>
          <w:szCs w:val="28"/>
        </w:rPr>
        <w:t xml:space="preserve"> Tariff</w:t>
      </w:r>
      <w:bookmarkEnd w:id="527"/>
      <w:bookmarkEnd w:id="528"/>
      <w:bookmarkEnd w:id="529"/>
    </w:p>
    <w:p w14:paraId="786D21C8" w14:textId="77777777" w:rsidR="006661FE" w:rsidRDefault="006661FE" w:rsidP="006661FE">
      <w:pPr>
        <w:jc w:val="both"/>
        <w:rPr>
          <w:rFonts w:ascii="Arial" w:hAnsi="Arial"/>
          <w:sz w:val="22"/>
        </w:rPr>
      </w:pPr>
    </w:p>
    <w:p w14:paraId="0DB5DD5C"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14F9D4E3" w14:textId="77777777" w:rsidR="006661FE" w:rsidRDefault="006661FE" w:rsidP="006661FE">
      <w:pPr>
        <w:jc w:val="both"/>
        <w:rPr>
          <w:rFonts w:ascii="Arial" w:hAnsi="Arial"/>
          <w:sz w:val="22"/>
        </w:rPr>
      </w:pPr>
    </w:p>
    <w:p w14:paraId="4F68C05C" w14:textId="3AFF7D6D" w:rsidR="006661FE" w:rsidRDefault="4DB720A2" w:rsidP="0537B9E0">
      <w:pPr>
        <w:jc w:val="both"/>
        <w:rPr>
          <w:rFonts w:ascii="Arial" w:hAnsi="Arial"/>
          <w:sz w:val="22"/>
          <w:szCs w:val="22"/>
        </w:rPr>
      </w:pPr>
      <w:r w:rsidRPr="0537B9E0">
        <w:rPr>
          <w:rFonts w:ascii="Arial" w:hAnsi="Arial"/>
          <w:sz w:val="22"/>
          <w:szCs w:val="22"/>
        </w:rPr>
        <w:t>The table below shows a</w:t>
      </w:r>
      <w:r w:rsidR="3C3D0020" w:rsidRPr="0537B9E0">
        <w:rPr>
          <w:rFonts w:ascii="Arial" w:hAnsi="Arial"/>
          <w:sz w:val="22"/>
          <w:szCs w:val="22"/>
        </w:rPr>
        <w:t>n</w:t>
      </w:r>
      <w:r w:rsidRPr="0537B9E0">
        <w:rPr>
          <w:rFonts w:ascii="Arial" w:hAnsi="Arial"/>
          <w:sz w:val="22"/>
          <w:szCs w:val="22"/>
        </w:rPr>
        <w:t xml:space="preserve"> </w:t>
      </w:r>
      <w:r w:rsidR="3C3D0020" w:rsidRPr="0537B9E0">
        <w:rPr>
          <w:rFonts w:ascii="Arial" w:hAnsi="Arial"/>
          <w:sz w:val="22"/>
          <w:szCs w:val="22"/>
        </w:rPr>
        <w:t>ex</w:t>
      </w:r>
      <w:r w:rsidRPr="0537B9E0">
        <w:rPr>
          <w:rFonts w:ascii="Arial" w:hAnsi="Arial"/>
          <w:sz w:val="22"/>
          <w:szCs w:val="22"/>
        </w:rPr>
        <w:t>ample output of the transport model</w:t>
      </w:r>
      <w:r w:rsidR="006661FE" w:rsidRPr="0537B9E0">
        <w:rPr>
          <w:rFonts w:ascii="Arial" w:hAnsi="Arial"/>
          <w:sz w:val="22"/>
          <w:szCs w:val="22"/>
        </w:rPr>
        <w:fldChar w:fldCharType="begin"/>
      </w:r>
      <w:r w:rsidR="006661FE" w:rsidRPr="0537B9E0">
        <w:rPr>
          <w:rFonts w:ascii="Arial" w:hAnsi="Arial"/>
          <w:sz w:val="22"/>
          <w:szCs w:val="22"/>
        </w:rPr>
        <w:instrText xml:space="preserve"> XE "transport model" </w:instrText>
      </w:r>
      <w:r w:rsidR="006661FE" w:rsidRPr="0537B9E0">
        <w:rPr>
          <w:rFonts w:ascii="Arial" w:hAnsi="Arial"/>
          <w:sz w:val="22"/>
          <w:szCs w:val="22"/>
        </w:rPr>
        <w:fldChar w:fldCharType="end"/>
      </w:r>
      <w:r w:rsidRPr="0537B9E0">
        <w:rPr>
          <w:rFonts w:ascii="Arial" w:hAnsi="Arial"/>
          <w:sz w:val="22"/>
          <w:szCs w:val="22"/>
        </w:rPr>
        <w:t xml:space="preserve"> comprising the node, the</w:t>
      </w:r>
      <w:r w:rsidR="08124A47" w:rsidRPr="0537B9E0">
        <w:rPr>
          <w:rFonts w:ascii="Arial" w:hAnsi="Arial"/>
          <w:sz w:val="22"/>
          <w:szCs w:val="22"/>
        </w:rPr>
        <w:t xml:space="preserve"> Peak Security and Year Round</w:t>
      </w:r>
      <w:r w:rsidR="3C3D0020" w:rsidRPr="0537B9E0">
        <w:rPr>
          <w:rFonts w:ascii="Arial" w:hAnsi="Arial"/>
          <w:sz w:val="22"/>
          <w:szCs w:val="22"/>
        </w:rPr>
        <w:t xml:space="preserve"> nodal</w:t>
      </w:r>
      <w:r w:rsidRPr="0537B9E0">
        <w:rPr>
          <w:rFonts w:ascii="Arial" w:hAnsi="Arial"/>
          <w:sz w:val="22"/>
          <w:szCs w:val="22"/>
        </w:rPr>
        <w:t xml:space="preserve"> marginal km of an injection at the node with a consequent withdrawal at the </w:t>
      </w:r>
      <w:r w:rsidR="08124A47" w:rsidRPr="0537B9E0">
        <w:rPr>
          <w:rFonts w:ascii="Arial" w:hAnsi="Arial"/>
          <w:sz w:val="22"/>
          <w:szCs w:val="22"/>
        </w:rPr>
        <w:t xml:space="preserve">distributed </w:t>
      </w:r>
      <w:r w:rsidRPr="0537B9E0">
        <w:rPr>
          <w:rFonts w:ascii="Arial" w:hAnsi="Arial"/>
          <w:sz w:val="22"/>
          <w:szCs w:val="22"/>
        </w:rPr>
        <w:t>reference node, the generation sited at the node, scaled to ensure total national generation = total national</w:t>
      </w:r>
      <w:r w:rsidR="3BB2A63A" w:rsidRPr="0537B9E0">
        <w:rPr>
          <w:rFonts w:ascii="Arial" w:hAnsi="Arial"/>
          <w:sz w:val="22"/>
          <w:szCs w:val="22"/>
        </w:rPr>
        <w:t xml:space="preserve"> net</w:t>
      </w:r>
      <w:r w:rsidRPr="0537B9E0">
        <w:rPr>
          <w:rFonts w:ascii="Arial" w:hAnsi="Arial"/>
          <w:sz w:val="22"/>
          <w:szCs w:val="22"/>
        </w:rPr>
        <w:t xml:space="preserve"> demand and the</w:t>
      </w:r>
      <w:r w:rsidR="3BB2A63A" w:rsidRPr="0537B9E0">
        <w:rPr>
          <w:rFonts w:ascii="Arial" w:hAnsi="Arial"/>
          <w:sz w:val="22"/>
          <w:szCs w:val="22"/>
        </w:rPr>
        <w:t xml:space="preserve"> net</w:t>
      </w:r>
      <w:r w:rsidRPr="0537B9E0">
        <w:rPr>
          <w:rFonts w:ascii="Arial" w:hAnsi="Arial"/>
          <w:sz w:val="22"/>
          <w:szCs w:val="22"/>
        </w:rPr>
        <w:t xml:space="preserve"> demand sited at the node</w:t>
      </w:r>
      <w:r w:rsidR="201E7272" w:rsidRPr="0537B9E0">
        <w:rPr>
          <w:rFonts w:ascii="Arial" w:hAnsi="Arial"/>
          <w:sz w:val="22"/>
          <w:szCs w:val="22"/>
        </w:rPr>
        <w:t xml:space="preserve">. </w:t>
      </w:r>
    </w:p>
    <w:p w14:paraId="00A87699" w14:textId="77777777" w:rsidR="006F5408" w:rsidRDefault="006F5408" w:rsidP="006661FE">
      <w:pPr>
        <w:jc w:val="both"/>
        <w:rPr>
          <w:rFonts w:ascii="Arial" w:hAnsi="Arial"/>
          <w:sz w:val="22"/>
        </w:rPr>
      </w:pPr>
    </w:p>
    <w:p w14:paraId="59DA71A5" w14:textId="35A79347" w:rsidR="006F5408" w:rsidRDefault="3C3D0020" w:rsidP="0537B9E0">
      <w:pPr>
        <w:jc w:val="both"/>
        <w:rPr>
          <w:rFonts w:ascii="Arial" w:hAnsi="Arial"/>
          <w:sz w:val="22"/>
          <w:szCs w:val="22"/>
        </w:rPr>
      </w:pPr>
      <w:r w:rsidRPr="0537B9E0">
        <w:rPr>
          <w:rFonts w:ascii="Arial" w:hAnsi="Arial"/>
          <w:sz w:val="22"/>
          <w:szCs w:val="22"/>
        </w:rPr>
        <w:t>Where the Demand (MW) is negative this indicates that the Demand node is Exporting rather than importing</w:t>
      </w:r>
      <w:r w:rsidR="282AA0CC" w:rsidRPr="0537B9E0">
        <w:rPr>
          <w:rFonts w:ascii="Arial" w:hAnsi="Arial"/>
          <w:sz w:val="22"/>
          <w:szCs w:val="22"/>
        </w:rPr>
        <w:t xml:space="preserve">. </w:t>
      </w:r>
    </w:p>
    <w:p w14:paraId="2C46AB46"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C169B0" w14:paraId="4C0397D9" w14:textId="77777777" w:rsidTr="00606811">
        <w:trPr>
          <w:trHeight w:val="1425"/>
        </w:trPr>
        <w:tc>
          <w:tcPr>
            <w:tcW w:w="1149" w:type="dxa"/>
            <w:tcBorders>
              <w:top w:val="nil"/>
              <w:left w:val="nil"/>
              <w:bottom w:val="nil"/>
              <w:right w:val="nil"/>
            </w:tcBorders>
            <w:shd w:val="clear" w:color="000000" w:fill="FFFFFF"/>
            <w:vAlign w:val="center"/>
            <w:hideMark/>
          </w:tcPr>
          <w:p w14:paraId="2E2563B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6B6E26CF"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BD3C529"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063FC0BE"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56D1DC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209865D" w14:textId="77777777" w:rsidTr="00606811">
        <w:trPr>
          <w:trHeight w:val="300"/>
        </w:trPr>
        <w:tc>
          <w:tcPr>
            <w:tcW w:w="1149" w:type="dxa"/>
            <w:tcBorders>
              <w:top w:val="nil"/>
              <w:left w:val="nil"/>
              <w:bottom w:val="nil"/>
              <w:right w:val="nil"/>
            </w:tcBorders>
            <w:shd w:val="clear" w:color="000000" w:fill="FFFFFF"/>
            <w:vAlign w:val="center"/>
            <w:hideMark/>
          </w:tcPr>
          <w:p w14:paraId="40E538C6"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34BFCEB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3D69DA3C"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20E5F98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31A27FB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15EF59D7" w14:textId="77777777" w:rsidTr="00606811">
        <w:trPr>
          <w:trHeight w:val="300"/>
        </w:trPr>
        <w:tc>
          <w:tcPr>
            <w:tcW w:w="1149" w:type="dxa"/>
            <w:tcBorders>
              <w:top w:val="nil"/>
              <w:left w:val="nil"/>
              <w:bottom w:val="nil"/>
              <w:right w:val="nil"/>
            </w:tcBorders>
            <w:shd w:val="clear" w:color="000000" w:fill="FFFFFF"/>
            <w:vAlign w:val="center"/>
            <w:hideMark/>
          </w:tcPr>
          <w:p w14:paraId="0274683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6CDE170"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634E6406"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51601EF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6F9082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58C04ED9" w14:textId="77777777" w:rsidTr="00606811">
        <w:trPr>
          <w:trHeight w:val="300"/>
        </w:trPr>
        <w:tc>
          <w:tcPr>
            <w:tcW w:w="1149" w:type="dxa"/>
            <w:tcBorders>
              <w:top w:val="nil"/>
              <w:left w:val="nil"/>
              <w:bottom w:val="nil"/>
              <w:right w:val="nil"/>
            </w:tcBorders>
            <w:shd w:val="clear" w:color="000000" w:fill="FFFFFF"/>
            <w:vAlign w:val="center"/>
            <w:hideMark/>
          </w:tcPr>
          <w:p w14:paraId="1A56456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AB05D85"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5B00BBDD"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4633F39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5213B2D4"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660F21FD" w14:textId="77777777" w:rsidTr="00606811">
        <w:trPr>
          <w:trHeight w:val="300"/>
        </w:trPr>
        <w:tc>
          <w:tcPr>
            <w:tcW w:w="1149" w:type="dxa"/>
            <w:tcBorders>
              <w:top w:val="nil"/>
              <w:left w:val="nil"/>
              <w:bottom w:val="nil"/>
              <w:right w:val="nil"/>
            </w:tcBorders>
            <w:shd w:val="clear" w:color="000000" w:fill="FFFFFF"/>
            <w:vAlign w:val="center"/>
            <w:hideMark/>
          </w:tcPr>
          <w:p w14:paraId="649DC0E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FD8714"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2333D01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15C3340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7CAF2443"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62BC27B8" w14:textId="77777777" w:rsidTr="00606811">
        <w:trPr>
          <w:trHeight w:val="300"/>
        </w:trPr>
        <w:tc>
          <w:tcPr>
            <w:tcW w:w="1149" w:type="dxa"/>
            <w:tcBorders>
              <w:top w:val="nil"/>
              <w:left w:val="nil"/>
              <w:bottom w:val="nil"/>
              <w:right w:val="nil"/>
            </w:tcBorders>
            <w:shd w:val="clear" w:color="000000" w:fill="FFFFFF"/>
            <w:vAlign w:val="center"/>
            <w:hideMark/>
          </w:tcPr>
          <w:p w14:paraId="6D97C6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29F0DD9"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AE33F8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5B092E6E"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0A470CA1"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1397B640" w14:textId="77777777" w:rsidTr="00606811">
        <w:trPr>
          <w:trHeight w:val="300"/>
        </w:trPr>
        <w:tc>
          <w:tcPr>
            <w:tcW w:w="1149" w:type="dxa"/>
            <w:tcBorders>
              <w:top w:val="nil"/>
              <w:left w:val="nil"/>
              <w:bottom w:val="nil"/>
              <w:right w:val="nil"/>
            </w:tcBorders>
            <w:shd w:val="clear" w:color="000000" w:fill="FFFFFF"/>
            <w:vAlign w:val="center"/>
            <w:hideMark/>
          </w:tcPr>
          <w:p w14:paraId="674CB6A0"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050710D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7B1DAD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3C874DC3"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2DBF010A"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3E377204" w14:textId="77777777" w:rsidR="006F5408" w:rsidRDefault="006F5408" w:rsidP="006661FE">
      <w:pPr>
        <w:jc w:val="both"/>
        <w:rPr>
          <w:rFonts w:ascii="Arial" w:hAnsi="Arial"/>
          <w:sz w:val="22"/>
        </w:rPr>
      </w:pPr>
    </w:p>
    <w:p w14:paraId="701DE934" w14:textId="77777777" w:rsidR="006661FE" w:rsidRDefault="006661FE" w:rsidP="006661FE">
      <w:pPr>
        <w:jc w:val="both"/>
        <w:rPr>
          <w:rFonts w:ascii="Arial" w:hAnsi="Arial"/>
          <w:sz w:val="22"/>
        </w:rPr>
      </w:pPr>
    </w:p>
    <w:p w14:paraId="4688635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14:paraId="5350233D" w14:textId="77777777" w:rsidTr="00A477A1">
        <w:trPr>
          <w:trHeight w:val="655"/>
        </w:trPr>
        <w:tc>
          <w:tcPr>
            <w:tcW w:w="1198" w:type="dxa"/>
            <w:shd w:val="solid" w:color="FFFFFF" w:fill="auto"/>
            <w:vAlign w:val="center"/>
          </w:tcPr>
          <w:p w14:paraId="79587073"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50DED62D"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FCB537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064EC5C5"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705C480"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14:paraId="1CBB2900" w14:textId="77777777" w:rsidTr="00A477A1">
        <w:trPr>
          <w:trHeight w:val="247"/>
        </w:trPr>
        <w:tc>
          <w:tcPr>
            <w:tcW w:w="1198" w:type="dxa"/>
            <w:shd w:val="solid" w:color="FFFFFF" w:fill="auto"/>
          </w:tcPr>
          <w:p w14:paraId="4464B29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62496C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24BA6D60"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1F02BE1D"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474427E4" w14:textId="77777777" w:rsidR="0070624C" w:rsidRPr="003479A9" w:rsidRDefault="0070624C" w:rsidP="00A477A1">
            <w:pPr>
              <w:jc w:val="right"/>
              <w:rPr>
                <w:rFonts w:ascii="Arial" w:eastAsia="Arial Unicode MS" w:hAnsi="Arial"/>
              </w:rPr>
            </w:pPr>
            <w:r>
              <w:rPr>
                <w:rFonts w:ascii="Arial" w:hAnsi="Arial"/>
              </w:rPr>
              <w:t>127</w:t>
            </w:r>
          </w:p>
        </w:tc>
      </w:tr>
      <w:tr w:rsidR="0070624C" w14:paraId="4E75D233" w14:textId="77777777" w:rsidTr="00A477A1">
        <w:trPr>
          <w:trHeight w:val="247"/>
        </w:trPr>
        <w:tc>
          <w:tcPr>
            <w:tcW w:w="1198" w:type="dxa"/>
            <w:shd w:val="solid" w:color="FFFFFF" w:fill="auto"/>
          </w:tcPr>
          <w:p w14:paraId="5320B04D"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81868DE"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4B7BDFE5"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A492676"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135567A5" w14:textId="77777777" w:rsidR="0070624C" w:rsidRPr="003479A9" w:rsidRDefault="0070624C" w:rsidP="00A477A1">
            <w:pPr>
              <w:jc w:val="right"/>
              <w:rPr>
                <w:rFonts w:ascii="Arial" w:eastAsia="Arial Unicode MS" w:hAnsi="Arial"/>
              </w:rPr>
            </w:pPr>
            <w:r>
              <w:rPr>
                <w:rFonts w:ascii="Arial" w:hAnsi="Arial"/>
              </w:rPr>
              <w:t>127</w:t>
            </w:r>
          </w:p>
        </w:tc>
      </w:tr>
      <w:tr w:rsidR="0070624C" w14:paraId="6108CDE0" w14:textId="77777777" w:rsidTr="00A477A1">
        <w:trPr>
          <w:trHeight w:val="247"/>
        </w:trPr>
        <w:tc>
          <w:tcPr>
            <w:tcW w:w="1198" w:type="dxa"/>
            <w:shd w:val="solid" w:color="FFFFFF" w:fill="auto"/>
          </w:tcPr>
          <w:p w14:paraId="190DBD4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F2322F6"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42010CDC"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3D57376D"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55F632D4" w14:textId="77777777" w:rsidR="0070624C" w:rsidRPr="003479A9" w:rsidRDefault="0070624C" w:rsidP="00A477A1">
            <w:pPr>
              <w:jc w:val="right"/>
              <w:rPr>
                <w:rFonts w:ascii="Arial" w:eastAsia="Arial Unicode MS" w:hAnsi="Arial"/>
              </w:rPr>
            </w:pPr>
            <w:r>
              <w:rPr>
                <w:rFonts w:ascii="Arial" w:hAnsi="Arial"/>
              </w:rPr>
              <w:t>100</w:t>
            </w:r>
          </w:p>
        </w:tc>
      </w:tr>
      <w:tr w:rsidR="0070624C" w14:paraId="5ECDAC31" w14:textId="77777777" w:rsidTr="00A477A1">
        <w:trPr>
          <w:trHeight w:val="247"/>
        </w:trPr>
        <w:tc>
          <w:tcPr>
            <w:tcW w:w="1198" w:type="dxa"/>
            <w:shd w:val="solid" w:color="FFFFFF" w:fill="auto"/>
          </w:tcPr>
          <w:p w14:paraId="29CEE29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D6A680"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45BE3D76"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E48C437"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389C49F2" w14:textId="77777777" w:rsidR="0070624C" w:rsidRPr="003479A9" w:rsidRDefault="0070624C" w:rsidP="00A477A1">
            <w:pPr>
              <w:jc w:val="right"/>
              <w:rPr>
                <w:rFonts w:ascii="Arial" w:eastAsia="Arial Unicode MS" w:hAnsi="Arial"/>
              </w:rPr>
            </w:pPr>
            <w:r>
              <w:rPr>
                <w:rFonts w:ascii="Arial" w:hAnsi="Arial"/>
              </w:rPr>
              <w:t>100</w:t>
            </w:r>
          </w:p>
        </w:tc>
      </w:tr>
      <w:tr w:rsidR="0070624C" w14:paraId="70A0508D" w14:textId="77777777" w:rsidTr="00A477A1">
        <w:trPr>
          <w:trHeight w:val="247"/>
        </w:trPr>
        <w:tc>
          <w:tcPr>
            <w:tcW w:w="1198" w:type="dxa"/>
            <w:shd w:val="solid" w:color="FFFFFF" w:fill="auto"/>
          </w:tcPr>
          <w:p w14:paraId="1353C77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018F1A3"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27FAAAEC"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567BD5C2"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67C44BE4" w14:textId="77777777" w:rsidR="0070624C" w:rsidRPr="003479A9" w:rsidRDefault="0070624C" w:rsidP="00A477A1">
            <w:pPr>
              <w:jc w:val="right"/>
              <w:rPr>
                <w:rFonts w:ascii="Arial" w:eastAsia="Arial Unicode MS" w:hAnsi="Arial"/>
              </w:rPr>
            </w:pPr>
            <w:r>
              <w:rPr>
                <w:rFonts w:ascii="Arial" w:hAnsi="Arial"/>
              </w:rPr>
              <w:t>97</w:t>
            </w:r>
          </w:p>
        </w:tc>
      </w:tr>
      <w:tr w:rsidR="0070624C" w14:paraId="0F362977" w14:textId="77777777" w:rsidTr="00A477A1">
        <w:trPr>
          <w:trHeight w:val="247"/>
        </w:trPr>
        <w:tc>
          <w:tcPr>
            <w:tcW w:w="1198" w:type="dxa"/>
            <w:shd w:val="solid" w:color="FFFFFF" w:fill="auto"/>
          </w:tcPr>
          <w:p w14:paraId="513F328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83127C"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3F68C88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31E2E18E"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67F3CE17" w14:textId="77777777" w:rsidR="0070624C" w:rsidRPr="003479A9" w:rsidRDefault="0070624C" w:rsidP="00A477A1">
            <w:pPr>
              <w:jc w:val="right"/>
              <w:rPr>
                <w:rFonts w:ascii="Arial" w:eastAsia="Arial Unicode MS" w:hAnsi="Arial"/>
              </w:rPr>
            </w:pPr>
            <w:r>
              <w:rPr>
                <w:rFonts w:ascii="Arial" w:hAnsi="Arial"/>
              </w:rPr>
              <w:t>96</w:t>
            </w:r>
          </w:p>
        </w:tc>
      </w:tr>
      <w:tr w:rsidR="0070624C" w14:paraId="62BBCE1C" w14:textId="77777777" w:rsidTr="00A477A1">
        <w:trPr>
          <w:trHeight w:val="247"/>
        </w:trPr>
        <w:tc>
          <w:tcPr>
            <w:tcW w:w="1198" w:type="dxa"/>
            <w:shd w:val="solid" w:color="FFFFFF" w:fill="auto"/>
          </w:tcPr>
          <w:p w14:paraId="2BE17D4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4906F88"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34135A3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6579F24F"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1251AF39" w14:textId="77777777" w:rsidR="0070624C" w:rsidRPr="003479A9" w:rsidRDefault="0070624C" w:rsidP="00A477A1">
            <w:pPr>
              <w:jc w:val="right"/>
              <w:rPr>
                <w:rFonts w:ascii="Arial" w:eastAsia="Arial Unicode MS" w:hAnsi="Arial"/>
              </w:rPr>
            </w:pPr>
            <w:r>
              <w:rPr>
                <w:rFonts w:ascii="Arial" w:hAnsi="Arial"/>
              </w:rPr>
              <w:t>96</w:t>
            </w:r>
          </w:p>
        </w:tc>
      </w:tr>
      <w:tr w:rsidR="0070624C" w14:paraId="5538DF80" w14:textId="77777777" w:rsidTr="00A477A1">
        <w:trPr>
          <w:trHeight w:val="247"/>
        </w:trPr>
        <w:tc>
          <w:tcPr>
            <w:tcW w:w="1198" w:type="dxa"/>
            <w:shd w:val="solid" w:color="FFFFFF" w:fill="auto"/>
          </w:tcPr>
          <w:p w14:paraId="59DEEF0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8858842"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15C93135"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627180F0"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76C6A5A" w14:textId="77777777" w:rsidR="0070624C" w:rsidRPr="003479A9" w:rsidRDefault="0070624C" w:rsidP="00A477A1">
            <w:pPr>
              <w:jc w:val="right"/>
              <w:rPr>
                <w:rFonts w:ascii="Arial" w:eastAsia="Arial Unicode MS" w:hAnsi="Arial"/>
              </w:rPr>
            </w:pPr>
            <w:r>
              <w:rPr>
                <w:rFonts w:ascii="Arial" w:hAnsi="Arial"/>
              </w:rPr>
              <w:t>340</w:t>
            </w:r>
          </w:p>
        </w:tc>
      </w:tr>
      <w:tr w:rsidR="0070624C" w14:paraId="4792ED4F" w14:textId="77777777" w:rsidTr="00A477A1">
        <w:trPr>
          <w:trHeight w:val="247"/>
        </w:trPr>
        <w:tc>
          <w:tcPr>
            <w:tcW w:w="1198" w:type="dxa"/>
            <w:shd w:val="solid" w:color="FFFFFF" w:fill="auto"/>
          </w:tcPr>
          <w:p w14:paraId="01E3256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21F2D47"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0118A12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8EA89D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48B7A071" w14:textId="77777777" w:rsidR="0070624C" w:rsidRPr="003479A9" w:rsidRDefault="0070624C" w:rsidP="00A477A1">
            <w:pPr>
              <w:jc w:val="right"/>
              <w:rPr>
                <w:rFonts w:ascii="Arial" w:eastAsia="Arial Unicode MS" w:hAnsi="Arial"/>
              </w:rPr>
            </w:pPr>
            <w:r>
              <w:rPr>
                <w:rFonts w:ascii="Arial" w:hAnsi="Arial"/>
              </w:rPr>
              <w:t>0</w:t>
            </w:r>
          </w:p>
        </w:tc>
      </w:tr>
      <w:tr w:rsidR="0070624C" w14:paraId="12A14FA1" w14:textId="77777777" w:rsidTr="00A477A1">
        <w:trPr>
          <w:trHeight w:val="247"/>
        </w:trPr>
        <w:tc>
          <w:tcPr>
            <w:tcW w:w="1198" w:type="dxa"/>
            <w:shd w:val="solid" w:color="FFFFFF" w:fill="auto"/>
          </w:tcPr>
          <w:p w14:paraId="6AA6DCD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E742371"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6880640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089CF9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1EE6B90" w14:textId="77777777" w:rsidR="0070624C" w:rsidRPr="003479A9" w:rsidRDefault="0070624C" w:rsidP="00A477A1">
            <w:pPr>
              <w:jc w:val="right"/>
              <w:rPr>
                <w:rFonts w:ascii="Arial" w:eastAsia="Arial Unicode MS" w:hAnsi="Arial"/>
              </w:rPr>
            </w:pPr>
            <w:r>
              <w:rPr>
                <w:rFonts w:ascii="Arial" w:hAnsi="Arial"/>
              </w:rPr>
              <w:t>0</w:t>
            </w:r>
          </w:p>
        </w:tc>
      </w:tr>
      <w:tr w:rsidR="0070624C" w14:paraId="1333063B" w14:textId="77777777" w:rsidTr="00A477A1">
        <w:trPr>
          <w:trHeight w:val="247"/>
        </w:trPr>
        <w:tc>
          <w:tcPr>
            <w:tcW w:w="1198" w:type="dxa"/>
            <w:shd w:val="solid" w:color="FFFFFF" w:fill="auto"/>
          </w:tcPr>
          <w:p w14:paraId="51787E9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69C91E4"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F958C0E"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772ABFB6"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3E09A606" w14:textId="77777777" w:rsidR="0070624C" w:rsidRPr="003479A9" w:rsidRDefault="0070624C" w:rsidP="00A477A1">
            <w:pPr>
              <w:jc w:val="right"/>
              <w:rPr>
                <w:rFonts w:ascii="Arial" w:eastAsia="Arial Unicode MS" w:hAnsi="Arial"/>
              </w:rPr>
            </w:pPr>
            <w:r>
              <w:rPr>
                <w:rFonts w:ascii="Arial" w:hAnsi="Arial"/>
              </w:rPr>
              <w:t>444</w:t>
            </w:r>
          </w:p>
        </w:tc>
      </w:tr>
      <w:tr w:rsidR="0070624C" w14:paraId="4B5E66AC" w14:textId="77777777" w:rsidTr="00A477A1">
        <w:trPr>
          <w:trHeight w:val="247"/>
        </w:trPr>
        <w:tc>
          <w:tcPr>
            <w:tcW w:w="1198" w:type="dxa"/>
            <w:shd w:val="solid" w:color="FFFFFF" w:fill="auto"/>
          </w:tcPr>
          <w:p w14:paraId="2782B4F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C643B2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C3ED49D"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616F4567"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04C66D5E" w14:textId="77777777" w:rsidR="0070624C" w:rsidRPr="003479A9" w:rsidRDefault="0070624C" w:rsidP="00A477A1">
            <w:pPr>
              <w:jc w:val="right"/>
              <w:rPr>
                <w:rFonts w:ascii="Arial" w:eastAsia="Arial Unicode MS" w:hAnsi="Arial"/>
              </w:rPr>
            </w:pPr>
            <w:r>
              <w:rPr>
                <w:rFonts w:ascii="Arial" w:hAnsi="Arial"/>
              </w:rPr>
              <w:t>462</w:t>
            </w:r>
          </w:p>
        </w:tc>
      </w:tr>
      <w:tr w:rsidR="0070624C" w14:paraId="6EF98269" w14:textId="77777777" w:rsidTr="00A477A1">
        <w:trPr>
          <w:trHeight w:val="247"/>
        </w:trPr>
        <w:tc>
          <w:tcPr>
            <w:tcW w:w="1198" w:type="dxa"/>
            <w:shd w:val="solid" w:color="FFFFFF" w:fill="auto"/>
          </w:tcPr>
          <w:p w14:paraId="7F959EC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9FA7299"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080B13C1"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2C01811F"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50C349F8" w14:textId="77777777" w:rsidR="0070624C" w:rsidRPr="003479A9" w:rsidRDefault="0070624C" w:rsidP="00A477A1">
            <w:pPr>
              <w:jc w:val="right"/>
              <w:rPr>
                <w:rFonts w:ascii="Arial" w:eastAsia="Arial Unicode MS" w:hAnsi="Arial"/>
              </w:rPr>
            </w:pPr>
            <w:r>
              <w:rPr>
                <w:rFonts w:ascii="Arial" w:hAnsi="Arial"/>
              </w:rPr>
              <w:t>262</w:t>
            </w:r>
          </w:p>
        </w:tc>
      </w:tr>
      <w:tr w:rsidR="0070624C" w14:paraId="0F7E71B9" w14:textId="77777777" w:rsidTr="00A477A1">
        <w:trPr>
          <w:trHeight w:val="247"/>
        </w:trPr>
        <w:tc>
          <w:tcPr>
            <w:tcW w:w="1198" w:type="dxa"/>
            <w:shd w:val="solid" w:color="FFFFFF" w:fill="auto"/>
          </w:tcPr>
          <w:p w14:paraId="750CF5B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D3C871E"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66183E92"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4B255B7A"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73333B7F" w14:textId="77777777" w:rsidR="0070624C" w:rsidRPr="003479A9" w:rsidRDefault="0070624C" w:rsidP="00A477A1">
            <w:pPr>
              <w:jc w:val="right"/>
              <w:rPr>
                <w:rFonts w:ascii="Arial" w:eastAsia="Arial Unicode MS" w:hAnsi="Arial"/>
              </w:rPr>
            </w:pPr>
            <w:r>
              <w:rPr>
                <w:rFonts w:ascii="Arial" w:hAnsi="Arial"/>
              </w:rPr>
              <w:t>83</w:t>
            </w:r>
          </w:p>
        </w:tc>
      </w:tr>
      <w:tr w:rsidR="0070624C" w14:paraId="1D575D6E" w14:textId="77777777" w:rsidTr="00A477A1">
        <w:trPr>
          <w:trHeight w:val="247"/>
        </w:trPr>
        <w:tc>
          <w:tcPr>
            <w:tcW w:w="1198" w:type="dxa"/>
            <w:shd w:val="solid" w:color="FFFFFF" w:fill="auto"/>
          </w:tcPr>
          <w:p w14:paraId="00DD7FF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C837562"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6A3B091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75D8B083"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4F886C8" w14:textId="77777777" w:rsidR="0070624C" w:rsidRPr="003479A9" w:rsidRDefault="0070624C" w:rsidP="00A477A1">
            <w:pPr>
              <w:jc w:val="right"/>
              <w:rPr>
                <w:rFonts w:ascii="Arial" w:eastAsia="Arial Unicode MS" w:hAnsi="Arial"/>
              </w:rPr>
            </w:pPr>
            <w:r>
              <w:rPr>
                <w:rFonts w:ascii="Arial" w:hAnsi="Arial"/>
              </w:rPr>
              <w:t>304</w:t>
            </w:r>
          </w:p>
        </w:tc>
      </w:tr>
      <w:tr w:rsidR="0070624C" w14:paraId="15D17C5D" w14:textId="77777777" w:rsidTr="00A477A1">
        <w:trPr>
          <w:trHeight w:val="247"/>
        </w:trPr>
        <w:tc>
          <w:tcPr>
            <w:tcW w:w="1198" w:type="dxa"/>
            <w:shd w:val="solid" w:color="FFFFFF" w:fill="auto"/>
          </w:tcPr>
          <w:p w14:paraId="3BA81655"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A6D9EC2"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A705730"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62CD96B1"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041ADE5E" w14:textId="77777777" w:rsidR="0070624C" w:rsidRPr="003479A9" w:rsidRDefault="0070624C" w:rsidP="00A477A1">
            <w:pPr>
              <w:jc w:val="right"/>
              <w:rPr>
                <w:rFonts w:ascii="Arial" w:eastAsia="Arial Unicode MS" w:hAnsi="Arial"/>
              </w:rPr>
            </w:pPr>
            <w:r>
              <w:rPr>
                <w:rFonts w:ascii="Arial" w:hAnsi="Arial"/>
              </w:rPr>
              <w:t>55</w:t>
            </w:r>
          </w:p>
        </w:tc>
      </w:tr>
      <w:tr w:rsidR="0070624C" w14:paraId="31E08921" w14:textId="77777777" w:rsidTr="00A477A1">
        <w:trPr>
          <w:trHeight w:val="247"/>
        </w:trPr>
        <w:tc>
          <w:tcPr>
            <w:tcW w:w="1198" w:type="dxa"/>
            <w:shd w:val="solid" w:color="FFFFFF" w:fill="auto"/>
          </w:tcPr>
          <w:p w14:paraId="209CC8D0"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9D0A2EA"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406AC33"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5F08D50D"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70E23A39" w14:textId="77777777" w:rsidR="0070624C" w:rsidRPr="003479A9" w:rsidRDefault="0070624C" w:rsidP="00A477A1">
            <w:pPr>
              <w:jc w:val="right"/>
              <w:rPr>
                <w:rFonts w:ascii="Arial" w:eastAsia="Arial Unicode MS" w:hAnsi="Arial"/>
              </w:rPr>
            </w:pPr>
            <w:r>
              <w:rPr>
                <w:rFonts w:ascii="Arial" w:hAnsi="Arial"/>
              </w:rPr>
              <w:t>55</w:t>
            </w:r>
          </w:p>
        </w:tc>
      </w:tr>
      <w:tr w:rsidR="0070624C" w14:paraId="164CC522" w14:textId="77777777" w:rsidTr="00A477A1">
        <w:trPr>
          <w:trHeight w:val="247"/>
        </w:trPr>
        <w:tc>
          <w:tcPr>
            <w:tcW w:w="1198" w:type="dxa"/>
            <w:shd w:val="solid" w:color="FFFFFF" w:fill="auto"/>
            <w:vAlign w:val="center"/>
          </w:tcPr>
          <w:p w14:paraId="0DF98A89" w14:textId="77777777" w:rsidR="0070624C" w:rsidRDefault="0070624C" w:rsidP="00A477A1">
            <w:pPr>
              <w:jc w:val="both"/>
              <w:rPr>
                <w:rFonts w:ascii="Arial" w:hAnsi="Arial"/>
                <w:color w:val="000000"/>
              </w:rPr>
            </w:pPr>
          </w:p>
        </w:tc>
        <w:tc>
          <w:tcPr>
            <w:tcW w:w="1797" w:type="dxa"/>
            <w:shd w:val="solid" w:color="FFFFFF" w:fill="auto"/>
            <w:vAlign w:val="center"/>
          </w:tcPr>
          <w:p w14:paraId="3944718D" w14:textId="77777777" w:rsidR="0070624C" w:rsidRDefault="0070624C" w:rsidP="00A477A1">
            <w:pPr>
              <w:jc w:val="both"/>
              <w:rPr>
                <w:rFonts w:ascii="Arial" w:hAnsi="Arial"/>
                <w:color w:val="000000"/>
              </w:rPr>
            </w:pPr>
          </w:p>
        </w:tc>
        <w:tc>
          <w:tcPr>
            <w:tcW w:w="1701" w:type="dxa"/>
            <w:shd w:val="solid" w:color="FFFFFF" w:fill="auto"/>
            <w:vAlign w:val="center"/>
          </w:tcPr>
          <w:p w14:paraId="11C50884" w14:textId="77777777" w:rsidR="0070624C" w:rsidRDefault="0070624C" w:rsidP="00A477A1">
            <w:pPr>
              <w:pStyle w:val="Heading4"/>
              <w:jc w:val="right"/>
            </w:pPr>
            <w:r>
              <w:t>Totals</w:t>
            </w:r>
          </w:p>
        </w:tc>
        <w:tc>
          <w:tcPr>
            <w:tcW w:w="1574" w:type="dxa"/>
            <w:shd w:val="solid" w:color="FFFFFF" w:fill="auto"/>
          </w:tcPr>
          <w:p w14:paraId="4EE45EB5"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2A122CC8"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1A335FFA"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3FF5BD42" w14:textId="77777777" w:rsidR="006F5408" w:rsidRDefault="006F5408" w:rsidP="006661FE">
      <w:pPr>
        <w:jc w:val="both"/>
        <w:rPr>
          <w:rFonts w:ascii="Arial" w:hAnsi="Arial"/>
          <w:sz w:val="22"/>
        </w:rPr>
      </w:pPr>
    </w:p>
    <w:p w14:paraId="516A52BC" w14:textId="77777777" w:rsidR="006F5408" w:rsidRDefault="006F5408" w:rsidP="00533333">
      <w:pPr>
        <w:numPr>
          <w:ilvl w:val="0"/>
          <w:numId w:val="60"/>
        </w:numPr>
        <w:jc w:val="both"/>
        <w:rPr>
          <w:rFonts w:ascii="Arial" w:hAnsi="Arial"/>
        </w:rPr>
      </w:pPr>
      <w:r>
        <w:rPr>
          <w:rFonts w:ascii="Arial" w:hAnsi="Arial"/>
        </w:rPr>
        <w:t>Change Negative Demand values to 0 (zero) , which in this example is Node D</w:t>
      </w:r>
    </w:p>
    <w:p w14:paraId="76F4D441"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C169B0" w14:paraId="311CEBAE" w14:textId="77777777" w:rsidTr="00097CD6">
        <w:trPr>
          <w:trHeight w:val="1585"/>
        </w:trPr>
        <w:tc>
          <w:tcPr>
            <w:tcW w:w="1710" w:type="dxa"/>
            <w:tcBorders>
              <w:top w:val="nil"/>
              <w:left w:val="nil"/>
              <w:bottom w:val="nil"/>
              <w:right w:val="nil"/>
            </w:tcBorders>
            <w:shd w:val="clear" w:color="000000" w:fill="FFFFFF"/>
            <w:vAlign w:val="center"/>
            <w:hideMark/>
          </w:tcPr>
          <w:p w14:paraId="297FB947"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23F38F6B"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51D1BF4E"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76A4FF74"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32E909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A3E4C93" w14:textId="77777777" w:rsidTr="00097CD6">
        <w:trPr>
          <w:trHeight w:val="334"/>
        </w:trPr>
        <w:tc>
          <w:tcPr>
            <w:tcW w:w="1710" w:type="dxa"/>
            <w:tcBorders>
              <w:top w:val="nil"/>
              <w:left w:val="nil"/>
              <w:bottom w:val="nil"/>
              <w:right w:val="nil"/>
            </w:tcBorders>
            <w:shd w:val="clear" w:color="000000" w:fill="FFFFFF"/>
            <w:vAlign w:val="center"/>
            <w:hideMark/>
          </w:tcPr>
          <w:p w14:paraId="3D8A36B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A612540"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7BDEF93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340C961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61E5DC3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7ACADDBA" w14:textId="77777777" w:rsidTr="00097CD6">
        <w:trPr>
          <w:trHeight w:val="334"/>
        </w:trPr>
        <w:tc>
          <w:tcPr>
            <w:tcW w:w="1710" w:type="dxa"/>
            <w:tcBorders>
              <w:top w:val="nil"/>
              <w:left w:val="nil"/>
              <w:bottom w:val="nil"/>
              <w:right w:val="nil"/>
            </w:tcBorders>
            <w:shd w:val="clear" w:color="000000" w:fill="FFFFFF"/>
            <w:vAlign w:val="center"/>
            <w:hideMark/>
          </w:tcPr>
          <w:p w14:paraId="530C836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2193A98"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CE99397"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67CFCE70"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2A2F7C9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34760AB3" w14:textId="77777777" w:rsidTr="00097CD6">
        <w:trPr>
          <w:trHeight w:val="334"/>
        </w:trPr>
        <w:tc>
          <w:tcPr>
            <w:tcW w:w="1710" w:type="dxa"/>
            <w:tcBorders>
              <w:top w:val="nil"/>
              <w:left w:val="nil"/>
              <w:bottom w:val="nil"/>
              <w:right w:val="nil"/>
            </w:tcBorders>
            <w:shd w:val="clear" w:color="000000" w:fill="FFFFFF"/>
            <w:vAlign w:val="center"/>
            <w:hideMark/>
          </w:tcPr>
          <w:p w14:paraId="53A92FF7"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CA1F943"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CE453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2E6C34D3"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83355FA"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4A5DE195" w14:textId="77777777" w:rsidTr="00097CD6">
        <w:trPr>
          <w:trHeight w:val="334"/>
        </w:trPr>
        <w:tc>
          <w:tcPr>
            <w:tcW w:w="1710" w:type="dxa"/>
            <w:tcBorders>
              <w:top w:val="nil"/>
              <w:left w:val="nil"/>
              <w:bottom w:val="nil"/>
              <w:right w:val="nil"/>
            </w:tcBorders>
            <w:shd w:val="clear" w:color="000000" w:fill="FFFFFF"/>
            <w:vAlign w:val="center"/>
            <w:hideMark/>
          </w:tcPr>
          <w:p w14:paraId="2F85355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45B386C"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5A9052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6DB860C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5566231D"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7B0EC28E" w14:textId="77777777" w:rsidTr="00097CD6">
        <w:trPr>
          <w:trHeight w:val="334"/>
        </w:trPr>
        <w:tc>
          <w:tcPr>
            <w:tcW w:w="1710" w:type="dxa"/>
            <w:tcBorders>
              <w:top w:val="nil"/>
              <w:left w:val="nil"/>
              <w:bottom w:val="nil"/>
              <w:right w:val="nil"/>
            </w:tcBorders>
            <w:shd w:val="clear" w:color="000000" w:fill="FFFFFF"/>
            <w:vAlign w:val="center"/>
            <w:hideMark/>
          </w:tcPr>
          <w:p w14:paraId="0EA3E70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0E1A49F"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2B75356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4A8DF7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364549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344D0663" w14:textId="77777777" w:rsidTr="00097CD6">
        <w:trPr>
          <w:trHeight w:val="334"/>
        </w:trPr>
        <w:tc>
          <w:tcPr>
            <w:tcW w:w="1710" w:type="dxa"/>
            <w:tcBorders>
              <w:top w:val="nil"/>
              <w:left w:val="nil"/>
              <w:bottom w:val="nil"/>
              <w:right w:val="nil"/>
            </w:tcBorders>
            <w:shd w:val="clear" w:color="000000" w:fill="FFFFFF"/>
            <w:vAlign w:val="center"/>
            <w:hideMark/>
          </w:tcPr>
          <w:p w14:paraId="004AB24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4CA62ED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1E5F371D"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45D208F6"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25AE8C6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09FADBEF" w14:textId="77777777" w:rsidR="006F5408" w:rsidRDefault="006F5408" w:rsidP="006661FE">
      <w:pPr>
        <w:jc w:val="both"/>
        <w:rPr>
          <w:rFonts w:ascii="Arial" w:hAnsi="Arial"/>
          <w:sz w:val="22"/>
        </w:rPr>
      </w:pPr>
    </w:p>
    <w:p w14:paraId="77D41CBD" w14:textId="77777777" w:rsidR="006661FE" w:rsidRDefault="006661FE" w:rsidP="006661FE">
      <w:pPr>
        <w:jc w:val="both"/>
        <w:rPr>
          <w:rFonts w:ascii="Arial" w:hAnsi="Arial"/>
          <w:sz w:val="22"/>
        </w:rPr>
      </w:pPr>
    </w:p>
    <w:p w14:paraId="1F5F725A" w14:textId="77777777" w:rsidR="006661FE" w:rsidRDefault="006661FE" w:rsidP="00533333">
      <w:pPr>
        <w:numPr>
          <w:ilvl w:val="0"/>
          <w:numId w:val="60"/>
        </w:numPr>
        <w:jc w:val="both"/>
        <w:rPr>
          <w:rFonts w:ascii="Arial" w:hAnsi="Arial"/>
          <w:sz w:val="22"/>
        </w:rPr>
      </w:pPr>
      <w:r>
        <w:rPr>
          <w:rFonts w:ascii="Arial" w:hAnsi="Arial"/>
          <w:sz w:val="22"/>
        </w:rPr>
        <w:t>calculate the demand weighted nodal shadow costs</w:t>
      </w:r>
    </w:p>
    <w:p w14:paraId="2BB2AB8E" w14:textId="77777777" w:rsidR="006661FE" w:rsidRDefault="006661FE" w:rsidP="006661FE">
      <w:pPr>
        <w:jc w:val="both"/>
        <w:rPr>
          <w:rFonts w:ascii="Arial" w:hAnsi="Arial"/>
          <w:sz w:val="22"/>
        </w:rPr>
      </w:pPr>
    </w:p>
    <w:p w14:paraId="006C3DA8"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3860C0E"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C169B0" w14:paraId="654BCBF0"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58894D8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266F19B1"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0F396E40"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294743A6"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2DFB0C3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130FD2A7"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61110724"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C169B0" w14:paraId="4E9245C2" w14:textId="77777777" w:rsidTr="00606811">
        <w:trPr>
          <w:trHeight w:val="300"/>
        </w:trPr>
        <w:tc>
          <w:tcPr>
            <w:tcW w:w="960" w:type="dxa"/>
            <w:tcBorders>
              <w:top w:val="nil"/>
              <w:left w:val="nil"/>
              <w:bottom w:val="nil"/>
              <w:right w:val="nil"/>
            </w:tcBorders>
            <w:shd w:val="clear" w:color="000000" w:fill="FFFFFF"/>
            <w:vAlign w:val="center"/>
            <w:hideMark/>
          </w:tcPr>
          <w:p w14:paraId="27DBAA8E"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2AC06F"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50253AAA"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3F486B8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58518609"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4A8FF45D"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44</w:t>
            </w:r>
          </w:p>
        </w:tc>
        <w:tc>
          <w:tcPr>
            <w:tcW w:w="1276" w:type="dxa"/>
            <w:tcBorders>
              <w:top w:val="nil"/>
              <w:left w:val="nil"/>
              <w:bottom w:val="nil"/>
              <w:right w:val="nil"/>
            </w:tcBorders>
            <w:shd w:val="clear" w:color="auto" w:fill="auto"/>
            <w:noWrap/>
            <w:vAlign w:val="bottom"/>
            <w:hideMark/>
          </w:tcPr>
          <w:p w14:paraId="0F9E7F9C"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32</w:t>
            </w:r>
          </w:p>
        </w:tc>
      </w:tr>
      <w:tr w:rsidR="006F5408" w:rsidRPr="00C169B0" w14:paraId="0B808DE7" w14:textId="77777777" w:rsidTr="00606811">
        <w:trPr>
          <w:trHeight w:val="300"/>
        </w:trPr>
        <w:tc>
          <w:tcPr>
            <w:tcW w:w="960" w:type="dxa"/>
            <w:tcBorders>
              <w:top w:val="nil"/>
              <w:left w:val="nil"/>
              <w:bottom w:val="nil"/>
              <w:right w:val="nil"/>
            </w:tcBorders>
            <w:shd w:val="clear" w:color="000000" w:fill="FFFFFF"/>
            <w:vAlign w:val="center"/>
            <w:hideMark/>
          </w:tcPr>
          <w:p w14:paraId="5C8B054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C55906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599116E1"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2E27ABA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42F1E1F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5475A913"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56</w:t>
            </w:r>
          </w:p>
        </w:tc>
        <w:tc>
          <w:tcPr>
            <w:tcW w:w="1276" w:type="dxa"/>
            <w:tcBorders>
              <w:top w:val="nil"/>
              <w:left w:val="nil"/>
              <w:bottom w:val="nil"/>
              <w:right w:val="nil"/>
            </w:tcBorders>
            <w:shd w:val="clear" w:color="auto" w:fill="auto"/>
            <w:noWrap/>
            <w:vAlign w:val="bottom"/>
            <w:hideMark/>
          </w:tcPr>
          <w:p w14:paraId="40E4258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36</w:t>
            </w:r>
          </w:p>
        </w:tc>
      </w:tr>
      <w:tr w:rsidR="006F5408" w:rsidRPr="00C169B0" w14:paraId="333BB3ED" w14:textId="77777777" w:rsidTr="00606811">
        <w:trPr>
          <w:trHeight w:val="300"/>
        </w:trPr>
        <w:tc>
          <w:tcPr>
            <w:tcW w:w="960" w:type="dxa"/>
            <w:tcBorders>
              <w:top w:val="nil"/>
              <w:left w:val="nil"/>
              <w:bottom w:val="nil"/>
              <w:right w:val="nil"/>
            </w:tcBorders>
            <w:shd w:val="clear" w:color="000000" w:fill="FFFFFF"/>
            <w:vAlign w:val="center"/>
            <w:hideMark/>
          </w:tcPr>
          <w:p w14:paraId="5DD092EF"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5A1C79F"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4A73EE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5C998EB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A03D639"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503E0BD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77592D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0033D9B3" w14:textId="77777777" w:rsidTr="00606811">
        <w:trPr>
          <w:trHeight w:val="300"/>
        </w:trPr>
        <w:tc>
          <w:tcPr>
            <w:tcW w:w="960" w:type="dxa"/>
            <w:tcBorders>
              <w:top w:val="nil"/>
              <w:left w:val="nil"/>
              <w:bottom w:val="nil"/>
              <w:right w:val="nil"/>
            </w:tcBorders>
            <w:shd w:val="clear" w:color="000000" w:fill="FFFFFF"/>
            <w:vAlign w:val="center"/>
            <w:hideMark/>
          </w:tcPr>
          <w:p w14:paraId="14725B0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21BADEF"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7AEC63BE"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59BB598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366510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73E7F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03B6359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39037FB8" w14:textId="77777777" w:rsidTr="00606811">
        <w:trPr>
          <w:trHeight w:val="300"/>
        </w:trPr>
        <w:tc>
          <w:tcPr>
            <w:tcW w:w="960" w:type="dxa"/>
            <w:tcBorders>
              <w:top w:val="nil"/>
              <w:left w:val="nil"/>
              <w:bottom w:val="nil"/>
              <w:right w:val="nil"/>
            </w:tcBorders>
            <w:shd w:val="clear" w:color="000000" w:fill="FFFFFF"/>
            <w:vAlign w:val="center"/>
            <w:hideMark/>
          </w:tcPr>
          <w:p w14:paraId="60335FB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DEB2E4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325BDA6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8D73FA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44B171AF"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663311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20</w:t>
            </w:r>
          </w:p>
        </w:tc>
        <w:tc>
          <w:tcPr>
            <w:tcW w:w="1276" w:type="dxa"/>
            <w:tcBorders>
              <w:top w:val="nil"/>
              <w:left w:val="nil"/>
              <w:bottom w:val="nil"/>
              <w:right w:val="nil"/>
            </w:tcBorders>
            <w:shd w:val="clear" w:color="auto" w:fill="auto"/>
            <w:noWrap/>
            <w:vAlign w:val="bottom"/>
            <w:hideMark/>
          </w:tcPr>
          <w:p w14:paraId="0660575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14</w:t>
            </w:r>
          </w:p>
        </w:tc>
      </w:tr>
      <w:tr w:rsidR="006F5408" w:rsidRPr="00C169B0" w14:paraId="1DBABCAF" w14:textId="77777777" w:rsidTr="00606811">
        <w:trPr>
          <w:trHeight w:val="300"/>
        </w:trPr>
        <w:tc>
          <w:tcPr>
            <w:tcW w:w="960" w:type="dxa"/>
            <w:tcBorders>
              <w:top w:val="nil"/>
              <w:left w:val="nil"/>
              <w:bottom w:val="nil"/>
              <w:right w:val="nil"/>
            </w:tcBorders>
            <w:shd w:val="clear" w:color="000000" w:fill="FFFFFF"/>
            <w:vAlign w:val="center"/>
            <w:hideMark/>
          </w:tcPr>
          <w:p w14:paraId="56478AE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11A8068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760F1745"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3BFCB50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68BA2DF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4981C401"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49367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1FE5566D" w14:textId="77777777" w:rsidR="006661FE" w:rsidRDefault="006661FE" w:rsidP="006661FE">
      <w:pPr>
        <w:pStyle w:val="Header"/>
        <w:jc w:val="both"/>
        <w:rPr>
          <w:noProof/>
        </w:rPr>
      </w:pPr>
    </w:p>
    <w:p w14:paraId="3C3146B3"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6C696287" w14:textId="77777777" w:rsidTr="00A477A1">
        <w:trPr>
          <w:trHeight w:val="614"/>
        </w:trPr>
        <w:tc>
          <w:tcPr>
            <w:tcW w:w="1073" w:type="dxa"/>
            <w:shd w:val="solid" w:color="FFFFFF" w:fill="auto"/>
            <w:vAlign w:val="center"/>
          </w:tcPr>
          <w:p w14:paraId="49721638" w14:textId="77777777" w:rsidR="0070624C" w:rsidRDefault="0070624C" w:rsidP="00A477A1">
            <w:pPr>
              <w:jc w:val="both"/>
              <w:rPr>
                <w:rFonts w:ascii="Arial" w:hAnsi="Arial"/>
                <w:color w:val="000000"/>
              </w:rPr>
            </w:pPr>
          </w:p>
        </w:tc>
        <w:tc>
          <w:tcPr>
            <w:tcW w:w="1792" w:type="dxa"/>
            <w:shd w:val="solid" w:color="FFFFFF" w:fill="auto"/>
            <w:vAlign w:val="center"/>
          </w:tcPr>
          <w:p w14:paraId="38CB5057" w14:textId="77777777" w:rsidR="0070624C" w:rsidRDefault="0070624C" w:rsidP="00A477A1">
            <w:pPr>
              <w:jc w:val="both"/>
              <w:rPr>
                <w:rFonts w:ascii="Arial" w:hAnsi="Arial"/>
                <w:color w:val="000000"/>
              </w:rPr>
            </w:pPr>
          </w:p>
        </w:tc>
        <w:tc>
          <w:tcPr>
            <w:tcW w:w="1125" w:type="dxa"/>
            <w:shd w:val="solid" w:color="FFFFFF" w:fill="auto"/>
            <w:vAlign w:val="center"/>
          </w:tcPr>
          <w:p w14:paraId="6AD5E5F5" w14:textId="77777777" w:rsidR="0070624C" w:rsidRDefault="0070624C" w:rsidP="00A477A1">
            <w:pPr>
              <w:jc w:val="right"/>
              <w:rPr>
                <w:rFonts w:ascii="Arial" w:hAnsi="Arial"/>
                <w:color w:val="000000"/>
              </w:rPr>
            </w:pPr>
          </w:p>
        </w:tc>
        <w:tc>
          <w:tcPr>
            <w:tcW w:w="1200" w:type="dxa"/>
            <w:shd w:val="solid" w:color="FFFFFF" w:fill="auto"/>
          </w:tcPr>
          <w:p w14:paraId="2AE3C55E" w14:textId="77777777" w:rsidR="0070624C" w:rsidRDefault="0070624C" w:rsidP="00A477A1">
            <w:pPr>
              <w:jc w:val="right"/>
              <w:rPr>
                <w:rFonts w:ascii="Arial" w:hAnsi="Arial"/>
                <w:color w:val="000000"/>
              </w:rPr>
            </w:pPr>
          </w:p>
        </w:tc>
        <w:tc>
          <w:tcPr>
            <w:tcW w:w="960" w:type="dxa"/>
            <w:shd w:val="solid" w:color="FFFFFF" w:fill="auto"/>
            <w:vAlign w:val="center"/>
          </w:tcPr>
          <w:p w14:paraId="7F176735" w14:textId="77777777" w:rsidR="0070624C" w:rsidRDefault="0070624C" w:rsidP="00A477A1">
            <w:pPr>
              <w:jc w:val="right"/>
              <w:rPr>
                <w:rFonts w:ascii="Arial" w:hAnsi="Arial"/>
                <w:color w:val="000000"/>
              </w:rPr>
            </w:pPr>
          </w:p>
        </w:tc>
        <w:tc>
          <w:tcPr>
            <w:tcW w:w="1320" w:type="dxa"/>
            <w:shd w:val="solid" w:color="FFFFFF" w:fill="auto"/>
          </w:tcPr>
          <w:p w14:paraId="3FDF6812" w14:textId="77777777" w:rsidR="0070624C" w:rsidRDefault="0070624C" w:rsidP="00A477A1">
            <w:pPr>
              <w:jc w:val="right"/>
              <w:rPr>
                <w:rFonts w:ascii="Arial" w:hAnsi="Arial"/>
                <w:color w:val="000000"/>
              </w:rPr>
            </w:pPr>
          </w:p>
        </w:tc>
        <w:tc>
          <w:tcPr>
            <w:tcW w:w="1320" w:type="dxa"/>
            <w:shd w:val="solid" w:color="FFFFFF" w:fill="auto"/>
            <w:vAlign w:val="center"/>
          </w:tcPr>
          <w:p w14:paraId="78A85247" w14:textId="77777777" w:rsidR="0070624C" w:rsidRDefault="0070624C" w:rsidP="00A477A1">
            <w:pPr>
              <w:jc w:val="right"/>
              <w:rPr>
                <w:rFonts w:ascii="Arial" w:hAnsi="Arial"/>
                <w:color w:val="000000"/>
              </w:rPr>
            </w:pPr>
          </w:p>
        </w:tc>
      </w:tr>
      <w:tr w:rsidR="0070624C" w14:paraId="3EC26B56" w14:textId="77777777" w:rsidTr="00A477A1">
        <w:trPr>
          <w:trHeight w:val="247"/>
        </w:trPr>
        <w:tc>
          <w:tcPr>
            <w:tcW w:w="1073" w:type="dxa"/>
            <w:shd w:val="solid" w:color="FFFFFF" w:fill="auto"/>
          </w:tcPr>
          <w:p w14:paraId="21F5D53F" w14:textId="77777777" w:rsidR="0070624C" w:rsidRDefault="0070624C" w:rsidP="00A477A1">
            <w:pPr>
              <w:jc w:val="both"/>
              <w:rPr>
                <w:rFonts w:ascii="Arial" w:hAnsi="Arial"/>
                <w:color w:val="000000"/>
              </w:rPr>
            </w:pPr>
          </w:p>
        </w:tc>
        <w:tc>
          <w:tcPr>
            <w:tcW w:w="1792" w:type="dxa"/>
            <w:shd w:val="solid" w:color="FFFFFF" w:fill="auto"/>
          </w:tcPr>
          <w:p w14:paraId="6F02A3A2" w14:textId="77777777" w:rsidR="0070624C" w:rsidRDefault="0070624C" w:rsidP="00A477A1">
            <w:pPr>
              <w:rPr>
                <w:rFonts w:ascii="Arial" w:hAnsi="Arial"/>
                <w:snapToGrid w:val="0"/>
                <w:color w:val="000000"/>
              </w:rPr>
            </w:pPr>
          </w:p>
        </w:tc>
        <w:tc>
          <w:tcPr>
            <w:tcW w:w="1125" w:type="dxa"/>
            <w:shd w:val="solid" w:color="FFFFFF" w:fill="auto"/>
            <w:vAlign w:val="bottom"/>
          </w:tcPr>
          <w:p w14:paraId="534C5E35" w14:textId="77777777" w:rsidR="0070624C" w:rsidRDefault="0070624C" w:rsidP="00A477A1">
            <w:pPr>
              <w:jc w:val="right"/>
              <w:rPr>
                <w:rFonts w:ascii="Arial" w:eastAsia="Arial Unicode MS" w:hAnsi="Arial"/>
              </w:rPr>
            </w:pPr>
          </w:p>
        </w:tc>
        <w:tc>
          <w:tcPr>
            <w:tcW w:w="1200" w:type="dxa"/>
            <w:shd w:val="solid" w:color="FFFFFF" w:fill="auto"/>
          </w:tcPr>
          <w:p w14:paraId="33C707DF" w14:textId="77777777" w:rsidR="0070624C" w:rsidRDefault="0070624C" w:rsidP="00A477A1">
            <w:pPr>
              <w:jc w:val="right"/>
              <w:rPr>
                <w:rFonts w:ascii="Arial" w:hAnsi="Arial"/>
                <w:snapToGrid w:val="0"/>
              </w:rPr>
            </w:pPr>
          </w:p>
        </w:tc>
        <w:tc>
          <w:tcPr>
            <w:tcW w:w="960" w:type="dxa"/>
            <w:shd w:val="solid" w:color="FFFFFF" w:fill="auto"/>
            <w:vAlign w:val="bottom"/>
          </w:tcPr>
          <w:p w14:paraId="7585D013" w14:textId="77777777" w:rsidR="0070624C" w:rsidRDefault="0070624C" w:rsidP="00A477A1">
            <w:pPr>
              <w:jc w:val="right"/>
              <w:rPr>
                <w:rFonts w:ascii="Arial" w:eastAsia="Arial Unicode MS" w:hAnsi="Arial"/>
              </w:rPr>
            </w:pPr>
          </w:p>
        </w:tc>
        <w:tc>
          <w:tcPr>
            <w:tcW w:w="1320" w:type="dxa"/>
            <w:shd w:val="solid" w:color="FFFFFF" w:fill="auto"/>
          </w:tcPr>
          <w:p w14:paraId="298C4F7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D1EECA" w14:textId="77777777" w:rsidR="0070624C" w:rsidRDefault="0070624C" w:rsidP="00A477A1">
            <w:pPr>
              <w:jc w:val="right"/>
              <w:rPr>
                <w:rFonts w:ascii="Arial" w:eastAsia="Arial Unicode MS" w:hAnsi="Arial"/>
              </w:rPr>
            </w:pPr>
          </w:p>
        </w:tc>
      </w:tr>
      <w:tr w:rsidR="0070624C" w14:paraId="2FEAC3A8" w14:textId="77777777" w:rsidTr="00A477A1">
        <w:trPr>
          <w:trHeight w:val="247"/>
        </w:trPr>
        <w:tc>
          <w:tcPr>
            <w:tcW w:w="1073" w:type="dxa"/>
            <w:shd w:val="solid" w:color="FFFFFF" w:fill="auto"/>
          </w:tcPr>
          <w:p w14:paraId="439CA5AC" w14:textId="77777777" w:rsidR="0070624C" w:rsidRDefault="0070624C" w:rsidP="00A477A1">
            <w:pPr>
              <w:jc w:val="both"/>
              <w:rPr>
                <w:rFonts w:ascii="Arial" w:hAnsi="Arial"/>
                <w:color w:val="000000"/>
              </w:rPr>
            </w:pPr>
          </w:p>
        </w:tc>
        <w:tc>
          <w:tcPr>
            <w:tcW w:w="1792" w:type="dxa"/>
            <w:shd w:val="solid" w:color="FFFFFF" w:fill="auto"/>
          </w:tcPr>
          <w:p w14:paraId="6B8C92BF" w14:textId="77777777" w:rsidR="0070624C" w:rsidRDefault="0070624C" w:rsidP="00A477A1">
            <w:pPr>
              <w:rPr>
                <w:rFonts w:ascii="Arial" w:hAnsi="Arial"/>
                <w:snapToGrid w:val="0"/>
                <w:color w:val="000000"/>
              </w:rPr>
            </w:pPr>
          </w:p>
        </w:tc>
        <w:tc>
          <w:tcPr>
            <w:tcW w:w="1125" w:type="dxa"/>
            <w:shd w:val="solid" w:color="FFFFFF" w:fill="auto"/>
            <w:vAlign w:val="bottom"/>
          </w:tcPr>
          <w:p w14:paraId="0AE68C5F" w14:textId="77777777" w:rsidR="0070624C" w:rsidRDefault="0070624C" w:rsidP="00A477A1">
            <w:pPr>
              <w:jc w:val="right"/>
              <w:rPr>
                <w:rFonts w:ascii="Arial" w:eastAsia="Arial Unicode MS" w:hAnsi="Arial"/>
              </w:rPr>
            </w:pPr>
          </w:p>
        </w:tc>
        <w:tc>
          <w:tcPr>
            <w:tcW w:w="1200" w:type="dxa"/>
            <w:shd w:val="solid" w:color="FFFFFF" w:fill="auto"/>
          </w:tcPr>
          <w:p w14:paraId="49A3CA0A" w14:textId="77777777" w:rsidR="0070624C" w:rsidRDefault="0070624C" w:rsidP="00A477A1">
            <w:pPr>
              <w:jc w:val="right"/>
              <w:rPr>
                <w:rFonts w:ascii="Arial" w:hAnsi="Arial"/>
                <w:snapToGrid w:val="0"/>
              </w:rPr>
            </w:pPr>
          </w:p>
        </w:tc>
        <w:tc>
          <w:tcPr>
            <w:tcW w:w="960" w:type="dxa"/>
            <w:shd w:val="solid" w:color="FFFFFF" w:fill="auto"/>
            <w:vAlign w:val="bottom"/>
          </w:tcPr>
          <w:p w14:paraId="2B8ABDF2" w14:textId="77777777" w:rsidR="0070624C" w:rsidRDefault="0070624C" w:rsidP="00A477A1">
            <w:pPr>
              <w:jc w:val="right"/>
              <w:rPr>
                <w:rFonts w:ascii="Arial" w:eastAsia="Arial Unicode MS" w:hAnsi="Arial"/>
              </w:rPr>
            </w:pPr>
          </w:p>
        </w:tc>
        <w:tc>
          <w:tcPr>
            <w:tcW w:w="1320" w:type="dxa"/>
            <w:shd w:val="solid" w:color="FFFFFF" w:fill="auto"/>
          </w:tcPr>
          <w:p w14:paraId="04A5BE5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4BA45" w14:textId="77777777" w:rsidR="0070624C" w:rsidRDefault="0070624C" w:rsidP="00A477A1">
            <w:pPr>
              <w:jc w:val="right"/>
              <w:rPr>
                <w:rFonts w:ascii="Arial" w:eastAsia="Arial Unicode MS" w:hAnsi="Arial"/>
              </w:rPr>
            </w:pPr>
          </w:p>
        </w:tc>
      </w:tr>
      <w:tr w:rsidR="0070624C" w14:paraId="736C124E" w14:textId="77777777" w:rsidTr="00A477A1">
        <w:trPr>
          <w:trHeight w:val="247"/>
        </w:trPr>
        <w:tc>
          <w:tcPr>
            <w:tcW w:w="1073" w:type="dxa"/>
            <w:shd w:val="solid" w:color="FFFFFF" w:fill="auto"/>
          </w:tcPr>
          <w:p w14:paraId="5C60CEA9" w14:textId="77777777" w:rsidR="0070624C" w:rsidRDefault="0070624C" w:rsidP="00A477A1">
            <w:pPr>
              <w:jc w:val="both"/>
              <w:rPr>
                <w:rFonts w:ascii="Arial" w:hAnsi="Arial"/>
                <w:color w:val="000000"/>
              </w:rPr>
            </w:pPr>
          </w:p>
        </w:tc>
        <w:tc>
          <w:tcPr>
            <w:tcW w:w="1792" w:type="dxa"/>
            <w:shd w:val="solid" w:color="FFFFFF" w:fill="auto"/>
          </w:tcPr>
          <w:p w14:paraId="08E4FFF1" w14:textId="77777777" w:rsidR="0070624C" w:rsidRDefault="0070624C" w:rsidP="00A477A1">
            <w:pPr>
              <w:rPr>
                <w:rFonts w:ascii="Arial" w:hAnsi="Arial"/>
                <w:snapToGrid w:val="0"/>
                <w:color w:val="000000"/>
              </w:rPr>
            </w:pPr>
          </w:p>
        </w:tc>
        <w:tc>
          <w:tcPr>
            <w:tcW w:w="1125" w:type="dxa"/>
            <w:shd w:val="solid" w:color="FFFFFF" w:fill="auto"/>
            <w:vAlign w:val="bottom"/>
          </w:tcPr>
          <w:p w14:paraId="543B6C28" w14:textId="77777777" w:rsidR="0070624C" w:rsidRDefault="0070624C" w:rsidP="00A477A1">
            <w:pPr>
              <w:jc w:val="right"/>
              <w:rPr>
                <w:rFonts w:ascii="Arial" w:eastAsia="Arial Unicode MS" w:hAnsi="Arial"/>
              </w:rPr>
            </w:pPr>
          </w:p>
        </w:tc>
        <w:tc>
          <w:tcPr>
            <w:tcW w:w="1200" w:type="dxa"/>
            <w:shd w:val="solid" w:color="FFFFFF" w:fill="auto"/>
          </w:tcPr>
          <w:p w14:paraId="06B12FCC" w14:textId="77777777" w:rsidR="0070624C" w:rsidRDefault="0070624C" w:rsidP="00A477A1">
            <w:pPr>
              <w:jc w:val="right"/>
              <w:rPr>
                <w:rFonts w:ascii="Arial" w:hAnsi="Arial"/>
                <w:snapToGrid w:val="0"/>
              </w:rPr>
            </w:pPr>
          </w:p>
        </w:tc>
        <w:tc>
          <w:tcPr>
            <w:tcW w:w="960" w:type="dxa"/>
            <w:shd w:val="solid" w:color="FFFFFF" w:fill="auto"/>
            <w:vAlign w:val="bottom"/>
          </w:tcPr>
          <w:p w14:paraId="568362D9" w14:textId="77777777" w:rsidR="0070624C" w:rsidRDefault="0070624C" w:rsidP="00A477A1">
            <w:pPr>
              <w:jc w:val="right"/>
              <w:rPr>
                <w:rFonts w:ascii="Arial" w:eastAsia="Arial Unicode MS" w:hAnsi="Arial"/>
              </w:rPr>
            </w:pPr>
          </w:p>
        </w:tc>
        <w:tc>
          <w:tcPr>
            <w:tcW w:w="1320" w:type="dxa"/>
            <w:shd w:val="solid" w:color="FFFFFF" w:fill="auto"/>
          </w:tcPr>
          <w:p w14:paraId="0974127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F483AB" w14:textId="77777777" w:rsidR="0070624C" w:rsidRDefault="0070624C" w:rsidP="00A477A1">
            <w:pPr>
              <w:jc w:val="right"/>
              <w:rPr>
                <w:rFonts w:ascii="Arial" w:eastAsia="Arial Unicode MS" w:hAnsi="Arial"/>
              </w:rPr>
            </w:pPr>
          </w:p>
        </w:tc>
      </w:tr>
      <w:tr w:rsidR="0070624C" w14:paraId="032DAA05" w14:textId="77777777" w:rsidTr="00A477A1">
        <w:trPr>
          <w:trHeight w:val="247"/>
        </w:trPr>
        <w:tc>
          <w:tcPr>
            <w:tcW w:w="1073" w:type="dxa"/>
            <w:shd w:val="solid" w:color="FFFFFF" w:fill="auto"/>
          </w:tcPr>
          <w:p w14:paraId="14073CB7" w14:textId="77777777" w:rsidR="0070624C" w:rsidRDefault="0070624C" w:rsidP="00A477A1">
            <w:pPr>
              <w:jc w:val="both"/>
              <w:rPr>
                <w:rFonts w:ascii="Arial" w:hAnsi="Arial"/>
                <w:color w:val="000000"/>
              </w:rPr>
            </w:pPr>
          </w:p>
        </w:tc>
        <w:tc>
          <w:tcPr>
            <w:tcW w:w="1792" w:type="dxa"/>
            <w:shd w:val="solid" w:color="FFFFFF" w:fill="auto"/>
          </w:tcPr>
          <w:p w14:paraId="74B0EE0D" w14:textId="77777777" w:rsidR="0070624C" w:rsidRDefault="0070624C" w:rsidP="00A477A1">
            <w:pPr>
              <w:rPr>
                <w:rFonts w:ascii="Arial" w:hAnsi="Arial"/>
                <w:snapToGrid w:val="0"/>
                <w:color w:val="000000"/>
              </w:rPr>
            </w:pPr>
          </w:p>
        </w:tc>
        <w:tc>
          <w:tcPr>
            <w:tcW w:w="1125" w:type="dxa"/>
            <w:shd w:val="solid" w:color="FFFFFF" w:fill="auto"/>
            <w:vAlign w:val="bottom"/>
          </w:tcPr>
          <w:p w14:paraId="42A9640E" w14:textId="77777777" w:rsidR="0070624C" w:rsidRDefault="0070624C" w:rsidP="00A477A1">
            <w:pPr>
              <w:jc w:val="right"/>
              <w:rPr>
                <w:rFonts w:ascii="Arial" w:eastAsia="Arial Unicode MS" w:hAnsi="Arial"/>
              </w:rPr>
            </w:pPr>
          </w:p>
        </w:tc>
        <w:tc>
          <w:tcPr>
            <w:tcW w:w="1200" w:type="dxa"/>
            <w:shd w:val="solid" w:color="FFFFFF" w:fill="auto"/>
          </w:tcPr>
          <w:p w14:paraId="77704653" w14:textId="77777777" w:rsidR="0070624C" w:rsidRDefault="0070624C" w:rsidP="00A477A1">
            <w:pPr>
              <w:jc w:val="right"/>
              <w:rPr>
                <w:rFonts w:ascii="Arial" w:hAnsi="Arial"/>
                <w:snapToGrid w:val="0"/>
              </w:rPr>
            </w:pPr>
          </w:p>
        </w:tc>
        <w:tc>
          <w:tcPr>
            <w:tcW w:w="960" w:type="dxa"/>
            <w:shd w:val="solid" w:color="FFFFFF" w:fill="auto"/>
            <w:vAlign w:val="bottom"/>
          </w:tcPr>
          <w:p w14:paraId="2946C4CE" w14:textId="77777777" w:rsidR="0070624C" w:rsidRDefault="0070624C" w:rsidP="00A477A1">
            <w:pPr>
              <w:jc w:val="right"/>
              <w:rPr>
                <w:rFonts w:ascii="Arial" w:eastAsia="Arial Unicode MS" w:hAnsi="Arial"/>
              </w:rPr>
            </w:pPr>
          </w:p>
        </w:tc>
        <w:tc>
          <w:tcPr>
            <w:tcW w:w="1320" w:type="dxa"/>
            <w:shd w:val="solid" w:color="FFFFFF" w:fill="auto"/>
          </w:tcPr>
          <w:p w14:paraId="1AF8E6F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9C20459" w14:textId="77777777" w:rsidR="0070624C" w:rsidRDefault="0070624C" w:rsidP="00A477A1">
            <w:pPr>
              <w:jc w:val="right"/>
              <w:rPr>
                <w:rFonts w:ascii="Arial" w:eastAsia="Arial Unicode MS" w:hAnsi="Arial"/>
              </w:rPr>
            </w:pPr>
          </w:p>
        </w:tc>
      </w:tr>
      <w:tr w:rsidR="0070624C" w14:paraId="54E4730C" w14:textId="77777777" w:rsidTr="00A477A1">
        <w:trPr>
          <w:trHeight w:val="247"/>
        </w:trPr>
        <w:tc>
          <w:tcPr>
            <w:tcW w:w="1073" w:type="dxa"/>
            <w:shd w:val="solid" w:color="FFFFFF" w:fill="auto"/>
          </w:tcPr>
          <w:p w14:paraId="09E03393" w14:textId="77777777" w:rsidR="0070624C" w:rsidRDefault="0070624C" w:rsidP="00A477A1">
            <w:pPr>
              <w:jc w:val="both"/>
              <w:rPr>
                <w:rFonts w:ascii="Arial" w:hAnsi="Arial"/>
                <w:color w:val="000000"/>
              </w:rPr>
            </w:pPr>
          </w:p>
        </w:tc>
        <w:tc>
          <w:tcPr>
            <w:tcW w:w="1792" w:type="dxa"/>
            <w:shd w:val="solid" w:color="FFFFFF" w:fill="auto"/>
          </w:tcPr>
          <w:p w14:paraId="792732E4" w14:textId="77777777" w:rsidR="0070624C" w:rsidRDefault="0070624C" w:rsidP="00A477A1">
            <w:pPr>
              <w:rPr>
                <w:rFonts w:ascii="Arial" w:hAnsi="Arial"/>
                <w:snapToGrid w:val="0"/>
                <w:color w:val="000000"/>
              </w:rPr>
            </w:pPr>
          </w:p>
        </w:tc>
        <w:tc>
          <w:tcPr>
            <w:tcW w:w="1125" w:type="dxa"/>
            <w:shd w:val="solid" w:color="FFFFFF" w:fill="auto"/>
            <w:vAlign w:val="bottom"/>
          </w:tcPr>
          <w:p w14:paraId="6FD85744" w14:textId="77777777" w:rsidR="0070624C" w:rsidRDefault="0070624C" w:rsidP="00A477A1">
            <w:pPr>
              <w:jc w:val="right"/>
              <w:rPr>
                <w:rFonts w:ascii="Arial" w:eastAsia="Arial Unicode MS" w:hAnsi="Arial"/>
              </w:rPr>
            </w:pPr>
          </w:p>
        </w:tc>
        <w:tc>
          <w:tcPr>
            <w:tcW w:w="1200" w:type="dxa"/>
            <w:shd w:val="solid" w:color="FFFFFF" w:fill="auto"/>
          </w:tcPr>
          <w:p w14:paraId="5998C5C3" w14:textId="77777777" w:rsidR="0070624C" w:rsidRDefault="0070624C" w:rsidP="00A477A1">
            <w:pPr>
              <w:jc w:val="right"/>
              <w:rPr>
                <w:rFonts w:ascii="Arial" w:hAnsi="Arial"/>
                <w:snapToGrid w:val="0"/>
              </w:rPr>
            </w:pPr>
          </w:p>
        </w:tc>
        <w:tc>
          <w:tcPr>
            <w:tcW w:w="960" w:type="dxa"/>
            <w:shd w:val="solid" w:color="FFFFFF" w:fill="auto"/>
            <w:vAlign w:val="bottom"/>
          </w:tcPr>
          <w:p w14:paraId="54E79FA2" w14:textId="77777777" w:rsidR="0070624C" w:rsidRDefault="0070624C" w:rsidP="00A477A1">
            <w:pPr>
              <w:jc w:val="right"/>
              <w:rPr>
                <w:rFonts w:ascii="Arial" w:eastAsia="Arial Unicode MS" w:hAnsi="Arial"/>
              </w:rPr>
            </w:pPr>
          </w:p>
        </w:tc>
        <w:tc>
          <w:tcPr>
            <w:tcW w:w="1320" w:type="dxa"/>
            <w:shd w:val="solid" w:color="FFFFFF" w:fill="auto"/>
          </w:tcPr>
          <w:p w14:paraId="54E3E2D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833065" w14:textId="77777777" w:rsidR="0070624C" w:rsidRDefault="0070624C" w:rsidP="00A477A1">
            <w:pPr>
              <w:jc w:val="right"/>
              <w:rPr>
                <w:rFonts w:ascii="Arial" w:eastAsia="Arial Unicode MS" w:hAnsi="Arial"/>
              </w:rPr>
            </w:pPr>
          </w:p>
        </w:tc>
      </w:tr>
      <w:tr w:rsidR="0070624C" w14:paraId="081FDE5F" w14:textId="77777777" w:rsidTr="00A477A1">
        <w:trPr>
          <w:trHeight w:val="247"/>
        </w:trPr>
        <w:tc>
          <w:tcPr>
            <w:tcW w:w="1073" w:type="dxa"/>
            <w:shd w:val="solid" w:color="FFFFFF" w:fill="auto"/>
          </w:tcPr>
          <w:p w14:paraId="5B1E83D3" w14:textId="77777777" w:rsidR="0070624C" w:rsidRDefault="0070624C" w:rsidP="00A477A1">
            <w:pPr>
              <w:jc w:val="both"/>
              <w:rPr>
                <w:rFonts w:ascii="Arial" w:hAnsi="Arial"/>
                <w:color w:val="000000"/>
              </w:rPr>
            </w:pPr>
          </w:p>
        </w:tc>
        <w:tc>
          <w:tcPr>
            <w:tcW w:w="1792" w:type="dxa"/>
            <w:shd w:val="solid" w:color="FFFFFF" w:fill="auto"/>
          </w:tcPr>
          <w:p w14:paraId="3CB42825" w14:textId="77777777" w:rsidR="0070624C" w:rsidRDefault="0070624C" w:rsidP="00A477A1">
            <w:pPr>
              <w:rPr>
                <w:rFonts w:ascii="Arial" w:hAnsi="Arial"/>
                <w:snapToGrid w:val="0"/>
                <w:color w:val="000000"/>
              </w:rPr>
            </w:pPr>
          </w:p>
        </w:tc>
        <w:tc>
          <w:tcPr>
            <w:tcW w:w="1125" w:type="dxa"/>
            <w:shd w:val="solid" w:color="FFFFFF" w:fill="auto"/>
            <w:vAlign w:val="bottom"/>
          </w:tcPr>
          <w:p w14:paraId="6674DBE5" w14:textId="77777777" w:rsidR="0070624C" w:rsidRDefault="0070624C" w:rsidP="00A477A1">
            <w:pPr>
              <w:jc w:val="right"/>
              <w:rPr>
                <w:rFonts w:ascii="Arial" w:eastAsia="Arial Unicode MS" w:hAnsi="Arial"/>
              </w:rPr>
            </w:pPr>
          </w:p>
        </w:tc>
        <w:tc>
          <w:tcPr>
            <w:tcW w:w="1200" w:type="dxa"/>
            <w:shd w:val="solid" w:color="FFFFFF" w:fill="auto"/>
          </w:tcPr>
          <w:p w14:paraId="2C24D2D5" w14:textId="77777777" w:rsidR="0070624C" w:rsidRDefault="0070624C" w:rsidP="00A477A1">
            <w:pPr>
              <w:jc w:val="right"/>
              <w:rPr>
                <w:rFonts w:ascii="Arial" w:hAnsi="Arial"/>
                <w:snapToGrid w:val="0"/>
              </w:rPr>
            </w:pPr>
          </w:p>
        </w:tc>
        <w:tc>
          <w:tcPr>
            <w:tcW w:w="960" w:type="dxa"/>
            <w:shd w:val="solid" w:color="FFFFFF" w:fill="auto"/>
            <w:vAlign w:val="bottom"/>
          </w:tcPr>
          <w:p w14:paraId="1BB90BC6" w14:textId="77777777" w:rsidR="0070624C" w:rsidRDefault="0070624C" w:rsidP="00A477A1">
            <w:pPr>
              <w:jc w:val="right"/>
              <w:rPr>
                <w:rFonts w:ascii="Arial" w:eastAsia="Arial Unicode MS" w:hAnsi="Arial"/>
              </w:rPr>
            </w:pPr>
          </w:p>
        </w:tc>
        <w:tc>
          <w:tcPr>
            <w:tcW w:w="1320" w:type="dxa"/>
            <w:shd w:val="solid" w:color="FFFFFF" w:fill="auto"/>
          </w:tcPr>
          <w:p w14:paraId="25056EF7"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C7ED0DF" w14:textId="77777777" w:rsidR="0070624C" w:rsidRDefault="0070624C" w:rsidP="00A477A1">
            <w:pPr>
              <w:jc w:val="right"/>
              <w:rPr>
                <w:rFonts w:ascii="Arial" w:eastAsia="Arial Unicode MS" w:hAnsi="Arial"/>
              </w:rPr>
            </w:pPr>
          </w:p>
        </w:tc>
      </w:tr>
      <w:tr w:rsidR="0070624C" w14:paraId="68286938" w14:textId="77777777" w:rsidTr="00A477A1">
        <w:trPr>
          <w:trHeight w:val="247"/>
        </w:trPr>
        <w:tc>
          <w:tcPr>
            <w:tcW w:w="1073" w:type="dxa"/>
            <w:shd w:val="solid" w:color="FFFFFF" w:fill="auto"/>
          </w:tcPr>
          <w:p w14:paraId="49A29071" w14:textId="77777777" w:rsidR="0070624C" w:rsidRDefault="0070624C" w:rsidP="00A477A1">
            <w:pPr>
              <w:jc w:val="both"/>
              <w:rPr>
                <w:rFonts w:ascii="Arial" w:hAnsi="Arial"/>
                <w:color w:val="000000"/>
              </w:rPr>
            </w:pPr>
          </w:p>
        </w:tc>
        <w:tc>
          <w:tcPr>
            <w:tcW w:w="1792" w:type="dxa"/>
            <w:shd w:val="solid" w:color="FFFFFF" w:fill="auto"/>
          </w:tcPr>
          <w:p w14:paraId="7C8C2626" w14:textId="77777777" w:rsidR="0070624C" w:rsidRDefault="0070624C" w:rsidP="00A477A1">
            <w:pPr>
              <w:rPr>
                <w:rFonts w:ascii="Arial" w:hAnsi="Arial"/>
                <w:snapToGrid w:val="0"/>
                <w:color w:val="000000"/>
              </w:rPr>
            </w:pPr>
          </w:p>
        </w:tc>
        <w:tc>
          <w:tcPr>
            <w:tcW w:w="1125" w:type="dxa"/>
            <w:shd w:val="solid" w:color="FFFFFF" w:fill="auto"/>
            <w:vAlign w:val="bottom"/>
          </w:tcPr>
          <w:p w14:paraId="27A07D9C" w14:textId="77777777" w:rsidR="0070624C" w:rsidRDefault="0070624C" w:rsidP="00A477A1">
            <w:pPr>
              <w:jc w:val="right"/>
              <w:rPr>
                <w:rFonts w:ascii="Arial" w:eastAsia="Arial Unicode MS" w:hAnsi="Arial"/>
              </w:rPr>
            </w:pPr>
          </w:p>
        </w:tc>
        <w:tc>
          <w:tcPr>
            <w:tcW w:w="1200" w:type="dxa"/>
            <w:shd w:val="solid" w:color="FFFFFF" w:fill="auto"/>
          </w:tcPr>
          <w:p w14:paraId="52FFA29C" w14:textId="77777777" w:rsidR="0070624C" w:rsidRDefault="0070624C" w:rsidP="00A477A1">
            <w:pPr>
              <w:jc w:val="right"/>
              <w:rPr>
                <w:rFonts w:ascii="Arial" w:hAnsi="Arial"/>
                <w:snapToGrid w:val="0"/>
              </w:rPr>
            </w:pPr>
          </w:p>
        </w:tc>
        <w:tc>
          <w:tcPr>
            <w:tcW w:w="960" w:type="dxa"/>
            <w:shd w:val="solid" w:color="FFFFFF" w:fill="auto"/>
            <w:vAlign w:val="bottom"/>
          </w:tcPr>
          <w:p w14:paraId="340E2BD1" w14:textId="77777777" w:rsidR="0070624C" w:rsidRDefault="0070624C" w:rsidP="00A477A1">
            <w:pPr>
              <w:jc w:val="right"/>
              <w:rPr>
                <w:rFonts w:ascii="Arial" w:eastAsia="Arial Unicode MS" w:hAnsi="Arial"/>
              </w:rPr>
            </w:pPr>
          </w:p>
        </w:tc>
        <w:tc>
          <w:tcPr>
            <w:tcW w:w="1320" w:type="dxa"/>
            <w:shd w:val="solid" w:color="FFFFFF" w:fill="auto"/>
          </w:tcPr>
          <w:p w14:paraId="1EB3AF0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E4F02B9" w14:textId="77777777" w:rsidR="0070624C" w:rsidRDefault="0070624C" w:rsidP="00A477A1">
            <w:pPr>
              <w:jc w:val="right"/>
              <w:rPr>
                <w:rFonts w:ascii="Arial" w:eastAsia="Arial Unicode MS" w:hAnsi="Arial"/>
              </w:rPr>
            </w:pPr>
          </w:p>
        </w:tc>
      </w:tr>
      <w:tr w:rsidR="0070624C" w14:paraId="51DF0FB1" w14:textId="77777777" w:rsidTr="00A477A1">
        <w:trPr>
          <w:trHeight w:val="247"/>
        </w:trPr>
        <w:tc>
          <w:tcPr>
            <w:tcW w:w="1073" w:type="dxa"/>
            <w:shd w:val="solid" w:color="FFFFFF" w:fill="auto"/>
          </w:tcPr>
          <w:p w14:paraId="7159667A" w14:textId="77777777" w:rsidR="0070624C" w:rsidRDefault="0070624C" w:rsidP="00A477A1">
            <w:pPr>
              <w:jc w:val="both"/>
              <w:rPr>
                <w:rFonts w:ascii="Arial" w:hAnsi="Arial"/>
                <w:color w:val="000000"/>
              </w:rPr>
            </w:pPr>
          </w:p>
        </w:tc>
        <w:tc>
          <w:tcPr>
            <w:tcW w:w="1792" w:type="dxa"/>
            <w:shd w:val="solid" w:color="FFFFFF" w:fill="auto"/>
          </w:tcPr>
          <w:p w14:paraId="0DBD4E0F" w14:textId="77777777" w:rsidR="0070624C" w:rsidRDefault="0070624C" w:rsidP="00A477A1">
            <w:pPr>
              <w:rPr>
                <w:rFonts w:ascii="Arial" w:hAnsi="Arial"/>
                <w:snapToGrid w:val="0"/>
                <w:color w:val="000000"/>
              </w:rPr>
            </w:pPr>
          </w:p>
        </w:tc>
        <w:tc>
          <w:tcPr>
            <w:tcW w:w="1125" w:type="dxa"/>
            <w:shd w:val="solid" w:color="FFFFFF" w:fill="auto"/>
            <w:vAlign w:val="bottom"/>
          </w:tcPr>
          <w:p w14:paraId="3268531E" w14:textId="77777777" w:rsidR="0070624C" w:rsidRDefault="0070624C" w:rsidP="00A477A1">
            <w:pPr>
              <w:jc w:val="right"/>
              <w:rPr>
                <w:rFonts w:ascii="Arial" w:eastAsia="Arial Unicode MS" w:hAnsi="Arial"/>
              </w:rPr>
            </w:pPr>
          </w:p>
        </w:tc>
        <w:tc>
          <w:tcPr>
            <w:tcW w:w="1200" w:type="dxa"/>
            <w:shd w:val="solid" w:color="FFFFFF" w:fill="auto"/>
          </w:tcPr>
          <w:p w14:paraId="67496C2E" w14:textId="77777777" w:rsidR="0070624C" w:rsidRDefault="0070624C" w:rsidP="00A477A1">
            <w:pPr>
              <w:jc w:val="right"/>
              <w:rPr>
                <w:rFonts w:ascii="Arial" w:hAnsi="Arial"/>
                <w:snapToGrid w:val="0"/>
              </w:rPr>
            </w:pPr>
          </w:p>
        </w:tc>
        <w:tc>
          <w:tcPr>
            <w:tcW w:w="960" w:type="dxa"/>
            <w:shd w:val="solid" w:color="FFFFFF" w:fill="auto"/>
            <w:vAlign w:val="bottom"/>
          </w:tcPr>
          <w:p w14:paraId="06C80917" w14:textId="77777777" w:rsidR="0070624C" w:rsidRDefault="0070624C" w:rsidP="00A477A1">
            <w:pPr>
              <w:jc w:val="right"/>
              <w:rPr>
                <w:rFonts w:ascii="Arial" w:eastAsia="Arial Unicode MS" w:hAnsi="Arial"/>
              </w:rPr>
            </w:pPr>
          </w:p>
        </w:tc>
        <w:tc>
          <w:tcPr>
            <w:tcW w:w="1320" w:type="dxa"/>
            <w:shd w:val="solid" w:color="FFFFFF" w:fill="auto"/>
          </w:tcPr>
          <w:p w14:paraId="43116BC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619D5F" w14:textId="77777777" w:rsidR="0070624C" w:rsidRDefault="0070624C" w:rsidP="00A477A1">
            <w:pPr>
              <w:jc w:val="right"/>
              <w:rPr>
                <w:rFonts w:ascii="Arial" w:eastAsia="Arial Unicode MS" w:hAnsi="Arial"/>
              </w:rPr>
            </w:pPr>
          </w:p>
        </w:tc>
      </w:tr>
      <w:tr w:rsidR="0070624C" w14:paraId="1CE4A7A7" w14:textId="77777777" w:rsidTr="00A477A1">
        <w:trPr>
          <w:trHeight w:val="247"/>
        </w:trPr>
        <w:tc>
          <w:tcPr>
            <w:tcW w:w="1073" w:type="dxa"/>
            <w:shd w:val="solid" w:color="FFFFFF" w:fill="auto"/>
          </w:tcPr>
          <w:p w14:paraId="7569CC65" w14:textId="77777777" w:rsidR="0070624C" w:rsidRDefault="0070624C" w:rsidP="00A477A1">
            <w:pPr>
              <w:jc w:val="both"/>
              <w:rPr>
                <w:rFonts w:ascii="Arial" w:hAnsi="Arial"/>
                <w:color w:val="000000"/>
              </w:rPr>
            </w:pPr>
          </w:p>
        </w:tc>
        <w:tc>
          <w:tcPr>
            <w:tcW w:w="1792" w:type="dxa"/>
            <w:shd w:val="solid" w:color="FFFFFF" w:fill="auto"/>
          </w:tcPr>
          <w:p w14:paraId="76D32963" w14:textId="77777777" w:rsidR="0070624C" w:rsidRDefault="0070624C" w:rsidP="00A477A1">
            <w:pPr>
              <w:rPr>
                <w:rFonts w:ascii="Arial" w:hAnsi="Arial"/>
                <w:snapToGrid w:val="0"/>
                <w:color w:val="000000"/>
              </w:rPr>
            </w:pPr>
          </w:p>
        </w:tc>
        <w:tc>
          <w:tcPr>
            <w:tcW w:w="1125" w:type="dxa"/>
            <w:shd w:val="solid" w:color="FFFFFF" w:fill="auto"/>
            <w:vAlign w:val="bottom"/>
          </w:tcPr>
          <w:p w14:paraId="1DE7ADFB" w14:textId="77777777" w:rsidR="0070624C" w:rsidRDefault="0070624C" w:rsidP="00A477A1">
            <w:pPr>
              <w:jc w:val="right"/>
              <w:rPr>
                <w:rFonts w:ascii="Arial" w:eastAsia="Arial Unicode MS" w:hAnsi="Arial"/>
              </w:rPr>
            </w:pPr>
          </w:p>
        </w:tc>
        <w:tc>
          <w:tcPr>
            <w:tcW w:w="1200" w:type="dxa"/>
            <w:shd w:val="solid" w:color="FFFFFF" w:fill="auto"/>
          </w:tcPr>
          <w:p w14:paraId="5C0A4921" w14:textId="77777777" w:rsidR="0070624C" w:rsidRDefault="0070624C" w:rsidP="00A477A1">
            <w:pPr>
              <w:jc w:val="right"/>
              <w:rPr>
                <w:rFonts w:ascii="Arial" w:hAnsi="Arial"/>
                <w:snapToGrid w:val="0"/>
              </w:rPr>
            </w:pPr>
          </w:p>
        </w:tc>
        <w:tc>
          <w:tcPr>
            <w:tcW w:w="960" w:type="dxa"/>
            <w:shd w:val="solid" w:color="FFFFFF" w:fill="auto"/>
            <w:vAlign w:val="bottom"/>
          </w:tcPr>
          <w:p w14:paraId="11A453C1" w14:textId="77777777" w:rsidR="0070624C" w:rsidRDefault="0070624C" w:rsidP="00A477A1">
            <w:pPr>
              <w:jc w:val="right"/>
              <w:rPr>
                <w:rFonts w:ascii="Arial" w:eastAsia="Arial Unicode MS" w:hAnsi="Arial"/>
              </w:rPr>
            </w:pPr>
          </w:p>
        </w:tc>
        <w:tc>
          <w:tcPr>
            <w:tcW w:w="1320" w:type="dxa"/>
            <w:shd w:val="solid" w:color="FFFFFF" w:fill="auto"/>
          </w:tcPr>
          <w:p w14:paraId="682DC1A4"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E6AA910" w14:textId="77777777" w:rsidR="0070624C" w:rsidRDefault="0070624C" w:rsidP="00A477A1">
            <w:pPr>
              <w:jc w:val="right"/>
              <w:rPr>
                <w:rFonts w:ascii="Arial" w:eastAsia="Arial Unicode MS" w:hAnsi="Arial"/>
              </w:rPr>
            </w:pPr>
          </w:p>
        </w:tc>
      </w:tr>
      <w:tr w:rsidR="0070624C" w14:paraId="4A56215D" w14:textId="77777777" w:rsidTr="00A477A1">
        <w:trPr>
          <w:trHeight w:val="247"/>
        </w:trPr>
        <w:tc>
          <w:tcPr>
            <w:tcW w:w="1073" w:type="dxa"/>
            <w:shd w:val="solid" w:color="FFFFFF" w:fill="auto"/>
          </w:tcPr>
          <w:p w14:paraId="0B00672C" w14:textId="77777777" w:rsidR="0070624C" w:rsidRDefault="0070624C" w:rsidP="00A477A1">
            <w:pPr>
              <w:jc w:val="both"/>
              <w:rPr>
                <w:rFonts w:ascii="Arial" w:hAnsi="Arial"/>
                <w:color w:val="000000"/>
              </w:rPr>
            </w:pPr>
          </w:p>
        </w:tc>
        <w:tc>
          <w:tcPr>
            <w:tcW w:w="1792" w:type="dxa"/>
            <w:shd w:val="solid" w:color="FFFFFF" w:fill="auto"/>
          </w:tcPr>
          <w:p w14:paraId="2982AAA0" w14:textId="77777777" w:rsidR="0070624C" w:rsidRDefault="0070624C" w:rsidP="00A477A1">
            <w:pPr>
              <w:rPr>
                <w:rFonts w:ascii="Arial" w:hAnsi="Arial"/>
                <w:snapToGrid w:val="0"/>
                <w:color w:val="000000"/>
              </w:rPr>
            </w:pPr>
          </w:p>
        </w:tc>
        <w:tc>
          <w:tcPr>
            <w:tcW w:w="1125" w:type="dxa"/>
            <w:shd w:val="solid" w:color="FFFFFF" w:fill="auto"/>
            <w:vAlign w:val="bottom"/>
          </w:tcPr>
          <w:p w14:paraId="14D872FA" w14:textId="77777777" w:rsidR="0070624C" w:rsidRDefault="0070624C" w:rsidP="00A477A1">
            <w:pPr>
              <w:jc w:val="right"/>
              <w:rPr>
                <w:rFonts w:ascii="Arial" w:eastAsia="Arial Unicode MS" w:hAnsi="Arial"/>
              </w:rPr>
            </w:pPr>
          </w:p>
        </w:tc>
        <w:tc>
          <w:tcPr>
            <w:tcW w:w="1200" w:type="dxa"/>
            <w:shd w:val="solid" w:color="FFFFFF" w:fill="auto"/>
          </w:tcPr>
          <w:p w14:paraId="4EBF92CC" w14:textId="77777777" w:rsidR="0070624C" w:rsidRDefault="0070624C" w:rsidP="00A477A1">
            <w:pPr>
              <w:jc w:val="right"/>
              <w:rPr>
                <w:rFonts w:ascii="Arial" w:hAnsi="Arial"/>
                <w:snapToGrid w:val="0"/>
              </w:rPr>
            </w:pPr>
          </w:p>
        </w:tc>
        <w:tc>
          <w:tcPr>
            <w:tcW w:w="960" w:type="dxa"/>
            <w:shd w:val="solid" w:color="FFFFFF" w:fill="auto"/>
            <w:vAlign w:val="bottom"/>
          </w:tcPr>
          <w:p w14:paraId="266F7BDF" w14:textId="77777777" w:rsidR="0070624C" w:rsidRDefault="0070624C" w:rsidP="00A477A1">
            <w:pPr>
              <w:jc w:val="right"/>
              <w:rPr>
                <w:rFonts w:ascii="Arial" w:eastAsia="Arial Unicode MS" w:hAnsi="Arial"/>
              </w:rPr>
            </w:pPr>
          </w:p>
        </w:tc>
        <w:tc>
          <w:tcPr>
            <w:tcW w:w="1320" w:type="dxa"/>
            <w:shd w:val="solid" w:color="FFFFFF" w:fill="auto"/>
          </w:tcPr>
          <w:p w14:paraId="1DEFD2B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14743D08" w14:textId="77777777" w:rsidR="0070624C" w:rsidRDefault="0070624C" w:rsidP="00A477A1">
            <w:pPr>
              <w:jc w:val="right"/>
              <w:rPr>
                <w:rFonts w:ascii="Arial" w:eastAsia="Arial Unicode MS" w:hAnsi="Arial"/>
              </w:rPr>
            </w:pPr>
          </w:p>
        </w:tc>
      </w:tr>
      <w:tr w:rsidR="0070624C" w14:paraId="3C1928AD" w14:textId="77777777" w:rsidTr="00A477A1">
        <w:trPr>
          <w:trHeight w:val="247"/>
        </w:trPr>
        <w:tc>
          <w:tcPr>
            <w:tcW w:w="1073" w:type="dxa"/>
            <w:shd w:val="solid" w:color="FFFFFF" w:fill="auto"/>
          </w:tcPr>
          <w:p w14:paraId="654AD53C" w14:textId="77777777" w:rsidR="0070624C" w:rsidRDefault="0070624C" w:rsidP="00A477A1">
            <w:pPr>
              <w:jc w:val="both"/>
              <w:rPr>
                <w:rFonts w:ascii="Arial" w:hAnsi="Arial"/>
                <w:color w:val="000000"/>
              </w:rPr>
            </w:pPr>
          </w:p>
        </w:tc>
        <w:tc>
          <w:tcPr>
            <w:tcW w:w="1792" w:type="dxa"/>
            <w:shd w:val="solid" w:color="FFFFFF" w:fill="auto"/>
          </w:tcPr>
          <w:p w14:paraId="02E34095" w14:textId="77777777" w:rsidR="0070624C" w:rsidRDefault="0070624C" w:rsidP="00A477A1">
            <w:pPr>
              <w:rPr>
                <w:rFonts w:ascii="Arial" w:hAnsi="Arial"/>
                <w:snapToGrid w:val="0"/>
                <w:color w:val="000000"/>
              </w:rPr>
            </w:pPr>
          </w:p>
        </w:tc>
        <w:tc>
          <w:tcPr>
            <w:tcW w:w="1125" w:type="dxa"/>
            <w:shd w:val="solid" w:color="FFFFFF" w:fill="auto"/>
            <w:vAlign w:val="bottom"/>
          </w:tcPr>
          <w:p w14:paraId="6331492D" w14:textId="77777777" w:rsidR="0070624C" w:rsidRDefault="0070624C" w:rsidP="00A477A1">
            <w:pPr>
              <w:jc w:val="right"/>
              <w:rPr>
                <w:rFonts w:ascii="Arial" w:eastAsia="Arial Unicode MS" w:hAnsi="Arial"/>
              </w:rPr>
            </w:pPr>
          </w:p>
        </w:tc>
        <w:tc>
          <w:tcPr>
            <w:tcW w:w="1200" w:type="dxa"/>
            <w:shd w:val="solid" w:color="FFFFFF" w:fill="auto"/>
          </w:tcPr>
          <w:p w14:paraId="74D13444" w14:textId="77777777" w:rsidR="0070624C" w:rsidRDefault="0070624C" w:rsidP="00A477A1">
            <w:pPr>
              <w:jc w:val="right"/>
              <w:rPr>
                <w:rFonts w:ascii="Arial" w:hAnsi="Arial"/>
                <w:snapToGrid w:val="0"/>
              </w:rPr>
            </w:pPr>
          </w:p>
        </w:tc>
        <w:tc>
          <w:tcPr>
            <w:tcW w:w="960" w:type="dxa"/>
            <w:shd w:val="solid" w:color="FFFFFF" w:fill="auto"/>
            <w:vAlign w:val="bottom"/>
          </w:tcPr>
          <w:p w14:paraId="18CEFB48" w14:textId="77777777" w:rsidR="0070624C" w:rsidRDefault="0070624C" w:rsidP="00A477A1">
            <w:pPr>
              <w:jc w:val="right"/>
              <w:rPr>
                <w:rFonts w:ascii="Arial" w:eastAsia="Arial Unicode MS" w:hAnsi="Arial"/>
              </w:rPr>
            </w:pPr>
          </w:p>
        </w:tc>
        <w:tc>
          <w:tcPr>
            <w:tcW w:w="1320" w:type="dxa"/>
            <w:shd w:val="solid" w:color="FFFFFF" w:fill="auto"/>
          </w:tcPr>
          <w:p w14:paraId="578AC6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1E4A84C" w14:textId="77777777" w:rsidR="0070624C" w:rsidRDefault="0070624C" w:rsidP="00A477A1">
            <w:pPr>
              <w:jc w:val="right"/>
              <w:rPr>
                <w:rFonts w:ascii="Arial" w:eastAsia="Arial Unicode MS" w:hAnsi="Arial"/>
              </w:rPr>
            </w:pPr>
          </w:p>
        </w:tc>
      </w:tr>
      <w:tr w:rsidR="0070624C" w14:paraId="33A5D735" w14:textId="77777777" w:rsidTr="00A477A1">
        <w:trPr>
          <w:trHeight w:val="247"/>
        </w:trPr>
        <w:tc>
          <w:tcPr>
            <w:tcW w:w="1073" w:type="dxa"/>
            <w:shd w:val="solid" w:color="FFFFFF" w:fill="auto"/>
          </w:tcPr>
          <w:p w14:paraId="2C3A501D" w14:textId="77777777" w:rsidR="0070624C" w:rsidRDefault="0070624C" w:rsidP="00A477A1">
            <w:pPr>
              <w:jc w:val="both"/>
              <w:rPr>
                <w:rFonts w:ascii="Arial" w:hAnsi="Arial"/>
                <w:color w:val="000000"/>
              </w:rPr>
            </w:pPr>
          </w:p>
        </w:tc>
        <w:tc>
          <w:tcPr>
            <w:tcW w:w="1792" w:type="dxa"/>
            <w:shd w:val="solid" w:color="FFFFFF" w:fill="auto"/>
          </w:tcPr>
          <w:p w14:paraId="54203C27" w14:textId="77777777" w:rsidR="0070624C" w:rsidRDefault="0070624C" w:rsidP="00A477A1">
            <w:pPr>
              <w:rPr>
                <w:rFonts w:ascii="Arial" w:hAnsi="Arial"/>
                <w:snapToGrid w:val="0"/>
                <w:color w:val="000000"/>
              </w:rPr>
            </w:pPr>
          </w:p>
        </w:tc>
        <w:tc>
          <w:tcPr>
            <w:tcW w:w="1125" w:type="dxa"/>
            <w:shd w:val="solid" w:color="FFFFFF" w:fill="auto"/>
            <w:vAlign w:val="bottom"/>
          </w:tcPr>
          <w:p w14:paraId="73B09947" w14:textId="77777777" w:rsidR="0070624C" w:rsidRDefault="0070624C" w:rsidP="00A477A1">
            <w:pPr>
              <w:jc w:val="right"/>
              <w:rPr>
                <w:rFonts w:ascii="Arial" w:eastAsia="Arial Unicode MS" w:hAnsi="Arial"/>
              </w:rPr>
            </w:pPr>
          </w:p>
        </w:tc>
        <w:tc>
          <w:tcPr>
            <w:tcW w:w="1200" w:type="dxa"/>
            <w:shd w:val="solid" w:color="FFFFFF" w:fill="auto"/>
          </w:tcPr>
          <w:p w14:paraId="58F53553" w14:textId="77777777" w:rsidR="0070624C" w:rsidRDefault="0070624C" w:rsidP="00A477A1">
            <w:pPr>
              <w:jc w:val="right"/>
              <w:rPr>
                <w:rFonts w:ascii="Arial" w:hAnsi="Arial"/>
                <w:snapToGrid w:val="0"/>
              </w:rPr>
            </w:pPr>
          </w:p>
        </w:tc>
        <w:tc>
          <w:tcPr>
            <w:tcW w:w="960" w:type="dxa"/>
            <w:shd w:val="solid" w:color="FFFFFF" w:fill="auto"/>
            <w:vAlign w:val="bottom"/>
          </w:tcPr>
          <w:p w14:paraId="520B86CB" w14:textId="77777777" w:rsidR="0070624C" w:rsidRDefault="0070624C" w:rsidP="00A477A1">
            <w:pPr>
              <w:jc w:val="right"/>
              <w:rPr>
                <w:rFonts w:ascii="Arial" w:eastAsia="Arial Unicode MS" w:hAnsi="Arial"/>
              </w:rPr>
            </w:pPr>
          </w:p>
        </w:tc>
        <w:tc>
          <w:tcPr>
            <w:tcW w:w="1320" w:type="dxa"/>
            <w:shd w:val="solid" w:color="FFFFFF" w:fill="auto"/>
          </w:tcPr>
          <w:p w14:paraId="1F3F0B3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09D0A6D" w14:textId="77777777" w:rsidR="0070624C" w:rsidRDefault="0070624C" w:rsidP="00A477A1">
            <w:pPr>
              <w:jc w:val="right"/>
              <w:rPr>
                <w:rFonts w:ascii="Arial" w:eastAsia="Arial Unicode MS" w:hAnsi="Arial"/>
              </w:rPr>
            </w:pPr>
          </w:p>
        </w:tc>
      </w:tr>
      <w:tr w:rsidR="0070624C" w14:paraId="1D58777B" w14:textId="77777777" w:rsidTr="00A477A1">
        <w:trPr>
          <w:trHeight w:val="247"/>
        </w:trPr>
        <w:tc>
          <w:tcPr>
            <w:tcW w:w="1073" w:type="dxa"/>
            <w:shd w:val="solid" w:color="FFFFFF" w:fill="auto"/>
          </w:tcPr>
          <w:p w14:paraId="7C3DDD66" w14:textId="77777777" w:rsidR="0070624C" w:rsidRDefault="0070624C" w:rsidP="00A477A1">
            <w:pPr>
              <w:jc w:val="both"/>
              <w:rPr>
                <w:rFonts w:ascii="Arial" w:hAnsi="Arial"/>
                <w:color w:val="000000"/>
              </w:rPr>
            </w:pPr>
          </w:p>
        </w:tc>
        <w:tc>
          <w:tcPr>
            <w:tcW w:w="1792" w:type="dxa"/>
            <w:shd w:val="solid" w:color="FFFFFF" w:fill="auto"/>
          </w:tcPr>
          <w:p w14:paraId="6C638764" w14:textId="77777777" w:rsidR="0070624C" w:rsidRDefault="0070624C" w:rsidP="00A477A1">
            <w:pPr>
              <w:rPr>
                <w:rFonts w:ascii="Arial" w:hAnsi="Arial"/>
                <w:snapToGrid w:val="0"/>
                <w:color w:val="000000"/>
              </w:rPr>
            </w:pPr>
          </w:p>
        </w:tc>
        <w:tc>
          <w:tcPr>
            <w:tcW w:w="1125" w:type="dxa"/>
            <w:shd w:val="solid" w:color="FFFFFF" w:fill="auto"/>
            <w:vAlign w:val="bottom"/>
          </w:tcPr>
          <w:p w14:paraId="414DF28D" w14:textId="77777777" w:rsidR="0070624C" w:rsidRDefault="0070624C" w:rsidP="00A477A1">
            <w:pPr>
              <w:jc w:val="right"/>
              <w:rPr>
                <w:rFonts w:ascii="Arial" w:eastAsia="Arial Unicode MS" w:hAnsi="Arial"/>
              </w:rPr>
            </w:pPr>
          </w:p>
        </w:tc>
        <w:tc>
          <w:tcPr>
            <w:tcW w:w="1200" w:type="dxa"/>
            <w:shd w:val="solid" w:color="FFFFFF" w:fill="auto"/>
          </w:tcPr>
          <w:p w14:paraId="665EE25D" w14:textId="77777777" w:rsidR="0070624C" w:rsidRDefault="0070624C" w:rsidP="00A477A1">
            <w:pPr>
              <w:jc w:val="right"/>
              <w:rPr>
                <w:rFonts w:ascii="Arial" w:hAnsi="Arial"/>
                <w:snapToGrid w:val="0"/>
              </w:rPr>
            </w:pPr>
          </w:p>
        </w:tc>
        <w:tc>
          <w:tcPr>
            <w:tcW w:w="960" w:type="dxa"/>
            <w:shd w:val="solid" w:color="FFFFFF" w:fill="auto"/>
            <w:vAlign w:val="bottom"/>
          </w:tcPr>
          <w:p w14:paraId="611EED23" w14:textId="77777777" w:rsidR="0070624C" w:rsidRDefault="0070624C" w:rsidP="00A477A1">
            <w:pPr>
              <w:jc w:val="right"/>
              <w:rPr>
                <w:rFonts w:ascii="Arial" w:eastAsia="Arial Unicode MS" w:hAnsi="Arial"/>
              </w:rPr>
            </w:pPr>
          </w:p>
        </w:tc>
        <w:tc>
          <w:tcPr>
            <w:tcW w:w="1320" w:type="dxa"/>
            <w:shd w:val="solid" w:color="FFFFFF" w:fill="auto"/>
          </w:tcPr>
          <w:p w14:paraId="7A7C525F"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70ED9E" w14:textId="77777777" w:rsidR="0070624C" w:rsidRDefault="0070624C" w:rsidP="00A477A1">
            <w:pPr>
              <w:jc w:val="right"/>
              <w:rPr>
                <w:rFonts w:ascii="Arial" w:eastAsia="Arial Unicode MS" w:hAnsi="Arial"/>
              </w:rPr>
            </w:pPr>
          </w:p>
        </w:tc>
      </w:tr>
      <w:tr w:rsidR="0070624C" w14:paraId="7CC7B0C4" w14:textId="77777777" w:rsidTr="00A477A1">
        <w:trPr>
          <w:trHeight w:val="247"/>
        </w:trPr>
        <w:tc>
          <w:tcPr>
            <w:tcW w:w="1073" w:type="dxa"/>
            <w:shd w:val="solid" w:color="FFFFFF" w:fill="auto"/>
          </w:tcPr>
          <w:p w14:paraId="65EC5C2F" w14:textId="77777777" w:rsidR="0070624C" w:rsidRDefault="0070624C" w:rsidP="00A477A1">
            <w:pPr>
              <w:jc w:val="both"/>
              <w:rPr>
                <w:rFonts w:ascii="Arial" w:hAnsi="Arial"/>
                <w:color w:val="000000"/>
              </w:rPr>
            </w:pPr>
          </w:p>
        </w:tc>
        <w:tc>
          <w:tcPr>
            <w:tcW w:w="1792" w:type="dxa"/>
            <w:shd w:val="solid" w:color="FFFFFF" w:fill="auto"/>
          </w:tcPr>
          <w:p w14:paraId="37996140" w14:textId="77777777" w:rsidR="0070624C" w:rsidRDefault="0070624C" w:rsidP="00A477A1">
            <w:pPr>
              <w:rPr>
                <w:rFonts w:ascii="Arial" w:hAnsi="Arial"/>
                <w:snapToGrid w:val="0"/>
                <w:color w:val="000000"/>
              </w:rPr>
            </w:pPr>
          </w:p>
        </w:tc>
        <w:tc>
          <w:tcPr>
            <w:tcW w:w="1125" w:type="dxa"/>
            <w:shd w:val="solid" w:color="FFFFFF" w:fill="auto"/>
            <w:vAlign w:val="bottom"/>
          </w:tcPr>
          <w:p w14:paraId="1234967D" w14:textId="77777777" w:rsidR="0070624C" w:rsidRDefault="0070624C" w:rsidP="00A477A1">
            <w:pPr>
              <w:jc w:val="right"/>
              <w:rPr>
                <w:rFonts w:ascii="Arial" w:eastAsia="Arial Unicode MS" w:hAnsi="Arial"/>
              </w:rPr>
            </w:pPr>
          </w:p>
        </w:tc>
        <w:tc>
          <w:tcPr>
            <w:tcW w:w="1200" w:type="dxa"/>
            <w:shd w:val="solid" w:color="FFFFFF" w:fill="auto"/>
          </w:tcPr>
          <w:p w14:paraId="067E02C5" w14:textId="77777777" w:rsidR="0070624C" w:rsidRDefault="0070624C" w:rsidP="00A477A1">
            <w:pPr>
              <w:jc w:val="right"/>
              <w:rPr>
                <w:rFonts w:ascii="Arial" w:hAnsi="Arial"/>
                <w:snapToGrid w:val="0"/>
              </w:rPr>
            </w:pPr>
          </w:p>
        </w:tc>
        <w:tc>
          <w:tcPr>
            <w:tcW w:w="960" w:type="dxa"/>
            <w:shd w:val="solid" w:color="FFFFFF" w:fill="auto"/>
            <w:vAlign w:val="bottom"/>
          </w:tcPr>
          <w:p w14:paraId="2B3CEC60" w14:textId="77777777" w:rsidR="0070624C" w:rsidRDefault="0070624C" w:rsidP="00A477A1">
            <w:pPr>
              <w:jc w:val="right"/>
              <w:rPr>
                <w:rFonts w:ascii="Arial" w:eastAsia="Arial Unicode MS" w:hAnsi="Arial"/>
              </w:rPr>
            </w:pPr>
          </w:p>
        </w:tc>
        <w:tc>
          <w:tcPr>
            <w:tcW w:w="1320" w:type="dxa"/>
            <w:shd w:val="solid" w:color="FFFFFF" w:fill="auto"/>
          </w:tcPr>
          <w:p w14:paraId="5B44EA2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DD8AF3D" w14:textId="77777777" w:rsidR="0070624C" w:rsidRDefault="0070624C" w:rsidP="00A477A1">
            <w:pPr>
              <w:jc w:val="right"/>
              <w:rPr>
                <w:rFonts w:ascii="Arial" w:eastAsia="Arial Unicode MS" w:hAnsi="Arial"/>
              </w:rPr>
            </w:pPr>
          </w:p>
        </w:tc>
      </w:tr>
      <w:tr w:rsidR="0070624C" w14:paraId="602A8B63" w14:textId="77777777" w:rsidTr="00A477A1">
        <w:trPr>
          <w:trHeight w:val="247"/>
        </w:trPr>
        <w:tc>
          <w:tcPr>
            <w:tcW w:w="1073" w:type="dxa"/>
            <w:shd w:val="solid" w:color="FFFFFF" w:fill="auto"/>
          </w:tcPr>
          <w:p w14:paraId="13D547EA" w14:textId="77777777" w:rsidR="0070624C" w:rsidRDefault="0070624C" w:rsidP="00A477A1">
            <w:pPr>
              <w:jc w:val="both"/>
              <w:rPr>
                <w:rFonts w:ascii="Arial" w:hAnsi="Arial"/>
                <w:color w:val="000000"/>
              </w:rPr>
            </w:pPr>
          </w:p>
        </w:tc>
        <w:tc>
          <w:tcPr>
            <w:tcW w:w="1792" w:type="dxa"/>
            <w:shd w:val="solid" w:color="FFFFFF" w:fill="auto"/>
          </w:tcPr>
          <w:p w14:paraId="7834A775" w14:textId="77777777" w:rsidR="0070624C" w:rsidRDefault="0070624C" w:rsidP="00A477A1">
            <w:pPr>
              <w:rPr>
                <w:rFonts w:ascii="Arial" w:hAnsi="Arial"/>
                <w:snapToGrid w:val="0"/>
                <w:color w:val="000000"/>
              </w:rPr>
            </w:pPr>
          </w:p>
        </w:tc>
        <w:tc>
          <w:tcPr>
            <w:tcW w:w="1125" w:type="dxa"/>
            <w:shd w:val="solid" w:color="FFFFFF" w:fill="auto"/>
            <w:vAlign w:val="bottom"/>
          </w:tcPr>
          <w:p w14:paraId="17093056" w14:textId="77777777" w:rsidR="0070624C" w:rsidRDefault="0070624C" w:rsidP="00A477A1">
            <w:pPr>
              <w:jc w:val="right"/>
              <w:rPr>
                <w:rFonts w:ascii="Arial" w:eastAsia="Arial Unicode MS" w:hAnsi="Arial"/>
              </w:rPr>
            </w:pPr>
          </w:p>
        </w:tc>
        <w:tc>
          <w:tcPr>
            <w:tcW w:w="1200" w:type="dxa"/>
            <w:shd w:val="solid" w:color="FFFFFF" w:fill="auto"/>
          </w:tcPr>
          <w:p w14:paraId="56901E65" w14:textId="77777777" w:rsidR="0070624C" w:rsidRDefault="0070624C" w:rsidP="00A477A1">
            <w:pPr>
              <w:jc w:val="right"/>
              <w:rPr>
                <w:rFonts w:ascii="Arial" w:hAnsi="Arial"/>
                <w:snapToGrid w:val="0"/>
              </w:rPr>
            </w:pPr>
          </w:p>
        </w:tc>
        <w:tc>
          <w:tcPr>
            <w:tcW w:w="960" w:type="dxa"/>
            <w:shd w:val="solid" w:color="FFFFFF" w:fill="auto"/>
            <w:vAlign w:val="bottom"/>
          </w:tcPr>
          <w:p w14:paraId="71EAE9A5" w14:textId="77777777" w:rsidR="0070624C" w:rsidRDefault="0070624C" w:rsidP="00A477A1">
            <w:pPr>
              <w:jc w:val="right"/>
              <w:rPr>
                <w:rFonts w:ascii="Arial" w:eastAsia="Arial Unicode MS" w:hAnsi="Arial"/>
              </w:rPr>
            </w:pPr>
          </w:p>
        </w:tc>
        <w:tc>
          <w:tcPr>
            <w:tcW w:w="1320" w:type="dxa"/>
            <w:shd w:val="solid" w:color="FFFFFF" w:fill="auto"/>
          </w:tcPr>
          <w:p w14:paraId="5C1260CA"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8181D58" w14:textId="77777777" w:rsidR="0070624C" w:rsidRDefault="0070624C" w:rsidP="00A477A1">
            <w:pPr>
              <w:jc w:val="right"/>
              <w:rPr>
                <w:rFonts w:ascii="Arial" w:eastAsia="Arial Unicode MS" w:hAnsi="Arial"/>
              </w:rPr>
            </w:pPr>
          </w:p>
        </w:tc>
      </w:tr>
      <w:tr w:rsidR="0070624C" w:rsidRPr="00C4515E" w14:paraId="03B9EE17" w14:textId="77777777" w:rsidTr="00A477A1">
        <w:trPr>
          <w:trHeight w:val="193"/>
        </w:trPr>
        <w:tc>
          <w:tcPr>
            <w:tcW w:w="1073" w:type="dxa"/>
            <w:shd w:val="solid" w:color="FFFFFF" w:fill="auto"/>
            <w:vAlign w:val="center"/>
          </w:tcPr>
          <w:p w14:paraId="5B324DAC" w14:textId="77777777" w:rsidR="0070624C" w:rsidRDefault="0070624C" w:rsidP="00A477A1">
            <w:pPr>
              <w:jc w:val="both"/>
              <w:rPr>
                <w:rFonts w:ascii="Arial" w:hAnsi="Arial"/>
                <w:color w:val="000000"/>
              </w:rPr>
            </w:pPr>
          </w:p>
        </w:tc>
        <w:tc>
          <w:tcPr>
            <w:tcW w:w="1792" w:type="dxa"/>
            <w:shd w:val="solid" w:color="FFFFFF" w:fill="auto"/>
            <w:vAlign w:val="center"/>
          </w:tcPr>
          <w:p w14:paraId="33DAB13A" w14:textId="77777777" w:rsidR="0070624C" w:rsidRDefault="0070624C" w:rsidP="00A477A1">
            <w:pPr>
              <w:jc w:val="both"/>
              <w:rPr>
                <w:rFonts w:ascii="Arial" w:hAnsi="Arial"/>
                <w:color w:val="000000"/>
              </w:rPr>
            </w:pPr>
          </w:p>
        </w:tc>
        <w:tc>
          <w:tcPr>
            <w:tcW w:w="1125" w:type="dxa"/>
            <w:shd w:val="solid" w:color="FFFFFF" w:fill="auto"/>
            <w:vAlign w:val="center"/>
          </w:tcPr>
          <w:p w14:paraId="67CDCD91" w14:textId="77777777" w:rsidR="0070624C" w:rsidRPr="00C4515E" w:rsidRDefault="0070624C" w:rsidP="00A477A1">
            <w:pPr>
              <w:jc w:val="right"/>
              <w:rPr>
                <w:rFonts w:ascii="Arial" w:hAnsi="Arial"/>
                <w:b/>
                <w:color w:val="000000"/>
              </w:rPr>
            </w:pPr>
          </w:p>
        </w:tc>
        <w:tc>
          <w:tcPr>
            <w:tcW w:w="1200" w:type="dxa"/>
            <w:shd w:val="solid" w:color="FFFFFF" w:fill="auto"/>
          </w:tcPr>
          <w:p w14:paraId="5D542929"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00BC02E8" w14:textId="77777777" w:rsidR="0070624C" w:rsidRPr="00C4515E" w:rsidRDefault="0070624C" w:rsidP="00A477A1">
            <w:pPr>
              <w:jc w:val="right"/>
              <w:rPr>
                <w:rFonts w:ascii="Arial" w:hAnsi="Arial"/>
                <w:b/>
                <w:color w:val="000000"/>
              </w:rPr>
            </w:pPr>
          </w:p>
        </w:tc>
        <w:tc>
          <w:tcPr>
            <w:tcW w:w="1320" w:type="dxa"/>
            <w:shd w:val="solid" w:color="FFFFFF" w:fill="auto"/>
          </w:tcPr>
          <w:p w14:paraId="47C83F2B"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682C3A00" w14:textId="77777777" w:rsidR="0070624C" w:rsidRPr="00C4515E" w:rsidRDefault="0070624C" w:rsidP="00A477A1">
            <w:pPr>
              <w:jc w:val="right"/>
              <w:rPr>
                <w:rFonts w:ascii="Arial" w:hAnsi="Arial"/>
                <w:b/>
                <w:color w:val="000000"/>
              </w:rPr>
            </w:pPr>
          </w:p>
        </w:tc>
      </w:tr>
    </w:tbl>
    <w:p w14:paraId="0EEFA4E7" w14:textId="77777777" w:rsidR="0070624C" w:rsidRPr="004248A1" w:rsidRDefault="0070624C" w:rsidP="000B6C0D">
      <w:pPr>
        <w:pStyle w:val="Header"/>
        <w:tabs>
          <w:tab w:val="left" w:pos="851"/>
        </w:tabs>
        <w:ind w:left="720"/>
        <w:jc w:val="both"/>
        <w:rPr>
          <w:rFonts w:ascii="Arial" w:hAnsi="Arial" w:cs="Arial"/>
          <w:noProof/>
          <w:szCs w:val="22"/>
        </w:rPr>
      </w:pPr>
    </w:p>
    <w:p w14:paraId="1A95DC68" w14:textId="77777777" w:rsidR="0070624C" w:rsidRPr="004248A1" w:rsidRDefault="0070624C" w:rsidP="00533333">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023534E3" w14:textId="77777777" w:rsidR="0070624C" w:rsidRPr="004248A1" w:rsidRDefault="0070624C" w:rsidP="0070624C">
      <w:pPr>
        <w:rPr>
          <w:rFonts w:ascii="Arial" w:hAnsi="Arial" w:cs="Arial"/>
          <w:sz w:val="22"/>
          <w:szCs w:val="22"/>
        </w:rPr>
      </w:pPr>
    </w:p>
    <w:p w14:paraId="4E3A974B" w14:textId="77777777" w:rsidR="0070624C" w:rsidRPr="004248A1" w:rsidRDefault="0070624C" w:rsidP="0070624C">
      <w:pPr>
        <w:pStyle w:val="Header"/>
        <w:ind w:left="720"/>
        <w:jc w:val="both"/>
        <w:rPr>
          <w:rFonts w:ascii="Arial" w:hAnsi="Arial" w:cs="Arial"/>
          <w:b/>
          <w:noProof/>
          <w:szCs w:val="22"/>
          <w:u w:val="single"/>
        </w:rPr>
      </w:pPr>
    </w:p>
    <w:p w14:paraId="4393BAC0" w14:textId="77777777" w:rsidR="00870545" w:rsidRDefault="00870545" w:rsidP="00533333">
      <w:pPr>
        <w:pStyle w:val="Header"/>
        <w:numPr>
          <w:ilvl w:val="0"/>
          <w:numId w:val="60"/>
        </w:numPr>
        <w:tabs>
          <w:tab w:val="left" w:pos="851"/>
        </w:tabs>
        <w:jc w:val="both"/>
        <w:rPr>
          <w:rFonts w:ascii="Arial" w:hAnsi="Arial" w:cs="Arial"/>
          <w:noProof/>
          <w:szCs w:val="22"/>
        </w:rPr>
      </w:pPr>
    </w:p>
    <w:p w14:paraId="38CB063E" w14:textId="0B9A9005" w:rsidR="0070624C" w:rsidRPr="004248A1" w:rsidRDefault="0070624C" w:rsidP="009F4595">
      <w:pPr>
        <w:pStyle w:val="Header"/>
        <w:numPr>
          <w:ilvl w:val="0"/>
          <w:numId w:val="150"/>
        </w:numPr>
        <w:tabs>
          <w:tab w:val="left" w:pos="851"/>
        </w:tabs>
        <w:jc w:val="both"/>
        <w:rPr>
          <w:rFonts w:ascii="Arial" w:hAnsi="Arial" w:cs="Arial"/>
          <w:noProof/>
          <w:szCs w:val="22"/>
        </w:rPr>
      </w:pPr>
      <w:r w:rsidRPr="004248A1">
        <w:rPr>
          <w:rFonts w:ascii="Arial" w:hAnsi="Arial" w:cs="Arial"/>
          <w:noProof/>
          <w:szCs w:val="22"/>
        </w:rPr>
        <w:t>calculate the transport</w:t>
      </w:r>
      <w:r w:rsidR="002A0607">
        <w:rPr>
          <w:rFonts w:ascii="Arial" w:hAnsi="Arial" w:cs="Arial"/>
          <w:noProof/>
          <w:szCs w:val="22"/>
        </w:rPr>
        <w:t xml:space="preserve"> (locational)</w:t>
      </w:r>
      <w:r w:rsidRPr="004248A1">
        <w:rPr>
          <w:rFonts w:ascii="Arial" w:hAnsi="Arial" w:cs="Arial"/>
          <w:noProof/>
          <w:szCs w:val="22"/>
        </w:rPr>
        <w:t xml:space="preserve"> tariff</w:t>
      </w:r>
      <w:r>
        <w:rPr>
          <w:rFonts w:ascii="Arial" w:hAnsi="Arial" w:cs="Arial"/>
          <w:noProof/>
          <w:szCs w:val="22"/>
        </w:rPr>
        <w:t>s</w:t>
      </w:r>
      <w:r w:rsidRPr="004248A1">
        <w:rPr>
          <w:rFonts w:ascii="Arial" w:hAnsi="Arial" w:cs="Arial"/>
          <w:noProof/>
          <w:szCs w:val="22"/>
        </w:rPr>
        <w:t xml:space="preserve"> by multiplying the figure</w:t>
      </w:r>
      <w:r>
        <w:rPr>
          <w:rFonts w:ascii="Arial" w:hAnsi="Arial" w:cs="Arial"/>
          <w:noProof/>
          <w:szCs w:val="22"/>
        </w:rPr>
        <w:t>s</w:t>
      </w:r>
      <w:r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Pr="004248A1">
        <w:rPr>
          <w:rFonts w:ascii="Arial" w:hAnsi="Arial" w:cs="Arial"/>
          <w:noProof/>
          <w:szCs w:val="22"/>
        </w:rPr>
        <w:t xml:space="preserve">  divid</w:t>
      </w:r>
      <w:r w:rsidR="002A0607">
        <w:rPr>
          <w:rFonts w:ascii="Arial" w:hAnsi="Arial" w:cs="Arial"/>
          <w:noProof/>
          <w:szCs w:val="22"/>
        </w:rPr>
        <w:t>e</w:t>
      </w:r>
      <w:r w:rsidRPr="004248A1">
        <w:rPr>
          <w:rFonts w:ascii="Arial" w:hAnsi="Arial" w:cs="Arial"/>
          <w:noProof/>
          <w:szCs w:val="22"/>
        </w:rPr>
        <w:t xml:space="preserve"> by 1000 to put into units of £/kW:</w:t>
      </w:r>
    </w:p>
    <w:p w14:paraId="5FBB5BE0" w14:textId="77777777" w:rsidR="006661FE" w:rsidRPr="004248A1" w:rsidRDefault="006661FE" w:rsidP="000B6C0D">
      <w:pPr>
        <w:pStyle w:val="Header"/>
        <w:tabs>
          <w:tab w:val="left" w:pos="851"/>
        </w:tabs>
        <w:ind w:left="720"/>
        <w:jc w:val="both"/>
        <w:rPr>
          <w:rFonts w:ascii="Arial" w:hAnsi="Arial" w:cs="Arial"/>
          <w:noProof/>
          <w:szCs w:val="22"/>
        </w:rPr>
      </w:pPr>
    </w:p>
    <w:p w14:paraId="31C09B09"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5086902" w14:textId="77777777" w:rsidR="006661FE" w:rsidRPr="004248A1" w:rsidRDefault="006661FE" w:rsidP="006661FE">
      <w:pPr>
        <w:pStyle w:val="Header"/>
        <w:tabs>
          <w:tab w:val="left" w:pos="851"/>
        </w:tabs>
        <w:ind w:left="720"/>
        <w:jc w:val="both"/>
        <w:rPr>
          <w:rFonts w:ascii="Arial" w:hAnsi="Arial" w:cs="Arial"/>
          <w:noProof/>
          <w:szCs w:val="22"/>
        </w:rPr>
      </w:pPr>
    </w:p>
    <w:p w14:paraId="6EB1492A"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2250CF7D"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1134B260"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2DABB6B0" w14:textId="77777777" w:rsidR="006661FE" w:rsidRDefault="006661FE" w:rsidP="006661FE">
      <w:pPr>
        <w:pStyle w:val="Header"/>
        <w:tabs>
          <w:tab w:val="left" w:pos="851"/>
        </w:tabs>
        <w:jc w:val="both"/>
        <w:rPr>
          <w:rFonts w:ascii="Arial" w:hAnsi="Arial" w:cs="Arial"/>
          <w:noProof/>
          <w:szCs w:val="22"/>
        </w:rPr>
      </w:pPr>
    </w:p>
    <w:p w14:paraId="2F8C3F0D"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325BA9A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0187E33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240793"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62436965" w14:textId="77777777" w:rsidR="002A0607" w:rsidRDefault="002A0607" w:rsidP="00097CD6">
      <w:pPr>
        <w:pStyle w:val="Header"/>
        <w:jc w:val="both"/>
        <w:rPr>
          <w:rFonts w:ascii="Arial" w:hAnsi="Arial" w:cs="Arial"/>
          <w:noProof/>
          <w:szCs w:val="22"/>
        </w:rPr>
      </w:pPr>
    </w:p>
    <w:p w14:paraId="6345AE02" w14:textId="77777777" w:rsidR="00DC397B" w:rsidRDefault="00DC397B" w:rsidP="00C1337D">
      <w:pPr>
        <w:pStyle w:val="Header"/>
        <w:numPr>
          <w:ilvl w:val="0"/>
          <w:numId w:val="150"/>
        </w:numPr>
        <w:jc w:val="both"/>
        <w:rPr>
          <w:rFonts w:ascii="Arial" w:hAnsi="Arial" w:cs="Arial"/>
          <w:noProof/>
          <w:szCs w:val="22"/>
        </w:rPr>
      </w:pPr>
      <w:r>
        <w:rPr>
          <w:rFonts w:ascii="Arial" w:hAnsi="Arial" w:cs="Arial"/>
          <w:noProof/>
          <w:szCs w:val="22"/>
        </w:rPr>
        <w:t>A NHH locationakl demand element is calculated in accordance with the methodolgy</w:t>
      </w:r>
      <w:r w:rsidR="00A36F6F">
        <w:rPr>
          <w:rFonts w:ascii="Arial" w:hAnsi="Arial" w:cs="Arial"/>
          <w:noProof/>
          <w:szCs w:val="22"/>
        </w:rPr>
        <w:t xml:space="preserve"> given in 14.16.2 </w:t>
      </w:r>
    </w:p>
    <w:p w14:paraId="3A1272A4" w14:textId="77777777" w:rsidR="00DD2A95" w:rsidRDefault="00DD2A95" w:rsidP="00F66231">
      <w:pPr>
        <w:pStyle w:val="Header"/>
        <w:numPr>
          <w:ilvl w:val="0"/>
          <w:numId w:val="151"/>
        </w:numPr>
        <w:jc w:val="both"/>
        <w:rPr>
          <w:rFonts w:ascii="Arial" w:hAnsi="Arial" w:cs="Arial"/>
          <w:noProof/>
          <w:szCs w:val="22"/>
        </w:rPr>
      </w:pPr>
    </w:p>
    <w:p w14:paraId="4F2F2893" w14:textId="37FAA996" w:rsidR="006661FE" w:rsidRPr="004248A1" w:rsidRDefault="006661FE" w:rsidP="009F4595">
      <w:pPr>
        <w:pStyle w:val="Header"/>
        <w:numPr>
          <w:ilvl w:val="0"/>
          <w:numId w:val="152"/>
        </w:numPr>
        <w:jc w:val="both"/>
        <w:rPr>
          <w:rFonts w:ascii="Arial" w:hAnsi="Arial" w:cs="Arial"/>
          <w:noProof/>
          <w:szCs w:val="22"/>
        </w:rPr>
      </w:pPr>
      <w:r w:rsidRPr="004248A1">
        <w:rPr>
          <w:rFonts w:ascii="Arial" w:hAnsi="Arial" w:cs="Arial"/>
          <w:noProof/>
          <w:szCs w:val="22"/>
        </w:rPr>
        <w:t xml:space="preserve">We now need to calculate the </w:t>
      </w:r>
      <w:r w:rsidR="00CD7AD4">
        <w:rPr>
          <w:rFonts w:ascii="Arial" w:hAnsi="Arial" w:cs="Arial"/>
          <w:noProof/>
          <w:szCs w:val="22"/>
        </w:rPr>
        <w:t xml:space="preserve">Transmission Demand Residual </w:t>
      </w:r>
      <w:r w:rsidR="00916EDD">
        <w:rPr>
          <w:rFonts w:ascii="Arial" w:hAnsi="Arial" w:cs="Arial"/>
          <w:noProof/>
          <w:szCs w:val="22"/>
        </w:rPr>
        <w:t>T</w:t>
      </w:r>
      <w:r w:rsidRPr="004248A1">
        <w:rPr>
          <w:rFonts w:ascii="Arial" w:hAnsi="Arial" w:cs="Arial"/>
          <w:noProof/>
          <w:szCs w:val="22"/>
        </w:rPr>
        <w:t>ariff</w:t>
      </w:r>
      <w:r w:rsidR="00916EDD">
        <w:rPr>
          <w:rFonts w:ascii="Arial" w:hAnsi="Arial" w:cs="Arial"/>
          <w:noProof/>
          <w:szCs w:val="22"/>
        </w:rPr>
        <w:t>s</w:t>
      </w:r>
      <w:r w:rsidRPr="004248A1">
        <w:rPr>
          <w:rFonts w:ascii="Arial" w:hAnsi="Arial" w:cs="Arial"/>
          <w:noProof/>
          <w:szCs w:val="22"/>
        </w:rPr>
        <w:t>.  This is calculated by</w:t>
      </w:r>
      <w:r w:rsidR="00916EDD">
        <w:rPr>
          <w:rFonts w:ascii="Arial" w:hAnsi="Arial" w:cs="Arial"/>
          <w:noProof/>
          <w:szCs w:val="22"/>
        </w:rPr>
        <w:t xml:space="preserve"> first</w:t>
      </w:r>
      <w:r w:rsidRPr="004248A1">
        <w:rPr>
          <w:rFonts w:ascii="Arial" w:hAnsi="Arial" w:cs="Arial"/>
          <w:noProof/>
          <w:szCs w:val="22"/>
        </w:rPr>
        <w:t xml:space="preserve"> taking the total revenue to be recovered from demand less the revenue which would be recovered through the demand t tariffs </w:t>
      </w:r>
      <w:r w:rsidR="001860DC">
        <w:rPr>
          <w:rFonts w:ascii="Arial" w:hAnsi="Arial" w:cs="Arial"/>
          <w:noProof/>
          <w:szCs w:val="22"/>
        </w:rPr>
        <w:t>and revenue recovery through embedded export tariffs,</w:t>
      </w:r>
      <w:r w:rsidRPr="004248A1">
        <w:rPr>
          <w:rFonts w:ascii="Arial" w:hAnsi="Arial" w:cs="Arial"/>
          <w:noProof/>
          <w:szCs w:val="22"/>
        </w:rPr>
        <w:t>.</w:t>
      </w:r>
    </w:p>
    <w:p w14:paraId="5F3463EB" w14:textId="77777777" w:rsidR="006661FE" w:rsidRPr="004248A1" w:rsidRDefault="006661FE" w:rsidP="006661FE">
      <w:pPr>
        <w:pStyle w:val="Header"/>
        <w:tabs>
          <w:tab w:val="left" w:pos="284"/>
        </w:tabs>
        <w:jc w:val="both"/>
        <w:rPr>
          <w:rFonts w:ascii="Arial" w:hAnsi="Arial" w:cs="Arial"/>
          <w:noProof/>
          <w:szCs w:val="22"/>
        </w:rPr>
      </w:pPr>
    </w:p>
    <w:p w14:paraId="77EA2A60" w14:textId="79F9AEF0" w:rsidR="006661FE" w:rsidRPr="004248A1" w:rsidRDefault="006661FE" w:rsidP="006661FE">
      <w:pPr>
        <w:pStyle w:val="Header"/>
        <w:ind w:left="720"/>
        <w:jc w:val="both"/>
        <w:rPr>
          <w:rFonts w:ascii="Arial" w:hAnsi="Arial" w:cs="Arial"/>
          <w:noProof/>
          <w:szCs w:val="22"/>
        </w:rPr>
      </w:pPr>
      <w:r w:rsidRPr="004248A1">
        <w:rPr>
          <w:rFonts w:ascii="Arial" w:hAnsi="Arial" w:cs="Arial"/>
          <w:noProof/>
          <w:szCs w:val="22"/>
        </w:rPr>
        <w:t xml:space="preserve">Assuming the total revenue to be recovered from </w:t>
      </w:r>
      <w:r w:rsidR="001860DC">
        <w:rPr>
          <w:rFonts w:ascii="Arial" w:hAnsi="Arial" w:cs="Arial"/>
          <w:noProof/>
          <w:szCs w:val="22"/>
        </w:rPr>
        <w:t xml:space="preserve">gross GSP group </w:t>
      </w:r>
      <w:r w:rsidRPr="004248A1">
        <w:rPr>
          <w:rFonts w:ascii="Arial" w:hAnsi="Arial" w:cs="Arial"/>
          <w:noProof/>
          <w:szCs w:val="22"/>
        </w:rPr>
        <w:t xml:space="preserve">demand =  £779m.   Assuming the total recovery from </w:t>
      </w:r>
      <w:r w:rsidR="001860DC">
        <w:rPr>
          <w:rFonts w:ascii="Arial" w:hAnsi="Arial" w:cs="Arial"/>
          <w:noProof/>
          <w:szCs w:val="22"/>
        </w:rPr>
        <w:t xml:space="preserve"> GSP group </w:t>
      </w:r>
      <w:r w:rsidRPr="004248A1">
        <w:rPr>
          <w:rFonts w:ascii="Arial" w:hAnsi="Arial" w:cs="Arial"/>
          <w:noProof/>
          <w:szCs w:val="22"/>
        </w:rPr>
        <w:t xml:space="preserve">demand </w:t>
      </w:r>
      <w:r w:rsidR="00F37895">
        <w:rPr>
          <w:rFonts w:ascii="Arial" w:hAnsi="Arial" w:cs="Arial"/>
          <w:noProof/>
          <w:szCs w:val="22"/>
        </w:rPr>
        <w:t>locational  and energy</w:t>
      </w:r>
      <w:r w:rsidRPr="004248A1">
        <w:rPr>
          <w:rFonts w:ascii="Arial" w:hAnsi="Arial" w:cs="Arial"/>
          <w:noProof/>
          <w:szCs w:val="22"/>
        </w:rPr>
        <w:t xml:space="preserve"> tariffs is £1</w:t>
      </w:r>
      <w:r w:rsidR="003A0CB9">
        <w:rPr>
          <w:rFonts w:ascii="Arial" w:hAnsi="Arial" w:cs="Arial"/>
          <w:noProof/>
          <w:szCs w:val="22"/>
        </w:rPr>
        <w:t>4</w:t>
      </w:r>
      <w:r w:rsidRPr="004248A1">
        <w:rPr>
          <w:rFonts w:ascii="Arial" w:hAnsi="Arial" w:cs="Arial"/>
          <w:noProof/>
          <w:szCs w:val="22"/>
        </w:rPr>
        <w:t>0m</w:t>
      </w:r>
      <w:r w:rsidR="003A0CB9">
        <w:rPr>
          <w:rFonts w:ascii="Arial" w:hAnsi="Arial" w:cs="Arial"/>
          <w:noProof/>
          <w:szCs w:val="22"/>
        </w:rPr>
        <w:t>, total recovery from embedded export tariffs is -£10m</w:t>
      </w:r>
      <w:r w:rsidR="00FD71D9">
        <w:rPr>
          <w:rFonts w:ascii="Arial" w:hAnsi="Arial" w:cs="Arial"/>
          <w:noProof/>
          <w:szCs w:val="22"/>
        </w:rPr>
        <w:t xml:space="preserve"> the total revenue to be recovered through the Transmission Demand Residual Tariffs will be as follows</w:t>
      </w:r>
    </w:p>
    <w:p w14:paraId="6D689650" w14:textId="77777777" w:rsidR="006661FE" w:rsidRPr="004248A1" w:rsidRDefault="006661FE" w:rsidP="006661FE">
      <w:pPr>
        <w:pStyle w:val="Header"/>
        <w:tabs>
          <w:tab w:val="left" w:pos="284"/>
        </w:tabs>
        <w:jc w:val="both"/>
        <w:rPr>
          <w:rFonts w:ascii="Arial" w:hAnsi="Arial" w:cs="Arial"/>
          <w:noProof/>
          <w:szCs w:val="22"/>
        </w:rPr>
      </w:pPr>
    </w:p>
    <w:p w14:paraId="605B7B90" w14:textId="02C06989" w:rsidR="006661FE" w:rsidRPr="004248A1" w:rsidRDefault="006661FE" w:rsidP="003A0CB9">
      <w:pPr>
        <w:pStyle w:val="Header"/>
        <w:tabs>
          <w:tab w:val="left" w:pos="284"/>
        </w:tabs>
        <w:ind w:left="142"/>
        <w:jc w:val="center"/>
        <w:rPr>
          <w:rFonts w:ascii="Arial" w:hAnsi="Arial" w:cs="Arial"/>
          <w:noProof/>
          <w:szCs w:val="22"/>
        </w:rPr>
      </w:pPr>
    </w:p>
    <w:p w14:paraId="30A030EF" w14:textId="2CFE4239" w:rsidR="006661FE" w:rsidRPr="00765AD1" w:rsidRDefault="0049733E" w:rsidP="006661FE">
      <w:pPr>
        <w:pStyle w:val="Header"/>
        <w:tabs>
          <w:tab w:val="left" w:pos="284"/>
        </w:tabs>
        <w:ind w:left="142"/>
        <w:jc w:val="both"/>
        <w:rPr>
          <w:rFonts w:ascii="Arial" w:hAnsi="Arial" w:cs="Arial"/>
          <w:noProof/>
        </w:rPr>
      </w:pPr>
      <m:oMathPara>
        <m:oMath>
          <m:r>
            <w:rPr>
              <w:rFonts w:ascii="Cambria Math" w:hAnsi="Cambria Math"/>
            </w:rPr>
            <m:t>£779m-£140m- -£10m=£649m</m:t>
          </m:r>
        </m:oMath>
      </m:oMathPara>
    </w:p>
    <w:p w14:paraId="338CC448" w14:textId="77777777" w:rsidR="00765AD1" w:rsidRPr="00765AD1" w:rsidRDefault="00765AD1" w:rsidP="006661FE">
      <w:pPr>
        <w:pStyle w:val="Header"/>
        <w:tabs>
          <w:tab w:val="left" w:pos="284"/>
        </w:tabs>
        <w:ind w:left="142"/>
        <w:jc w:val="both"/>
        <w:rPr>
          <w:rFonts w:ascii="Arial" w:hAnsi="Arial" w:cs="Arial"/>
          <w:noProof/>
        </w:rPr>
      </w:pPr>
    </w:p>
    <w:p w14:paraId="3A2AAE70" w14:textId="6885858A" w:rsidR="003C68D9" w:rsidRDefault="003C68D9" w:rsidP="003C68D9">
      <w:pPr>
        <w:pStyle w:val="Header"/>
        <w:numPr>
          <w:ilvl w:val="0"/>
          <w:numId w:val="154"/>
        </w:numPr>
        <w:jc w:val="both"/>
        <w:rPr>
          <w:rFonts w:ascii="Arial" w:hAnsi="Arial" w:cs="Arial"/>
          <w:noProof/>
          <w:szCs w:val="22"/>
        </w:rPr>
      </w:pPr>
      <w:r>
        <w:rPr>
          <w:rFonts w:ascii="Arial" w:hAnsi="Arial" w:cs="Arial"/>
          <w:noProof/>
          <w:szCs w:val="22"/>
        </w:rPr>
        <w:t xml:space="preserve">The total revenue to be recovered from the </w:t>
      </w:r>
      <w:r>
        <w:rPr>
          <w:rFonts w:ascii="Arial" w:hAnsi="Arial" w:cs="Arial"/>
          <w:b/>
          <w:noProof/>
          <w:szCs w:val="22"/>
        </w:rPr>
        <w:t>Transmission Demand Residual Tariffs</w:t>
      </w:r>
      <w:r>
        <w:rPr>
          <w:rFonts w:ascii="Arial" w:hAnsi="Arial" w:cs="Arial"/>
          <w:noProof/>
          <w:szCs w:val="22"/>
        </w:rPr>
        <w:t xml:space="preserve"> as calculated in (i) above is then apportioned between the </w:t>
      </w:r>
      <w:r>
        <w:rPr>
          <w:rFonts w:ascii="Arial" w:hAnsi="Arial" w:cs="Arial"/>
          <w:b/>
          <w:noProof/>
          <w:szCs w:val="22"/>
        </w:rPr>
        <w:t>Charging Bands</w:t>
      </w:r>
      <w:r>
        <w:rPr>
          <w:rFonts w:ascii="Arial" w:hAnsi="Arial" w:cs="Arial"/>
          <w:noProof/>
          <w:szCs w:val="22"/>
        </w:rPr>
        <w:t xml:space="preserve"> as set in 14.15.137 by the  sum of the annual energy consumption of the </w:t>
      </w:r>
      <w:r>
        <w:rPr>
          <w:rFonts w:ascii="Arial" w:hAnsi="Arial" w:cs="Arial"/>
          <w:b/>
          <w:noProof/>
          <w:szCs w:val="22"/>
        </w:rPr>
        <w:t>Final Demand Sites</w:t>
      </w:r>
      <w:r>
        <w:rPr>
          <w:rFonts w:ascii="Arial" w:hAnsi="Arial" w:cs="Arial"/>
          <w:noProof/>
          <w:szCs w:val="22"/>
        </w:rPr>
        <w:t xml:space="preserve"> or </w:t>
      </w:r>
      <w:r>
        <w:rPr>
          <w:rFonts w:ascii="Arial" w:hAnsi="Arial" w:cs="Arial"/>
          <w:b/>
          <w:noProof/>
          <w:szCs w:val="22"/>
        </w:rPr>
        <w:t>Unmetered Supplies</w:t>
      </w:r>
      <w:r>
        <w:rPr>
          <w:rFonts w:ascii="Arial" w:hAnsi="Arial" w:cs="Arial"/>
          <w:noProof/>
          <w:szCs w:val="22"/>
        </w:rPr>
        <w:t xml:space="preserve"> as appropriate allocated to a </w:t>
      </w:r>
      <w:r>
        <w:rPr>
          <w:rFonts w:ascii="Arial" w:hAnsi="Arial" w:cs="Arial"/>
          <w:b/>
          <w:noProof/>
          <w:szCs w:val="22"/>
        </w:rPr>
        <w:t>Charging Band</w:t>
      </w:r>
      <w:r>
        <w:rPr>
          <w:rFonts w:ascii="Arial" w:hAnsi="Arial" w:cs="Arial"/>
          <w:noProof/>
          <w:szCs w:val="22"/>
        </w:rPr>
        <w:t xml:space="preserve"> as divided by the total annual energy consumption from all GB </w:t>
      </w:r>
      <w:r>
        <w:rPr>
          <w:rFonts w:ascii="Arial" w:hAnsi="Arial" w:cs="Arial"/>
          <w:b/>
          <w:noProof/>
          <w:szCs w:val="22"/>
        </w:rPr>
        <w:t>Final Demand Sites</w:t>
      </w:r>
      <w:r>
        <w:rPr>
          <w:rFonts w:ascii="Arial" w:hAnsi="Arial" w:cs="Arial"/>
          <w:noProof/>
          <w:szCs w:val="22"/>
        </w:rPr>
        <w:t xml:space="preserve"> and </w:t>
      </w:r>
      <w:r>
        <w:rPr>
          <w:rFonts w:ascii="Arial" w:hAnsi="Arial" w:cs="Arial"/>
          <w:b/>
          <w:noProof/>
          <w:szCs w:val="22"/>
        </w:rPr>
        <w:t>Unmetered Supplies</w:t>
      </w:r>
      <w:r>
        <w:rPr>
          <w:rFonts w:ascii="Arial" w:hAnsi="Arial" w:cs="Arial"/>
          <w:noProof/>
          <w:szCs w:val="22"/>
        </w:rPr>
        <w:t>.</w:t>
      </w:r>
    </w:p>
    <w:p w14:paraId="1272C426" w14:textId="77777777" w:rsidR="003C68D9" w:rsidRPr="002F4A25" w:rsidRDefault="003C68D9" w:rsidP="003C68D9">
      <w:pPr>
        <w:pStyle w:val="Header"/>
        <w:jc w:val="both"/>
        <w:rPr>
          <w:rFonts w:ascii="Arial" w:hAnsi="Arial" w:cs="Arial"/>
          <w:noProof/>
          <w:szCs w:val="22"/>
        </w:rPr>
      </w:pPr>
    </w:p>
    <w:p w14:paraId="57DBA7E4" w14:textId="77777777" w:rsidR="003C68D9" w:rsidRPr="002F4A25" w:rsidRDefault="003C68D9" w:rsidP="003C68D9">
      <w:pPr>
        <w:pStyle w:val="ListParagraph"/>
        <w:numPr>
          <w:ilvl w:val="0"/>
          <w:numId w:val="154"/>
        </w:numPr>
        <w:rPr>
          <w:rFonts w:ascii="Arial" w:hAnsi="Arial" w:cs="Arial"/>
          <w:noProof/>
          <w:sz w:val="22"/>
          <w:u w:val="single"/>
        </w:rPr>
      </w:pPr>
      <w:r w:rsidRPr="002F4A25">
        <w:rPr>
          <w:rFonts w:ascii="Arial" w:hAnsi="Arial" w:cs="Arial"/>
          <w:noProof/>
          <w:sz w:val="22"/>
          <w:u w:val="single"/>
        </w:rPr>
        <w:t>An example is as follows:</w:t>
      </w:r>
    </w:p>
    <w:p w14:paraId="20C4B79D" w14:textId="77777777" w:rsidR="003C68D9" w:rsidRPr="002F4A25" w:rsidRDefault="003C68D9" w:rsidP="003C68D9">
      <w:pPr>
        <w:rPr>
          <w:rFonts w:ascii="Arial" w:hAnsi="Arial" w:cs="Arial"/>
          <w:noProof/>
          <w:sz w:val="22"/>
        </w:rPr>
      </w:pPr>
    </w:p>
    <w:p w14:paraId="35C4B716" w14:textId="77777777" w:rsidR="003C68D9" w:rsidRPr="002F4A25" w:rsidRDefault="003C68D9" w:rsidP="003C68D9">
      <w:pPr>
        <w:rPr>
          <w:rFonts w:ascii="Arial" w:hAnsi="Arial" w:cs="Arial"/>
          <w:noProof/>
          <w:sz w:val="22"/>
        </w:rPr>
      </w:pPr>
      <w:r w:rsidRPr="002F4A25">
        <w:rPr>
          <w:rFonts w:ascii="Arial" w:hAnsi="Arial" w:cs="Arial"/>
          <w:noProof/>
          <w:sz w:val="22"/>
        </w:rPr>
        <w:t xml:space="preserve">The total annual consumption of all GB </w:t>
      </w:r>
      <w:r w:rsidRPr="002F4A25">
        <w:rPr>
          <w:rFonts w:ascii="Arial" w:hAnsi="Arial" w:cs="Arial"/>
          <w:b/>
          <w:noProof/>
          <w:sz w:val="22"/>
        </w:rPr>
        <w:t xml:space="preserve">Final Demand Sites </w:t>
      </w:r>
      <w:r w:rsidRPr="002F4A25">
        <w:rPr>
          <w:rFonts w:ascii="Arial" w:hAnsi="Arial" w:cs="Arial"/>
          <w:noProof/>
          <w:sz w:val="22"/>
        </w:rPr>
        <w:t>and</w:t>
      </w:r>
      <w:r w:rsidRPr="002F4A25">
        <w:rPr>
          <w:rFonts w:ascii="Arial" w:hAnsi="Arial" w:cs="Arial"/>
          <w:b/>
          <w:noProof/>
          <w:sz w:val="22"/>
        </w:rPr>
        <w:t xml:space="preserve"> Unmetered Supplies</w:t>
      </w:r>
      <w:r w:rsidRPr="002F4A25">
        <w:rPr>
          <w:rFonts w:ascii="Arial" w:hAnsi="Arial" w:cs="Arial"/>
          <w:noProof/>
          <w:sz w:val="22"/>
        </w:rPr>
        <w:t xml:space="preserve"> is 100TWh.</w:t>
      </w:r>
    </w:p>
    <w:p w14:paraId="56B0918B" w14:textId="77777777" w:rsidR="003C68D9" w:rsidRDefault="003C68D9" w:rsidP="003C68D9">
      <w:pPr>
        <w:rPr>
          <w:rFonts w:ascii="Arial" w:hAnsi="Arial" w:cs="Arial"/>
          <w:noProof/>
          <w:color w:val="FF0000"/>
          <w:sz w:val="22"/>
        </w:rPr>
      </w:pPr>
    </w:p>
    <w:p w14:paraId="4ECC776F" w14:textId="77777777" w:rsidR="003C68D9" w:rsidRPr="009F4595" w:rsidRDefault="003C68D9" w:rsidP="003C68D9">
      <w:pPr>
        <w:rPr>
          <w:rFonts w:ascii="Arial" w:hAnsi="Arial" w:cs="Arial"/>
          <w:noProof/>
          <w:sz w:val="22"/>
        </w:rPr>
      </w:pPr>
      <w:r w:rsidRPr="009F4595">
        <w:rPr>
          <w:rFonts w:ascii="Arial" w:hAnsi="Arial" w:cs="Arial"/>
          <w:noProof/>
          <w:sz w:val="22"/>
        </w:rPr>
        <w:lastRenderedPageBreak/>
        <w:t xml:space="preserve">The sum of the annual energy consumption of all </w:t>
      </w:r>
      <w:r w:rsidRPr="009F4595">
        <w:rPr>
          <w:rFonts w:ascii="Arial" w:hAnsi="Arial" w:cs="Arial"/>
          <w:b/>
          <w:noProof/>
          <w:sz w:val="22"/>
        </w:rPr>
        <w:t xml:space="preserve">Final Demand Sites </w:t>
      </w:r>
      <w:r w:rsidRPr="009F4595">
        <w:rPr>
          <w:rFonts w:ascii="Arial" w:hAnsi="Arial" w:cs="Arial"/>
          <w:noProof/>
          <w:sz w:val="22"/>
        </w:rPr>
        <w:t>in HV Charging Band 1 is 1TWh</w:t>
      </w:r>
    </w:p>
    <w:p w14:paraId="150EB36B" w14:textId="77777777" w:rsidR="003C68D9" w:rsidRPr="009F4595" w:rsidRDefault="003C68D9" w:rsidP="003C68D9">
      <w:pPr>
        <w:rPr>
          <w:rFonts w:ascii="Arial" w:hAnsi="Arial" w:cs="Arial"/>
          <w:noProof/>
          <w:sz w:val="22"/>
        </w:rPr>
      </w:pPr>
    </w:p>
    <w:p w14:paraId="7005DE6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Using the example of total revenue to be recovered through the </w:t>
      </w:r>
      <w:r w:rsidRPr="009F4595">
        <w:rPr>
          <w:rFonts w:ascii="Arial" w:hAnsi="Arial" w:cs="Arial"/>
          <w:b/>
          <w:noProof/>
          <w:sz w:val="22"/>
        </w:rPr>
        <w:t xml:space="preserve">Transmission Demand Residual Tariffs </w:t>
      </w:r>
      <w:r w:rsidRPr="009F4595">
        <w:rPr>
          <w:rFonts w:ascii="Arial" w:hAnsi="Arial" w:cs="Arial"/>
          <w:noProof/>
          <w:sz w:val="22"/>
        </w:rPr>
        <w:t xml:space="preserve">above of £649m, HV Charging Band 1 </w:t>
      </w:r>
      <w:r w:rsidRPr="009F4595">
        <w:rPr>
          <w:rFonts w:ascii="Arial" w:hAnsi="Arial" w:cs="Arial"/>
          <w:b/>
          <w:noProof/>
          <w:sz w:val="22"/>
        </w:rPr>
        <w:t>Final Demand Sites</w:t>
      </w:r>
      <w:r w:rsidRPr="009F4595">
        <w:rPr>
          <w:rFonts w:ascii="Arial" w:hAnsi="Arial" w:cs="Arial"/>
          <w:noProof/>
          <w:sz w:val="22"/>
        </w:rPr>
        <w:t xml:space="preserve"> will be liable for 1% of this cost.</w:t>
      </w:r>
    </w:p>
    <w:p w14:paraId="2C31B052" w14:textId="77777777" w:rsidR="003C68D9" w:rsidRPr="009F4595" w:rsidRDefault="003C68D9" w:rsidP="003C68D9">
      <w:pPr>
        <w:rPr>
          <w:rFonts w:ascii="Arial" w:hAnsi="Arial" w:cs="Arial"/>
          <w:noProof/>
          <w:sz w:val="22"/>
        </w:rPr>
      </w:pPr>
    </w:p>
    <w:p w14:paraId="0945F55C"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annual cost per site will be </w:t>
      </w:r>
      <m:oMath>
        <m:f>
          <m:fPr>
            <m:ctrlPr>
              <w:rPr>
                <w:rFonts w:ascii="Cambria Math" w:hAnsi="Cambria Math" w:cs="Arial"/>
                <w:i/>
                <w:noProof/>
                <w:sz w:val="22"/>
                <w:szCs w:val="22"/>
              </w:rPr>
            </m:ctrlPr>
          </m:fPr>
          <m:num>
            <m:r>
              <w:rPr>
                <w:rFonts w:ascii="Cambria Math" w:hAnsi="Cambria Math" w:cs="Arial"/>
                <w:noProof/>
                <w:sz w:val="22"/>
              </w:rPr>
              <m:t>£6,490,000</m:t>
            </m:r>
          </m:num>
          <m:den>
            <m:r>
              <w:rPr>
                <w:rFonts w:ascii="Cambria Math" w:hAnsi="Cambria Math" w:cs="Arial"/>
                <w:noProof/>
                <w:sz w:val="22"/>
              </w:rPr>
              <m:t>N</m:t>
            </m:r>
          </m:den>
        </m:f>
      </m:oMath>
      <w:r w:rsidRPr="009F4595">
        <w:rPr>
          <w:rFonts w:ascii="Arial" w:hAnsi="Arial" w:cs="Arial"/>
          <w:noProof/>
          <w:sz w:val="22"/>
        </w:rPr>
        <w:t xml:space="preserve"> where N is the total number of sites in HV Charging Band 1.</w:t>
      </w:r>
    </w:p>
    <w:p w14:paraId="5BE28D68" w14:textId="77777777" w:rsidR="003C68D9" w:rsidRPr="009F4595" w:rsidRDefault="003C68D9" w:rsidP="003C68D9">
      <w:pPr>
        <w:rPr>
          <w:rFonts w:ascii="Arial" w:hAnsi="Arial" w:cs="Arial"/>
          <w:noProof/>
          <w:sz w:val="22"/>
        </w:rPr>
      </w:pPr>
    </w:p>
    <w:p w14:paraId="1D57B77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If, in this example, N = 12,000 the annual charge per </w:t>
      </w:r>
      <w:r w:rsidRPr="009F4595">
        <w:rPr>
          <w:rFonts w:ascii="Arial" w:hAnsi="Arial" w:cs="Arial"/>
          <w:b/>
          <w:noProof/>
          <w:sz w:val="22"/>
        </w:rPr>
        <w:t xml:space="preserve">Final Demand Site </w:t>
      </w:r>
      <w:r w:rsidRPr="009F4595">
        <w:rPr>
          <w:rFonts w:ascii="Arial" w:hAnsi="Arial" w:cs="Arial"/>
          <w:noProof/>
          <w:sz w:val="22"/>
        </w:rPr>
        <w:t>in HV Charging Band 1 will be £540.83.</w:t>
      </w:r>
    </w:p>
    <w:p w14:paraId="4925D3D4" w14:textId="77777777" w:rsidR="003C68D9" w:rsidRPr="009F4595" w:rsidRDefault="003C68D9" w:rsidP="003C68D9">
      <w:pPr>
        <w:rPr>
          <w:rFonts w:ascii="Arial" w:hAnsi="Arial" w:cs="Arial"/>
          <w:noProof/>
          <w:sz w:val="22"/>
        </w:rPr>
      </w:pPr>
    </w:p>
    <w:p w14:paraId="4B3C3B1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w:t>
      </w:r>
      <w:r w:rsidRPr="009F4595">
        <w:rPr>
          <w:rFonts w:ascii="Arial" w:hAnsi="Arial" w:cs="Arial"/>
          <w:b/>
          <w:noProof/>
          <w:sz w:val="22"/>
        </w:rPr>
        <w:t>Transmission Demand Residual Tariff</w:t>
      </w:r>
      <w:r w:rsidRPr="009F4595">
        <w:rPr>
          <w:rFonts w:ascii="Arial" w:hAnsi="Arial" w:cs="Arial"/>
          <w:noProof/>
          <w:sz w:val="22"/>
        </w:rPr>
        <w:t xml:space="preserve"> per </w:t>
      </w:r>
      <w:r w:rsidRPr="009F4595">
        <w:rPr>
          <w:rFonts w:ascii="Arial" w:hAnsi="Arial" w:cs="Arial"/>
          <w:b/>
          <w:noProof/>
          <w:sz w:val="22"/>
        </w:rPr>
        <w:t xml:space="preserve">Final Demand Site </w:t>
      </w:r>
      <w:r w:rsidRPr="009F4595">
        <w:rPr>
          <w:rFonts w:ascii="Arial" w:hAnsi="Arial" w:cs="Arial"/>
          <w:noProof/>
          <w:sz w:val="22"/>
        </w:rPr>
        <w:t xml:space="preserve">in HV Charging Band 1 will be set as a daily charge. The annual charge, in this example £540.83, will be divided by the number of days in the charging year to deliver a </w:t>
      </w:r>
      <w:r w:rsidRPr="009F4595">
        <w:rPr>
          <w:rFonts w:ascii="Arial" w:hAnsi="Arial" w:cs="Arial"/>
          <w:b/>
          <w:noProof/>
          <w:sz w:val="22"/>
        </w:rPr>
        <w:t>Transmission Demand Residual Tariff</w:t>
      </w:r>
      <w:r w:rsidRPr="009F4595">
        <w:rPr>
          <w:rFonts w:ascii="Arial" w:hAnsi="Arial" w:cs="Arial"/>
          <w:noProof/>
          <w:sz w:val="22"/>
        </w:rPr>
        <w:t xml:space="preserve"> (£/site/day). </w:t>
      </w:r>
    </w:p>
    <w:p w14:paraId="60B2C6DA" w14:textId="77777777" w:rsidR="003C68D9" w:rsidRPr="009F4595" w:rsidRDefault="003C68D9" w:rsidP="003C68D9">
      <w:pPr>
        <w:rPr>
          <w:rFonts w:ascii="Arial" w:hAnsi="Arial" w:cs="Arial"/>
          <w:noProof/>
          <w:sz w:val="22"/>
        </w:rPr>
      </w:pPr>
    </w:p>
    <w:p w14:paraId="4583849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In this example; </w:t>
      </w:r>
      <m:oMath>
        <m:f>
          <m:fPr>
            <m:ctrlPr>
              <w:rPr>
                <w:rFonts w:ascii="Cambria Math" w:hAnsi="Cambria Math" w:cs="Arial"/>
                <w:i/>
                <w:noProof/>
                <w:sz w:val="22"/>
                <w:szCs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Pr="009F4595">
        <w:rPr>
          <w:rFonts w:ascii="Arial" w:hAnsi="Arial" w:cs="Arial"/>
          <w:noProof/>
          <w:sz w:val="22"/>
        </w:rPr>
        <w:t xml:space="preserve">  or £1.48/site/day.</w:t>
      </w:r>
    </w:p>
    <w:p w14:paraId="5F2B8EF8" w14:textId="77777777" w:rsidR="0049733E" w:rsidRPr="004248A1" w:rsidRDefault="0049733E" w:rsidP="006661FE">
      <w:pPr>
        <w:pStyle w:val="Header"/>
        <w:tabs>
          <w:tab w:val="left" w:pos="284"/>
        </w:tabs>
        <w:ind w:left="142"/>
        <w:jc w:val="both"/>
        <w:rPr>
          <w:rFonts w:ascii="Arial" w:hAnsi="Arial" w:cs="Arial"/>
          <w:noProof/>
          <w:szCs w:val="22"/>
        </w:rPr>
      </w:pPr>
    </w:p>
    <w:p w14:paraId="733ED05B" w14:textId="77777777" w:rsidR="006661FE" w:rsidRPr="004248A1" w:rsidRDefault="006661FE" w:rsidP="006661FE">
      <w:pPr>
        <w:jc w:val="both"/>
        <w:rPr>
          <w:rFonts w:ascii="Arial" w:hAnsi="Arial" w:cs="Arial"/>
          <w:noProof/>
          <w:sz w:val="22"/>
          <w:szCs w:val="22"/>
        </w:rPr>
      </w:pPr>
    </w:p>
    <w:p w14:paraId="4BCC36B5" w14:textId="606B87BC" w:rsidR="006661FE" w:rsidRPr="004248A1" w:rsidRDefault="006661FE" w:rsidP="006661FE">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8E3A76">
        <w:rPr>
          <w:rFonts w:ascii="Arial" w:hAnsi="Arial" w:cs="Arial"/>
          <w:noProof/>
          <w:sz w:val="22"/>
          <w:szCs w:val="22"/>
        </w:rPr>
        <w:t xml:space="preserve"> Transmission Demand Residual </w:t>
      </w:r>
      <w:r w:rsidRPr="004248A1">
        <w:rPr>
          <w:rFonts w:ascii="Arial" w:hAnsi="Arial" w:cs="Arial"/>
          <w:noProof/>
          <w:sz w:val="22"/>
          <w:szCs w:val="22"/>
        </w:rPr>
        <w:t xml:space="preserve">tariff is subject to further adjustment to allow for the minimum £0/kW </w:t>
      </w:r>
      <w:r w:rsidR="003A0CB9">
        <w:rPr>
          <w:rFonts w:ascii="Arial" w:hAnsi="Arial" w:cs="Arial"/>
          <w:noProof/>
          <w:sz w:val="22"/>
          <w:szCs w:val="22"/>
        </w:rPr>
        <w:t xml:space="preserve">gross </w:t>
      </w:r>
      <w:r w:rsidRPr="004248A1">
        <w:rPr>
          <w:rFonts w:ascii="Arial" w:hAnsi="Arial" w:cs="Arial"/>
          <w:noProof/>
          <w:sz w:val="22"/>
          <w:szCs w:val="22"/>
        </w:rPr>
        <w:t>demand charge. The application of a discount for small generators pursuant to Licence Condition C13 will also affect the final</w:t>
      </w:r>
      <w:r w:rsidR="003A0CB9">
        <w:rPr>
          <w:rFonts w:ascii="Arial" w:hAnsi="Arial" w:cs="Arial"/>
          <w:noProof/>
          <w:sz w:val="22"/>
          <w:szCs w:val="22"/>
        </w:rPr>
        <w:t xml:space="preserve"> gross</w:t>
      </w:r>
      <w:r w:rsidRPr="004248A1">
        <w:rPr>
          <w:rFonts w:ascii="Arial" w:hAnsi="Arial" w:cs="Arial"/>
          <w:noProof/>
          <w:sz w:val="22"/>
          <w:szCs w:val="22"/>
        </w:rPr>
        <w:t xml:space="preserve"> demand tariff. </w:t>
      </w:r>
    </w:p>
    <w:p w14:paraId="745B9D22" w14:textId="77777777" w:rsidR="006661FE" w:rsidRPr="004248A1" w:rsidRDefault="006661FE" w:rsidP="006661FE">
      <w:pPr>
        <w:rPr>
          <w:rFonts w:ascii="Arial" w:hAnsi="Arial" w:cs="Arial"/>
          <w:sz w:val="22"/>
          <w:szCs w:val="22"/>
        </w:rPr>
      </w:pPr>
    </w:p>
    <w:p w14:paraId="79A82A51" w14:textId="77777777" w:rsidR="006661FE" w:rsidRPr="00FE40FB" w:rsidRDefault="006661FE" w:rsidP="006661FE">
      <w:pPr>
        <w:pStyle w:val="Heading1"/>
        <w:rPr>
          <w:color w:val="auto"/>
          <w:sz w:val="28"/>
          <w:szCs w:val="28"/>
        </w:rPr>
      </w:pPr>
      <w:bookmarkStart w:id="530" w:name="_Ref491664379"/>
      <w:bookmarkStart w:id="531" w:name="_Toc32201105"/>
      <w:r w:rsidRPr="004248A1">
        <w:rPr>
          <w:rFonts w:ascii="Arial" w:hAnsi="Arial" w:cs="Arial"/>
          <w:sz w:val="22"/>
          <w:szCs w:val="22"/>
        </w:rPr>
        <w:br w:type="page"/>
      </w:r>
      <w:bookmarkStart w:id="532" w:name="_Toc49661155"/>
      <w:bookmarkStart w:id="533" w:name="_Toc274049734"/>
      <w:r w:rsidRPr="00FE40FB">
        <w:rPr>
          <w:color w:val="auto"/>
          <w:sz w:val="28"/>
          <w:szCs w:val="28"/>
        </w:rPr>
        <w:lastRenderedPageBreak/>
        <w:t>14.2</w:t>
      </w:r>
      <w:r w:rsidR="00436045">
        <w:rPr>
          <w:color w:val="auto"/>
          <w:sz w:val="28"/>
          <w:szCs w:val="28"/>
        </w:rPr>
        <w:t>5</w:t>
      </w:r>
      <w:r w:rsidRPr="00FE40FB">
        <w:rPr>
          <w:color w:val="auto"/>
          <w:sz w:val="28"/>
          <w:szCs w:val="28"/>
        </w:rPr>
        <w:t xml:space="preserve"> Reconciliation of </w:t>
      </w:r>
      <w:r w:rsidR="003A0CB9">
        <w:rPr>
          <w:color w:val="auto"/>
          <w:sz w:val="28"/>
          <w:szCs w:val="28"/>
        </w:rPr>
        <w:t xml:space="preserve">Gross </w:t>
      </w:r>
      <w:r w:rsidRPr="00FE40FB">
        <w:rPr>
          <w:color w:val="auto"/>
          <w:sz w:val="28"/>
          <w:szCs w:val="28"/>
        </w:rPr>
        <w:t>Demand Related Transmission Network Use of System Charges</w:t>
      </w:r>
      <w:bookmarkEnd w:id="530"/>
      <w:bookmarkEnd w:id="531"/>
      <w:bookmarkEnd w:id="532"/>
      <w:bookmarkEnd w:id="533"/>
    </w:p>
    <w:p w14:paraId="436C6720" w14:textId="77777777" w:rsidR="006661FE" w:rsidRDefault="006661FE" w:rsidP="006661FE">
      <w:pPr>
        <w:pStyle w:val="1"/>
        <w:jc w:val="both"/>
      </w:pPr>
    </w:p>
    <w:p w14:paraId="30BD20A6" w14:textId="2DBC359E" w:rsidR="006661FE" w:rsidRPr="004248A1" w:rsidRDefault="4DB720A2" w:rsidP="006661FE">
      <w:pPr>
        <w:pStyle w:val="BodyText"/>
        <w:rPr>
          <w:rFonts w:ascii="Arial" w:hAnsi="Arial" w:cs="Arial"/>
          <w:sz w:val="22"/>
          <w:szCs w:val="22"/>
        </w:rPr>
      </w:pPr>
      <w:bookmarkStart w:id="534" w:name="_Hlt479666837"/>
      <w:bookmarkStart w:id="535" w:name="_Hlt506623598"/>
      <w:bookmarkEnd w:id="534"/>
      <w:bookmarkEnd w:id="535"/>
      <w:r w:rsidRPr="0537B9E0">
        <w:rPr>
          <w:rFonts w:ascii="Arial" w:hAnsi="Arial" w:cs="Arial"/>
          <w:sz w:val="22"/>
          <w:szCs w:val="22"/>
        </w:rPr>
        <w:t xml:space="preserve">This appendix illustrates the methodology used by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in the reconciliation of Transmission Network Use of System charges for </w:t>
      </w:r>
      <w:r w:rsidR="297247EC" w:rsidRPr="0537B9E0">
        <w:rPr>
          <w:rFonts w:ascii="Arial" w:hAnsi="Arial" w:cs="Arial"/>
          <w:sz w:val="22"/>
          <w:szCs w:val="22"/>
        </w:rPr>
        <w:t xml:space="preserve">gross </w:t>
      </w:r>
      <w:r w:rsidRPr="0537B9E0">
        <w:rPr>
          <w:rFonts w:ascii="Arial" w:hAnsi="Arial" w:cs="Arial"/>
          <w:sz w:val="22"/>
          <w:szCs w:val="22"/>
        </w:rPr>
        <w:t>demand</w:t>
      </w:r>
      <w:r w:rsidR="60B99303" w:rsidRPr="0537B9E0">
        <w:rPr>
          <w:rFonts w:ascii="Arial" w:hAnsi="Arial" w:cs="Arial"/>
          <w:sz w:val="22"/>
          <w:szCs w:val="22"/>
        </w:rPr>
        <w:t xml:space="preserve">. </w:t>
      </w:r>
      <w:r w:rsidRPr="0537B9E0">
        <w:rPr>
          <w:rFonts w:ascii="Arial" w:hAnsi="Arial" w:cs="Arial"/>
          <w:sz w:val="22"/>
          <w:szCs w:val="22"/>
        </w:rPr>
        <w:t xml:space="preserve">The example highlights the </w:t>
      </w:r>
      <w:bookmarkStart w:id="536" w:name="_Int_fSc2ZTnz"/>
      <w:r w:rsidRPr="0537B9E0">
        <w:rPr>
          <w:rFonts w:ascii="Arial" w:hAnsi="Arial" w:cs="Arial"/>
          <w:sz w:val="22"/>
          <w:szCs w:val="22"/>
        </w:rPr>
        <w:t>different stages</w:t>
      </w:r>
      <w:bookmarkEnd w:id="536"/>
      <w:r w:rsidRPr="0537B9E0">
        <w:rPr>
          <w:rFonts w:ascii="Arial" w:hAnsi="Arial" w:cs="Arial"/>
          <w:sz w:val="22"/>
          <w:szCs w:val="22"/>
        </w:rPr>
        <w:t xml:space="preserve"> of the calculations from the monthly invoiced amounts, right through to Final Reconciliation.</w:t>
      </w:r>
    </w:p>
    <w:p w14:paraId="629A5AF7" w14:textId="77777777" w:rsidR="006661FE" w:rsidRPr="004248A1" w:rsidRDefault="006661FE" w:rsidP="006661FE">
      <w:pPr>
        <w:pStyle w:val="Heading2"/>
        <w:rPr>
          <w:rFonts w:ascii="Arial" w:hAnsi="Arial" w:cs="Arial"/>
        </w:rPr>
      </w:pPr>
      <w:bookmarkStart w:id="537" w:name="_Toc946728"/>
    </w:p>
    <w:p w14:paraId="56A0ADB1" w14:textId="77777777" w:rsidR="006661FE" w:rsidRPr="004248A1" w:rsidRDefault="006661FE" w:rsidP="006661FE">
      <w:pPr>
        <w:pStyle w:val="Heading2"/>
        <w:rPr>
          <w:rFonts w:ascii="Arial" w:hAnsi="Arial" w:cs="Arial"/>
        </w:rPr>
      </w:pPr>
      <w:bookmarkStart w:id="538" w:name="_Toc32201106"/>
      <w:bookmarkStart w:id="539" w:name="_Toc49661156"/>
      <w:bookmarkStart w:id="540" w:name="_Toc274049735"/>
      <w:r w:rsidRPr="004248A1">
        <w:rPr>
          <w:rFonts w:ascii="Arial" w:hAnsi="Arial" w:cs="Arial"/>
        </w:rPr>
        <w:t>Monthly Charges</w:t>
      </w:r>
      <w:bookmarkEnd w:id="537"/>
      <w:bookmarkEnd w:id="538"/>
      <w:bookmarkEnd w:id="539"/>
      <w:bookmarkEnd w:id="540"/>
    </w:p>
    <w:p w14:paraId="6D3431B8" w14:textId="77777777" w:rsidR="006661FE" w:rsidRPr="004248A1" w:rsidRDefault="006661FE" w:rsidP="006661FE">
      <w:pPr>
        <w:pStyle w:val="BodyText"/>
        <w:rPr>
          <w:rFonts w:ascii="Arial" w:hAnsi="Arial" w:cs="Arial"/>
          <w:sz w:val="22"/>
        </w:rPr>
      </w:pPr>
    </w:p>
    <w:p w14:paraId="0664588F" w14:textId="7BB4B32E" w:rsidR="006661FE" w:rsidRPr="004248A1" w:rsidRDefault="4DB720A2" w:rsidP="006661FE">
      <w:pPr>
        <w:pStyle w:val="BodyText"/>
        <w:rPr>
          <w:rFonts w:ascii="Arial" w:hAnsi="Arial" w:cs="Arial"/>
        </w:rPr>
      </w:pPr>
      <w:r w:rsidRPr="0537B9E0">
        <w:rPr>
          <w:rFonts w:ascii="Arial" w:hAnsi="Arial" w:cs="Arial"/>
          <w:sz w:val="22"/>
          <w:szCs w:val="22"/>
        </w:rPr>
        <w:t xml:space="preserve">Suppliers provide half-hourly (HH) </w:t>
      </w:r>
      <w:r w:rsidR="297247EC" w:rsidRPr="0537B9E0">
        <w:rPr>
          <w:rFonts w:ascii="Arial" w:hAnsi="Arial" w:cs="Arial"/>
          <w:sz w:val="22"/>
          <w:szCs w:val="22"/>
        </w:rPr>
        <w:t xml:space="preserve">gross demand and embedded export forecasts </w:t>
      </w:r>
      <w:r w:rsidRPr="0537B9E0">
        <w:rPr>
          <w:rFonts w:ascii="Arial" w:hAnsi="Arial" w:cs="Arial"/>
          <w:sz w:val="22"/>
          <w:szCs w:val="22"/>
        </w:rPr>
        <w:t>and non-half-hourly (NHH) demand forecasts by BM Unit every quarter</w:t>
      </w:r>
      <w:r w:rsidR="2FAF650E" w:rsidRPr="0537B9E0">
        <w:rPr>
          <w:rFonts w:ascii="Arial" w:hAnsi="Arial" w:cs="Arial"/>
          <w:sz w:val="22"/>
          <w:szCs w:val="22"/>
        </w:rPr>
        <w:t xml:space="preserve">. </w:t>
      </w:r>
      <w:r w:rsidR="28B76876" w:rsidRPr="0537B9E0">
        <w:rPr>
          <w:rFonts w:ascii="Arial" w:hAnsi="Arial" w:cs="Arial"/>
          <w:b/>
          <w:bCs/>
        </w:rPr>
        <w:t>The Company</w:t>
      </w:r>
      <w:r w:rsidR="28B76876" w:rsidRPr="0537B9E0">
        <w:rPr>
          <w:rFonts w:ascii="Arial" w:hAnsi="Arial" w:cs="Arial"/>
        </w:rPr>
        <w:t xml:space="preserve"> provides FDSC Forecasts and Unmetered Supply Volume Forecasts on behalf of Suppliers</w:t>
      </w:r>
      <w:r w:rsidR="68EBE9FE" w:rsidRPr="0537B9E0">
        <w:rPr>
          <w:rFonts w:ascii="Arial" w:hAnsi="Arial" w:cs="Arial"/>
        </w:rPr>
        <w:t xml:space="preserve">. </w:t>
      </w:r>
      <w:r w:rsidRPr="0537B9E0">
        <w:rPr>
          <w:rFonts w:ascii="Arial" w:hAnsi="Arial" w:cs="Arial"/>
          <w:sz w:val="22"/>
          <w:szCs w:val="22"/>
        </w:rPr>
        <w:t xml:space="preserve">An example of such forecasts and the corresponding monthly invoiced amounts, based on tariffs of £10.00/kW </w:t>
      </w:r>
      <w:r w:rsidR="297247EC" w:rsidRPr="0537B9E0">
        <w:rPr>
          <w:rFonts w:ascii="Arial" w:hAnsi="Arial" w:cs="Arial"/>
          <w:sz w:val="22"/>
          <w:szCs w:val="22"/>
        </w:rPr>
        <w:t xml:space="preserve">for gross demand, £5.00/kW for embedded export </w:t>
      </w:r>
      <w:r w:rsidRPr="0537B9E0">
        <w:rPr>
          <w:rFonts w:ascii="Arial" w:hAnsi="Arial" w:cs="Arial"/>
          <w:sz w:val="22"/>
          <w:szCs w:val="22"/>
        </w:rPr>
        <w:t>and 1.20p/kWh</w:t>
      </w:r>
      <w:r w:rsidR="297247EC" w:rsidRPr="0537B9E0">
        <w:rPr>
          <w:rFonts w:ascii="Arial" w:hAnsi="Arial" w:cs="Arial"/>
          <w:sz w:val="22"/>
          <w:szCs w:val="22"/>
        </w:rPr>
        <w:t xml:space="preserve"> for energy consumption</w:t>
      </w:r>
      <w:r w:rsidRPr="0537B9E0">
        <w:rPr>
          <w:rFonts w:ascii="Arial" w:hAnsi="Arial" w:cs="Arial"/>
          <w:sz w:val="22"/>
          <w:szCs w:val="22"/>
        </w:rPr>
        <w:t>, is as follows:</w:t>
      </w:r>
    </w:p>
    <w:p w14:paraId="52A60B0A" w14:textId="77777777" w:rsidR="006661FE" w:rsidRDefault="006661FE" w:rsidP="006661FE">
      <w:pPr>
        <w:pStyle w:val="BodyText"/>
      </w:pPr>
    </w:p>
    <w:p w14:paraId="50086C16" w14:textId="77777777" w:rsidR="006661FE" w:rsidRDefault="006661FE" w:rsidP="006661FE">
      <w:pPr>
        <w:pStyle w:val="BodyText"/>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14:paraId="167B63F7" w14:textId="77777777" w:rsidTr="003A0CB9">
        <w:trPr>
          <w:trHeight w:val="1114"/>
        </w:trPr>
        <w:tc>
          <w:tcPr>
            <w:tcW w:w="629" w:type="dxa"/>
            <w:tcBorders>
              <w:top w:val="single" w:sz="4" w:space="0" w:color="auto"/>
              <w:bottom w:val="nil"/>
              <w:right w:val="nil"/>
            </w:tcBorders>
            <w:vAlign w:val="center"/>
          </w:tcPr>
          <w:p w14:paraId="6E276F3E" w14:textId="773FB931" w:rsidR="003A0CB9" w:rsidRDefault="00575432" w:rsidP="003A0CB9">
            <w:pPr>
              <w:rPr>
                <w:rFonts w:ascii="Arial" w:hAnsi="Arial"/>
                <w:sz w:val="22"/>
              </w:rPr>
            </w:pPr>
            <w:r>
              <w:rPr>
                <w:rFonts w:ascii="Arial" w:hAnsi="Arial" w:cs="Arial"/>
              </w:rPr>
              <w:t>HH and NHH Forecasts</w:t>
            </w:r>
          </w:p>
        </w:tc>
        <w:tc>
          <w:tcPr>
            <w:tcW w:w="1226" w:type="dxa"/>
            <w:tcBorders>
              <w:top w:val="single" w:sz="4" w:space="0" w:color="auto"/>
              <w:left w:val="single" w:sz="4" w:space="0" w:color="auto"/>
              <w:bottom w:val="nil"/>
              <w:right w:val="single" w:sz="4" w:space="0" w:color="auto"/>
            </w:tcBorders>
            <w:vAlign w:val="center"/>
          </w:tcPr>
          <w:p w14:paraId="79E382E6" w14:textId="77777777" w:rsidR="003A0CB9" w:rsidRDefault="003A0CB9" w:rsidP="003A0CB9">
            <w:pPr>
              <w:jc w:val="center"/>
              <w:rPr>
                <w:rFonts w:ascii="Arial" w:hAnsi="Arial"/>
                <w:sz w:val="22"/>
              </w:rPr>
            </w:pPr>
            <w:r>
              <w:rPr>
                <w:rFonts w:ascii="Arial" w:hAnsi="Arial"/>
                <w:sz w:val="22"/>
              </w:rPr>
              <w:t>Forecast HH</w:t>
            </w:r>
          </w:p>
          <w:p w14:paraId="2821A89E" w14:textId="77777777" w:rsidR="003A0CB9" w:rsidRDefault="003A0CB9" w:rsidP="003A0CB9">
            <w:pPr>
              <w:jc w:val="center"/>
              <w:rPr>
                <w:rFonts w:ascii="Arial" w:hAnsi="Arial"/>
                <w:sz w:val="22"/>
              </w:rPr>
            </w:pPr>
            <w:r>
              <w:rPr>
                <w:rFonts w:ascii="Arial" w:hAnsi="Arial"/>
                <w:sz w:val="22"/>
              </w:rPr>
              <w:t>Triad Gross Demand</w:t>
            </w:r>
          </w:p>
          <w:p w14:paraId="2E4E8101"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14B7C168"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6883758A" w14:textId="77777777" w:rsidR="003A0CB9" w:rsidRDefault="003A0CB9" w:rsidP="003A0CB9">
            <w:pPr>
              <w:jc w:val="center"/>
              <w:rPr>
                <w:rFonts w:ascii="Arial" w:hAnsi="Arial"/>
                <w:sz w:val="22"/>
              </w:rPr>
            </w:pPr>
            <w:r>
              <w:rPr>
                <w:rFonts w:ascii="Arial" w:hAnsi="Arial"/>
                <w:sz w:val="22"/>
              </w:rPr>
              <w:t>Forecast HH</w:t>
            </w:r>
          </w:p>
          <w:p w14:paraId="16412945" w14:textId="77777777" w:rsidR="003A0CB9" w:rsidRDefault="003A0CB9" w:rsidP="003A0CB9">
            <w:pPr>
              <w:jc w:val="center"/>
              <w:rPr>
                <w:rFonts w:ascii="Arial" w:hAnsi="Arial"/>
                <w:sz w:val="22"/>
              </w:rPr>
            </w:pPr>
            <w:r>
              <w:rPr>
                <w:rFonts w:ascii="Arial" w:hAnsi="Arial"/>
                <w:sz w:val="22"/>
              </w:rPr>
              <w:t>Triad Embedded Export</w:t>
            </w:r>
          </w:p>
          <w:p w14:paraId="5CD8F26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09D7B442"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32AF7DB" w14:textId="77777777" w:rsidR="003A0CB9" w:rsidRDefault="003A0CB9" w:rsidP="003A0CB9">
            <w:pPr>
              <w:jc w:val="center"/>
              <w:rPr>
                <w:rFonts w:ascii="Arial" w:hAnsi="Arial"/>
                <w:sz w:val="22"/>
              </w:rPr>
            </w:pPr>
            <w:r>
              <w:rPr>
                <w:rFonts w:ascii="Arial" w:hAnsi="Arial"/>
                <w:sz w:val="22"/>
              </w:rPr>
              <w:t>Forecast NHH</w:t>
            </w:r>
          </w:p>
          <w:p w14:paraId="12736906" w14:textId="77777777" w:rsidR="003A0CB9" w:rsidRDefault="003A0CB9" w:rsidP="003A0CB9">
            <w:pPr>
              <w:jc w:val="center"/>
              <w:rPr>
                <w:rFonts w:ascii="Arial" w:hAnsi="Arial"/>
                <w:sz w:val="22"/>
              </w:rPr>
            </w:pPr>
            <w:r>
              <w:rPr>
                <w:rFonts w:ascii="Arial" w:hAnsi="Arial"/>
                <w:sz w:val="22"/>
              </w:rPr>
              <w:t>Energy Consumption</w:t>
            </w:r>
          </w:p>
          <w:p w14:paraId="7090C433"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CC3BB21"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7BEEE2B0" w14:textId="77777777" w:rsidR="003A0CB9" w:rsidRDefault="003A0CB9" w:rsidP="003A0CB9">
            <w:pPr>
              <w:jc w:val="center"/>
              <w:rPr>
                <w:rFonts w:ascii="Arial" w:hAnsi="Arial"/>
                <w:sz w:val="22"/>
              </w:rPr>
            </w:pPr>
            <w:r>
              <w:rPr>
                <w:rFonts w:ascii="Arial" w:hAnsi="Arial"/>
                <w:sz w:val="22"/>
              </w:rPr>
              <w:t>Net Monthly Invoiced Amount (£)</w:t>
            </w:r>
          </w:p>
        </w:tc>
      </w:tr>
      <w:tr w:rsidR="003A0CB9" w14:paraId="4219143D" w14:textId="77777777" w:rsidTr="003A0CB9">
        <w:trPr>
          <w:trHeight w:val="154"/>
        </w:trPr>
        <w:tc>
          <w:tcPr>
            <w:tcW w:w="629" w:type="dxa"/>
            <w:tcBorders>
              <w:top w:val="single" w:sz="4" w:space="0" w:color="auto"/>
              <w:left w:val="single" w:sz="4" w:space="0" w:color="auto"/>
              <w:bottom w:val="nil"/>
              <w:right w:val="nil"/>
            </w:tcBorders>
            <w:vAlign w:val="center"/>
          </w:tcPr>
          <w:p w14:paraId="16B6AF1C"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7968775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37B86C2D"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391ACD25"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543CD344"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3C81B4D7"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7036D7A"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398BC533" w14:textId="77777777" w:rsidR="003A0CB9" w:rsidRPr="00B8144F" w:rsidRDefault="003A0CB9" w:rsidP="003A0CB9">
            <w:pPr>
              <w:pStyle w:val="CommentText"/>
              <w:jc w:val="center"/>
              <w:rPr>
                <w:rFonts w:cs="Arial"/>
                <w:sz w:val="22"/>
              </w:rPr>
            </w:pPr>
            <w:r w:rsidRPr="00B8144F">
              <w:rPr>
                <w:rFonts w:cs="Arial"/>
                <w:sz w:val="22"/>
              </w:rPr>
              <w:t>24,750</w:t>
            </w:r>
          </w:p>
        </w:tc>
      </w:tr>
      <w:tr w:rsidR="003A0CB9" w14:paraId="0DD3907B" w14:textId="77777777" w:rsidTr="003A0CB9">
        <w:trPr>
          <w:trHeight w:val="154"/>
        </w:trPr>
        <w:tc>
          <w:tcPr>
            <w:tcW w:w="629" w:type="dxa"/>
            <w:tcBorders>
              <w:top w:val="nil"/>
              <w:left w:val="single" w:sz="4" w:space="0" w:color="auto"/>
              <w:bottom w:val="nil"/>
              <w:right w:val="nil"/>
            </w:tcBorders>
            <w:vAlign w:val="center"/>
          </w:tcPr>
          <w:p w14:paraId="572A326A"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08DCE693"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1D86559E"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58F5B6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7B333F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0DCB278"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DB75A1E"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E091767"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0FA7DB66" w14:textId="77777777" w:rsidTr="003A0CB9">
        <w:trPr>
          <w:trHeight w:val="154"/>
        </w:trPr>
        <w:tc>
          <w:tcPr>
            <w:tcW w:w="629" w:type="dxa"/>
            <w:tcBorders>
              <w:top w:val="nil"/>
              <w:left w:val="single" w:sz="4" w:space="0" w:color="auto"/>
              <w:bottom w:val="nil"/>
              <w:right w:val="nil"/>
            </w:tcBorders>
            <w:vAlign w:val="center"/>
          </w:tcPr>
          <w:p w14:paraId="085A6BCB"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0FE60B9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7564B5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495DD2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4527EC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BD789E9"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6D2B120"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2BE1C74F"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29966F1C" w14:textId="77777777" w:rsidTr="003A0CB9">
        <w:trPr>
          <w:trHeight w:val="154"/>
        </w:trPr>
        <w:tc>
          <w:tcPr>
            <w:tcW w:w="629" w:type="dxa"/>
            <w:tcBorders>
              <w:top w:val="nil"/>
              <w:left w:val="single" w:sz="4" w:space="0" w:color="auto"/>
              <w:bottom w:val="nil"/>
              <w:right w:val="nil"/>
            </w:tcBorders>
            <w:vAlign w:val="center"/>
          </w:tcPr>
          <w:p w14:paraId="35988649"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37647B2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24D48E5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96447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67070CE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1486B677"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F129DB8"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58394EF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94FADC" w14:textId="77777777" w:rsidTr="003A0CB9">
        <w:trPr>
          <w:trHeight w:val="154"/>
        </w:trPr>
        <w:tc>
          <w:tcPr>
            <w:tcW w:w="629" w:type="dxa"/>
            <w:tcBorders>
              <w:top w:val="nil"/>
              <w:bottom w:val="nil"/>
              <w:right w:val="nil"/>
            </w:tcBorders>
            <w:vAlign w:val="center"/>
          </w:tcPr>
          <w:p w14:paraId="0B314CCF"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7D5C472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823D9C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2674D8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16663A"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65C7072"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352BA2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7BC51A5"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44735376" w14:textId="77777777" w:rsidTr="003A0CB9">
        <w:trPr>
          <w:trHeight w:val="154"/>
        </w:trPr>
        <w:tc>
          <w:tcPr>
            <w:tcW w:w="629" w:type="dxa"/>
            <w:tcBorders>
              <w:top w:val="nil"/>
              <w:bottom w:val="nil"/>
              <w:right w:val="nil"/>
            </w:tcBorders>
            <w:vAlign w:val="center"/>
          </w:tcPr>
          <w:p w14:paraId="3468B48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2FE3249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8009F5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AEE5D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58E38C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C2426F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1F6DBDE"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65DB84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D72AFD" w14:textId="77777777" w:rsidTr="003A0CB9">
        <w:trPr>
          <w:trHeight w:val="154"/>
        </w:trPr>
        <w:tc>
          <w:tcPr>
            <w:tcW w:w="629" w:type="dxa"/>
            <w:tcBorders>
              <w:top w:val="nil"/>
              <w:bottom w:val="nil"/>
              <w:right w:val="nil"/>
            </w:tcBorders>
            <w:vAlign w:val="center"/>
          </w:tcPr>
          <w:p w14:paraId="17559D47"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4A7F643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43561E3"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EF9004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18B9FB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347A409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0C9AE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0472B"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2E730577" w14:textId="77777777" w:rsidTr="003A0CB9">
        <w:trPr>
          <w:trHeight w:val="154"/>
        </w:trPr>
        <w:tc>
          <w:tcPr>
            <w:tcW w:w="629" w:type="dxa"/>
            <w:tcBorders>
              <w:top w:val="nil"/>
              <w:bottom w:val="nil"/>
              <w:right w:val="nil"/>
            </w:tcBorders>
            <w:vAlign w:val="center"/>
          </w:tcPr>
          <w:p w14:paraId="1F991B2E"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4FB4838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B25FD39"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B705C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8F2C3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F9EDE5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CC587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0DBE1D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00F2F534" w14:textId="77777777" w:rsidTr="003A0CB9">
        <w:trPr>
          <w:trHeight w:val="154"/>
        </w:trPr>
        <w:tc>
          <w:tcPr>
            <w:tcW w:w="629" w:type="dxa"/>
            <w:tcBorders>
              <w:top w:val="nil"/>
              <w:bottom w:val="nil"/>
              <w:right w:val="nil"/>
            </w:tcBorders>
            <w:vAlign w:val="center"/>
          </w:tcPr>
          <w:p w14:paraId="0DA56759"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1D7A6EE4"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7CFCE516"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CED690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AE37B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4103E4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E324AD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A6CF4A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174DE23B" w14:textId="77777777" w:rsidTr="003A0CB9">
        <w:trPr>
          <w:trHeight w:val="154"/>
        </w:trPr>
        <w:tc>
          <w:tcPr>
            <w:tcW w:w="629" w:type="dxa"/>
            <w:tcBorders>
              <w:top w:val="nil"/>
              <w:bottom w:val="nil"/>
              <w:right w:val="nil"/>
            </w:tcBorders>
            <w:vAlign w:val="center"/>
          </w:tcPr>
          <w:p w14:paraId="03B57E65"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64BEAC80"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1EC9E9A"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6D8D23F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AAA2A34"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21EB8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9555D5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AEA3DB3"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445D304C" w14:textId="77777777" w:rsidTr="003A0CB9">
        <w:trPr>
          <w:trHeight w:val="154"/>
        </w:trPr>
        <w:tc>
          <w:tcPr>
            <w:tcW w:w="629" w:type="dxa"/>
            <w:tcBorders>
              <w:top w:val="nil"/>
              <w:bottom w:val="nil"/>
              <w:right w:val="nil"/>
            </w:tcBorders>
            <w:vAlign w:val="center"/>
          </w:tcPr>
          <w:p w14:paraId="21ECC1FC"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12DA9E24"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67F18A6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8570AD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E471B1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8E7246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66CAF1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285716D"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1DE0C9B8" w14:textId="77777777" w:rsidTr="003A0CB9">
        <w:trPr>
          <w:trHeight w:val="154"/>
        </w:trPr>
        <w:tc>
          <w:tcPr>
            <w:tcW w:w="629" w:type="dxa"/>
            <w:tcBorders>
              <w:top w:val="nil"/>
              <w:bottom w:val="nil"/>
              <w:right w:val="nil"/>
            </w:tcBorders>
            <w:vAlign w:val="center"/>
          </w:tcPr>
          <w:p w14:paraId="4612BB4F"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57A8AE86"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7D3C28F0"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07FB6C5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378D1E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D1A3608"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97AEF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1F2BD1"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34AC87B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3A754AF"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5568AA4B"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2B59EE97"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3422ED8C"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3AFFF3C5"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0837933A"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5717D68F"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488F1885"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59DFA324" w14:textId="77777777" w:rsidR="003A0CB9" w:rsidRDefault="003A0CB9" w:rsidP="006661FE">
      <w:pPr>
        <w:pStyle w:val="BodyText"/>
      </w:pPr>
    </w:p>
    <w:p w14:paraId="73827B3C" w14:textId="0E577D6F" w:rsidR="006661FE" w:rsidRDefault="4DB720A2" w:rsidP="0537B9E0">
      <w:pPr>
        <w:pStyle w:val="BodyText"/>
        <w:rPr>
          <w:rFonts w:ascii="Arial" w:hAnsi="Arial" w:cs="Arial"/>
          <w:sz w:val="22"/>
          <w:szCs w:val="22"/>
        </w:rPr>
      </w:pPr>
      <w:r w:rsidRPr="0537B9E0">
        <w:rPr>
          <w:rFonts w:ascii="Arial" w:hAnsi="Arial" w:cs="Arial"/>
          <w:sz w:val="22"/>
          <w:szCs w:val="22"/>
        </w:rPr>
        <w:t xml:space="preserve">As shown, for the first nine months the Supplier provided a 12,000kW HH triad </w:t>
      </w:r>
      <w:r w:rsidR="297247EC" w:rsidRPr="0537B9E0">
        <w:rPr>
          <w:rFonts w:ascii="Arial" w:hAnsi="Arial" w:cs="Arial"/>
          <w:sz w:val="22"/>
          <w:szCs w:val="22"/>
        </w:rPr>
        <w:t xml:space="preserve">gross </w:t>
      </w:r>
      <w:r w:rsidRPr="0537B9E0">
        <w:rPr>
          <w:rFonts w:ascii="Arial" w:hAnsi="Arial" w:cs="Arial"/>
          <w:sz w:val="22"/>
          <w:szCs w:val="22"/>
        </w:rPr>
        <w:t xml:space="preserve">demand forecast, and hence paid HH </w:t>
      </w:r>
      <w:r w:rsidR="297247EC" w:rsidRPr="0537B9E0">
        <w:rPr>
          <w:rFonts w:ascii="Arial" w:hAnsi="Arial" w:cs="Arial"/>
          <w:sz w:val="22"/>
          <w:szCs w:val="22"/>
        </w:rPr>
        <w:t xml:space="preserve">gross demand </w:t>
      </w:r>
      <w:r w:rsidRPr="0537B9E0">
        <w:rPr>
          <w:rFonts w:ascii="Arial" w:hAnsi="Arial" w:cs="Arial"/>
          <w:sz w:val="22"/>
          <w:szCs w:val="22"/>
        </w:rPr>
        <w:t>monthly charges of £10,000 ((12,000kW x £10.00/kW)/12) for that BM Unit</w:t>
      </w:r>
      <w:r w:rsidR="2E35C329" w:rsidRPr="0537B9E0">
        <w:rPr>
          <w:rFonts w:ascii="Arial" w:hAnsi="Arial" w:cs="Arial"/>
          <w:sz w:val="22"/>
          <w:szCs w:val="22"/>
        </w:rPr>
        <w:t xml:space="preserve">. </w:t>
      </w:r>
      <w:r w:rsidRPr="0537B9E0">
        <w:rPr>
          <w:rFonts w:ascii="Arial" w:hAnsi="Arial" w:cs="Arial"/>
          <w:sz w:val="22"/>
          <w:szCs w:val="22"/>
        </w:rPr>
        <w:t xml:space="preserve">In </w:t>
      </w:r>
      <w:bookmarkStart w:id="541" w:name="_Int_Gr5YkeqC"/>
      <w:r w:rsidRPr="0537B9E0">
        <w:rPr>
          <w:rFonts w:ascii="Arial" w:hAnsi="Arial" w:cs="Arial"/>
          <w:sz w:val="22"/>
          <w:szCs w:val="22"/>
        </w:rPr>
        <w:t>January</w:t>
      </w:r>
      <w:bookmarkEnd w:id="541"/>
      <w:r w:rsidRPr="0537B9E0">
        <w:rPr>
          <w:rFonts w:ascii="Arial" w:hAnsi="Arial" w:cs="Arial"/>
          <w:sz w:val="22"/>
          <w:szCs w:val="22"/>
        </w:rPr>
        <w:t xml:space="preserve"> the Supplier provided a revised forecast of 7,200kW, implying a forecast annual charge reduced to £72,000</w:t>
      </w:r>
      <w:r w:rsidRPr="0537B9E0">
        <w:rPr>
          <w:rFonts w:ascii="Arial" w:hAnsi="Arial" w:cs="Arial"/>
          <w:color w:val="000000" w:themeColor="text1"/>
          <w:sz w:val="22"/>
          <w:szCs w:val="22"/>
        </w:rPr>
        <w:t xml:space="preserve"> </w:t>
      </w:r>
      <w:r w:rsidRPr="0537B9E0">
        <w:rPr>
          <w:rFonts w:ascii="Arial" w:hAnsi="Arial" w:cs="Arial"/>
          <w:sz w:val="22"/>
          <w:szCs w:val="22"/>
        </w:rPr>
        <w:t>(7,200kW x £10.00/kW)</w:t>
      </w:r>
      <w:r w:rsidR="2CFED7AC" w:rsidRPr="0537B9E0">
        <w:rPr>
          <w:rFonts w:ascii="Arial" w:hAnsi="Arial" w:cs="Arial"/>
          <w:sz w:val="22"/>
          <w:szCs w:val="22"/>
        </w:rPr>
        <w:t xml:space="preserve">. </w:t>
      </w:r>
      <w:r w:rsidRPr="0537B9E0">
        <w:rPr>
          <w:rFonts w:ascii="Arial" w:hAnsi="Arial" w:cs="Arial"/>
          <w:sz w:val="22"/>
          <w:szCs w:val="22"/>
        </w:rPr>
        <w:t>The Supplier had already paid £90,000, so the excess of £18,000 was credited back to the supplier in three £6,000 instalments over the last three months of the year.</w:t>
      </w:r>
    </w:p>
    <w:p w14:paraId="6FBEA0D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7F2DFFB2" w14:textId="3AB8D87F" w:rsidR="006661FE" w:rsidRPr="004248A1" w:rsidRDefault="4DB720A2" w:rsidP="0537B9E0">
      <w:pPr>
        <w:pStyle w:val="BodyText"/>
        <w:rPr>
          <w:rFonts w:ascii="Arial" w:hAnsi="Arial" w:cs="Arial"/>
          <w:sz w:val="22"/>
          <w:szCs w:val="22"/>
        </w:rPr>
      </w:pPr>
      <w:r w:rsidRPr="0537B9E0">
        <w:rPr>
          <w:rFonts w:ascii="Arial" w:hAnsi="Arial" w:cs="Arial"/>
          <w:sz w:val="22"/>
          <w:szCs w:val="22"/>
        </w:rPr>
        <w:lastRenderedPageBreak/>
        <w:t>The Supplier also initially provided a 15,000,000kWh NHH energy consumption forecast, and hence paid NHH monthly charges of £15,000 ((15,000,000kWh x 1.2p/kWh)/12) for that BM Unit</w:t>
      </w:r>
      <w:r w:rsidR="45333012" w:rsidRPr="0537B9E0">
        <w:rPr>
          <w:rFonts w:ascii="Arial" w:hAnsi="Arial" w:cs="Arial"/>
          <w:sz w:val="22"/>
          <w:szCs w:val="22"/>
        </w:rPr>
        <w:t xml:space="preserve">. </w:t>
      </w:r>
      <w:r w:rsidRPr="0537B9E0">
        <w:rPr>
          <w:rFonts w:ascii="Arial" w:hAnsi="Arial" w:cs="Arial"/>
          <w:sz w:val="22"/>
          <w:szCs w:val="22"/>
        </w:rPr>
        <w:t xml:space="preserve">In </w:t>
      </w:r>
      <w:bookmarkStart w:id="542" w:name="_Int_FQxo6NvX"/>
      <w:r w:rsidRPr="0537B9E0">
        <w:rPr>
          <w:rFonts w:ascii="Arial" w:hAnsi="Arial" w:cs="Arial"/>
          <w:sz w:val="22"/>
          <w:szCs w:val="22"/>
        </w:rPr>
        <w:t>July</w:t>
      </w:r>
      <w:bookmarkEnd w:id="542"/>
      <w:r w:rsidRPr="0537B9E0">
        <w:rPr>
          <w:rFonts w:ascii="Arial" w:hAnsi="Arial" w:cs="Arial"/>
          <w:sz w:val="22"/>
          <w:szCs w:val="22"/>
        </w:rPr>
        <w:t xml:space="preserve"> the Supplier provided a revised forecast of 18,000,000kWh, implying a forecast annual charge increased to £216,000 (18,000,000kWh x 1.2p/kWh)</w:t>
      </w:r>
      <w:r w:rsidR="5FA73359" w:rsidRPr="0537B9E0">
        <w:rPr>
          <w:rFonts w:ascii="Arial" w:hAnsi="Arial" w:cs="Arial"/>
          <w:sz w:val="22"/>
          <w:szCs w:val="22"/>
        </w:rPr>
        <w:t xml:space="preserve">. </w:t>
      </w:r>
      <w:r w:rsidRPr="0537B9E0">
        <w:rPr>
          <w:rFonts w:ascii="Arial" w:hAnsi="Arial" w:cs="Arial"/>
          <w:sz w:val="22"/>
          <w:szCs w:val="22"/>
        </w:rPr>
        <w:t>The Supplier had already paid £45,000, so the remaining £171,000 was split into payments of £19,000 for the last nine months of the year.</w:t>
      </w:r>
    </w:p>
    <w:p w14:paraId="22B73F89"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59B1037" w14:textId="77777777" w:rsidR="004C479C" w:rsidRDefault="004C479C" w:rsidP="004C479C">
      <w:pPr>
        <w:spacing w:after="240"/>
        <w:rPr>
          <w:rFonts w:ascii="Arial" w:hAnsi="Arial" w:cs="Arial"/>
          <w:sz w:val="22"/>
          <w:szCs w:val="22"/>
        </w:rPr>
      </w:pPr>
      <w:r>
        <w:rPr>
          <w:rFonts w:ascii="Arial" w:hAnsi="Arial" w:cs="Arial"/>
        </w:rPr>
        <w:t xml:space="preserve">FDSC Forecast and Unmetered Supply Volume Forecast </w:t>
      </w:r>
    </w:p>
    <w:p w14:paraId="6B0D2596" w14:textId="18C9D863" w:rsidR="006661FE" w:rsidRDefault="004C479C" w:rsidP="004C479C">
      <w:pPr>
        <w:pStyle w:val="BodyText"/>
      </w:pPr>
      <w:r>
        <w:rPr>
          <w:rFonts w:ascii="Arial" w:hAnsi="Arial" w:cs="Arial"/>
        </w:rPr>
        <w:t xml:space="preserve">The User shall not be required to submit forecasts of FDSC or Unmetered Supply Volume. </w:t>
      </w:r>
      <w:r w:rsidRPr="009F4595">
        <w:rPr>
          <w:rFonts w:ascii="Arial" w:hAnsi="Arial" w:cs="Arial"/>
          <w:b/>
          <w:bCs/>
        </w:rPr>
        <w:t>The Company</w:t>
      </w:r>
      <w:r>
        <w:rPr>
          <w:rFonts w:ascii="Arial" w:hAnsi="Arial" w:cs="Arial"/>
        </w:rPr>
        <w:t xml:space="preserve"> shall use the latest daily actual FDSC and Unmetered Supply Volume prior to the forecast as the basis of the forecast.</w:t>
      </w:r>
    </w:p>
    <w:p w14:paraId="7267DBE2" w14:textId="77777777" w:rsidR="006661FE" w:rsidRDefault="006661FE" w:rsidP="006661FE">
      <w:pPr>
        <w:pStyle w:val="Heading2"/>
      </w:pPr>
      <w:bookmarkStart w:id="543" w:name="_Toc946729"/>
      <w:bookmarkStart w:id="544" w:name="_Toc32201107"/>
      <w:bookmarkStart w:id="545" w:name="_Toc49661157"/>
      <w:bookmarkStart w:id="546" w:name="_Toc274049736"/>
      <w:r>
        <w:t>Initial Reconciliation (Part 1</w:t>
      </w:r>
      <w:r w:rsidR="003A0CB9">
        <w:t>a</w:t>
      </w:r>
      <w:r>
        <w:t>)</w:t>
      </w:r>
      <w:bookmarkEnd w:id="543"/>
      <w:bookmarkEnd w:id="544"/>
      <w:bookmarkEnd w:id="545"/>
      <w:bookmarkEnd w:id="546"/>
    </w:p>
    <w:p w14:paraId="156B58A0" w14:textId="77777777" w:rsidR="006661FE" w:rsidRDefault="006661FE" w:rsidP="006661FE">
      <w:pPr>
        <w:pStyle w:val="BodyText"/>
        <w:rPr>
          <w:sz w:val="22"/>
        </w:rPr>
      </w:pPr>
    </w:p>
    <w:p w14:paraId="5233BEC7" w14:textId="0A2DB574" w:rsidR="006661FE" w:rsidRPr="008E4447" w:rsidRDefault="4DB720A2" w:rsidP="006661FE">
      <w:pPr>
        <w:pStyle w:val="BodyText"/>
        <w:rPr>
          <w:rFonts w:ascii="Arial" w:hAnsi="Arial" w:cs="Arial"/>
          <w:sz w:val="22"/>
          <w:szCs w:val="22"/>
        </w:rPr>
      </w:pPr>
      <w:r w:rsidRPr="0537B9E0">
        <w:rPr>
          <w:rFonts w:ascii="Arial" w:hAnsi="Arial" w:cs="Arial"/>
          <w:sz w:val="22"/>
          <w:szCs w:val="22"/>
        </w:rPr>
        <w:t xml:space="preserve">The Supplier’s outturn HH triad </w:t>
      </w:r>
      <w:r w:rsidR="297247EC" w:rsidRPr="0537B9E0">
        <w:rPr>
          <w:rFonts w:ascii="Arial" w:hAnsi="Arial" w:cs="Arial"/>
          <w:sz w:val="22"/>
          <w:szCs w:val="22"/>
        </w:rPr>
        <w:t xml:space="preserve">gross </w:t>
      </w:r>
      <w:r w:rsidRPr="0537B9E0">
        <w:rPr>
          <w:rFonts w:ascii="Arial" w:hAnsi="Arial" w:cs="Arial"/>
          <w:sz w:val="22"/>
          <w:szCs w:val="22"/>
        </w:rPr>
        <w:t xml:space="preserve">demand,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9,000kW</w:t>
      </w:r>
      <w:r w:rsidR="61285BAD" w:rsidRPr="0537B9E0">
        <w:rPr>
          <w:rFonts w:ascii="Arial" w:hAnsi="Arial" w:cs="Arial"/>
          <w:sz w:val="22"/>
          <w:szCs w:val="22"/>
        </w:rPr>
        <w:t xml:space="preserve">. </w:t>
      </w:r>
      <w:r w:rsidRPr="0537B9E0">
        <w:rPr>
          <w:rFonts w:ascii="Arial" w:hAnsi="Arial" w:cs="Arial"/>
          <w:sz w:val="22"/>
          <w:szCs w:val="22"/>
        </w:rPr>
        <w:t>The HH triad</w:t>
      </w:r>
      <w:r w:rsidR="297247EC" w:rsidRPr="0537B9E0">
        <w:rPr>
          <w:rFonts w:ascii="Arial" w:hAnsi="Arial" w:cs="Arial"/>
          <w:sz w:val="22"/>
          <w:szCs w:val="22"/>
        </w:rPr>
        <w:t xml:space="preserve"> gross</w:t>
      </w:r>
      <w:r w:rsidRPr="0537B9E0">
        <w:rPr>
          <w:rFonts w:ascii="Arial" w:hAnsi="Arial" w:cs="Arial"/>
          <w:sz w:val="22"/>
          <w:szCs w:val="22"/>
        </w:rPr>
        <w:t xml:space="preserve"> demand reconciliation charge is therefore calculated as follows:</w:t>
      </w:r>
    </w:p>
    <w:p w14:paraId="262AAB2A" w14:textId="77777777" w:rsidR="006661FE" w:rsidRPr="008E4447" w:rsidRDefault="006661FE" w:rsidP="006661FE">
      <w:pPr>
        <w:pStyle w:val="BodyText"/>
        <w:rPr>
          <w:rFonts w:ascii="Arial" w:hAnsi="Arial" w:cs="Arial"/>
          <w:sz w:val="22"/>
          <w:szCs w:val="22"/>
        </w:rPr>
      </w:pPr>
    </w:p>
    <w:p w14:paraId="4DF5400D"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54A70BBD"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277A236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3AD2D24"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75A9882E" w14:textId="4C046785" w:rsidR="006661FE" w:rsidRPr="008E4447" w:rsidRDefault="4DB720A2" w:rsidP="006661FE">
      <w:pPr>
        <w:pStyle w:val="BodyText"/>
        <w:rPr>
          <w:rFonts w:ascii="Arial" w:hAnsi="Arial" w:cs="Arial"/>
          <w:sz w:val="22"/>
          <w:szCs w:val="22"/>
        </w:rPr>
      </w:pPr>
      <w:r w:rsidRPr="0537B9E0">
        <w:rPr>
          <w:rFonts w:ascii="Arial" w:hAnsi="Arial" w:cs="Arial"/>
          <w:sz w:val="22"/>
          <w:szCs w:val="22"/>
        </w:rPr>
        <w:t>To calculate monthly interest charges, the outturn HHD charge is split equally over the 12-month period</w:t>
      </w:r>
      <w:r w:rsidR="7C3A4C83" w:rsidRPr="0537B9E0">
        <w:rPr>
          <w:rFonts w:ascii="Arial" w:hAnsi="Arial" w:cs="Arial"/>
          <w:sz w:val="22"/>
          <w:szCs w:val="22"/>
        </w:rPr>
        <w:t xml:space="preserve">. </w:t>
      </w:r>
      <w:r w:rsidRPr="0537B9E0">
        <w:rPr>
          <w:rFonts w:ascii="Arial" w:hAnsi="Arial" w:cs="Arial"/>
          <w:sz w:val="22"/>
          <w:szCs w:val="22"/>
        </w:rPr>
        <w:t xml:space="preserve">The monthly reconciliation amount is the monthly outturn HHD charge less the HH </w:t>
      </w:r>
      <w:r w:rsidR="297247EC" w:rsidRPr="0537B9E0">
        <w:rPr>
          <w:rFonts w:ascii="Arial" w:hAnsi="Arial" w:cs="Arial"/>
          <w:sz w:val="22"/>
          <w:szCs w:val="22"/>
        </w:rPr>
        <w:t xml:space="preserve">gross demand </w:t>
      </w:r>
      <w:r w:rsidRPr="0537B9E0">
        <w:rPr>
          <w:rFonts w:ascii="Arial" w:hAnsi="Arial" w:cs="Arial"/>
          <w:sz w:val="22"/>
          <w:szCs w:val="22"/>
        </w:rPr>
        <w:t>monthly invoiced amount</w:t>
      </w:r>
      <w:r w:rsidR="7C3A4C83"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5CB1B647" w:rsidRPr="0537B9E0">
        <w:rPr>
          <w:rFonts w:ascii="Arial" w:hAnsi="Arial" w:cs="Arial"/>
          <w:sz w:val="22"/>
          <w:szCs w:val="22"/>
        </w:rPr>
        <w:t xml:space="preserve">. </w:t>
      </w:r>
    </w:p>
    <w:p w14:paraId="03DA3F35" w14:textId="77777777" w:rsidR="003A0CB9" w:rsidRDefault="003A0CB9" w:rsidP="003A0CB9">
      <w:pPr>
        <w:pStyle w:val="Heading2"/>
      </w:pPr>
      <w:r>
        <w:t>Initial Reconciliation (Part 1b)</w:t>
      </w:r>
    </w:p>
    <w:p w14:paraId="66B77658" w14:textId="77777777" w:rsidR="003A0CB9" w:rsidRDefault="003A0CB9" w:rsidP="003A0CB9">
      <w:pPr>
        <w:pStyle w:val="Heading2"/>
        <w:rPr>
          <w:rFonts w:ascii="Arial" w:hAnsi="Arial" w:cs="Arial"/>
          <w:szCs w:val="22"/>
        </w:rPr>
      </w:pPr>
    </w:p>
    <w:p w14:paraId="2744009C" w14:textId="06C8D8C3" w:rsidR="003A0CB9" w:rsidRDefault="297247EC" w:rsidP="003A0CB9">
      <w:pPr>
        <w:pStyle w:val="BodyText"/>
        <w:rPr>
          <w:rFonts w:ascii="Arial" w:hAnsi="Arial" w:cs="Arial"/>
          <w:sz w:val="22"/>
          <w:szCs w:val="22"/>
        </w:rPr>
      </w:pPr>
      <w:r w:rsidRPr="0537B9E0">
        <w:rPr>
          <w:rFonts w:ascii="Arial" w:hAnsi="Arial" w:cs="Arial"/>
          <w:sz w:val="22"/>
          <w:szCs w:val="22"/>
        </w:rPr>
        <w:t xml:space="preserve">The Supplier’s outturn HH triad embedded export,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700kW</w:t>
      </w:r>
      <w:r w:rsidR="0F88A3A3" w:rsidRPr="0537B9E0">
        <w:rPr>
          <w:rFonts w:ascii="Arial" w:hAnsi="Arial" w:cs="Arial"/>
          <w:sz w:val="22"/>
          <w:szCs w:val="22"/>
        </w:rPr>
        <w:t xml:space="preserve">. </w:t>
      </w:r>
      <w:r w:rsidRPr="0537B9E0">
        <w:rPr>
          <w:rFonts w:ascii="Arial" w:hAnsi="Arial" w:cs="Arial"/>
          <w:sz w:val="22"/>
          <w:szCs w:val="22"/>
        </w:rPr>
        <w:t>The HH triad embedded export reconciliation charge is therefore calculated as follows:</w:t>
      </w:r>
    </w:p>
    <w:p w14:paraId="76D83710"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5FC54B36"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EE32DC3"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C5F4ED4"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4F6015AC" w14:textId="749DF755" w:rsidR="003A0CB9" w:rsidRPr="008E4447" w:rsidRDefault="297247EC" w:rsidP="003A0CB9">
      <w:pPr>
        <w:pStyle w:val="BodyText"/>
        <w:rPr>
          <w:rFonts w:ascii="Arial" w:hAnsi="Arial" w:cs="Arial"/>
          <w:sz w:val="22"/>
          <w:szCs w:val="22"/>
        </w:rPr>
      </w:pPr>
      <w:r w:rsidRPr="0537B9E0">
        <w:rPr>
          <w:rFonts w:ascii="Arial" w:hAnsi="Arial" w:cs="Arial"/>
          <w:sz w:val="22"/>
          <w:szCs w:val="22"/>
        </w:rPr>
        <w:t>To calculate monthly interest charges, the outturn HHEE charge is split equally over the 12-month period</w:t>
      </w:r>
      <w:r w:rsidR="30CD8DE4" w:rsidRPr="0537B9E0">
        <w:rPr>
          <w:rFonts w:ascii="Arial" w:hAnsi="Arial" w:cs="Arial"/>
          <w:sz w:val="22"/>
          <w:szCs w:val="22"/>
        </w:rPr>
        <w:t xml:space="preserve">. </w:t>
      </w:r>
      <w:r w:rsidRPr="0537B9E0">
        <w:rPr>
          <w:rFonts w:ascii="Arial" w:hAnsi="Arial" w:cs="Arial"/>
          <w:sz w:val="22"/>
          <w:szCs w:val="22"/>
        </w:rPr>
        <w:t>The monthly reconciliation amount is the monthly outturn HHEE charge less the HH embedded generation monthly invoiced amount</w:t>
      </w:r>
      <w:r w:rsidR="21AA5208"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2FC34A2E" w:rsidRPr="0537B9E0">
        <w:rPr>
          <w:rFonts w:ascii="Arial" w:hAnsi="Arial" w:cs="Arial"/>
          <w:sz w:val="22"/>
          <w:szCs w:val="22"/>
        </w:rPr>
        <w:t xml:space="preserve">. </w:t>
      </w:r>
    </w:p>
    <w:p w14:paraId="342C4E96" w14:textId="77777777" w:rsidR="006661FE" w:rsidRPr="008E4447" w:rsidRDefault="006661FE" w:rsidP="006661FE">
      <w:pPr>
        <w:pStyle w:val="BodyText"/>
        <w:tabs>
          <w:tab w:val="left" w:pos="3119"/>
        </w:tabs>
        <w:rPr>
          <w:rFonts w:ascii="Arial" w:hAnsi="Arial" w:cs="Arial"/>
          <w:b/>
          <w:sz w:val="22"/>
          <w:szCs w:val="22"/>
        </w:rPr>
      </w:pPr>
    </w:p>
    <w:p w14:paraId="22CFA7F0" w14:textId="77777777" w:rsidR="006661FE" w:rsidRPr="008E4447" w:rsidRDefault="006661FE" w:rsidP="006661FE">
      <w:pPr>
        <w:pStyle w:val="Heading2"/>
        <w:rPr>
          <w:rFonts w:ascii="Arial" w:hAnsi="Arial" w:cs="Arial"/>
          <w:szCs w:val="22"/>
        </w:rPr>
      </w:pPr>
      <w:bookmarkStart w:id="547" w:name="_Toc946730"/>
      <w:bookmarkStart w:id="548" w:name="_Toc32201108"/>
      <w:bookmarkStart w:id="549" w:name="_Toc49661158"/>
      <w:bookmarkStart w:id="550" w:name="_Toc274049737"/>
      <w:r w:rsidRPr="008E4447">
        <w:rPr>
          <w:rFonts w:ascii="Arial" w:hAnsi="Arial" w:cs="Arial"/>
          <w:szCs w:val="22"/>
        </w:rPr>
        <w:lastRenderedPageBreak/>
        <w:t>Initial Reconciliation (Part 2)</w:t>
      </w:r>
      <w:bookmarkEnd w:id="547"/>
      <w:bookmarkEnd w:id="548"/>
      <w:bookmarkEnd w:id="549"/>
      <w:bookmarkEnd w:id="550"/>
    </w:p>
    <w:p w14:paraId="136A54B1" w14:textId="77777777" w:rsidR="006661FE" w:rsidRPr="008E4447" w:rsidRDefault="006661FE" w:rsidP="006661FE">
      <w:pPr>
        <w:pStyle w:val="BodyText"/>
        <w:tabs>
          <w:tab w:val="left" w:pos="3119"/>
        </w:tabs>
        <w:rPr>
          <w:rFonts w:ascii="Arial" w:hAnsi="Arial" w:cs="Arial"/>
          <w:sz w:val="22"/>
          <w:szCs w:val="22"/>
        </w:rPr>
      </w:pPr>
    </w:p>
    <w:p w14:paraId="713FCE1C" w14:textId="31304298"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Supplier's outturn NHH energy consumption, based on initial settlement data, was 17,000,000kWh</w:t>
      </w:r>
      <w:r w:rsidR="6A1E3C5B" w:rsidRPr="0537B9E0">
        <w:rPr>
          <w:rFonts w:ascii="Arial" w:hAnsi="Arial" w:cs="Arial"/>
          <w:sz w:val="22"/>
          <w:szCs w:val="22"/>
        </w:rPr>
        <w:t xml:space="preserve">. </w:t>
      </w:r>
      <w:r w:rsidRPr="0537B9E0">
        <w:rPr>
          <w:rFonts w:ascii="Arial" w:hAnsi="Arial" w:cs="Arial"/>
          <w:sz w:val="22"/>
          <w:szCs w:val="22"/>
        </w:rPr>
        <w:t>The NHH energy consumption reconciliation charge is therefore calculated as follows:</w:t>
      </w:r>
    </w:p>
    <w:p w14:paraId="37D2F0C6" w14:textId="77777777" w:rsidR="006661FE" w:rsidRPr="008E4447" w:rsidRDefault="006661FE" w:rsidP="006661FE">
      <w:pPr>
        <w:pStyle w:val="BodyText"/>
        <w:tabs>
          <w:tab w:val="left" w:pos="2835"/>
        </w:tabs>
        <w:rPr>
          <w:rFonts w:ascii="Arial" w:hAnsi="Arial" w:cs="Arial"/>
          <w:sz w:val="22"/>
          <w:szCs w:val="22"/>
        </w:rPr>
      </w:pPr>
    </w:p>
    <w:p w14:paraId="326BA549"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66B0B4B0"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2410B59B"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3013C3D7"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014CE25B"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7D9468F7"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418BB681" w14:textId="77777777" w:rsidR="006661FE" w:rsidRPr="008E4447" w:rsidRDefault="00B428B8" w:rsidP="00097CD6">
      <w:pPr>
        <w:pStyle w:val="Header"/>
        <w:tabs>
          <w:tab w:val="left" w:pos="2835"/>
        </w:tabs>
        <w:ind w:left="3402" w:hanging="3402"/>
        <w:jc w:val="center"/>
        <w:rPr>
          <w:rFonts w:ascii="Arial" w:hAnsi="Arial" w:cs="Arial"/>
          <w:b/>
          <w:szCs w:val="22"/>
        </w:rPr>
      </w:pPr>
      <w:hyperlink r:id="rId53" w:anchor="Initial!J104" w:history="1">
        <w:r w:rsidR="006661FE" w:rsidRPr="00E010AE">
          <w:rPr>
            <w:rStyle w:val="Hyperlink"/>
            <w:sz w:val="20"/>
          </w:rPr>
          <w:t>worked example 4.xls - Initial!J104</w:t>
        </w:r>
      </w:hyperlink>
      <w:r w:rsidR="006661FE" w:rsidRPr="00E010AE">
        <w:rPr>
          <w:sz w:val="20"/>
        </w:rPr>
        <w:tab/>
      </w:r>
      <w:r w:rsidR="006661FE" w:rsidRPr="008E4447">
        <w:rPr>
          <w:rFonts w:ascii="Arial" w:hAnsi="Arial" w:cs="Arial"/>
          <w:szCs w:val="22"/>
        </w:rPr>
        <w:tab/>
      </w:r>
      <w:r w:rsidR="006661FE" w:rsidRPr="008E4447">
        <w:rPr>
          <w:rFonts w:ascii="Arial" w:hAnsi="Arial" w:cs="Arial"/>
          <w:szCs w:val="22"/>
        </w:rPr>
        <w:tab/>
      </w:r>
      <w:r w:rsidR="006661FE" w:rsidRPr="008E4447">
        <w:rPr>
          <w:rFonts w:ascii="Arial" w:hAnsi="Arial" w:cs="Arial"/>
          <w:b/>
          <w:szCs w:val="22"/>
        </w:rPr>
        <w:t>= -£12,000</w:t>
      </w:r>
    </w:p>
    <w:p w14:paraId="27E55219" w14:textId="77777777" w:rsidR="006661FE" w:rsidRPr="008E4447" w:rsidRDefault="006661FE" w:rsidP="006661FE">
      <w:pPr>
        <w:pStyle w:val="Header"/>
        <w:ind w:left="3402" w:hanging="3402"/>
        <w:jc w:val="both"/>
        <w:rPr>
          <w:rFonts w:ascii="Arial" w:hAnsi="Arial" w:cs="Arial"/>
          <w:b/>
          <w:szCs w:val="22"/>
        </w:rPr>
      </w:pPr>
    </w:p>
    <w:p w14:paraId="238B5DC1" w14:textId="5532F6C4"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monthly reconciliation amount is equal to the outturn energy consumption charge for that month less the NHH monthly invoiced amount</w:t>
      </w:r>
      <w:r w:rsidR="48437E37" w:rsidRPr="0537B9E0">
        <w:rPr>
          <w:rFonts w:ascii="Arial" w:hAnsi="Arial" w:cs="Arial"/>
          <w:sz w:val="22"/>
          <w:szCs w:val="22"/>
        </w:rPr>
        <w:t xml:space="preserve">. </w:t>
      </w:r>
      <w:r w:rsidRPr="0537B9E0">
        <w:rPr>
          <w:rFonts w:ascii="Arial" w:hAnsi="Arial" w:cs="Arial"/>
          <w:sz w:val="22"/>
          <w:szCs w:val="22"/>
        </w:rPr>
        <w:t>Interest payments are calculated based on the monthly reconciliation amounts using Barclays Base Rate.</w:t>
      </w:r>
    </w:p>
    <w:p w14:paraId="09DC94F4" w14:textId="77777777" w:rsidR="005D03C9" w:rsidRPr="008E4447" w:rsidRDefault="005D03C9" w:rsidP="005D03C9">
      <w:pPr>
        <w:pStyle w:val="1"/>
        <w:rPr>
          <w:rFonts w:ascii="Arial" w:hAnsi="Arial" w:cs="Arial"/>
          <w:szCs w:val="22"/>
        </w:rPr>
      </w:pPr>
      <w:r w:rsidRPr="008E4447">
        <w:rPr>
          <w:rFonts w:ascii="Arial" w:hAnsi="Arial" w:cs="Arial"/>
          <w:szCs w:val="22"/>
        </w:rPr>
        <w:t>The net initial TNUoS demand reconciliation charge is therefore £6,</w:t>
      </w:r>
      <w:r>
        <w:rPr>
          <w:rFonts w:ascii="Arial" w:hAnsi="Arial" w:cs="Arial"/>
          <w:szCs w:val="22"/>
        </w:rPr>
        <w:t>500</w:t>
      </w:r>
      <w:r w:rsidRPr="008E4447">
        <w:rPr>
          <w:rFonts w:ascii="Arial" w:hAnsi="Arial" w:cs="Arial"/>
          <w:szCs w:val="22"/>
        </w:rPr>
        <w:t xml:space="preserve"> (£18,000</w:t>
      </w:r>
      <w:r>
        <w:rPr>
          <w:rFonts w:ascii="Arial" w:hAnsi="Arial" w:cs="Arial"/>
          <w:szCs w:val="22"/>
        </w:rPr>
        <w:t xml:space="preserve"> = £500</w:t>
      </w:r>
      <w:r w:rsidRPr="008E4447">
        <w:rPr>
          <w:rFonts w:ascii="Arial" w:hAnsi="Arial" w:cs="Arial"/>
          <w:szCs w:val="22"/>
        </w:rPr>
        <w:t xml:space="preserve"> - £12,000).</w:t>
      </w:r>
    </w:p>
    <w:p w14:paraId="3E742C84" w14:textId="77777777" w:rsidR="005D03C9" w:rsidRDefault="005D03C9" w:rsidP="005F33EE">
      <w:pPr>
        <w:keepNext/>
        <w:outlineLvl w:val="1"/>
        <w:rPr>
          <w:rFonts w:ascii="Arial" w:hAnsi="Arial" w:cs="Arial"/>
          <w:b/>
          <w:color w:val="008080"/>
        </w:rPr>
      </w:pPr>
    </w:p>
    <w:p w14:paraId="26D09A32" w14:textId="18D5002B" w:rsidR="005F33EE" w:rsidRDefault="005F33EE" w:rsidP="005F33EE">
      <w:pPr>
        <w:keepNext/>
        <w:outlineLvl w:val="1"/>
        <w:rPr>
          <w:rFonts w:ascii="Arial" w:hAnsi="Arial" w:cs="Arial"/>
          <w:b/>
          <w:color w:val="008080"/>
          <w:sz w:val="22"/>
          <w:szCs w:val="22"/>
        </w:rPr>
      </w:pPr>
      <w:r>
        <w:rPr>
          <w:rFonts w:ascii="Arial" w:hAnsi="Arial" w:cs="Arial"/>
          <w:b/>
          <w:color w:val="008080"/>
        </w:rPr>
        <w:t>Initial Reconciliation (Part 3)</w:t>
      </w:r>
    </w:p>
    <w:p w14:paraId="2BB82F08" w14:textId="77777777" w:rsidR="005F33EE" w:rsidRDefault="005F33EE" w:rsidP="005F33EE">
      <w:pPr>
        <w:tabs>
          <w:tab w:val="left" w:pos="3119"/>
        </w:tabs>
        <w:spacing w:after="240"/>
        <w:rPr>
          <w:rFonts w:ascii="Arial" w:hAnsi="Arial" w:cs="Arial"/>
        </w:rPr>
      </w:pPr>
    </w:p>
    <w:p w14:paraId="53F10897" w14:textId="77777777" w:rsidR="005F33EE" w:rsidRDefault="005F33EE" w:rsidP="005F33EE">
      <w:pPr>
        <w:rPr>
          <w:rFonts w:ascii="Arial" w:hAnsi="Arial" w:cs="Arial"/>
        </w:rPr>
      </w:pPr>
      <w:r>
        <w:rPr>
          <w:rFonts w:ascii="Arial" w:hAnsi="Arial" w:cs="Arial"/>
        </w:rPr>
        <w:t>The Company’s FDSC Forecast and Unmetered Supply Volume Forecast for the Supplier (as described in 14.17.20(b)) was as follows;</w:t>
      </w:r>
    </w:p>
    <w:p w14:paraId="60E37C05" w14:textId="77777777" w:rsidR="005F33EE" w:rsidRDefault="005F33EE" w:rsidP="005F33EE">
      <w:pPr>
        <w:tabs>
          <w:tab w:val="left" w:pos="3119"/>
        </w:tabs>
        <w:spacing w:after="240"/>
        <w:rPr>
          <w:rFonts w:ascii="Arial" w:hAnsi="Arial" w:cs="Arial"/>
          <w:b/>
        </w:rPr>
      </w:pPr>
    </w:p>
    <w:tbl>
      <w:tblPr>
        <w:tblStyle w:val="TableGrid"/>
        <w:tblW w:w="0" w:type="auto"/>
        <w:tblCellMar>
          <w:left w:w="57" w:type="dxa"/>
          <w:right w:w="57" w:type="dxa"/>
        </w:tblCellMar>
        <w:tblLook w:val="04A0" w:firstRow="1" w:lastRow="0" w:firstColumn="1" w:lastColumn="0" w:noHBand="0" w:noVBand="1"/>
      </w:tblPr>
      <w:tblGrid>
        <w:gridCol w:w="1934"/>
        <w:gridCol w:w="2096"/>
        <w:gridCol w:w="1790"/>
        <w:gridCol w:w="1601"/>
        <w:gridCol w:w="1917"/>
      </w:tblGrid>
      <w:tr w:rsidR="0079231B" w14:paraId="18469883"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1219ACA0" w14:textId="77777777" w:rsidR="005F33EE" w:rsidRDefault="005F33EE">
            <w:pPr>
              <w:tabs>
                <w:tab w:val="left" w:pos="3119"/>
              </w:tabs>
              <w:spacing w:after="240"/>
              <w:jc w:val="center"/>
              <w:rPr>
                <w:rFonts w:ascii="Arial" w:hAnsi="Arial" w:cs="Arial"/>
                <w:b/>
                <w:lang w:val="en-US"/>
              </w:rPr>
            </w:pPr>
            <w:r>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7E0043A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hideMark/>
          </w:tcPr>
          <w:p w14:paraId="6B311D9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hideMark/>
          </w:tcPr>
          <w:p w14:paraId="5649DAE3" w14:textId="77777777" w:rsidR="005F33EE" w:rsidRDefault="005F33EE">
            <w:pPr>
              <w:tabs>
                <w:tab w:val="left" w:pos="3119"/>
              </w:tabs>
              <w:spacing w:after="240"/>
              <w:jc w:val="center"/>
              <w:rPr>
                <w:rFonts w:ascii="Arial" w:hAnsi="Arial" w:cs="Arial"/>
                <w:b/>
                <w:lang w:val="en-US"/>
              </w:rPr>
            </w:pPr>
            <w:r>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hideMark/>
          </w:tcPr>
          <w:p w14:paraId="6A5F21FC" w14:textId="77777777" w:rsidR="005F33EE" w:rsidRDefault="005F33EE">
            <w:pPr>
              <w:tabs>
                <w:tab w:val="left" w:pos="3119"/>
              </w:tabs>
              <w:spacing w:after="240"/>
              <w:jc w:val="center"/>
              <w:rPr>
                <w:rFonts w:ascii="Arial" w:hAnsi="Arial" w:cs="Arial"/>
                <w:b/>
                <w:lang w:val="en-US"/>
              </w:rPr>
            </w:pPr>
            <w:r>
              <w:rPr>
                <w:rFonts w:ascii="Arial" w:hAnsi="Arial" w:cs="Arial"/>
                <w:b/>
                <w:lang w:val="en-US"/>
              </w:rPr>
              <w:t>Forecast Charge</w:t>
            </w:r>
          </w:p>
        </w:tc>
      </w:tr>
      <w:tr w:rsidR="0079231B" w14:paraId="3975CC6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29D8E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hideMark/>
          </w:tcPr>
          <w:p w14:paraId="51696CFA"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hideMark/>
          </w:tcPr>
          <w:p w14:paraId="54868B76"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hideMark/>
          </w:tcPr>
          <w:p w14:paraId="48A103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40224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4137FFA8"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25 x 1 x 30</w:t>
            </w:r>
          </w:p>
          <w:p w14:paraId="1C57ADC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£750</w:t>
            </w:r>
          </w:p>
        </w:tc>
      </w:tr>
      <w:tr w:rsidR="0079231B" w14:paraId="15E4341D"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4DC1124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hideMark/>
          </w:tcPr>
          <w:p w14:paraId="02E70F8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hideMark/>
          </w:tcPr>
          <w:p w14:paraId="754A75F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hideMark/>
          </w:tcPr>
          <w:p w14:paraId="449B939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1F79EE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23B165D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15 x 2 x 30</w:t>
            </w:r>
          </w:p>
          <w:p w14:paraId="679DD57B"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£900</w:t>
            </w:r>
          </w:p>
        </w:tc>
      </w:tr>
      <w:tr w:rsidR="0079231B" w14:paraId="109BB43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82FD6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E3C0144"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hideMark/>
          </w:tcPr>
          <w:p w14:paraId="2F094C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hideMark/>
          </w:tcPr>
          <w:p w14:paraId="12BFC03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13EE7C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w:t>
            </w:r>
          </w:p>
          <w:p w14:paraId="454FCF82"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10 x 2.75 x 30</w:t>
            </w:r>
          </w:p>
          <w:p w14:paraId="21D889DE"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£825</w:t>
            </w:r>
          </w:p>
        </w:tc>
      </w:tr>
    </w:tbl>
    <w:p w14:paraId="7594DC98" w14:textId="77777777" w:rsidR="005F33EE" w:rsidRDefault="005F33EE" w:rsidP="005F33EE">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ADFB0CC" w14:textId="77777777" w:rsidR="005F33EE" w:rsidRDefault="005F33EE" w:rsidP="005F33EE">
      <w:pPr>
        <w:tabs>
          <w:tab w:val="left" w:pos="3119"/>
        </w:tabs>
        <w:spacing w:after="240"/>
        <w:rPr>
          <w:rFonts w:ascii="Arial" w:hAnsi="Arial" w:cs="Arial"/>
          <w:bCs/>
        </w:rPr>
      </w:pPr>
      <w:r>
        <w:rPr>
          <w:rFonts w:ascii="Arial" w:hAnsi="Arial" w:cs="Arial"/>
          <w:bCs/>
        </w:rPr>
        <w:lastRenderedPageBreak/>
        <w:t>Transmission Demand Residual charges will be the sum of the charges for each Charging Band, therefore;</w:t>
      </w:r>
    </w:p>
    <w:p w14:paraId="228E6C6F" w14:textId="77777777" w:rsidR="005F33EE" w:rsidRDefault="005F33EE" w:rsidP="005F33EE">
      <w:pPr>
        <w:tabs>
          <w:tab w:val="left" w:pos="3119"/>
        </w:tabs>
        <w:spacing w:after="240"/>
        <w:rPr>
          <w:rFonts w:ascii="Arial" w:hAnsi="Arial" w:cs="Arial"/>
          <w:bCs/>
        </w:rPr>
      </w:pPr>
      <w:r>
        <w:rPr>
          <w:rFonts w:ascii="Arial" w:hAnsi="Arial" w:cs="Arial"/>
          <w:bCs/>
        </w:rPr>
        <w:t>Transmission Demand Residual = £750 + £900 + £825 = £2,475</w:t>
      </w:r>
    </w:p>
    <w:p w14:paraId="34987255" w14:textId="77777777" w:rsidR="006661FE" w:rsidRPr="008E4447" w:rsidRDefault="006661FE" w:rsidP="006661FE">
      <w:pPr>
        <w:rPr>
          <w:rFonts w:ascii="Arial" w:hAnsi="Arial" w:cs="Arial"/>
          <w:sz w:val="22"/>
          <w:szCs w:val="22"/>
        </w:rPr>
      </w:pPr>
    </w:p>
    <w:p w14:paraId="46E3D0F2" w14:textId="77777777" w:rsidR="006661FE" w:rsidRPr="008E4447" w:rsidRDefault="006661FE" w:rsidP="006661FE">
      <w:pPr>
        <w:pStyle w:val="Heading2"/>
        <w:rPr>
          <w:rFonts w:ascii="Arial" w:hAnsi="Arial" w:cs="Arial"/>
          <w:szCs w:val="22"/>
        </w:rPr>
      </w:pPr>
      <w:bookmarkStart w:id="551" w:name="_Toc946732"/>
      <w:bookmarkStart w:id="552" w:name="_Toc32201109"/>
      <w:bookmarkStart w:id="553" w:name="_Toc49661159"/>
      <w:bookmarkStart w:id="554" w:name="_Toc274049738"/>
      <w:r w:rsidRPr="008E4447">
        <w:rPr>
          <w:rFonts w:ascii="Arial" w:hAnsi="Arial" w:cs="Arial"/>
          <w:szCs w:val="22"/>
        </w:rPr>
        <w:t>Final Reconciliation</w:t>
      </w:r>
      <w:bookmarkEnd w:id="551"/>
      <w:bookmarkEnd w:id="552"/>
      <w:bookmarkEnd w:id="553"/>
      <w:bookmarkEnd w:id="554"/>
    </w:p>
    <w:p w14:paraId="2CD3A6A3" w14:textId="77777777" w:rsidR="006661FE" w:rsidRPr="008E4447" w:rsidRDefault="006661FE" w:rsidP="006661FE">
      <w:pPr>
        <w:pStyle w:val="BodyText"/>
        <w:tabs>
          <w:tab w:val="left" w:pos="3119"/>
        </w:tabs>
        <w:rPr>
          <w:rFonts w:ascii="Arial" w:hAnsi="Arial" w:cs="Arial"/>
          <w:sz w:val="22"/>
          <w:szCs w:val="22"/>
        </w:rPr>
      </w:pPr>
    </w:p>
    <w:p w14:paraId="4EAC8312" w14:textId="592B4DA2"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Finally, let us now suppose that after all </w:t>
      </w:r>
      <w:r w:rsidRPr="008E4447">
        <w:rPr>
          <w:rFonts w:ascii="Arial" w:hAnsi="Arial" w:cs="Arial"/>
          <w:sz w:val="22"/>
          <w:szCs w:val="22"/>
          <w:u w:val="single"/>
        </w:rPr>
        <w:t>final</w:t>
      </w:r>
      <w:r w:rsidRPr="008E4447">
        <w:rPr>
          <w:rFonts w:ascii="Arial" w:hAnsi="Arial" w:cs="Arial"/>
          <w:sz w:val="22"/>
          <w:szCs w:val="22"/>
        </w:rPr>
        <w:t xml:space="preserve"> Settlement data has been received (up to 14 months after the relevant dates)</w:t>
      </w:r>
      <w:r w:rsidR="001F5400">
        <w:rPr>
          <w:rFonts w:ascii="Arial" w:hAnsi="Arial" w:cs="Arial"/>
          <w:sz w:val="22"/>
          <w:szCs w:val="22"/>
        </w:rPr>
        <w:t xml:space="preserve"> as shown in the above table: </w:t>
      </w:r>
    </w:p>
    <w:tbl>
      <w:tblPr>
        <w:tblStyle w:val="TableGrid"/>
        <w:tblW w:w="0" w:type="auto"/>
        <w:tblLook w:val="04A0" w:firstRow="1" w:lastRow="0" w:firstColumn="1" w:lastColumn="0" w:noHBand="0" w:noVBand="1"/>
      </w:tblPr>
      <w:tblGrid>
        <w:gridCol w:w="3315"/>
        <w:gridCol w:w="2901"/>
        <w:gridCol w:w="3122"/>
      </w:tblGrid>
      <w:tr w:rsidR="00B230F1" w14:paraId="7024C662"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2641F8F3" w14:textId="77777777" w:rsidR="00AE1ED3" w:rsidRDefault="00AE1ED3">
            <w:pPr>
              <w:tabs>
                <w:tab w:val="left" w:pos="3119"/>
              </w:tabs>
              <w:spacing w:after="240"/>
              <w:jc w:val="center"/>
              <w:rPr>
                <w:rFonts w:ascii="Arial" w:hAnsi="Arial" w:cs="Arial"/>
                <w:b/>
                <w:bCs/>
                <w:sz w:val="22"/>
                <w:szCs w:val="22"/>
                <w:lang w:val="en-US"/>
              </w:rPr>
            </w:pPr>
            <w:r>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4BF856B9"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1123C5E3"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Final Value</w:t>
            </w:r>
          </w:p>
        </w:tc>
      </w:tr>
      <w:tr w:rsidR="00B230F1" w14:paraId="0A0F7D0E"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141E996"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18AB02A0" w14:textId="77777777" w:rsidR="00AE1ED3" w:rsidRDefault="00AE1ED3">
            <w:pPr>
              <w:tabs>
                <w:tab w:val="left" w:pos="3119"/>
              </w:tabs>
              <w:spacing w:after="240"/>
              <w:jc w:val="center"/>
              <w:rPr>
                <w:rFonts w:ascii="Arial" w:hAnsi="Arial" w:cs="Arial"/>
                <w:lang w:val="en-US"/>
              </w:rPr>
            </w:pPr>
            <w:r>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73907383" w14:textId="77777777" w:rsidR="00AE1ED3" w:rsidRDefault="00AE1ED3">
            <w:pPr>
              <w:tabs>
                <w:tab w:val="left" w:pos="3119"/>
              </w:tabs>
              <w:spacing w:after="240"/>
              <w:jc w:val="center"/>
              <w:rPr>
                <w:rFonts w:ascii="Arial" w:hAnsi="Arial" w:cs="Arial"/>
                <w:lang w:val="en-US"/>
              </w:rPr>
            </w:pPr>
            <w:r>
              <w:rPr>
                <w:rFonts w:ascii="Arial" w:hAnsi="Arial" w:cs="Arial"/>
                <w:lang w:val="en-US"/>
              </w:rPr>
              <w:t>9,500kW</w:t>
            </w:r>
          </w:p>
        </w:tc>
      </w:tr>
      <w:tr w:rsidR="00B230F1" w14:paraId="151A3267"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7A545B7A"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114641B9" w14:textId="77777777" w:rsidR="00AE1ED3" w:rsidRDefault="00AE1ED3">
            <w:pPr>
              <w:tabs>
                <w:tab w:val="left" w:pos="3119"/>
              </w:tabs>
              <w:spacing w:after="240"/>
              <w:jc w:val="center"/>
              <w:rPr>
                <w:rFonts w:ascii="Arial" w:hAnsi="Arial" w:cs="Arial"/>
                <w:lang w:val="en-US"/>
              </w:rPr>
            </w:pPr>
            <w:r>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4F5406FC" w14:textId="77777777" w:rsidR="00AE1ED3" w:rsidRDefault="00AE1ED3">
            <w:pPr>
              <w:tabs>
                <w:tab w:val="left" w:pos="3119"/>
              </w:tabs>
              <w:spacing w:after="240"/>
              <w:jc w:val="center"/>
              <w:rPr>
                <w:rFonts w:ascii="Arial" w:hAnsi="Arial" w:cs="Arial"/>
                <w:lang w:val="en-US"/>
              </w:rPr>
            </w:pPr>
            <w:r>
              <w:rPr>
                <w:rFonts w:ascii="Arial" w:hAnsi="Arial" w:cs="Arial"/>
                <w:lang w:val="en-US"/>
              </w:rPr>
              <w:t>-550kW</w:t>
            </w:r>
          </w:p>
        </w:tc>
      </w:tr>
      <w:tr w:rsidR="00B230F1" w14:paraId="7E7835EA"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CA07636" w14:textId="77777777" w:rsidR="00AE1ED3" w:rsidRDefault="00AE1ED3">
            <w:pPr>
              <w:tabs>
                <w:tab w:val="left" w:pos="3119"/>
              </w:tabs>
              <w:spacing w:after="240"/>
              <w:jc w:val="center"/>
              <w:rPr>
                <w:rFonts w:ascii="Arial" w:hAnsi="Arial" w:cs="Arial"/>
                <w:lang w:val="en-US"/>
              </w:rPr>
            </w:pPr>
            <w:r>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42E3DCB8" w14:textId="77777777" w:rsidR="00AE1ED3" w:rsidRDefault="00AE1ED3">
            <w:pPr>
              <w:tabs>
                <w:tab w:val="left" w:pos="3119"/>
              </w:tabs>
              <w:spacing w:after="240"/>
              <w:jc w:val="center"/>
              <w:rPr>
                <w:rFonts w:ascii="Arial" w:hAnsi="Arial" w:cs="Arial"/>
                <w:lang w:val="en-US"/>
              </w:rPr>
            </w:pPr>
            <w:r>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3A975649" w14:textId="77777777" w:rsidR="00AE1ED3" w:rsidRDefault="00AE1ED3">
            <w:pPr>
              <w:tabs>
                <w:tab w:val="left" w:pos="3119"/>
              </w:tabs>
              <w:spacing w:after="240"/>
              <w:jc w:val="center"/>
              <w:rPr>
                <w:rFonts w:ascii="Arial" w:hAnsi="Arial" w:cs="Arial"/>
                <w:lang w:val="en-US"/>
              </w:rPr>
            </w:pPr>
            <w:r>
              <w:rPr>
                <w:rFonts w:ascii="Arial" w:hAnsi="Arial" w:cs="Arial"/>
                <w:lang w:val="en-US"/>
              </w:rPr>
              <w:t>16,700,000kWh</w:t>
            </w:r>
          </w:p>
        </w:tc>
      </w:tr>
      <w:tr w:rsidR="00B230F1" w14:paraId="5ED70250"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5FE624C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1B1DA888" w14:textId="77777777" w:rsidR="00AE1ED3" w:rsidRDefault="00AE1ED3">
            <w:pPr>
              <w:tabs>
                <w:tab w:val="left" w:pos="3119"/>
              </w:tabs>
              <w:spacing w:after="240"/>
              <w:jc w:val="center"/>
              <w:rPr>
                <w:rFonts w:ascii="Arial" w:hAnsi="Arial" w:cs="Arial"/>
                <w:lang w:val="en-US"/>
              </w:rPr>
            </w:pPr>
            <w:r>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hideMark/>
          </w:tcPr>
          <w:p w14:paraId="5BD732C2" w14:textId="77777777" w:rsidR="00AE1ED3" w:rsidRDefault="00AE1ED3">
            <w:pPr>
              <w:tabs>
                <w:tab w:val="left" w:pos="3119"/>
              </w:tabs>
              <w:spacing w:after="240"/>
              <w:jc w:val="center"/>
              <w:rPr>
                <w:rFonts w:ascii="Arial" w:hAnsi="Arial" w:cs="Arial"/>
                <w:lang w:val="en-US"/>
              </w:rPr>
            </w:pPr>
            <w:r>
              <w:rPr>
                <w:rFonts w:ascii="Arial" w:hAnsi="Arial" w:cs="Arial"/>
                <w:bCs/>
                <w:lang w:val="en-US"/>
              </w:rPr>
              <w:t>40 Sites</w:t>
            </w:r>
          </w:p>
        </w:tc>
      </w:tr>
      <w:tr w:rsidR="00B230F1" w14:paraId="2FA43365"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00FBDC6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942D739" w14:textId="77777777" w:rsidR="00AE1ED3" w:rsidRDefault="00AE1ED3">
            <w:pPr>
              <w:tabs>
                <w:tab w:val="left" w:pos="3119"/>
              </w:tabs>
              <w:spacing w:after="240"/>
              <w:jc w:val="center"/>
              <w:rPr>
                <w:rFonts w:ascii="Arial" w:hAnsi="Arial" w:cs="Arial"/>
                <w:lang w:val="en-US"/>
              </w:rPr>
            </w:pPr>
            <w:r>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hideMark/>
          </w:tcPr>
          <w:p w14:paraId="744778F3" w14:textId="77777777" w:rsidR="00AE1ED3" w:rsidRDefault="00AE1ED3">
            <w:pPr>
              <w:tabs>
                <w:tab w:val="left" w:pos="3119"/>
              </w:tabs>
              <w:spacing w:after="240"/>
              <w:jc w:val="center"/>
              <w:rPr>
                <w:rFonts w:ascii="Arial" w:hAnsi="Arial" w:cs="Arial"/>
                <w:lang w:val="en-US"/>
              </w:rPr>
            </w:pPr>
            <w:r>
              <w:rPr>
                <w:rFonts w:ascii="Arial" w:hAnsi="Arial" w:cs="Arial"/>
                <w:bCs/>
                <w:lang w:val="en-US"/>
              </w:rPr>
              <w:t>10 Sites</w:t>
            </w:r>
          </w:p>
        </w:tc>
      </w:tr>
      <w:tr w:rsidR="00B230F1" w14:paraId="28A32723"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6A1973B4" w14:textId="77777777" w:rsidR="00AE1ED3" w:rsidRDefault="00AE1ED3">
            <w:pPr>
              <w:tabs>
                <w:tab w:val="left" w:pos="3119"/>
              </w:tabs>
              <w:spacing w:after="240"/>
              <w:jc w:val="center"/>
              <w:rPr>
                <w:rFonts w:ascii="Arial" w:hAnsi="Arial" w:cs="Arial"/>
                <w:lang w:val="en-US"/>
              </w:rPr>
            </w:pPr>
            <w:r>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6D78B0B5" w14:textId="77777777" w:rsidR="00AE1ED3" w:rsidRDefault="00AE1ED3">
            <w:pPr>
              <w:tabs>
                <w:tab w:val="left" w:pos="3119"/>
              </w:tabs>
              <w:spacing w:after="240"/>
              <w:jc w:val="center"/>
              <w:rPr>
                <w:rFonts w:ascii="Arial" w:hAnsi="Arial" w:cs="Arial"/>
                <w:lang w:val="en-US"/>
              </w:rPr>
            </w:pPr>
            <w:r>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hideMark/>
          </w:tcPr>
          <w:p w14:paraId="4A1FF44F" w14:textId="77777777" w:rsidR="00AE1ED3" w:rsidRDefault="00AE1ED3">
            <w:pPr>
              <w:tabs>
                <w:tab w:val="left" w:pos="3119"/>
              </w:tabs>
              <w:spacing w:after="240"/>
              <w:jc w:val="center"/>
              <w:rPr>
                <w:rFonts w:ascii="Arial" w:hAnsi="Arial" w:cs="Arial"/>
                <w:lang w:val="en-US"/>
              </w:rPr>
            </w:pPr>
            <w:r>
              <w:rPr>
                <w:rFonts w:ascii="Arial" w:hAnsi="Arial" w:cs="Arial"/>
                <w:bCs/>
                <w:lang w:val="en-US"/>
              </w:rPr>
              <w:t>8kWh/day</w:t>
            </w:r>
          </w:p>
        </w:tc>
      </w:tr>
    </w:tbl>
    <w:p w14:paraId="721B1352" w14:textId="77777777" w:rsidR="00AE1ED3" w:rsidRDefault="00AE1ED3" w:rsidP="00AE1ED3">
      <w:pPr>
        <w:tabs>
          <w:tab w:val="left" w:pos="3119"/>
        </w:tabs>
        <w:spacing w:after="240"/>
        <w:rPr>
          <w:rFonts w:ascii="Arial" w:hAnsi="Arial" w:cs="Arial"/>
          <w:sz w:val="22"/>
          <w:szCs w:val="22"/>
        </w:rPr>
      </w:pPr>
    </w:p>
    <w:p w14:paraId="74CF1A09" w14:textId="77777777" w:rsidR="00AE1ED3" w:rsidRDefault="00AE1ED3" w:rsidP="00AE1ED3">
      <w:pPr>
        <w:tabs>
          <w:tab w:val="left" w:pos="3119"/>
        </w:tabs>
        <w:spacing w:after="240"/>
        <w:rPr>
          <w:rFonts w:ascii="Arial" w:hAnsi="Arial" w:cs="Arial"/>
        </w:rPr>
      </w:pPr>
      <w:r>
        <w:rPr>
          <w:rFonts w:ascii="Arial" w:hAnsi="Arial" w:cs="Arial"/>
        </w:rPr>
        <w:t>This would mean the Final Reconciliation calculations would be.</w:t>
      </w:r>
    </w:p>
    <w:p w14:paraId="4B2D2ACC" w14:textId="77777777" w:rsidR="006661FE" w:rsidRPr="008E4447" w:rsidRDefault="006661FE" w:rsidP="006661FE">
      <w:pPr>
        <w:pStyle w:val="BodyText"/>
        <w:tabs>
          <w:tab w:val="left" w:pos="3119"/>
        </w:tabs>
        <w:rPr>
          <w:rFonts w:ascii="Arial" w:hAnsi="Arial" w:cs="Arial"/>
          <w:sz w:val="22"/>
          <w:szCs w:val="22"/>
        </w:rPr>
      </w:pPr>
    </w:p>
    <w:p w14:paraId="1EFDE436" w14:textId="38B5114D"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HH </w:t>
      </w:r>
      <w:r w:rsidR="003A0CB9">
        <w:rPr>
          <w:rFonts w:ascii="Arial" w:hAnsi="Arial" w:cs="Arial"/>
          <w:sz w:val="22"/>
          <w:szCs w:val="22"/>
        </w:rPr>
        <w:t>Gross Demand</w:t>
      </w:r>
      <w:r w:rsidRPr="008E4447">
        <w:rPr>
          <w:rFonts w:ascii="Arial" w:hAnsi="Arial" w:cs="Arial"/>
          <w:sz w:val="22"/>
          <w:szCs w:val="22"/>
        </w:rPr>
        <w:tab/>
        <w:t xml:space="preserve">=  (9,500kW - 9,000kW) x £10.00/kW </w:t>
      </w:r>
      <w:r w:rsidR="003A0CB9" w:rsidRPr="008E4447">
        <w:rPr>
          <w:rFonts w:ascii="Arial" w:hAnsi="Arial" w:cs="Arial"/>
          <w:sz w:val="22"/>
          <w:szCs w:val="22"/>
        </w:rPr>
        <w:t>Reconciliation Charge</w:t>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003A0CB9">
        <w:rPr>
          <w:rFonts w:ascii="Arial" w:hAnsi="Arial" w:cs="Arial"/>
          <w:sz w:val="22"/>
          <w:szCs w:val="22"/>
        </w:rPr>
        <w:tab/>
      </w:r>
      <w:r w:rsidRPr="008E4447">
        <w:rPr>
          <w:rFonts w:ascii="Arial" w:hAnsi="Arial" w:cs="Arial"/>
          <w:sz w:val="22"/>
          <w:szCs w:val="22"/>
        </w:rPr>
        <w:t>=  £5,000</w:t>
      </w:r>
    </w:p>
    <w:p w14:paraId="0D28B892"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Final HH Embedded Export</w:t>
      </w:r>
      <w:r>
        <w:rPr>
          <w:rFonts w:ascii="Arial" w:hAnsi="Arial" w:cs="Arial"/>
          <w:sz w:val="22"/>
          <w:szCs w:val="22"/>
        </w:rPr>
        <w:tab/>
      </w:r>
      <w:r>
        <w:rPr>
          <w:rFonts w:ascii="Arial" w:hAnsi="Arial" w:cs="Arial"/>
          <w:sz w:val="22"/>
          <w:szCs w:val="22"/>
        </w:rPr>
        <w:tab/>
        <w:t>= (-550kW - -500kW) x £5.00/kW</w:t>
      </w:r>
    </w:p>
    <w:p w14:paraId="6E3D816B"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Reconciliation Charge</w:t>
      </w:r>
      <w:r>
        <w:rPr>
          <w:rFonts w:ascii="Arial" w:hAnsi="Arial" w:cs="Arial"/>
          <w:sz w:val="22"/>
          <w:szCs w:val="22"/>
        </w:rPr>
        <w:tab/>
      </w:r>
      <w:r>
        <w:rPr>
          <w:rFonts w:ascii="Arial" w:hAnsi="Arial" w:cs="Arial"/>
          <w:sz w:val="22"/>
          <w:szCs w:val="22"/>
        </w:rPr>
        <w:tab/>
        <w:t>= -£250</w:t>
      </w:r>
    </w:p>
    <w:p w14:paraId="489AD18B"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NHH Reconciliation Charge </w:t>
      </w:r>
      <w:r w:rsidRPr="008E4447">
        <w:rPr>
          <w:rFonts w:ascii="Arial" w:hAnsi="Arial" w:cs="Arial"/>
          <w:sz w:val="22"/>
          <w:szCs w:val="22"/>
        </w:rPr>
        <w:tab/>
        <w:t xml:space="preserve">= </w:t>
      </w:r>
      <w:r w:rsidRPr="008E4447">
        <w:rPr>
          <w:rFonts w:ascii="Arial" w:hAnsi="Arial" w:cs="Arial"/>
          <w:sz w:val="22"/>
          <w:szCs w:val="22"/>
          <w:u w:val="single"/>
        </w:rPr>
        <w:t>(16,700,000kWh – 17,000,000kWh) x 1.20p/kWh</w:t>
      </w:r>
    </w:p>
    <w:p w14:paraId="76659C15"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t>100</w:t>
      </w:r>
    </w:p>
    <w:p w14:paraId="3321C29F"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 </w:t>
      </w:r>
      <w:r w:rsidRPr="008E4447">
        <w:rPr>
          <w:rFonts w:ascii="Arial" w:hAnsi="Arial" w:cs="Arial"/>
          <w:sz w:val="22"/>
          <w:szCs w:val="22"/>
        </w:rPr>
        <w:tab/>
        <w:t xml:space="preserve">              </w:t>
      </w:r>
      <w:r w:rsidRPr="008E4447">
        <w:rPr>
          <w:rFonts w:ascii="Arial" w:hAnsi="Arial" w:cs="Arial"/>
          <w:sz w:val="22"/>
          <w:szCs w:val="22"/>
        </w:rPr>
        <w:tab/>
      </w:r>
      <w:r w:rsidRPr="008E4447">
        <w:rPr>
          <w:rFonts w:ascii="Arial" w:hAnsi="Arial" w:cs="Arial"/>
          <w:sz w:val="22"/>
          <w:szCs w:val="22"/>
        </w:rPr>
        <w:tab/>
        <w:t>=  -£3,600</w:t>
      </w:r>
    </w:p>
    <w:p w14:paraId="6E02DDE8" w14:textId="77777777" w:rsidR="00FD7A55" w:rsidRDefault="00FD7A55" w:rsidP="00FD7A55">
      <w:pPr>
        <w:rPr>
          <w:rFonts w:ascii="Arial" w:hAnsi="Arial" w:cs="Arial"/>
          <w:sz w:val="22"/>
          <w:szCs w:val="22"/>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7F07FC8C" w14:textId="77777777" w:rsidR="00FD7A55" w:rsidRDefault="00FD7A55" w:rsidP="00FD7A55">
      <w:pPr>
        <w:rPr>
          <w:rFonts w:ascii="Arial" w:hAnsi="Arial" w:cs="Arial"/>
        </w:rPr>
      </w:pPr>
    </w:p>
    <w:p w14:paraId="70707D05" w14:textId="77777777" w:rsidR="00FD7A55" w:rsidRDefault="00FD7A55" w:rsidP="00FD7A55">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267913E4" w14:textId="77777777" w:rsidR="00FD7A55" w:rsidRDefault="00FD7A55" w:rsidP="00FD7A55">
      <w:pPr>
        <w:rPr>
          <w:rFonts w:ascii="Arial" w:hAnsi="Arial" w:cs="Arial"/>
        </w:rPr>
      </w:pPr>
    </w:p>
    <w:p w14:paraId="0DFCDB09" w14:textId="77777777" w:rsidR="00FD7A55" w:rsidRDefault="00FD7A55" w:rsidP="00FD7A55">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3134244E" w14:textId="77777777" w:rsidR="006661FE" w:rsidRPr="008E4447" w:rsidRDefault="006661FE" w:rsidP="006661FE">
      <w:pPr>
        <w:pStyle w:val="1"/>
        <w:rPr>
          <w:rFonts w:ascii="Arial" w:hAnsi="Arial" w:cs="Arial"/>
          <w:szCs w:val="22"/>
        </w:rPr>
      </w:pPr>
    </w:p>
    <w:p w14:paraId="3861964F" w14:textId="598E02B9" w:rsidR="006661FE" w:rsidRPr="008E4447" w:rsidRDefault="006661FE" w:rsidP="006661FE">
      <w:pPr>
        <w:pStyle w:val="1"/>
        <w:rPr>
          <w:rFonts w:ascii="Arial" w:hAnsi="Arial" w:cs="Arial"/>
          <w:szCs w:val="22"/>
        </w:rPr>
      </w:pPr>
      <w:r w:rsidRPr="008E4447">
        <w:rPr>
          <w:rFonts w:ascii="Arial" w:hAnsi="Arial" w:cs="Arial"/>
          <w:szCs w:val="22"/>
        </w:rPr>
        <w:t>Consequently, the net final TNUoS demand reconciliation charge will be £1,</w:t>
      </w:r>
      <w:r w:rsidR="003A0CB9">
        <w:rPr>
          <w:rFonts w:ascii="Arial" w:hAnsi="Arial" w:cs="Arial"/>
          <w:szCs w:val="22"/>
        </w:rPr>
        <w:t xml:space="preserve"> 1</w:t>
      </w:r>
      <w:r w:rsidR="00A157B7">
        <w:rPr>
          <w:rFonts w:ascii="Arial" w:hAnsi="Arial" w:cs="Arial"/>
          <w:szCs w:val="22"/>
        </w:rPr>
        <w:t>35</w:t>
      </w:r>
      <w:r w:rsidR="003A0CB9">
        <w:rPr>
          <w:rFonts w:ascii="Arial" w:hAnsi="Arial" w:cs="Arial"/>
          <w:szCs w:val="22"/>
        </w:rPr>
        <w:t xml:space="preserve"> (£5,000 + -£250 + -£3,600</w:t>
      </w:r>
      <w:r w:rsidR="00CD4C1A">
        <w:rPr>
          <w:rFonts w:ascii="Arial" w:hAnsi="Arial" w:cs="Arial"/>
          <w:szCs w:val="22"/>
        </w:rPr>
        <w:t xml:space="preserve"> + £450 </w:t>
      </w:r>
      <w:r w:rsidR="009C48A5">
        <w:rPr>
          <w:rFonts w:ascii="Arial" w:hAnsi="Arial" w:cs="Arial"/>
          <w:szCs w:val="22"/>
        </w:rPr>
        <w:t xml:space="preserve">- £300 </w:t>
      </w:r>
      <w:r w:rsidR="00CA7CE9">
        <w:rPr>
          <w:rFonts w:ascii="Arial" w:hAnsi="Arial" w:cs="Arial"/>
          <w:szCs w:val="22"/>
        </w:rPr>
        <w:t>- £165)</w:t>
      </w:r>
      <w:r w:rsidR="00E66959">
        <w:rPr>
          <w:rFonts w:ascii="Arial" w:hAnsi="Arial" w:cs="Arial"/>
          <w:szCs w:val="22"/>
        </w:rPr>
        <w:t>.</w:t>
      </w:r>
    </w:p>
    <w:p w14:paraId="12D0239A" w14:textId="77777777" w:rsidR="006661FE" w:rsidRPr="008E4447" w:rsidRDefault="006661FE" w:rsidP="006661FE">
      <w:pPr>
        <w:rPr>
          <w:rFonts w:ascii="Arial" w:hAnsi="Arial" w:cs="Arial"/>
          <w:sz w:val="22"/>
          <w:szCs w:val="22"/>
        </w:rPr>
      </w:pPr>
    </w:p>
    <w:p w14:paraId="55F288AF"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54729530" w14:textId="77777777" w:rsidR="006661FE" w:rsidRPr="008E4447" w:rsidRDefault="006661FE" w:rsidP="006661FE">
      <w:pPr>
        <w:pStyle w:val="Header"/>
        <w:jc w:val="both"/>
        <w:rPr>
          <w:rFonts w:ascii="Arial" w:hAnsi="Arial" w:cs="Arial"/>
          <w:b/>
          <w:szCs w:val="22"/>
        </w:rPr>
      </w:pPr>
    </w:p>
    <w:p w14:paraId="4AD236B1"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lastRenderedPageBreak/>
        <w:t>Outturn data for BM Units with a net export over the Triad will be received at this stage and final reconciliation will be carried out, as required. Interest will be calculated as described above.</w:t>
      </w:r>
    </w:p>
    <w:p w14:paraId="7D88FF7C" w14:textId="77777777" w:rsidR="006661FE" w:rsidRPr="008E4447" w:rsidRDefault="006661FE" w:rsidP="006661FE">
      <w:pPr>
        <w:pStyle w:val="Header"/>
        <w:jc w:val="both"/>
        <w:rPr>
          <w:rFonts w:ascii="Arial" w:hAnsi="Arial" w:cs="Arial"/>
          <w:b/>
          <w:szCs w:val="22"/>
        </w:rPr>
      </w:pPr>
    </w:p>
    <w:p w14:paraId="0BBE3A6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1BD41D2D" w14:textId="77777777" w:rsidR="006661FE" w:rsidRPr="008E4447" w:rsidRDefault="006661FE" w:rsidP="006661FE">
      <w:pPr>
        <w:pStyle w:val="Header"/>
        <w:jc w:val="both"/>
        <w:rPr>
          <w:rFonts w:ascii="Arial" w:hAnsi="Arial" w:cs="Arial"/>
          <w:b/>
          <w:szCs w:val="22"/>
        </w:rPr>
      </w:pPr>
    </w:p>
    <w:p w14:paraId="336FF5F4"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693B6ABA" w14:textId="77777777" w:rsidR="006661FE" w:rsidRPr="008E4447" w:rsidRDefault="006661FE" w:rsidP="006661FE">
      <w:pPr>
        <w:pStyle w:val="BodyTextIndent"/>
        <w:ind w:left="720" w:hanging="720"/>
        <w:jc w:val="both"/>
        <w:rPr>
          <w:rFonts w:cs="Arial"/>
          <w:b/>
          <w:szCs w:val="22"/>
          <w:u w:val="single"/>
        </w:rPr>
      </w:pPr>
    </w:p>
    <w:p w14:paraId="277A60A7"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1CDA9C8B" w14:textId="77777777" w:rsidR="00C83E55" w:rsidRDefault="00C83E55" w:rsidP="006661FE">
      <w:pPr>
        <w:pStyle w:val="BodyTextIndent3"/>
        <w:ind w:left="357"/>
        <w:rPr>
          <w:rFonts w:cs="Arial"/>
          <w:szCs w:val="22"/>
        </w:rPr>
      </w:pPr>
    </w:p>
    <w:p w14:paraId="09B44AFA"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64AD216D" w14:textId="77777777" w:rsidR="00C83E55" w:rsidRPr="008E4447" w:rsidRDefault="00C83E55" w:rsidP="00C83E55">
      <w:pPr>
        <w:pStyle w:val="BodyTextIndent"/>
        <w:ind w:left="720" w:hanging="720"/>
        <w:jc w:val="both"/>
        <w:rPr>
          <w:rFonts w:cs="Arial"/>
          <w:b/>
          <w:szCs w:val="22"/>
          <w:u w:val="single"/>
        </w:rPr>
      </w:pPr>
    </w:p>
    <w:p w14:paraId="60E82CCF"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460BF5B6" w14:textId="77777777" w:rsidR="00C83E55" w:rsidRPr="008E4447" w:rsidRDefault="00C83E55" w:rsidP="00094004">
      <w:pPr>
        <w:pStyle w:val="BodyTextIndent3"/>
        <w:rPr>
          <w:rFonts w:cs="Arial"/>
          <w:szCs w:val="22"/>
        </w:rPr>
      </w:pPr>
    </w:p>
    <w:p w14:paraId="53DE3244" w14:textId="77777777" w:rsidR="006661FE" w:rsidRPr="008E4447" w:rsidRDefault="006661FE" w:rsidP="006661FE">
      <w:pPr>
        <w:pStyle w:val="BodyTextIndent"/>
        <w:ind w:left="720" w:hanging="720"/>
        <w:jc w:val="both"/>
        <w:rPr>
          <w:rFonts w:cs="Arial"/>
          <w:szCs w:val="22"/>
        </w:rPr>
      </w:pPr>
    </w:p>
    <w:p w14:paraId="0E3B2ACE" w14:textId="1F9F1F5F" w:rsidR="006661FE" w:rsidRPr="008E4447" w:rsidRDefault="4DB720A2" w:rsidP="0537B9E0">
      <w:pPr>
        <w:pStyle w:val="BodyTextIndent3"/>
        <w:ind w:left="357"/>
        <w:rPr>
          <w:rFonts w:cs="Arial"/>
        </w:rPr>
      </w:pPr>
      <w:r w:rsidRPr="0537B9E0">
        <w:rPr>
          <w:rFonts w:cs="Arial"/>
          <w:b/>
          <w:bCs/>
        </w:rPr>
        <w:t>NHHC</w:t>
      </w:r>
      <w:r w:rsidRPr="0537B9E0">
        <w:rPr>
          <w:rFonts w:cs="Arial"/>
          <w:b/>
          <w:bCs/>
          <w:vertAlign w:val="subscript"/>
        </w:rPr>
        <w:t>A</w:t>
      </w:r>
      <w:r w:rsidRPr="0537B9E0">
        <w:rPr>
          <w:rFonts w:cs="Arial"/>
          <w:b/>
          <w:bCs/>
        </w:rPr>
        <w:t xml:space="preserve"> </w:t>
      </w:r>
      <w:r w:rsidRPr="0537B9E0">
        <w:rPr>
          <w:rFonts w:cs="Arial"/>
        </w:rPr>
        <w:t>= The Supplier's outturn non-half-hourly metered daily Energy Consumption (kWh) for the period 16:00 hrs to 19:00 hrs inclusive (i.e. settlement periods 33 to 38) from April 1</w:t>
      </w:r>
      <w:r w:rsidRPr="0537B9E0">
        <w:rPr>
          <w:rFonts w:cs="Arial"/>
          <w:vertAlign w:val="superscript"/>
        </w:rPr>
        <w:t>st</w:t>
      </w:r>
      <w:r w:rsidRPr="0537B9E0">
        <w:rPr>
          <w:rFonts w:cs="Arial"/>
        </w:rPr>
        <w:t xml:space="preserve"> to March 31</w:t>
      </w:r>
      <w:r w:rsidRPr="0537B9E0">
        <w:rPr>
          <w:rFonts w:cs="Arial"/>
          <w:vertAlign w:val="superscript"/>
        </w:rPr>
        <w:t>st</w:t>
      </w:r>
      <w:r w:rsidRPr="0537B9E0">
        <w:rPr>
          <w:rFonts w:cs="Arial"/>
        </w:rPr>
        <w:t>, for the demand zone concerned</w:t>
      </w:r>
      <w:r w:rsidR="5846D50A" w:rsidRPr="0537B9E0">
        <w:rPr>
          <w:rFonts w:cs="Arial"/>
        </w:rPr>
        <w:t xml:space="preserve">. </w:t>
      </w:r>
    </w:p>
    <w:p w14:paraId="0EE5DAFC" w14:textId="77777777" w:rsidR="006661FE" w:rsidRPr="008E4447" w:rsidRDefault="006661FE" w:rsidP="006661FE">
      <w:pPr>
        <w:pStyle w:val="BodyTextIndent3"/>
        <w:ind w:left="357"/>
        <w:rPr>
          <w:rFonts w:cs="Arial"/>
          <w:szCs w:val="22"/>
        </w:rPr>
      </w:pPr>
    </w:p>
    <w:p w14:paraId="230EA73A"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04321FF6" w14:textId="77777777" w:rsidR="006661FE" w:rsidRPr="008E4447" w:rsidRDefault="006661FE" w:rsidP="006661FE">
      <w:pPr>
        <w:pStyle w:val="Header"/>
        <w:jc w:val="both"/>
        <w:rPr>
          <w:rFonts w:ascii="Arial" w:hAnsi="Arial" w:cs="Arial"/>
          <w:szCs w:val="22"/>
        </w:rPr>
      </w:pPr>
    </w:p>
    <w:p w14:paraId="1200C336"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424DB3DA" w14:textId="77777777" w:rsidR="006661FE" w:rsidRPr="008E4447" w:rsidRDefault="006661FE" w:rsidP="006661FE">
      <w:pPr>
        <w:pStyle w:val="Header"/>
        <w:jc w:val="both"/>
        <w:rPr>
          <w:rFonts w:ascii="Arial" w:hAnsi="Arial" w:cs="Arial"/>
          <w:szCs w:val="22"/>
        </w:rPr>
      </w:pPr>
    </w:p>
    <w:p w14:paraId="39F985BE"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8C91CE" w14:textId="77777777" w:rsidR="006661FE" w:rsidRPr="008E4447" w:rsidRDefault="006661FE" w:rsidP="006661FE">
      <w:pPr>
        <w:rPr>
          <w:rFonts w:ascii="Arial" w:hAnsi="Arial" w:cs="Arial"/>
          <w:sz w:val="22"/>
          <w:szCs w:val="22"/>
        </w:rPr>
      </w:pPr>
    </w:p>
    <w:p w14:paraId="0FC26621" w14:textId="77777777" w:rsidR="006661FE" w:rsidRPr="00FE40FB" w:rsidRDefault="006661FE" w:rsidP="006661FE">
      <w:pPr>
        <w:pStyle w:val="Heading1"/>
        <w:rPr>
          <w:color w:val="auto"/>
          <w:sz w:val="28"/>
          <w:szCs w:val="28"/>
        </w:rPr>
      </w:pPr>
      <w:bookmarkStart w:id="555" w:name="_Ref531684937"/>
      <w:bookmarkStart w:id="556" w:name="_Toc32201110"/>
      <w:r w:rsidRPr="008E4447">
        <w:rPr>
          <w:rFonts w:ascii="Arial" w:hAnsi="Arial" w:cs="Arial"/>
          <w:sz w:val="22"/>
          <w:szCs w:val="22"/>
        </w:rPr>
        <w:br w:type="page"/>
      </w:r>
      <w:bookmarkStart w:id="557" w:name="_Toc274049739"/>
      <w:bookmarkStart w:id="558"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57"/>
    </w:p>
    <w:p w14:paraId="2FD4AEBF" w14:textId="77777777" w:rsidR="006661FE" w:rsidRDefault="006661FE" w:rsidP="006661FE">
      <w:pPr>
        <w:pStyle w:val="Heading1"/>
        <w:rPr>
          <w:sz w:val="22"/>
        </w:rPr>
      </w:pPr>
    </w:p>
    <w:p w14:paraId="0D40960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01C94133" w14:textId="77777777" w:rsidR="006661FE" w:rsidRDefault="006661FE" w:rsidP="006661FE">
      <w:pPr>
        <w:jc w:val="both"/>
        <w:rPr>
          <w:rFonts w:ascii="Arial" w:hAnsi="Arial"/>
          <w:noProof/>
          <w:sz w:val="22"/>
        </w:rPr>
      </w:pPr>
    </w:p>
    <w:p w14:paraId="20D6F827"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71FAB39A" w14:textId="77777777" w:rsidR="006661FE" w:rsidRDefault="006661FE" w:rsidP="006661FE">
      <w:pPr>
        <w:pStyle w:val="FootnoteText"/>
      </w:pPr>
    </w:p>
    <w:p w14:paraId="39C91E12"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79DFCD2F" w14:textId="77777777">
        <w:trPr>
          <w:cantSplit/>
          <w:trHeight w:val="373"/>
        </w:trPr>
        <w:tc>
          <w:tcPr>
            <w:tcW w:w="9039" w:type="dxa"/>
            <w:gridSpan w:val="2"/>
            <w:vAlign w:val="center"/>
          </w:tcPr>
          <w:p w14:paraId="73936D94"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45EAF8C6" w14:textId="77777777">
        <w:trPr>
          <w:cantSplit/>
          <w:trHeight w:val="1886"/>
        </w:trPr>
        <w:tc>
          <w:tcPr>
            <w:tcW w:w="9039" w:type="dxa"/>
            <w:gridSpan w:val="2"/>
          </w:tcPr>
          <w:p w14:paraId="19CF7F2F" w14:textId="2C7E0251" w:rsidR="006661FE" w:rsidRDefault="00575BBD" w:rsidP="006661FE">
            <w:r>
              <w:rPr>
                <w:noProof/>
              </w:rPr>
              <mc:AlternateContent>
                <mc:Choice Requires="wps">
                  <w:drawing>
                    <wp:anchor distT="0" distB="0" distL="114300" distR="114300" simplePos="0" relativeHeight="251658259" behindDoc="0" locked="0" layoutInCell="0" allowOverlap="1" wp14:anchorId="0433D510" wp14:editId="479EA71E">
                      <wp:simplePos x="0" y="0"/>
                      <wp:positionH relativeFrom="column">
                        <wp:posOffset>69850</wp:posOffset>
                      </wp:positionH>
                      <wp:positionV relativeFrom="paragraph">
                        <wp:posOffset>240665</wp:posOffset>
                      </wp:positionV>
                      <wp:extent cx="3017520" cy="796290"/>
                      <wp:effectExtent l="22225" t="21590" r="17780" b="2032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7241A980"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3D510" id="Rectangle 70" o:spid="_x0000_s1030" style="position:absolute;margin-left:5.5pt;margin-top:18.95pt;width:237.6pt;height:62.7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8hGAIAACk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UeIDcWcL9ZGURTj5lf4XLVrAn5z15NWK+x97gYoz88FSdxbFZBLNnYLJdBZ1xevM9joj&#10;rCSoigfOTst1OH2IvUO9a+mlIqlh4Y462ugk9jOrM33yY+rB+e9Ew1/H6dTzD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PjevIRgCAAApBAAADgAAAAAAAAAAAAAAAAAuAgAAZHJzL2Uyb0RvYy54bWxQSwECLQAUAAYA&#10;CAAAACEA5LPJjt0AAAAJAQAADwAAAAAAAAAAAAAAAAByBAAAZHJzL2Rvd25yZXYueG1sUEsFBgAA&#10;AAAEAAQA8wAAAHwFAAAAAA==&#10;" o:allowincell="f" strokecolor="red" strokeweight="2.25pt">
                      <v:textbox>
                        <w:txbxContent>
                          <w:p w14:paraId="7241A980" w14:textId="77777777" w:rsidR="002A2617" w:rsidRDefault="002A2617"/>
                        </w:txbxContent>
                      </v:textbox>
                    </v:rect>
                  </w:pict>
                </mc:Fallback>
              </mc:AlternateContent>
            </w:r>
            <w:r>
              <w:rPr>
                <w:noProof/>
              </w:rPr>
              <mc:AlternateContent>
                <mc:Choice Requires="wps">
                  <w:drawing>
                    <wp:anchor distT="0" distB="0" distL="114300" distR="114300" simplePos="0" relativeHeight="251658262" behindDoc="0" locked="0" layoutInCell="0" allowOverlap="1" wp14:anchorId="53818839" wp14:editId="204D913F">
                      <wp:simplePos x="0" y="0"/>
                      <wp:positionH relativeFrom="column">
                        <wp:posOffset>274955</wp:posOffset>
                      </wp:positionH>
                      <wp:positionV relativeFrom="paragraph">
                        <wp:posOffset>57785</wp:posOffset>
                      </wp:positionV>
                      <wp:extent cx="2538095" cy="274320"/>
                      <wp:effectExtent l="0" t="635" r="0" b="12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18839" id="Text Box 62" o:spid="_x0000_s1031" type="#_x0000_t202" style="position:absolute;margin-left:21.65pt;margin-top:4.55pt;width:199.85pt;height:21.6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ov+QEAANE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clX0aIyLqC+ki8ESZf0X9Amw7wN2cDeark&#10;/tdeoOLMfLKk3e18uYwmTMFydU1MGV5mqsuMsJKgSh44m7bbMBl371C3HVWapmXhnvRudJLipatT&#10;++SbpNDJ49GYl3G69fInbv4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J+yCi/5AQAA0QMAAA4AAAAAAAAAAAAAAAAALgIA&#10;AGRycy9lMm9Eb2MueG1sUEsBAi0AFAAGAAgAAAAhABDCbL7cAAAABwEAAA8AAAAAAAAAAAAAAAAA&#10;UwQAAGRycy9kb3ducmV2LnhtbFBLBQYAAAAABAAEAPMAAABcBQAAAAA=&#10;" o:allowincell="f" stroked="f" strokecolor="#9cf">
                      <v:textbo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3" behindDoc="0" locked="0" layoutInCell="0" allowOverlap="1" wp14:anchorId="2B53E280" wp14:editId="1BCAD0DB">
                      <wp:simplePos x="0" y="0"/>
                      <wp:positionH relativeFrom="column">
                        <wp:posOffset>1075690</wp:posOffset>
                      </wp:positionH>
                      <wp:positionV relativeFrom="paragraph">
                        <wp:posOffset>854075</wp:posOffset>
                      </wp:positionV>
                      <wp:extent cx="274320" cy="635"/>
                      <wp:effectExtent l="18415" t="15875" r="21590" b="2159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FE43910" id="Straight Connector 60" o:spid="_x0000_s1026" style="position:absolute;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1" behindDoc="0" locked="0" layoutInCell="0" allowOverlap="1" wp14:anchorId="4C2522A3" wp14:editId="5BABE741">
                      <wp:simplePos x="0" y="0"/>
                      <wp:positionH relativeFrom="column">
                        <wp:posOffset>1350010</wp:posOffset>
                      </wp:positionH>
                      <wp:positionV relativeFrom="paragraph">
                        <wp:posOffset>423545</wp:posOffset>
                      </wp:positionV>
                      <wp:extent cx="914400" cy="480060"/>
                      <wp:effectExtent l="16510" t="23495" r="21590" b="2032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522A3" id="Text Box 58" o:spid="_x0000_s1032" type="#_x0000_t202" style="position:absolute;margin-left:106.3pt;margin-top:33.35pt;width:1in;height:37.8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H3FwIAADI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Cr6MdyOtJVQnIhZhNC4NGgUt4B/OejJtwf3vg0DFmflsSZzEJbk8bRbLmznxiteZ8joj&#10;rCSoggfOxnAXxsk4ONRNSy+NdrBwR4LWOpH9XNW5fDJm0uA8RNH51/t06nnUt38B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NjLgfcXAgAAMgQAAA4AAAAAAAAAAAAAAAAALgIAAGRycy9lMm9Eb2MueG1sUEsBAi0AFAAGAAgA&#10;AAAhABW5EgfcAAAACgEAAA8AAAAAAAAAAAAAAAAAcQQAAGRycy9kb3ducmV2LnhtbFBLBQYAAAAA&#10;BAAEAPMAAAB6BQAAAAA=&#10;" o:allowincell="f" fillcolor="#9cf" strokecolor="#9cf" strokeweight="2.25pt">
                      <v:textbo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0" behindDoc="0" locked="0" layoutInCell="0" allowOverlap="1" wp14:anchorId="47AEB4C3" wp14:editId="652977C2">
                      <wp:simplePos x="0" y="0"/>
                      <wp:positionH relativeFrom="column">
                        <wp:posOffset>161290</wp:posOffset>
                      </wp:positionH>
                      <wp:positionV relativeFrom="paragraph">
                        <wp:posOffset>423545</wp:posOffset>
                      </wp:positionV>
                      <wp:extent cx="914400" cy="480060"/>
                      <wp:effectExtent l="18415" t="23495" r="19685" b="2032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EB4C3" id="Text Box 57" o:spid="_x0000_s1033" type="#_x0000_t202" style="position:absolute;margin-left:12.7pt;margin-top:33.35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u8ZFwIAADI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Bb+KdyOtJVRHIhZhNC4NGgUt4B/OejJtwf3vvUDFmfliSZzEJbk8bRbL6znxipeZ8jIj&#10;rCSoggfOxnAbxsnYO9RNSy+NdrBwR4LWOpH9UtWpfDJm0uA0RNH5l/t06mXUN38B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Hke7xkXAgAAMgQAAA4AAAAAAAAAAAAAAAAALgIAAGRycy9lMm9Eb2MueG1sUEsBAi0AFAAGAAgA&#10;AAAhAMvSb+vcAAAACQEAAA8AAAAAAAAAAAAAAAAAcQQAAGRycy9kb3ducmV2LnhtbFBLBQYAAAAA&#10;BAAEAPMAAAB6BQAAAAA=&#10;" o:allowincell="f" fillcolor="#9cf" strokecolor="#9cf" strokeweight="2.25pt">
                      <v:textbo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v:textbox>
                    </v:shape>
                  </w:pict>
                </mc:Fallback>
              </mc:AlternateContent>
            </w:r>
          </w:p>
          <w:p w14:paraId="484EF255" w14:textId="77777777" w:rsidR="006661FE" w:rsidRDefault="006661FE" w:rsidP="006661FE">
            <w:pPr>
              <w:rPr>
                <w:rFonts w:ascii="Arial" w:hAnsi="Arial"/>
              </w:rPr>
            </w:pPr>
          </w:p>
          <w:p w14:paraId="17B392EE" w14:textId="77777777" w:rsidR="006661FE" w:rsidRDefault="006661FE" w:rsidP="006661FE">
            <w:pPr>
              <w:rPr>
                <w:rFonts w:ascii="Arial" w:hAnsi="Arial"/>
              </w:rPr>
            </w:pPr>
          </w:p>
          <w:p w14:paraId="5F186516" w14:textId="77777777" w:rsidR="006661FE" w:rsidRDefault="006661FE" w:rsidP="006661FE">
            <w:pPr>
              <w:pStyle w:val="Header"/>
            </w:pPr>
          </w:p>
        </w:tc>
      </w:tr>
      <w:tr w:rsidR="006661FE" w14:paraId="4443A8D0" w14:textId="77777777">
        <w:trPr>
          <w:cantSplit/>
          <w:trHeight w:val="1415"/>
        </w:trPr>
        <w:tc>
          <w:tcPr>
            <w:tcW w:w="4786" w:type="dxa"/>
          </w:tcPr>
          <w:p w14:paraId="6256A07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3056DB95"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0F32C19E"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93A7FC0" w14:textId="77777777" w:rsidR="006661FE" w:rsidRDefault="006661FE" w:rsidP="006661FE">
            <w:pPr>
              <w:pStyle w:val="BodyText"/>
              <w:rPr>
                <w:sz w:val="22"/>
              </w:rPr>
            </w:pPr>
            <w:r w:rsidRPr="00E010AE">
              <w:rPr>
                <w:rFonts w:ascii="Arial" w:hAnsi="Arial" w:cs="Arial"/>
                <w:sz w:val="22"/>
              </w:rPr>
              <w:t>None.</w:t>
            </w:r>
          </w:p>
        </w:tc>
      </w:tr>
    </w:tbl>
    <w:p w14:paraId="72B01903" w14:textId="77777777" w:rsidR="006661FE" w:rsidRDefault="006661FE" w:rsidP="006661FE">
      <w:pPr>
        <w:rPr>
          <w:rFonts w:ascii="Arial" w:hAnsi="Arial"/>
        </w:rPr>
      </w:pPr>
    </w:p>
    <w:p w14:paraId="68BC860B"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7D3265E8" w14:textId="77777777">
        <w:trPr>
          <w:cantSplit/>
          <w:trHeight w:val="373"/>
        </w:trPr>
        <w:tc>
          <w:tcPr>
            <w:tcW w:w="9180" w:type="dxa"/>
            <w:gridSpan w:val="2"/>
            <w:vAlign w:val="center"/>
          </w:tcPr>
          <w:p w14:paraId="236F3AE0"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14:paraId="3EE6E84E" w14:textId="77777777">
        <w:trPr>
          <w:cantSplit/>
          <w:trHeight w:val="1779"/>
        </w:trPr>
        <w:tc>
          <w:tcPr>
            <w:tcW w:w="9180" w:type="dxa"/>
            <w:gridSpan w:val="2"/>
          </w:tcPr>
          <w:p w14:paraId="117C80E0" w14:textId="41D26760" w:rsidR="006661FE" w:rsidRDefault="00575BBD" w:rsidP="006661FE">
            <w:pPr>
              <w:pStyle w:val="Header"/>
            </w:pPr>
            <w:r>
              <w:rPr>
                <w:noProof/>
              </w:rPr>
              <mc:AlternateContent>
                <mc:Choice Requires="wps">
                  <w:drawing>
                    <wp:anchor distT="0" distB="0" distL="114300" distR="114300" simplePos="0" relativeHeight="251658250" behindDoc="0" locked="0" layoutInCell="0" allowOverlap="1" wp14:anchorId="145965C0" wp14:editId="237E5D6A">
                      <wp:simplePos x="0" y="0"/>
                      <wp:positionH relativeFrom="column">
                        <wp:posOffset>3522345</wp:posOffset>
                      </wp:positionH>
                      <wp:positionV relativeFrom="paragraph">
                        <wp:posOffset>398780</wp:posOffset>
                      </wp:positionV>
                      <wp:extent cx="914400" cy="480060"/>
                      <wp:effectExtent l="17145" t="17780" r="20955" b="1651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965C0" id="Text Box 56" o:spid="_x0000_s1034" type="#_x0000_t202" style="position:absolute;margin-left:277.35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r1FwIAADI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Kvgq3o20llCdiFiE0bg0aBS0gH8468m0Bfe/DwIVZ+azJXESl+TytFksV3PiFa8z5XVG&#10;WElQBQ+cjeEujJNxcKibll4a7WDhjgStdSL7uapz+WTMpMF5iKLzr/fp1POob/8C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ZUBr1FwIAADIEAAAOAAAAAAAAAAAAAAAAAC4CAABkcnMvZTJvRG9jLnhtbFBLAQItABQABgAI&#10;AAAAIQDmxq203QAAAAoBAAAPAAAAAAAAAAAAAAAAAHEEAABkcnMvZG93bnJldi54bWxQSwUGAAAA&#10;AAQABADzAAAAewUAAAAA&#10;" o:allowincell="f" fillcolor="#9cf" strokecolor="#9cf" strokeweight="2.25pt">
                      <v:textbo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4A1201C" wp14:editId="4318412D">
                      <wp:simplePos x="0" y="0"/>
                      <wp:positionH relativeFrom="column">
                        <wp:posOffset>1053465</wp:posOffset>
                      </wp:positionH>
                      <wp:positionV relativeFrom="paragraph">
                        <wp:posOffset>829310</wp:posOffset>
                      </wp:positionV>
                      <wp:extent cx="274320" cy="635"/>
                      <wp:effectExtent l="15240" t="19685" r="15240" b="1778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24EF664" id="Straight Connector 53"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48" behindDoc="0" locked="0" layoutInCell="0" allowOverlap="1" wp14:anchorId="7459B633" wp14:editId="6BE1D6B7">
                      <wp:simplePos x="0" y="0"/>
                      <wp:positionH relativeFrom="column">
                        <wp:posOffset>252730</wp:posOffset>
                      </wp:positionH>
                      <wp:positionV relativeFrom="paragraph">
                        <wp:posOffset>33020</wp:posOffset>
                      </wp:positionV>
                      <wp:extent cx="3200400" cy="274320"/>
                      <wp:effectExtent l="0" t="4445" r="4445"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B633" id="Text Box 52" o:spid="_x0000_s1035" type="#_x0000_t202" style="position:absolute;margin-left:19.9pt;margin-top:2.6pt;width:252pt;height:21.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CmOBFm9QEAANEDAAAOAAAAAAAAAAAAAAAAAC4CAABkcnMv&#10;ZTJvRG9jLnhtbFBLAQItABQABgAIAAAAIQCjGTKK2wAAAAcBAAAPAAAAAAAAAAAAAAAAAE8EAABk&#10;cnMvZG93bnJldi54bWxQSwUGAAAAAAQABADzAAAAVwUAAAAA&#10;" o:allowincell="f" stroked="f" strokecolor="#9cf">
                      <v:textbo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30AFAF2D" wp14:editId="0D45A35B">
                      <wp:simplePos x="0" y="0"/>
                      <wp:positionH relativeFrom="column">
                        <wp:posOffset>2426970</wp:posOffset>
                      </wp:positionH>
                      <wp:positionV relativeFrom="paragraph">
                        <wp:posOffset>398780</wp:posOffset>
                      </wp:positionV>
                      <wp:extent cx="914400" cy="480060"/>
                      <wp:effectExtent l="17145" t="17780" r="20955" b="1651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FAF2D" id="Text Box 51" o:spid="_x0000_s1036" type="#_x0000_t202" style="position:absolute;margin-left:191.1pt;margin-top:31.4pt;width:1in;height:37.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dj4FgIAADI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aTwbZS2hOpGwCGNw6aHRpAX8w1lPoS24/30QqDgzny2Zk7SklKfFYnkzJ13xulJeV4SV&#10;BFXwwNk43YXxZRwc6qalm8Y4WLgjQ2udxH5mdaZPwUwenB9RTP71Ou16furbvwA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3pHY+BYCAAAyBAAADgAAAAAAAAAAAAAAAAAuAgAAZHJzL2Uyb0RvYy54bWxQSwECLQAUAAYACAAA&#10;ACEAmBl2H9wAAAAKAQAADwAAAAAAAAAAAAAAAABwBAAAZHJzL2Rvd25yZXYueG1sUEsFBgAAAAAE&#10;AAQA8wAAAHkFAAAAAA==&#10;" o:allowincell="f" fillcolor="#9cf" strokecolor="#9cf" strokeweight="2.25pt">
                      <v:textbo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6" behindDoc="0" locked="0" layoutInCell="0" allowOverlap="1" wp14:anchorId="5EE01382" wp14:editId="01A53296">
                      <wp:simplePos x="0" y="0"/>
                      <wp:positionH relativeFrom="column">
                        <wp:posOffset>1327785</wp:posOffset>
                      </wp:positionH>
                      <wp:positionV relativeFrom="paragraph">
                        <wp:posOffset>398780</wp:posOffset>
                      </wp:positionV>
                      <wp:extent cx="914400" cy="480060"/>
                      <wp:effectExtent l="22860" t="17780" r="15240"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01382" id="Text Box 13" o:spid="_x0000_s1037" type="#_x0000_t202" style="position:absolute;margin-left:104.55pt;margin-top:31.4pt;width:1in;height:37.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aYFg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0OfJaQnUiZhFG59KkUdAC/uGsJ9cW3P8+CFScmc+W1Elkks3TZrG8mROxeJ0przPC&#10;SoIqeOBsDHdhHI2DQ9209NLoBwt3pGitE9vPVZ3rJ2cmEc5TFK1/vU+nnmd9+xc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RTpWmBYCAAAzBAAADgAAAAAAAAAAAAAAAAAuAgAAZHJzL2Uyb0RvYy54bWxQSwECLQAUAAYACAAA&#10;ACEA2McXjdwAAAAKAQAADwAAAAAAAAAAAAAAAABwBAAAZHJzL2Rvd25yZXYueG1sUEsFBgAAAAAE&#10;AAQA8wAAAHkFAAAAAA==&#10;" o:allowincell="f" fillcolor="#9cf" strokecolor="#9cf" strokeweight="2.25pt">
                      <v:textbo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5" behindDoc="0" locked="0" layoutInCell="0" allowOverlap="1" wp14:anchorId="55594AFA" wp14:editId="4FD049C9">
                      <wp:simplePos x="0" y="0"/>
                      <wp:positionH relativeFrom="column">
                        <wp:posOffset>139065</wp:posOffset>
                      </wp:positionH>
                      <wp:positionV relativeFrom="paragraph">
                        <wp:posOffset>398780</wp:posOffset>
                      </wp:positionV>
                      <wp:extent cx="914400" cy="480060"/>
                      <wp:effectExtent l="15240" t="17780" r="22860"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94AFA" id="Text Box 10" o:spid="_x0000_s1038" type="#_x0000_t202" style="position:absolute;margin-left:10.95pt;margin-top:31.4pt;width:1in;height:37.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V0o3QXAgAAMwQAAA4AAAAAAAAAAAAAAAAALgIAAGRycy9lMm9Eb2MueG1sUEsBAi0AFAAGAAgA&#10;AAAhAOu6FKfcAAAACQEAAA8AAAAAAAAAAAAAAAAAcQQAAGRycy9kb3ducmV2LnhtbFBLBQYAAAAA&#10;BAAEAPMAAAB6BQAAAAA=&#10;" o:allowincell="f" fillcolor="#9cf" strokecolor="#9cf" strokeweight="2.25pt">
                      <v:textbo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4" behindDoc="0" locked="0" layoutInCell="0" allowOverlap="1" wp14:anchorId="5D9E301C" wp14:editId="6D82383A">
                      <wp:simplePos x="0" y="0"/>
                      <wp:positionH relativeFrom="column">
                        <wp:posOffset>47625</wp:posOffset>
                      </wp:positionH>
                      <wp:positionV relativeFrom="paragraph">
                        <wp:posOffset>215900</wp:posOffset>
                      </wp:positionV>
                      <wp:extent cx="4572000" cy="796290"/>
                      <wp:effectExtent l="19050" t="15875" r="19050" b="165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00BF964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E301C" id="Rectangle 9" o:spid="_x0000_s1039" style="position:absolute;margin-left:3.75pt;margin-top:17pt;width:5in;height:6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v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k8j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50yvGFwIAACoEAAAOAAAAAAAAAAAAAAAAAC4CAABkcnMvZTJvRG9jLnhtbFBLAQItABQABgAI&#10;AAAAIQAgGuGV3QAAAAgBAAAPAAAAAAAAAAAAAAAAAHEEAABkcnMvZG93bnJldi54bWxQSwUGAAAA&#10;AAQABADzAAAAewUAAAAA&#10;" o:allowincell="f" strokecolor="red" strokeweight="2.25pt">
                      <v:textbox>
                        <w:txbxContent>
                          <w:p w14:paraId="00BF9642" w14:textId="77777777" w:rsidR="002A2617" w:rsidRDefault="002A2617"/>
                        </w:txbxContent>
                      </v:textbox>
                    </v:rect>
                  </w:pict>
                </mc:Fallback>
              </mc:AlternateContent>
            </w:r>
          </w:p>
          <w:p w14:paraId="7068D422" w14:textId="77777777" w:rsidR="006661FE" w:rsidRDefault="006661FE" w:rsidP="006661FE">
            <w:pPr>
              <w:pStyle w:val="Header"/>
            </w:pPr>
          </w:p>
          <w:p w14:paraId="009F167D" w14:textId="77777777" w:rsidR="006661FE" w:rsidRDefault="006661FE" w:rsidP="006661FE">
            <w:pPr>
              <w:pStyle w:val="Header"/>
            </w:pPr>
          </w:p>
          <w:p w14:paraId="722E6FE1" w14:textId="77777777" w:rsidR="006661FE" w:rsidRDefault="006661FE" w:rsidP="006661FE">
            <w:pPr>
              <w:pStyle w:val="Header"/>
            </w:pPr>
          </w:p>
          <w:p w14:paraId="7A870CF6" w14:textId="77777777" w:rsidR="006661FE" w:rsidRDefault="006661FE" w:rsidP="006661FE">
            <w:pPr>
              <w:pStyle w:val="Header"/>
            </w:pPr>
          </w:p>
          <w:p w14:paraId="2A093945" w14:textId="77777777" w:rsidR="006661FE" w:rsidRDefault="006661FE" w:rsidP="006661FE">
            <w:pPr>
              <w:pStyle w:val="Header"/>
            </w:pPr>
          </w:p>
        </w:tc>
      </w:tr>
      <w:tr w:rsidR="006661FE" w14:paraId="41C93EFA" w14:textId="77777777">
        <w:trPr>
          <w:cantSplit/>
          <w:trHeight w:val="1704"/>
        </w:trPr>
        <w:tc>
          <w:tcPr>
            <w:tcW w:w="4077" w:type="dxa"/>
          </w:tcPr>
          <w:p w14:paraId="3B6AC2D1"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9C0948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3C0EFF9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67144EA"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26D89C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1F4C00D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081D4DC" w14:textId="77777777" w:rsidR="006661FE" w:rsidRDefault="006661FE" w:rsidP="006661FE">
      <w:pPr>
        <w:rPr>
          <w:rFonts w:ascii="Arial" w:hAnsi="Arial"/>
        </w:rPr>
      </w:pPr>
    </w:p>
    <w:p w14:paraId="6FCFE62B" w14:textId="77777777" w:rsidR="006661FE" w:rsidRDefault="006661FE" w:rsidP="006661FE">
      <w:pPr>
        <w:rPr>
          <w:rFonts w:ascii="Arial" w:hAnsi="Arial"/>
        </w:rPr>
      </w:pPr>
    </w:p>
    <w:p w14:paraId="15BDEF31" w14:textId="77777777" w:rsidR="006661FE" w:rsidRDefault="006661FE" w:rsidP="006661FE">
      <w:pPr>
        <w:rPr>
          <w:rFonts w:ascii="Arial" w:hAnsi="Arial"/>
        </w:rPr>
      </w:pPr>
    </w:p>
    <w:p w14:paraId="328DF01C" w14:textId="77777777" w:rsidR="006661FE" w:rsidRDefault="006661FE" w:rsidP="006661FE">
      <w:pPr>
        <w:rPr>
          <w:rFonts w:ascii="Arial" w:hAnsi="Arial"/>
        </w:rPr>
      </w:pPr>
    </w:p>
    <w:p w14:paraId="0A413CB0" w14:textId="77777777" w:rsidR="006661FE" w:rsidRDefault="006661FE" w:rsidP="006661FE">
      <w:pPr>
        <w:rPr>
          <w:rFonts w:ascii="Arial" w:hAnsi="Arial"/>
        </w:rPr>
      </w:pPr>
    </w:p>
    <w:p w14:paraId="03C1EF9A" w14:textId="77777777" w:rsidR="006661FE" w:rsidRDefault="006661FE" w:rsidP="006661FE">
      <w:pPr>
        <w:rPr>
          <w:rFonts w:ascii="Arial" w:hAnsi="Arial"/>
        </w:rPr>
      </w:pPr>
    </w:p>
    <w:p w14:paraId="42119B3F" w14:textId="77777777" w:rsidR="006661FE" w:rsidRDefault="006661FE" w:rsidP="006661FE">
      <w:pPr>
        <w:rPr>
          <w:rFonts w:ascii="Arial" w:hAnsi="Arial"/>
        </w:rPr>
      </w:pPr>
    </w:p>
    <w:p w14:paraId="387D917C" w14:textId="77777777" w:rsidR="006661FE" w:rsidRDefault="006661FE" w:rsidP="006661FE">
      <w:pPr>
        <w:rPr>
          <w:rFonts w:ascii="Arial" w:hAnsi="Arial"/>
        </w:rPr>
      </w:pPr>
    </w:p>
    <w:p w14:paraId="44431478" w14:textId="77777777" w:rsidR="006661FE" w:rsidRDefault="006661FE" w:rsidP="006661FE">
      <w:pPr>
        <w:rPr>
          <w:rFonts w:ascii="Arial" w:hAnsi="Arial"/>
        </w:rPr>
      </w:pPr>
    </w:p>
    <w:p w14:paraId="5C7511F0" w14:textId="77777777" w:rsidR="006661FE" w:rsidRDefault="006661FE" w:rsidP="006661FE">
      <w:pPr>
        <w:rPr>
          <w:rFonts w:ascii="Arial" w:hAnsi="Arial"/>
        </w:rPr>
      </w:pPr>
    </w:p>
    <w:p w14:paraId="123E15EF" w14:textId="77777777" w:rsidR="006661FE" w:rsidRDefault="006661FE" w:rsidP="006661FE">
      <w:pPr>
        <w:rPr>
          <w:rFonts w:ascii="Arial" w:hAnsi="Arial"/>
        </w:rPr>
      </w:pPr>
    </w:p>
    <w:p w14:paraId="72DC1AF5" w14:textId="77777777" w:rsidR="006661FE" w:rsidRDefault="006661FE" w:rsidP="006661FE">
      <w:pPr>
        <w:rPr>
          <w:rFonts w:ascii="Arial" w:hAnsi="Arial"/>
        </w:rPr>
      </w:pPr>
    </w:p>
    <w:p w14:paraId="01031E7F" w14:textId="77777777" w:rsidR="006661FE" w:rsidRDefault="006661FE" w:rsidP="006661FE">
      <w:pPr>
        <w:rPr>
          <w:rFonts w:ascii="Arial" w:hAnsi="Arial"/>
        </w:rPr>
      </w:pPr>
    </w:p>
    <w:p w14:paraId="6FB59A6B" w14:textId="77777777" w:rsidR="006661FE" w:rsidRDefault="006661FE" w:rsidP="006661FE">
      <w:pPr>
        <w:pStyle w:val="FootnoteText"/>
      </w:pPr>
    </w:p>
    <w:p w14:paraId="24F1E220" w14:textId="77777777" w:rsidR="006661FE" w:rsidRDefault="006661FE" w:rsidP="006661FE">
      <w:pPr>
        <w:rPr>
          <w:rFonts w:ascii="Arial" w:hAnsi="Arial"/>
        </w:rPr>
      </w:pPr>
    </w:p>
    <w:p w14:paraId="6E7CB02D" w14:textId="77777777" w:rsidR="006661FE" w:rsidRDefault="006661FE" w:rsidP="006661FE">
      <w:pPr>
        <w:rPr>
          <w:rFonts w:ascii="Arial" w:hAnsi="Arial"/>
        </w:rPr>
      </w:pPr>
    </w:p>
    <w:p w14:paraId="407FA449"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367CC74D" w14:textId="77777777">
        <w:trPr>
          <w:cantSplit/>
          <w:trHeight w:val="373"/>
        </w:trPr>
        <w:tc>
          <w:tcPr>
            <w:tcW w:w="9180" w:type="dxa"/>
            <w:gridSpan w:val="2"/>
            <w:vAlign w:val="center"/>
          </w:tcPr>
          <w:p w14:paraId="7BCE5AC2"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14:paraId="40036F00" w14:textId="77777777">
        <w:trPr>
          <w:cantSplit/>
          <w:trHeight w:val="1779"/>
        </w:trPr>
        <w:tc>
          <w:tcPr>
            <w:tcW w:w="9180" w:type="dxa"/>
            <w:gridSpan w:val="2"/>
          </w:tcPr>
          <w:p w14:paraId="6BF6B481" w14:textId="55AB06BF" w:rsidR="006661FE" w:rsidRDefault="00575BBD" w:rsidP="006661FE">
            <w:pPr>
              <w:pStyle w:val="Header"/>
            </w:pPr>
            <w:r>
              <w:rPr>
                <w:noProof/>
              </w:rPr>
              <mc:AlternateContent>
                <mc:Choice Requires="wps">
                  <w:drawing>
                    <wp:anchor distT="0" distB="0" distL="114300" distR="114300" simplePos="0" relativeHeight="251658255" behindDoc="0" locked="0" layoutInCell="0" allowOverlap="1" wp14:anchorId="18A89377" wp14:editId="39D9053F">
                      <wp:simplePos x="0" y="0"/>
                      <wp:positionH relativeFrom="column">
                        <wp:posOffset>252730</wp:posOffset>
                      </wp:positionH>
                      <wp:positionV relativeFrom="paragraph">
                        <wp:posOffset>33020</wp:posOffset>
                      </wp:positionV>
                      <wp:extent cx="3931920" cy="274320"/>
                      <wp:effectExtent l="0" t="4445"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89377" id="Text Box 8" o:spid="_x0000_s1040" type="#_x0000_t202" style="position:absolute;margin-left:19.9pt;margin-top:2.6pt;width:309.6pt;height:21.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x/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9JgF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2snH/1AQAA0gMAAA4AAAAAAAAAAAAAAAAALgIAAGRy&#10;cy9lMm9Eb2MueG1sUEsBAi0AFAAGAAgAAAAhAMch0mHdAAAABwEAAA8AAAAAAAAAAAAAAAAATwQA&#10;AGRycy9kb3ducmV2LnhtbFBLBQYAAAAABAAEAPMAAABZBQAAAAA=&#10;" o:allowincell="f" stroked="f" strokecolor="#9cf">
                      <v:textbo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162E0849" wp14:editId="0611454F">
                      <wp:simplePos x="0" y="0"/>
                      <wp:positionH relativeFrom="column">
                        <wp:posOffset>1053465</wp:posOffset>
                      </wp:positionH>
                      <wp:positionV relativeFrom="paragraph">
                        <wp:posOffset>829310</wp:posOffset>
                      </wp:positionV>
                      <wp:extent cx="274320" cy="635"/>
                      <wp:effectExtent l="15240" t="19685" r="15240" b="177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ABE1C1F" id="Straight Connector 7"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4" behindDoc="0" locked="0" layoutInCell="0" allowOverlap="1" wp14:anchorId="7F009A01" wp14:editId="0DC15F45">
                      <wp:simplePos x="0" y="0"/>
                      <wp:positionH relativeFrom="column">
                        <wp:posOffset>2426970</wp:posOffset>
                      </wp:positionH>
                      <wp:positionV relativeFrom="paragraph">
                        <wp:posOffset>398780</wp:posOffset>
                      </wp:positionV>
                      <wp:extent cx="914400" cy="480060"/>
                      <wp:effectExtent l="17145" t="17780" r="209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09A01" id="Text Box 6" o:spid="_x0000_s1041" type="#_x0000_t202" style="position:absolute;margin-left:191.1pt;margin-top:31.4pt;width:1in;height:37.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cMYZ0XAgAAMwQAAA4AAAAAAAAAAAAAAAAALgIAAGRycy9lMm9Eb2MueG1sUEsBAi0AFAAGAAgA&#10;AAAhAJgZdh/cAAAACgEAAA8AAAAAAAAAAAAAAAAAcQQAAGRycy9kb3ducmV2LnhtbFBLBQYAAAAA&#10;BAAEAPMAAAB6BQAAAAA=&#10;" o:allowincell="f" fillcolor="#9cf" strokecolor="#9cf" strokeweight="2.25pt">
                      <v:textbo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3" behindDoc="0" locked="0" layoutInCell="0" allowOverlap="1" wp14:anchorId="55210F20" wp14:editId="349F3F51">
                      <wp:simplePos x="0" y="0"/>
                      <wp:positionH relativeFrom="column">
                        <wp:posOffset>1327785</wp:posOffset>
                      </wp:positionH>
                      <wp:positionV relativeFrom="paragraph">
                        <wp:posOffset>398780</wp:posOffset>
                      </wp:positionV>
                      <wp:extent cx="914400" cy="480060"/>
                      <wp:effectExtent l="22860" t="17780" r="15240"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10F20" id="Text Box 5" o:spid="_x0000_s1042" type="#_x0000_t202" style="position:absolute;margin-left:104.5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dClHEXAgAAMwQAAA4AAAAAAAAAAAAAAAAALgIAAGRycy9lMm9Eb2MueG1sUEsBAi0AFAAGAAgA&#10;AAAhANjHF43cAAAACgEAAA8AAAAAAAAAAAAAAAAAcQQAAGRycy9kb3ducmV2LnhtbFBLBQYAAAAA&#10;BAAEAPMAAAB6BQAAAAA=&#10;" o:allowincell="f" fillcolor="#9cf" strokecolor="#9cf" strokeweight="2.25pt">
                      <v:textbo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704E14B7" wp14:editId="2D1B9A44">
                      <wp:simplePos x="0" y="0"/>
                      <wp:positionH relativeFrom="column">
                        <wp:posOffset>139065</wp:posOffset>
                      </wp:positionH>
                      <wp:positionV relativeFrom="paragraph">
                        <wp:posOffset>398780</wp:posOffset>
                      </wp:positionV>
                      <wp:extent cx="914400" cy="480060"/>
                      <wp:effectExtent l="15240" t="17780" r="2286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E14B7" id="Text Box 4" o:spid="_x0000_s1043" type="#_x0000_t202" style="position:absolute;margin-left:10.95pt;margin-top:31.4pt;width:1in;height:37.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aX+p8XAgAAMwQAAA4AAAAAAAAAAAAAAAAALgIAAGRycy9lMm9Eb2MueG1sUEsBAi0AFAAGAAgA&#10;AAAhAOu6FKfcAAAACQEAAA8AAAAAAAAAAAAAAAAAcQQAAGRycy9kb3ducmV2LnhtbFBLBQYAAAAA&#10;BAAEAPMAAAB6BQAAAAA=&#10;" o:allowincell="f" fillcolor="#9cf" strokecolor="#9cf" strokeweight="2.25pt">
                      <v:textbo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1" behindDoc="0" locked="0" layoutInCell="0" allowOverlap="1" wp14:anchorId="7E7DA55D" wp14:editId="599DD673">
                      <wp:simplePos x="0" y="0"/>
                      <wp:positionH relativeFrom="column">
                        <wp:posOffset>47625</wp:posOffset>
                      </wp:positionH>
                      <wp:positionV relativeFrom="paragraph">
                        <wp:posOffset>215900</wp:posOffset>
                      </wp:positionV>
                      <wp:extent cx="4572000" cy="796290"/>
                      <wp:effectExtent l="19050" t="15875" r="19050" b="165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5259C59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DA55D" id="Rectangle 3" o:spid="_x0000_s1044" style="position:absolute;margin-left:3.75pt;margin-top:17pt;width:5in;height:62.7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kv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i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bq+kvFwIAACoEAAAOAAAAAAAAAAAAAAAAAC4CAABkcnMvZTJvRG9jLnhtbFBLAQItABQABgAI&#10;AAAAIQAgGuGV3QAAAAgBAAAPAAAAAAAAAAAAAAAAAHEEAABkcnMvZG93bnJldi54bWxQSwUGAAAA&#10;AAQABADzAAAAewUAAAAA&#10;" o:allowincell="f" strokecolor="red" strokeweight="2.25pt">
                      <v:textbox>
                        <w:txbxContent>
                          <w:p w14:paraId="5259C592" w14:textId="77777777" w:rsidR="002A2617" w:rsidRDefault="002A2617"/>
                        </w:txbxContent>
                      </v:textbox>
                    </v:rect>
                  </w:pict>
                </mc:Fallback>
              </mc:AlternateContent>
            </w:r>
            <w:r>
              <w:rPr>
                <w:noProof/>
              </w:rPr>
              <mc:AlternateContent>
                <mc:Choice Requires="wps">
                  <w:drawing>
                    <wp:anchor distT="0" distB="0" distL="114300" distR="114300" simplePos="0" relativeHeight="251658258" behindDoc="0" locked="0" layoutInCell="0" allowOverlap="1" wp14:anchorId="353DEEC6" wp14:editId="09C1BAC4">
                      <wp:simplePos x="0" y="0"/>
                      <wp:positionH relativeFrom="column">
                        <wp:posOffset>3522345</wp:posOffset>
                      </wp:positionH>
                      <wp:positionV relativeFrom="paragraph">
                        <wp:posOffset>398780</wp:posOffset>
                      </wp:positionV>
                      <wp:extent cx="914400" cy="480060"/>
                      <wp:effectExtent l="17145" t="17780" r="20955"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DEEC6" id="Text Box 2" o:spid="_x0000_s1045" type="#_x0000_t202" style="position:absolute;margin-left:277.35pt;margin-top:31.4pt;width:1in;height:37.8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BVjiSFwIAADMEAAAOAAAAAAAAAAAAAAAAAC4CAABkcnMvZTJvRG9jLnhtbFBLAQItABQABgAI&#10;AAAAIQDmxq203QAAAAoBAAAPAAAAAAAAAAAAAAAAAHEEAABkcnMvZG93bnJldi54bWxQSwUGAAAA&#10;AAQABADzAAAAewUAAAAA&#10;" o:allowincell="f" fillcolor="#9cf" strokecolor="#9cf" strokeweight="2.25pt">
                      <v:textbo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p>
          <w:p w14:paraId="7277A967" w14:textId="77777777" w:rsidR="006661FE" w:rsidRDefault="006661FE" w:rsidP="006661FE">
            <w:pPr>
              <w:pStyle w:val="Header"/>
            </w:pPr>
          </w:p>
          <w:p w14:paraId="73AACE06" w14:textId="77777777" w:rsidR="006661FE" w:rsidRDefault="006661FE" w:rsidP="006661FE">
            <w:pPr>
              <w:pStyle w:val="Header"/>
            </w:pPr>
          </w:p>
          <w:p w14:paraId="7AAEB4E3" w14:textId="77777777" w:rsidR="006661FE" w:rsidRDefault="006661FE" w:rsidP="006661FE">
            <w:pPr>
              <w:pStyle w:val="Header"/>
            </w:pPr>
          </w:p>
          <w:p w14:paraId="1B5E5A49" w14:textId="77777777" w:rsidR="006661FE" w:rsidRDefault="006661FE" w:rsidP="006661FE">
            <w:pPr>
              <w:pStyle w:val="Header"/>
            </w:pPr>
          </w:p>
          <w:p w14:paraId="0DBA52B4" w14:textId="77777777" w:rsidR="006661FE" w:rsidRDefault="006661FE" w:rsidP="006661FE">
            <w:pPr>
              <w:pStyle w:val="Header"/>
            </w:pPr>
          </w:p>
        </w:tc>
      </w:tr>
      <w:tr w:rsidR="006661FE" w14:paraId="62C5D2E4" w14:textId="77777777">
        <w:trPr>
          <w:cantSplit/>
          <w:trHeight w:val="1704"/>
        </w:trPr>
        <w:tc>
          <w:tcPr>
            <w:tcW w:w="4077" w:type="dxa"/>
          </w:tcPr>
          <w:p w14:paraId="5EC621E6"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20F58A8"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51C918A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AC35646"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22D17739"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58D79D9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5A386CA3" w14:textId="77777777" w:rsidR="006661FE" w:rsidRDefault="006661FE" w:rsidP="006661FE">
      <w:pPr>
        <w:rPr>
          <w:rFonts w:ascii="Arial" w:hAnsi="Arial"/>
        </w:rPr>
      </w:pPr>
    </w:p>
    <w:p w14:paraId="41AC9410" w14:textId="77777777" w:rsidR="006661FE" w:rsidRDefault="006661FE" w:rsidP="006661FE">
      <w:pPr>
        <w:rPr>
          <w:rFonts w:ascii="Arial" w:hAnsi="Arial"/>
        </w:rPr>
      </w:pPr>
    </w:p>
    <w:p w14:paraId="14B90467" w14:textId="77777777" w:rsidR="006661FE" w:rsidRPr="00FE40FB" w:rsidRDefault="006661FE" w:rsidP="006661FE">
      <w:pPr>
        <w:pStyle w:val="Heading1"/>
        <w:rPr>
          <w:color w:val="auto"/>
          <w:sz w:val="28"/>
          <w:szCs w:val="28"/>
        </w:rPr>
      </w:pPr>
      <w:r>
        <w:br w:type="page"/>
      </w:r>
      <w:bookmarkStart w:id="559" w:name="_Hlt501343668"/>
      <w:bookmarkStart w:id="560" w:name="_Hlt488742812"/>
      <w:bookmarkStart w:id="561" w:name="_Toc32201111"/>
      <w:bookmarkStart w:id="562" w:name="_Toc49661161"/>
      <w:bookmarkStart w:id="563" w:name="_Toc274049740"/>
      <w:bookmarkEnd w:id="555"/>
      <w:bookmarkEnd w:id="556"/>
      <w:bookmarkEnd w:id="558"/>
      <w:bookmarkEnd w:id="559"/>
      <w:bookmarkEnd w:id="560"/>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61"/>
      <w:bookmarkEnd w:id="562"/>
      <w:bookmarkEnd w:id="563"/>
    </w:p>
    <w:p w14:paraId="18EAAE0D" w14:textId="77777777" w:rsidR="006661FE" w:rsidRDefault="006661FE" w:rsidP="006661FE">
      <w:pPr>
        <w:rPr>
          <w:rFonts w:ascii="Arial" w:hAnsi="Arial"/>
          <w:sz w:val="22"/>
        </w:rPr>
      </w:pPr>
    </w:p>
    <w:p w14:paraId="7E23D8E6"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4044E7E4" w14:textId="77777777" w:rsidR="006661FE" w:rsidRDefault="006661FE" w:rsidP="006661FE">
      <w:pPr>
        <w:jc w:val="both"/>
        <w:rPr>
          <w:rFonts w:ascii="Arial" w:hAnsi="Arial"/>
          <w:sz w:val="22"/>
        </w:rPr>
      </w:pPr>
    </w:p>
    <w:p w14:paraId="2E80E4E1"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21D9576B" w14:textId="77777777" w:rsidR="006661FE" w:rsidRDefault="006661FE" w:rsidP="006661FE">
      <w:pPr>
        <w:jc w:val="both"/>
        <w:rPr>
          <w:rFonts w:ascii="Arial" w:hAnsi="Arial"/>
          <w:noProof/>
          <w:sz w:val="22"/>
        </w:rPr>
      </w:pPr>
    </w:p>
    <w:p w14:paraId="29FB68E2" w14:textId="77777777" w:rsidR="006661FE" w:rsidRDefault="006661FE" w:rsidP="006661FE">
      <w:pPr>
        <w:pStyle w:val="Heading2"/>
      </w:pPr>
      <w:bookmarkStart w:id="564" w:name="_Toc32201112"/>
      <w:bookmarkStart w:id="565" w:name="_Toc49661162"/>
      <w:bookmarkStart w:id="566" w:name="_Toc274049741"/>
      <w:r>
        <w:t>Demand Charges</w:t>
      </w:r>
      <w:bookmarkEnd w:id="564"/>
      <w:bookmarkEnd w:id="565"/>
      <w:bookmarkEnd w:id="566"/>
    </w:p>
    <w:p w14:paraId="2CF364BE" w14:textId="4AA2B9BC" w:rsidR="00E010AE" w:rsidRDefault="00B428B8" w:rsidP="006661FE">
      <w:pPr>
        <w:pStyle w:val="1"/>
        <w:jc w:val="both"/>
      </w:pPr>
      <w:bookmarkStart w:id="567" w:name="_Toc32201113"/>
      <w:bookmarkStart w:id="568" w:name="_Toc49661163"/>
      <w:r>
        <w:rPr>
          <w:noProof/>
          <w:sz w:val="20"/>
        </w:rPr>
        <w:pict w14:anchorId="23FE0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73" type="#_x0000_t75" style="position:absolute;left:0;text-align:left;margin-left:-18pt;margin-top:17.7pt;width:570.95pt;height:585pt;z-index:251658272">
            <v:imagedata r:id="rId54" o:title=""/>
            <w10:wrap type="topAndBottom"/>
          </v:shape>
        </w:pict>
      </w:r>
      <w:r w:rsidR="006661FE">
        <w:t xml:space="preserve"> </w:t>
      </w:r>
      <w:r w:rsidR="006661FE">
        <w:br w:type="page"/>
      </w:r>
      <w:r w:rsidR="006661FE">
        <w:lastRenderedPageBreak/>
        <w:t xml:space="preserve">Generation </w:t>
      </w:r>
    </w:p>
    <w:p w14:paraId="106CA12C" w14:textId="77777777" w:rsidR="00E010AE" w:rsidRDefault="006661FE" w:rsidP="006661FE">
      <w:pPr>
        <w:pStyle w:val="1"/>
        <w:jc w:val="both"/>
      </w:pPr>
      <w:r>
        <w:t>Charges</w:t>
      </w:r>
      <w:bookmarkStart w:id="569" w:name="OLE_LINK9"/>
      <w:bookmarkStart w:id="570" w:name="OLE_LINK12"/>
      <w:bookmarkEnd w:id="567"/>
      <w:bookmarkEnd w:id="568"/>
    </w:p>
    <w:p w14:paraId="326FC7C9" w14:textId="10236EE9" w:rsidR="006661FE" w:rsidRDefault="00575BBD" w:rsidP="006661FE">
      <w:pPr>
        <w:pStyle w:val="1"/>
        <w:jc w:val="both"/>
      </w:pPr>
      <w:r>
        <w:rPr>
          <w:noProof/>
          <w:lang w:eastAsia="en-GB"/>
        </w:rPr>
        <w:drawing>
          <wp:inline distT="0" distB="0" distL="0" distR="0" wp14:anchorId="47FF942C" wp14:editId="181F9F00">
            <wp:extent cx="4657725" cy="6772275"/>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657725" cy="6772275"/>
                    </a:xfrm>
                    <a:prstGeom prst="rect">
                      <a:avLst/>
                    </a:prstGeom>
                    <a:noFill/>
                    <a:ln>
                      <a:noFill/>
                    </a:ln>
                  </pic:spPr>
                </pic:pic>
              </a:graphicData>
            </a:graphic>
          </wp:inline>
        </w:drawing>
      </w:r>
      <w:bookmarkEnd w:id="569"/>
      <w:bookmarkEnd w:id="570"/>
    </w:p>
    <w:p w14:paraId="055049B5" w14:textId="77777777" w:rsidR="006661FE" w:rsidRDefault="006661FE" w:rsidP="006661FE">
      <w:pPr>
        <w:pStyle w:val="1"/>
        <w:jc w:val="both"/>
      </w:pPr>
      <w:r>
        <w:br w:type="page"/>
      </w:r>
    </w:p>
    <w:p w14:paraId="74285681" w14:textId="25B42A3B" w:rsidR="006661FE" w:rsidRPr="00FE40FB" w:rsidRDefault="006661FE" w:rsidP="006661FE">
      <w:pPr>
        <w:pStyle w:val="Heading1"/>
        <w:rPr>
          <w:color w:val="auto"/>
          <w:sz w:val="28"/>
          <w:szCs w:val="28"/>
        </w:rPr>
      </w:pPr>
      <w:bookmarkStart w:id="571"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1CE92958" w:rsidRPr="35F371ED">
        <w:rPr>
          <w:color w:val="auto"/>
          <w:sz w:val="28"/>
          <w:szCs w:val="28"/>
        </w:rPr>
        <w:t xml:space="preserve">The </w:t>
      </w:r>
      <w:r w:rsidRPr="00FE40FB">
        <w:rPr>
          <w:color w:val="auto"/>
          <w:sz w:val="28"/>
          <w:szCs w:val="28"/>
        </w:rPr>
        <w:t>Company’s Forecast for Demand Charge Purposes</w:t>
      </w:r>
      <w:bookmarkEnd w:id="571"/>
    </w:p>
    <w:p w14:paraId="4A8B8414" w14:textId="77777777" w:rsidR="006661FE" w:rsidRDefault="006661FE" w:rsidP="006661FE">
      <w:pPr>
        <w:pStyle w:val="BodyText2"/>
      </w:pPr>
    </w:p>
    <w:p w14:paraId="6556DEC9" w14:textId="0BC4DA7A"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will use the latest available settlement data for calculation of HH demand and NHH energy consumption forecasts for the </w:t>
      </w:r>
      <w:r w:rsidR="006661FE" w:rsidRPr="35F371ED">
        <w:rPr>
          <w:rFonts w:ascii="Arial" w:hAnsi="Arial" w:cs="Arial"/>
          <w:b/>
          <w:i w:val="0"/>
        </w:rPr>
        <w:t>Financial Year</w:t>
      </w:r>
      <w:r w:rsidR="006661FE" w:rsidRPr="35F371ED">
        <w:rPr>
          <w:rFonts w:ascii="Arial" w:hAnsi="Arial" w:cs="Arial"/>
          <w:i w:val="0"/>
        </w:rPr>
        <w:t>.</w:t>
      </w:r>
    </w:p>
    <w:p w14:paraId="50ADB7F5" w14:textId="77777777" w:rsidR="006661FE" w:rsidRPr="00E010AE" w:rsidRDefault="006661FE" w:rsidP="006661FE">
      <w:pPr>
        <w:pStyle w:val="BodyText2"/>
        <w:jc w:val="both"/>
        <w:rPr>
          <w:rFonts w:ascii="Arial" w:hAnsi="Arial" w:cs="Arial"/>
          <w:i w:val="0"/>
          <w:szCs w:val="22"/>
        </w:rPr>
      </w:pPr>
    </w:p>
    <w:p w14:paraId="3377244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Pr="00CB53CD">
        <w:rPr>
          <w:rFonts w:ascii="Arial" w:hAnsi="Arial" w:cs="Arial"/>
          <w:b/>
          <w:bCs/>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7CB744FA" w14:textId="77777777" w:rsidR="006661FE" w:rsidRPr="00E010AE" w:rsidRDefault="006661FE" w:rsidP="006661FE">
      <w:pPr>
        <w:pStyle w:val="BodyText2"/>
        <w:jc w:val="both"/>
        <w:rPr>
          <w:rFonts w:ascii="Arial" w:hAnsi="Arial" w:cs="Arial"/>
          <w:i w:val="0"/>
          <w:szCs w:val="22"/>
        </w:rPr>
      </w:pPr>
    </w:p>
    <w:p w14:paraId="1DDE29D4" w14:textId="45415306"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the preceding year’s settlement data is not available at the time that </w:t>
      </w:r>
      <w:r w:rsidR="1CE92958" w:rsidRPr="0013157B">
        <w:rPr>
          <w:rFonts w:ascii="Arial" w:hAnsi="Arial" w:cs="Arial"/>
          <w:b/>
          <w:i w:val="0"/>
        </w:rPr>
        <w:t>The Company</w:t>
      </w:r>
      <w:r w:rsidRPr="0013157B">
        <w:rPr>
          <w:rFonts w:ascii="Arial" w:hAnsi="Arial" w:cs="Arial"/>
          <w:b/>
          <w:i w:val="0"/>
        </w:rPr>
        <w:t xml:space="preserve"> </w:t>
      </w:r>
      <w:r w:rsidRPr="35F371ED">
        <w:rPr>
          <w:rFonts w:ascii="Arial" w:hAnsi="Arial" w:cs="Arial"/>
          <w:i w:val="0"/>
        </w:rPr>
        <w:t xml:space="preserve">needs to calculate its forecast, </w:t>
      </w:r>
      <w:r w:rsidR="1CE92958" w:rsidRPr="0013157B">
        <w:rPr>
          <w:rFonts w:ascii="Arial" w:hAnsi="Arial" w:cs="Arial"/>
          <w:b/>
          <w:i w:val="0"/>
        </w:rPr>
        <w:t>The Company</w:t>
      </w:r>
      <w:r w:rsidRPr="35F371ED">
        <w:rPr>
          <w:rFonts w:ascii="Arial" w:hAnsi="Arial" w:cs="Arial"/>
          <w:i w:val="0"/>
        </w:rPr>
        <w:t xml:space="preserve"> will use settlement data from the corresponding period in </w:t>
      </w:r>
      <w:r w:rsidRPr="35F371ED">
        <w:rPr>
          <w:rFonts w:ascii="Arial" w:hAnsi="Arial" w:cs="Arial"/>
          <w:b/>
          <w:i w:val="0"/>
        </w:rPr>
        <w:t>Financial Year</w:t>
      </w:r>
      <w:r w:rsidRPr="35F371ED">
        <w:rPr>
          <w:rFonts w:ascii="Arial" w:hAnsi="Arial" w:cs="Arial"/>
          <w:i w:val="0"/>
        </w:rPr>
        <w:t xml:space="preserve"> minus two unless indicated otherwise.</w:t>
      </w:r>
    </w:p>
    <w:p w14:paraId="6EF758FE" w14:textId="77777777" w:rsidR="006661FE" w:rsidRPr="00E010AE" w:rsidRDefault="006661FE" w:rsidP="006661FE">
      <w:pPr>
        <w:pStyle w:val="BodyText2"/>
        <w:jc w:val="both"/>
        <w:rPr>
          <w:rFonts w:ascii="Arial" w:hAnsi="Arial" w:cs="Arial"/>
          <w:i w:val="0"/>
          <w:szCs w:val="22"/>
        </w:rPr>
      </w:pPr>
    </w:p>
    <w:p w14:paraId="221E043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74942983"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572"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572"/>
    </w:p>
    <w:p w14:paraId="730972A2" w14:textId="77777777" w:rsidR="006661FE" w:rsidRPr="008E4447" w:rsidRDefault="006661FE" w:rsidP="006661FE">
      <w:pPr>
        <w:pStyle w:val="BodyText2"/>
        <w:jc w:val="both"/>
        <w:rPr>
          <w:rFonts w:ascii="Arial" w:hAnsi="Arial" w:cs="Arial"/>
          <w:szCs w:val="22"/>
        </w:rPr>
      </w:pPr>
    </w:p>
    <w:p w14:paraId="4C7FAE5B" w14:textId="157D60A1" w:rsidR="006661FE" w:rsidRPr="00E010AE" w:rsidRDefault="4DB720A2" w:rsidP="0537B9E0">
      <w:pPr>
        <w:pStyle w:val="BodyText2"/>
        <w:jc w:val="both"/>
        <w:rPr>
          <w:rFonts w:ascii="Arial" w:hAnsi="Arial" w:cs="Arial"/>
          <w:i w:val="0"/>
        </w:rPr>
      </w:pPr>
      <w:r w:rsidRPr="0537B9E0">
        <w:rPr>
          <w:rFonts w:ascii="Arial" w:hAnsi="Arial" w:cs="Arial"/>
          <w:i w:val="0"/>
        </w:rPr>
        <w:t xml:space="preserve">At the time of calculation of a HH demand forecast before the relevant </w:t>
      </w:r>
      <w:r w:rsidRPr="0537B9E0">
        <w:rPr>
          <w:rFonts w:ascii="Arial" w:hAnsi="Arial" w:cs="Arial"/>
          <w:b/>
          <w:bCs/>
          <w:i w:val="0"/>
        </w:rPr>
        <w:t>Financial Year</w:t>
      </w:r>
      <w:r w:rsidRPr="0537B9E0">
        <w:rPr>
          <w:rFonts w:ascii="Arial" w:hAnsi="Arial" w:cs="Arial"/>
          <w:i w:val="0"/>
        </w:rPr>
        <w:t xml:space="preserve"> (approximately 10</w:t>
      </w:r>
      <w:r w:rsidRPr="0537B9E0">
        <w:rPr>
          <w:rFonts w:ascii="Arial" w:hAnsi="Arial" w:cs="Arial"/>
          <w:i w:val="0"/>
          <w:vertAlign w:val="superscript"/>
        </w:rPr>
        <w:t>th</w:t>
      </w:r>
      <w:r w:rsidRPr="0537B9E0">
        <w:rPr>
          <w:rFonts w:ascii="Arial" w:hAnsi="Arial" w:cs="Arial"/>
          <w:i w:val="0"/>
        </w:rPr>
        <w:t xml:space="preserve"> March),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will be aware at a system level which dates will be used for the determination of Triad</w:t>
      </w:r>
      <w:r w:rsidR="6412E7E5" w:rsidRPr="0537B9E0">
        <w:rPr>
          <w:rFonts w:ascii="Arial" w:hAnsi="Arial" w:cs="Arial"/>
          <w:i w:val="0"/>
        </w:rPr>
        <w:t xml:space="preserve">. </w:t>
      </w:r>
      <w:r w:rsidRPr="0537B9E0">
        <w:rPr>
          <w:rFonts w:ascii="Arial" w:hAnsi="Arial" w:cs="Arial"/>
          <w:i w:val="0"/>
        </w:rPr>
        <w:t xml:space="preserve">However,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may not have settlement data at a User level if the Triad dates were to span a period that includes the latter half of February.</w:t>
      </w:r>
    </w:p>
    <w:p w14:paraId="5950BC7D" w14:textId="77777777" w:rsidR="006661FE" w:rsidRPr="00E010AE" w:rsidRDefault="006661FE" w:rsidP="006661FE">
      <w:pPr>
        <w:pStyle w:val="BodyText2"/>
        <w:jc w:val="both"/>
        <w:rPr>
          <w:rFonts w:ascii="Arial" w:hAnsi="Arial" w:cs="Arial"/>
          <w:i w:val="0"/>
          <w:szCs w:val="22"/>
        </w:rPr>
      </w:pPr>
    </w:p>
    <w:p w14:paraId="095BE2AD" w14:textId="68B412C6" w:rsidR="006661FE" w:rsidRPr="00E010AE" w:rsidRDefault="006661FE" w:rsidP="006661FE">
      <w:pPr>
        <w:pStyle w:val="BodyText2"/>
        <w:jc w:val="both"/>
        <w:rPr>
          <w:rFonts w:ascii="Arial" w:hAnsi="Arial" w:cs="Arial"/>
          <w:i w:val="0"/>
        </w:rPr>
      </w:pPr>
      <w:r w:rsidRPr="35F371ED">
        <w:rPr>
          <w:rFonts w:ascii="Arial" w:hAnsi="Arial" w:cs="Arial"/>
          <w:i w:val="0"/>
        </w:rPr>
        <w:t xml:space="preserve">When undertaking forecasting before the relevant </w:t>
      </w:r>
      <w:r w:rsidRPr="35F371ED">
        <w:rPr>
          <w:rFonts w:ascii="Arial" w:hAnsi="Arial" w:cs="Arial"/>
          <w:b/>
          <w:i w:val="0"/>
        </w:rPr>
        <w:t>Financial Year</w:t>
      </w:r>
      <w:r w:rsidRPr="35F371ED">
        <w:rPr>
          <w:rFonts w:ascii="Arial" w:hAnsi="Arial" w:cs="Arial"/>
          <w:i w:val="0"/>
        </w:rPr>
        <w:t xml:space="preserve">, </w:t>
      </w:r>
      <w:r w:rsidR="1CE92958" w:rsidRPr="0013157B">
        <w:rPr>
          <w:rFonts w:ascii="Arial" w:hAnsi="Arial" w:cs="Arial"/>
          <w:b/>
          <w:i w:val="0"/>
        </w:rPr>
        <w:t>The Company</w:t>
      </w:r>
      <w:r w:rsidRPr="35F371ED">
        <w:rPr>
          <w:rFonts w:ascii="Arial" w:hAnsi="Arial" w:cs="Arial"/>
          <w:i w:val="0"/>
        </w:rPr>
        <w:t xml:space="preserve"> will use the User’s Triad demand for the previous year for its forecast providing it holds User settlement data for this period, thus:</w:t>
      </w:r>
    </w:p>
    <w:p w14:paraId="2513C377" w14:textId="77777777" w:rsidR="006661FE" w:rsidRPr="00E010AE" w:rsidRDefault="006661FE" w:rsidP="006661FE">
      <w:pPr>
        <w:pStyle w:val="BodyText2"/>
        <w:jc w:val="both"/>
        <w:rPr>
          <w:rFonts w:ascii="Arial" w:hAnsi="Arial" w:cs="Arial"/>
          <w:i w:val="0"/>
          <w:szCs w:val="22"/>
        </w:rPr>
      </w:pPr>
    </w:p>
    <w:p w14:paraId="023E840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35C95B4" w14:textId="77777777" w:rsidR="006661FE" w:rsidRPr="00E010AE" w:rsidRDefault="006661FE" w:rsidP="006661FE">
      <w:pPr>
        <w:pStyle w:val="BodyText2"/>
        <w:jc w:val="both"/>
        <w:rPr>
          <w:rFonts w:ascii="Arial" w:hAnsi="Arial" w:cs="Arial"/>
          <w:i w:val="0"/>
          <w:szCs w:val="22"/>
        </w:rPr>
      </w:pPr>
    </w:p>
    <w:p w14:paraId="01E7EFF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9ED8B7B" w14:textId="77777777" w:rsidR="006661FE" w:rsidRPr="00E010AE" w:rsidRDefault="006661FE" w:rsidP="006661FE">
      <w:pPr>
        <w:pStyle w:val="BodyText2"/>
        <w:jc w:val="both"/>
        <w:rPr>
          <w:rFonts w:ascii="Arial" w:hAnsi="Arial" w:cs="Arial"/>
          <w:i w:val="0"/>
          <w:szCs w:val="22"/>
        </w:rPr>
      </w:pPr>
    </w:p>
    <w:p w14:paraId="690CC2BA" w14:textId="77777777" w:rsidR="006661FE" w:rsidRPr="00ED7F31" w:rsidRDefault="006661FE" w:rsidP="006661FE">
      <w:pPr>
        <w:pStyle w:val="BodyText2"/>
        <w:jc w:val="both"/>
        <w:rPr>
          <w:rFonts w:ascii="Arial" w:hAnsi="Arial" w:cs="Arial"/>
          <w:b/>
          <w:bCs/>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299750A2" w14:textId="77777777" w:rsidR="006661FE" w:rsidRPr="00E010AE" w:rsidRDefault="006661FE" w:rsidP="006661FE">
      <w:pPr>
        <w:pStyle w:val="BodyText2"/>
        <w:jc w:val="both"/>
        <w:rPr>
          <w:rFonts w:ascii="Arial" w:hAnsi="Arial" w:cs="Arial"/>
          <w:i w:val="0"/>
          <w:szCs w:val="22"/>
        </w:rPr>
      </w:pPr>
    </w:p>
    <w:p w14:paraId="2CFD226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Pr="00ED7F31">
        <w:rPr>
          <w:rFonts w:ascii="Arial" w:hAnsi="Arial" w:cs="Arial"/>
          <w:b/>
          <w:bCs/>
          <w:i w:val="0"/>
          <w:szCs w:val="22"/>
        </w:rPr>
        <w:t>Financial Year</w:t>
      </w:r>
      <w:r w:rsidRPr="00E010AE">
        <w:rPr>
          <w:rFonts w:ascii="Arial" w:hAnsi="Arial" w:cs="Arial"/>
          <w:i w:val="0"/>
          <w:szCs w:val="22"/>
        </w:rPr>
        <w:t xml:space="preserve"> minus one</w:t>
      </w:r>
    </w:p>
    <w:p w14:paraId="061CC0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181873BC" w14:textId="5F4136F4"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within a </w:t>
      </w:r>
      <w:r w:rsidRPr="35F371ED">
        <w:rPr>
          <w:rFonts w:ascii="Arial" w:hAnsi="Arial" w:cs="Arial"/>
          <w:b/>
          <w:i w:val="0"/>
        </w:rPr>
        <w:t>Financial Year</w:t>
      </w:r>
      <w:r w:rsidRPr="35F371ED">
        <w:rPr>
          <w:rFonts w:ascii="Arial" w:hAnsi="Arial" w:cs="Arial"/>
          <w:i w:val="0"/>
        </w:rPr>
        <w:t>:</w:t>
      </w:r>
    </w:p>
    <w:p w14:paraId="7D1CA053" w14:textId="77777777" w:rsidR="006661FE" w:rsidRPr="00E010AE" w:rsidRDefault="006661FE" w:rsidP="006661FE">
      <w:pPr>
        <w:pStyle w:val="BodyText2"/>
        <w:jc w:val="both"/>
        <w:rPr>
          <w:rFonts w:ascii="Arial" w:hAnsi="Arial" w:cs="Arial"/>
          <w:i w:val="0"/>
          <w:szCs w:val="22"/>
        </w:rPr>
      </w:pPr>
    </w:p>
    <w:p w14:paraId="4E3F96B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788619BC" w14:textId="77777777" w:rsidR="006661FE" w:rsidRPr="00E010AE" w:rsidRDefault="006661FE" w:rsidP="006661FE">
      <w:pPr>
        <w:pStyle w:val="BodyText2"/>
        <w:jc w:val="both"/>
        <w:rPr>
          <w:rFonts w:ascii="Arial" w:hAnsi="Arial" w:cs="Arial"/>
          <w:i w:val="0"/>
          <w:szCs w:val="22"/>
        </w:rPr>
      </w:pPr>
    </w:p>
    <w:p w14:paraId="4B963C0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D89C6C3" w14:textId="77777777" w:rsidR="006661FE" w:rsidRPr="00E010AE" w:rsidRDefault="006661FE" w:rsidP="006661FE">
      <w:pPr>
        <w:pStyle w:val="BodyText2"/>
        <w:jc w:val="both"/>
        <w:rPr>
          <w:rFonts w:ascii="Arial" w:hAnsi="Arial" w:cs="Arial"/>
          <w:i w:val="0"/>
          <w:szCs w:val="22"/>
        </w:rPr>
      </w:pPr>
    </w:p>
    <w:p w14:paraId="099B08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1B927815" w14:textId="77777777" w:rsidR="006661FE" w:rsidRPr="00E010AE" w:rsidRDefault="006661FE" w:rsidP="006661FE">
      <w:pPr>
        <w:pStyle w:val="BodyText2"/>
        <w:jc w:val="both"/>
        <w:rPr>
          <w:rFonts w:ascii="Arial" w:hAnsi="Arial" w:cs="Arial"/>
          <w:i w:val="0"/>
          <w:szCs w:val="22"/>
        </w:rPr>
      </w:pPr>
    </w:p>
    <w:p w14:paraId="5D157E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Pr="00ED7F31">
        <w:rPr>
          <w:rFonts w:ascii="Arial" w:hAnsi="Arial" w:cs="Arial"/>
          <w:b/>
          <w:bCs/>
          <w:i w:val="0"/>
          <w:szCs w:val="22"/>
        </w:rPr>
        <w:t>Financial Year</w:t>
      </w:r>
    </w:p>
    <w:p w14:paraId="1CA93313" w14:textId="77777777" w:rsidR="006661FE" w:rsidRPr="00E010AE" w:rsidRDefault="006661FE" w:rsidP="006661FE">
      <w:pPr>
        <w:pStyle w:val="BodyText2"/>
        <w:jc w:val="both"/>
        <w:rPr>
          <w:rFonts w:ascii="Arial" w:hAnsi="Arial" w:cs="Arial"/>
          <w:i w:val="0"/>
          <w:szCs w:val="22"/>
        </w:rPr>
      </w:pPr>
    </w:p>
    <w:p w14:paraId="2219284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Pr="00ED7F31">
        <w:rPr>
          <w:rFonts w:ascii="Arial" w:hAnsi="Arial" w:cs="Arial"/>
          <w:b/>
          <w:bCs/>
          <w:i w:val="0"/>
          <w:szCs w:val="22"/>
        </w:rPr>
        <w:t>Financial Year</w:t>
      </w:r>
      <w:r w:rsidRPr="00E010AE">
        <w:rPr>
          <w:rFonts w:ascii="Arial" w:hAnsi="Arial" w:cs="Arial"/>
          <w:i w:val="0"/>
          <w:szCs w:val="22"/>
        </w:rPr>
        <w:t xml:space="preserve"> to date</w:t>
      </w:r>
    </w:p>
    <w:p w14:paraId="3A2B3DD4" w14:textId="77777777" w:rsidR="006661FE" w:rsidRPr="00E010AE" w:rsidRDefault="006661FE" w:rsidP="006661FE">
      <w:pPr>
        <w:pStyle w:val="BodyText2"/>
        <w:jc w:val="both"/>
        <w:rPr>
          <w:rFonts w:ascii="Arial" w:hAnsi="Arial" w:cs="Arial"/>
          <w:i w:val="0"/>
          <w:szCs w:val="22"/>
        </w:rPr>
      </w:pPr>
    </w:p>
    <w:p w14:paraId="27EFC88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Pr="00ED7F31">
        <w:rPr>
          <w:rFonts w:ascii="Arial" w:hAnsi="Arial" w:cs="Arial"/>
          <w:b/>
          <w:bCs/>
          <w:i w:val="0"/>
          <w:szCs w:val="22"/>
        </w:rPr>
        <w:t>Financial Year</w:t>
      </w:r>
    </w:p>
    <w:p w14:paraId="34ECCD11" w14:textId="77777777" w:rsidR="006661FE" w:rsidRPr="00E010AE" w:rsidRDefault="006661FE" w:rsidP="006661FE">
      <w:pPr>
        <w:pStyle w:val="BodyText2"/>
        <w:jc w:val="both"/>
        <w:rPr>
          <w:rFonts w:ascii="Arial" w:hAnsi="Arial" w:cs="Arial"/>
          <w:i w:val="0"/>
          <w:szCs w:val="22"/>
        </w:rPr>
      </w:pPr>
    </w:p>
    <w:p w14:paraId="7B83DFD6" w14:textId="0F63B45F"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before the relevant </w:t>
      </w:r>
      <w:r w:rsidRPr="35F371ED">
        <w:rPr>
          <w:rFonts w:ascii="Arial" w:hAnsi="Arial" w:cs="Arial"/>
          <w:b/>
          <w:i w:val="0"/>
        </w:rPr>
        <w:t>Financial Year</w:t>
      </w:r>
      <w:r w:rsidRPr="35F371ED">
        <w:rPr>
          <w:rFonts w:ascii="Arial" w:hAnsi="Arial" w:cs="Arial"/>
          <w:i w:val="0"/>
        </w:rPr>
        <w:t xml:space="preserve"> and User settlement data for the Triad period is not available, </w:t>
      </w:r>
      <w:r w:rsidR="1CE92958" w:rsidRPr="0013157B">
        <w:rPr>
          <w:rFonts w:ascii="Arial" w:hAnsi="Arial" w:cs="Arial"/>
          <w:b/>
          <w:i w:val="0"/>
        </w:rPr>
        <w:t>The Company</w:t>
      </w:r>
      <w:r w:rsidRPr="35F371ED">
        <w:rPr>
          <w:rFonts w:ascii="Arial" w:hAnsi="Arial" w:cs="Arial"/>
          <w:i w:val="0"/>
        </w:rPr>
        <w:t xml:space="preserve"> shall apply the formula immediately above (within year forecast) but substitute the following definitions for the values T, D, and P:</w:t>
      </w:r>
    </w:p>
    <w:p w14:paraId="0D2F0CB5" w14:textId="77777777" w:rsidR="006661FE" w:rsidRPr="00E010AE" w:rsidRDefault="006661FE" w:rsidP="006661FE">
      <w:pPr>
        <w:pStyle w:val="BodyText2"/>
        <w:jc w:val="both"/>
        <w:rPr>
          <w:rFonts w:ascii="Arial" w:hAnsi="Arial" w:cs="Arial"/>
          <w:i w:val="0"/>
          <w:szCs w:val="22"/>
        </w:rPr>
      </w:pPr>
    </w:p>
    <w:p w14:paraId="610727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6A9208C7" w14:textId="77777777" w:rsidR="006661FE" w:rsidRPr="00E010AE" w:rsidRDefault="006661FE" w:rsidP="006661FE">
      <w:pPr>
        <w:pStyle w:val="BodyText2"/>
        <w:jc w:val="both"/>
        <w:rPr>
          <w:rFonts w:ascii="Arial" w:hAnsi="Arial" w:cs="Arial"/>
          <w:i w:val="0"/>
          <w:szCs w:val="22"/>
        </w:rPr>
      </w:pPr>
    </w:p>
    <w:p w14:paraId="7F67A7E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Pr="00D24B3E">
        <w:rPr>
          <w:rFonts w:ascii="Arial" w:hAnsi="Arial" w:cs="Arial"/>
          <w:b/>
          <w:bCs/>
          <w:i w:val="0"/>
          <w:szCs w:val="22"/>
        </w:rPr>
        <w:t>Financial Year</w:t>
      </w:r>
      <w:r w:rsidRPr="00E010AE">
        <w:rPr>
          <w:rFonts w:ascii="Arial" w:hAnsi="Arial" w:cs="Arial"/>
          <w:i w:val="0"/>
          <w:szCs w:val="22"/>
        </w:rPr>
        <w:t xml:space="preserve"> minus one, to date</w:t>
      </w:r>
    </w:p>
    <w:p w14:paraId="46A18BE2" w14:textId="77777777" w:rsidR="006661FE" w:rsidRPr="00E010AE" w:rsidRDefault="006661FE" w:rsidP="006661FE">
      <w:pPr>
        <w:pStyle w:val="BodyText2"/>
        <w:jc w:val="both"/>
        <w:rPr>
          <w:rFonts w:ascii="Arial" w:hAnsi="Arial" w:cs="Arial"/>
          <w:i w:val="0"/>
          <w:szCs w:val="22"/>
        </w:rPr>
      </w:pPr>
    </w:p>
    <w:p w14:paraId="3E8028DB"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55AC2589" w14:textId="77777777" w:rsidR="006661FE" w:rsidRPr="00E010AE" w:rsidRDefault="006661FE" w:rsidP="006661FE">
      <w:pPr>
        <w:pStyle w:val="BodyText2"/>
        <w:rPr>
          <w:rFonts w:ascii="Arial" w:hAnsi="Arial" w:cs="Arial"/>
          <w:i w:val="0"/>
          <w:szCs w:val="22"/>
        </w:rPr>
      </w:pPr>
    </w:p>
    <w:p w14:paraId="4828D9A7"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6232B02F" w14:textId="77777777" w:rsidR="006661FE" w:rsidRPr="00E010AE" w:rsidRDefault="006661FE" w:rsidP="006661FE">
      <w:pPr>
        <w:pStyle w:val="BodyText2"/>
        <w:jc w:val="both"/>
        <w:rPr>
          <w:rFonts w:ascii="Arial" w:hAnsi="Arial" w:cs="Arial"/>
          <w:i w:val="0"/>
          <w:szCs w:val="22"/>
        </w:rPr>
      </w:pPr>
    </w:p>
    <w:p w14:paraId="4D9DF714" w14:textId="7F0B4C7E"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calculates a HH demand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March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401CABB5" w14:textId="77777777" w:rsidR="006661FE" w:rsidRDefault="006661FE" w:rsidP="006661FE">
      <w:pPr>
        <w:pStyle w:val="BodyText2"/>
        <w:jc w:val="both"/>
        <w:rPr>
          <w:rFonts w:ascii="Arial" w:hAnsi="Arial" w:cs="Arial"/>
          <w:i w:val="0"/>
          <w:szCs w:val="22"/>
        </w:rPr>
      </w:pPr>
    </w:p>
    <w:p w14:paraId="26F418BF"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7D6610A1" w14:textId="77777777" w:rsidR="00C83E55" w:rsidRPr="00E010AE" w:rsidRDefault="00C83E55" w:rsidP="006661FE">
      <w:pPr>
        <w:pStyle w:val="BodyText2"/>
        <w:jc w:val="both"/>
        <w:rPr>
          <w:rFonts w:ascii="Arial" w:hAnsi="Arial" w:cs="Arial"/>
          <w:i w:val="0"/>
          <w:szCs w:val="22"/>
        </w:rPr>
      </w:pPr>
    </w:p>
    <w:p w14:paraId="4F98E80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3809170D" w14:textId="77777777" w:rsidR="006661FE" w:rsidRPr="00E010AE" w:rsidRDefault="006661FE" w:rsidP="006661FE">
      <w:pPr>
        <w:pStyle w:val="BodyText2"/>
        <w:jc w:val="both"/>
        <w:rPr>
          <w:rFonts w:ascii="Arial" w:hAnsi="Arial" w:cs="Arial"/>
          <w:i w:val="0"/>
          <w:szCs w:val="22"/>
        </w:rPr>
      </w:pPr>
    </w:p>
    <w:p w14:paraId="4FC6196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7DC9496C" w14:textId="77777777" w:rsidR="006661FE" w:rsidRPr="00E010AE" w:rsidRDefault="006661FE" w:rsidP="006661FE">
      <w:pPr>
        <w:pStyle w:val="BodyText2"/>
        <w:jc w:val="both"/>
        <w:rPr>
          <w:rFonts w:ascii="Arial" w:hAnsi="Arial" w:cs="Arial"/>
          <w:i w:val="0"/>
          <w:szCs w:val="22"/>
        </w:rPr>
      </w:pPr>
    </w:p>
    <w:p w14:paraId="2E12BF9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04D4B18" w14:textId="77777777" w:rsidR="006661FE" w:rsidRPr="00E010AE" w:rsidRDefault="006661FE" w:rsidP="006661FE">
      <w:pPr>
        <w:pStyle w:val="BodyText2"/>
        <w:jc w:val="both"/>
        <w:rPr>
          <w:rFonts w:ascii="Arial" w:hAnsi="Arial" w:cs="Arial"/>
          <w:i w:val="0"/>
          <w:szCs w:val="22"/>
        </w:rPr>
      </w:pPr>
    </w:p>
    <w:p w14:paraId="50468A8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3D3CF000" w14:textId="77777777" w:rsidR="006661FE" w:rsidRPr="00E010AE" w:rsidRDefault="006661FE" w:rsidP="006661FE">
      <w:pPr>
        <w:pStyle w:val="BodyText2"/>
        <w:jc w:val="both"/>
        <w:rPr>
          <w:rFonts w:ascii="Arial" w:hAnsi="Arial" w:cs="Arial"/>
          <w:i w:val="0"/>
          <w:szCs w:val="22"/>
        </w:rPr>
      </w:pPr>
    </w:p>
    <w:p w14:paraId="65D0081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8D431C0" w14:textId="77777777" w:rsidR="006661FE" w:rsidRPr="00E010AE" w:rsidRDefault="006661FE" w:rsidP="006661FE">
      <w:pPr>
        <w:pStyle w:val="BodyText2"/>
        <w:jc w:val="both"/>
        <w:rPr>
          <w:rFonts w:ascii="Arial" w:hAnsi="Arial" w:cs="Arial"/>
          <w:i w:val="0"/>
          <w:szCs w:val="22"/>
        </w:rPr>
      </w:pPr>
    </w:p>
    <w:p w14:paraId="7F857E3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F473049" w14:textId="77777777" w:rsidR="006661FE" w:rsidRPr="00E010AE" w:rsidRDefault="006661FE" w:rsidP="006661FE">
      <w:pPr>
        <w:pStyle w:val="BodyText2"/>
        <w:jc w:val="both"/>
        <w:rPr>
          <w:rFonts w:ascii="Arial" w:hAnsi="Arial" w:cs="Arial"/>
          <w:i w:val="0"/>
          <w:szCs w:val="22"/>
        </w:rPr>
      </w:pPr>
    </w:p>
    <w:p w14:paraId="29143E8E"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8B0A5DB" w14:textId="77777777" w:rsidR="00C83E55" w:rsidRDefault="00C83E55" w:rsidP="006661FE">
      <w:pPr>
        <w:pStyle w:val="BodyText2"/>
        <w:jc w:val="both"/>
        <w:rPr>
          <w:rFonts w:ascii="Arial" w:hAnsi="Arial" w:cs="Arial"/>
          <w:i w:val="0"/>
          <w:szCs w:val="22"/>
        </w:rPr>
      </w:pPr>
    </w:p>
    <w:p w14:paraId="7BD774FB"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13AFCAC1" w14:textId="77777777" w:rsidR="00C83E55" w:rsidRDefault="00C83E55" w:rsidP="00C83E55">
      <w:pPr>
        <w:pStyle w:val="BodyText2"/>
        <w:jc w:val="both"/>
        <w:rPr>
          <w:rFonts w:ascii="Arial" w:hAnsi="Arial" w:cs="Arial"/>
          <w:i w:val="0"/>
          <w:szCs w:val="22"/>
        </w:rPr>
      </w:pPr>
    </w:p>
    <w:p w14:paraId="5A021478"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1CD82EF1" w14:textId="77777777" w:rsidR="00C83E55" w:rsidRPr="00E010AE" w:rsidRDefault="00C83E55" w:rsidP="00C83E55">
      <w:pPr>
        <w:pStyle w:val="BodyText2"/>
        <w:jc w:val="both"/>
        <w:rPr>
          <w:rFonts w:ascii="Arial" w:hAnsi="Arial" w:cs="Arial"/>
          <w:i w:val="0"/>
          <w:szCs w:val="22"/>
        </w:rPr>
      </w:pPr>
    </w:p>
    <w:p w14:paraId="2C8D83E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C092EA5" w14:textId="77777777" w:rsidR="00C83E55" w:rsidRPr="00E010AE" w:rsidRDefault="00C83E55" w:rsidP="00C83E55">
      <w:pPr>
        <w:pStyle w:val="BodyText2"/>
        <w:jc w:val="both"/>
        <w:rPr>
          <w:rFonts w:ascii="Arial" w:hAnsi="Arial" w:cs="Arial"/>
          <w:i w:val="0"/>
          <w:szCs w:val="22"/>
        </w:rPr>
      </w:pPr>
    </w:p>
    <w:p w14:paraId="174F5CF7"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AAE2E38" w14:textId="77777777" w:rsidR="00C83E55" w:rsidRPr="00E010AE" w:rsidRDefault="00C83E55" w:rsidP="00C83E55">
      <w:pPr>
        <w:pStyle w:val="BodyText2"/>
        <w:jc w:val="both"/>
        <w:rPr>
          <w:rFonts w:ascii="Arial" w:hAnsi="Arial" w:cs="Arial"/>
          <w:i w:val="0"/>
          <w:szCs w:val="22"/>
        </w:rPr>
      </w:pPr>
    </w:p>
    <w:p w14:paraId="673006E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3886206A" w14:textId="77777777" w:rsidR="00C83E55" w:rsidRPr="00E010AE" w:rsidRDefault="00C83E55" w:rsidP="00C83E55">
      <w:pPr>
        <w:pStyle w:val="BodyText2"/>
        <w:jc w:val="both"/>
        <w:rPr>
          <w:rFonts w:ascii="Arial" w:hAnsi="Arial" w:cs="Arial"/>
          <w:i w:val="0"/>
          <w:szCs w:val="22"/>
        </w:rPr>
      </w:pPr>
    </w:p>
    <w:p w14:paraId="0C96617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00250B37" w14:textId="77777777" w:rsidR="00C83E55" w:rsidRPr="00E010AE" w:rsidRDefault="00C83E55" w:rsidP="00C83E55">
      <w:pPr>
        <w:pStyle w:val="BodyText2"/>
        <w:jc w:val="both"/>
        <w:rPr>
          <w:rFonts w:ascii="Arial" w:hAnsi="Arial" w:cs="Arial"/>
          <w:i w:val="0"/>
          <w:szCs w:val="22"/>
        </w:rPr>
      </w:pPr>
    </w:p>
    <w:p w14:paraId="282BE45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6E2DF21" w14:textId="77777777" w:rsidR="00C83E55" w:rsidRPr="00E010AE" w:rsidRDefault="00C83E55" w:rsidP="00C83E55">
      <w:pPr>
        <w:pStyle w:val="BodyText2"/>
        <w:jc w:val="both"/>
        <w:rPr>
          <w:rFonts w:ascii="Arial" w:hAnsi="Arial" w:cs="Arial"/>
          <w:i w:val="0"/>
          <w:szCs w:val="22"/>
        </w:rPr>
      </w:pPr>
    </w:p>
    <w:p w14:paraId="3896C5D6"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B307C36" w14:textId="77777777" w:rsidR="00C83E55" w:rsidRPr="00E010AE" w:rsidRDefault="00C83E55" w:rsidP="006661FE">
      <w:pPr>
        <w:pStyle w:val="BodyText2"/>
        <w:jc w:val="both"/>
        <w:rPr>
          <w:rFonts w:ascii="Arial" w:hAnsi="Arial" w:cs="Arial"/>
          <w:i w:val="0"/>
          <w:szCs w:val="22"/>
        </w:rPr>
      </w:pPr>
    </w:p>
    <w:p w14:paraId="5E19D272" w14:textId="77777777" w:rsidR="006661FE" w:rsidRPr="008E4447" w:rsidRDefault="006661FE" w:rsidP="006661FE">
      <w:pPr>
        <w:pStyle w:val="BodyText2"/>
        <w:jc w:val="both"/>
        <w:rPr>
          <w:rFonts w:ascii="Arial" w:hAnsi="Arial" w:cs="Arial"/>
          <w:szCs w:val="22"/>
        </w:rPr>
      </w:pPr>
    </w:p>
    <w:p w14:paraId="1FAB4D69" w14:textId="77777777" w:rsidR="006661FE" w:rsidRPr="008E4447" w:rsidRDefault="006661FE" w:rsidP="006661FE">
      <w:pPr>
        <w:pStyle w:val="Heading2"/>
        <w:rPr>
          <w:rFonts w:ascii="Arial" w:hAnsi="Arial" w:cs="Arial"/>
          <w:szCs w:val="22"/>
        </w:rPr>
      </w:pPr>
      <w:bookmarkStart w:id="573"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573"/>
    </w:p>
    <w:p w14:paraId="09C58180" w14:textId="77777777" w:rsidR="006661FE" w:rsidRPr="008E4447" w:rsidRDefault="006661FE" w:rsidP="006661FE">
      <w:pPr>
        <w:pStyle w:val="BodyText2"/>
        <w:jc w:val="both"/>
        <w:rPr>
          <w:rFonts w:ascii="Arial" w:hAnsi="Arial" w:cs="Arial"/>
          <w:szCs w:val="22"/>
        </w:rPr>
      </w:pPr>
    </w:p>
    <w:p w14:paraId="7905C27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6D036869" w14:textId="77777777" w:rsidR="006661FE" w:rsidRPr="00E010AE" w:rsidRDefault="006661FE" w:rsidP="006661FE">
      <w:pPr>
        <w:pStyle w:val="BodyText2"/>
        <w:jc w:val="both"/>
        <w:rPr>
          <w:rFonts w:ascii="Arial" w:hAnsi="Arial" w:cs="Arial"/>
          <w:i w:val="0"/>
          <w:szCs w:val="22"/>
        </w:rPr>
      </w:pPr>
    </w:p>
    <w:p w14:paraId="36C982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B90DFF5" w14:textId="77777777" w:rsidR="006661FE" w:rsidRPr="00E010AE" w:rsidRDefault="006661FE" w:rsidP="006661FE">
      <w:pPr>
        <w:pStyle w:val="BodyText2"/>
        <w:jc w:val="both"/>
        <w:rPr>
          <w:rFonts w:ascii="Arial" w:hAnsi="Arial" w:cs="Arial"/>
          <w:i w:val="0"/>
          <w:szCs w:val="22"/>
        </w:rPr>
      </w:pPr>
    </w:p>
    <w:p w14:paraId="2FECA2E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24325D26" w14:textId="77777777" w:rsidR="006661FE" w:rsidRPr="00E010AE" w:rsidRDefault="006661FE" w:rsidP="006661FE">
      <w:pPr>
        <w:pStyle w:val="BodyText2"/>
        <w:jc w:val="both"/>
        <w:rPr>
          <w:rFonts w:ascii="Arial" w:hAnsi="Arial" w:cs="Arial"/>
          <w:i w:val="0"/>
          <w:szCs w:val="22"/>
        </w:rPr>
      </w:pPr>
    </w:p>
    <w:p w14:paraId="3B2C3D7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Pr="00ED7F31">
        <w:rPr>
          <w:rFonts w:ascii="Arial" w:hAnsi="Arial" w:cs="Arial"/>
          <w:b/>
          <w:bCs/>
          <w:i w:val="0"/>
          <w:szCs w:val="22"/>
        </w:rPr>
        <w:t>Financial Year</w:t>
      </w:r>
    </w:p>
    <w:p w14:paraId="2B3FD794" w14:textId="77777777" w:rsidR="006661FE" w:rsidRPr="00E010AE" w:rsidRDefault="006661FE" w:rsidP="006661FE">
      <w:pPr>
        <w:pStyle w:val="BodyText2"/>
        <w:jc w:val="both"/>
        <w:rPr>
          <w:rFonts w:ascii="Arial" w:hAnsi="Arial" w:cs="Arial"/>
          <w:i w:val="0"/>
          <w:szCs w:val="22"/>
        </w:rPr>
      </w:pPr>
    </w:p>
    <w:p w14:paraId="4B3E033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Pr="00ED7F31">
        <w:rPr>
          <w:rFonts w:ascii="Arial" w:hAnsi="Arial" w:cs="Arial"/>
          <w:b/>
          <w:bCs/>
          <w:i w:val="0"/>
          <w:szCs w:val="22"/>
        </w:rPr>
        <w:t>Financial Year</w:t>
      </w:r>
      <w:r w:rsidRPr="00E010AE">
        <w:rPr>
          <w:rFonts w:ascii="Arial" w:hAnsi="Arial" w:cs="Arial"/>
          <w:i w:val="0"/>
          <w:szCs w:val="22"/>
        </w:rPr>
        <w:t xml:space="preserve"> to date</w:t>
      </w:r>
    </w:p>
    <w:p w14:paraId="250DFC2C" w14:textId="77777777" w:rsidR="006661FE" w:rsidRPr="00E010AE" w:rsidRDefault="006661FE" w:rsidP="006661FE">
      <w:pPr>
        <w:pStyle w:val="BodyText2"/>
        <w:jc w:val="both"/>
        <w:rPr>
          <w:rFonts w:ascii="Arial" w:hAnsi="Arial" w:cs="Arial"/>
          <w:i w:val="0"/>
          <w:szCs w:val="22"/>
        </w:rPr>
      </w:pPr>
    </w:p>
    <w:p w14:paraId="248FD76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Pr="00ED7F31">
        <w:rPr>
          <w:rFonts w:ascii="Arial" w:hAnsi="Arial" w:cs="Arial"/>
          <w:b/>
          <w:bCs/>
          <w:i w:val="0"/>
          <w:szCs w:val="22"/>
        </w:rPr>
        <w:t>Financial Year</w:t>
      </w:r>
    </w:p>
    <w:p w14:paraId="3D46BBAB" w14:textId="77777777" w:rsidR="006661FE" w:rsidRPr="00E010AE" w:rsidRDefault="006661FE" w:rsidP="006661FE">
      <w:pPr>
        <w:pStyle w:val="BodyText2"/>
        <w:jc w:val="both"/>
        <w:rPr>
          <w:rFonts w:ascii="Arial" w:hAnsi="Arial" w:cs="Arial"/>
          <w:i w:val="0"/>
          <w:szCs w:val="22"/>
        </w:rPr>
      </w:pPr>
    </w:p>
    <w:p w14:paraId="5D9A6CA1"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084650B5" w14:textId="77777777" w:rsidR="006661FE" w:rsidRPr="00E010AE" w:rsidRDefault="006661FE" w:rsidP="006661FE">
      <w:pPr>
        <w:pStyle w:val="BodyText2"/>
        <w:jc w:val="both"/>
        <w:rPr>
          <w:rFonts w:ascii="Arial" w:hAnsi="Arial" w:cs="Arial"/>
          <w:i w:val="0"/>
          <w:szCs w:val="22"/>
        </w:rPr>
      </w:pPr>
    </w:p>
    <w:p w14:paraId="0C92D8AB" w14:textId="6F826F83"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calculates a NHH energy consumption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788ED256" w14:textId="77777777" w:rsidR="006661FE" w:rsidRPr="00E010AE" w:rsidRDefault="006661FE" w:rsidP="006661FE">
      <w:pPr>
        <w:pStyle w:val="BodyText2"/>
        <w:jc w:val="both"/>
        <w:rPr>
          <w:rFonts w:ascii="Arial" w:hAnsi="Arial" w:cs="Arial"/>
          <w:i w:val="0"/>
          <w:szCs w:val="22"/>
        </w:rPr>
      </w:pPr>
    </w:p>
    <w:p w14:paraId="1A2832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132A972A" w14:textId="77777777" w:rsidR="006661FE" w:rsidRPr="00E010AE" w:rsidRDefault="006661FE" w:rsidP="006661FE">
      <w:pPr>
        <w:pStyle w:val="BodyText2"/>
        <w:jc w:val="both"/>
        <w:rPr>
          <w:rFonts w:ascii="Arial" w:hAnsi="Arial" w:cs="Arial"/>
          <w:i w:val="0"/>
          <w:szCs w:val="22"/>
        </w:rPr>
      </w:pPr>
    </w:p>
    <w:p w14:paraId="63F5EFD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6CFECCD1" w14:textId="77777777" w:rsidR="006661FE" w:rsidRPr="00E010AE" w:rsidRDefault="006661FE" w:rsidP="006661FE">
      <w:pPr>
        <w:pStyle w:val="BodyText2"/>
        <w:jc w:val="both"/>
        <w:rPr>
          <w:rFonts w:ascii="Arial" w:hAnsi="Arial" w:cs="Arial"/>
          <w:i w:val="0"/>
          <w:szCs w:val="22"/>
        </w:rPr>
      </w:pPr>
    </w:p>
    <w:p w14:paraId="0604533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EF9C816" w14:textId="77777777" w:rsidR="006661FE" w:rsidRPr="00E010AE" w:rsidRDefault="006661FE" w:rsidP="006661FE">
      <w:pPr>
        <w:pStyle w:val="BodyText2"/>
        <w:jc w:val="both"/>
        <w:rPr>
          <w:rFonts w:ascii="Arial" w:hAnsi="Arial" w:cs="Arial"/>
          <w:i w:val="0"/>
          <w:szCs w:val="22"/>
        </w:rPr>
      </w:pPr>
    </w:p>
    <w:p w14:paraId="7F7DE30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1B7BB19B" w14:textId="77777777" w:rsidR="006661FE" w:rsidRPr="00E010AE" w:rsidRDefault="006661FE" w:rsidP="006661FE">
      <w:pPr>
        <w:pStyle w:val="BodyText2"/>
        <w:jc w:val="both"/>
        <w:rPr>
          <w:rFonts w:ascii="Arial" w:hAnsi="Arial" w:cs="Arial"/>
          <w:i w:val="0"/>
          <w:szCs w:val="22"/>
        </w:rPr>
      </w:pPr>
    </w:p>
    <w:p w14:paraId="735938F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40EC05CC" w14:textId="77777777" w:rsidR="006661FE" w:rsidRPr="00E010AE" w:rsidRDefault="006661FE" w:rsidP="006661FE">
      <w:pPr>
        <w:pStyle w:val="BodyText2"/>
        <w:jc w:val="both"/>
        <w:rPr>
          <w:rFonts w:ascii="Arial" w:hAnsi="Arial" w:cs="Arial"/>
          <w:i w:val="0"/>
          <w:szCs w:val="22"/>
        </w:rPr>
      </w:pPr>
    </w:p>
    <w:p w14:paraId="39A72C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5D61A466" w14:textId="77777777" w:rsidR="006661FE" w:rsidRPr="00E010AE" w:rsidRDefault="006661FE" w:rsidP="006661FE">
      <w:pPr>
        <w:pStyle w:val="BodyText2"/>
        <w:jc w:val="both"/>
        <w:rPr>
          <w:rFonts w:ascii="Arial" w:hAnsi="Arial" w:cs="Arial"/>
          <w:i w:val="0"/>
          <w:szCs w:val="22"/>
        </w:rPr>
      </w:pPr>
    </w:p>
    <w:p w14:paraId="05ECCEB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8C357BC" w14:textId="77777777" w:rsidR="006661FE" w:rsidRPr="00E010AE" w:rsidRDefault="006661FE" w:rsidP="006661FE">
      <w:pPr>
        <w:pStyle w:val="BodyText2"/>
        <w:jc w:val="both"/>
        <w:rPr>
          <w:rFonts w:ascii="Arial" w:hAnsi="Arial" w:cs="Arial"/>
          <w:i w:val="0"/>
          <w:szCs w:val="22"/>
        </w:rPr>
      </w:pPr>
    </w:p>
    <w:p w14:paraId="2909C0E8" w14:textId="79FCEA99"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forecasting before the relevant </w:t>
      </w:r>
      <w:r w:rsidRPr="35F371ED">
        <w:rPr>
          <w:rFonts w:ascii="Arial" w:hAnsi="Arial" w:cs="Arial"/>
          <w:b/>
          <w:i w:val="0"/>
        </w:rPr>
        <w:t>Financial Year</w:t>
      </w:r>
      <w:r w:rsidRPr="35F371ED">
        <w:rPr>
          <w:rFonts w:ascii="Arial" w:hAnsi="Arial" w:cs="Arial"/>
          <w:i w:val="0"/>
        </w:rPr>
        <w:t xml:space="preserve"> concerned, </w:t>
      </w:r>
      <w:r w:rsidR="1CE92958" w:rsidRPr="0013157B">
        <w:rPr>
          <w:rFonts w:ascii="Arial" w:hAnsi="Arial" w:cs="Arial"/>
          <w:b/>
          <w:i w:val="0"/>
        </w:rPr>
        <w:t>The Company</w:t>
      </w:r>
      <w:r w:rsidRPr="35F371ED">
        <w:rPr>
          <w:rFonts w:ascii="Arial" w:hAnsi="Arial" w:cs="Arial"/>
          <w:i w:val="0"/>
        </w:rPr>
        <w:t xml:space="preserve"> would in the above example use values for E and P from </w:t>
      </w:r>
      <w:r w:rsidRPr="35F371ED">
        <w:rPr>
          <w:rFonts w:ascii="Arial" w:hAnsi="Arial" w:cs="Arial"/>
          <w:b/>
          <w:i w:val="0"/>
        </w:rPr>
        <w:t>Financial Year</w:t>
      </w:r>
      <w:r w:rsidRPr="35F371ED">
        <w:rPr>
          <w:rFonts w:ascii="Arial" w:hAnsi="Arial" w:cs="Arial"/>
          <w:i w:val="0"/>
        </w:rPr>
        <w:t xml:space="preserve"> 2003/04 and D from </w:t>
      </w:r>
      <w:r w:rsidRPr="35F371ED">
        <w:rPr>
          <w:rFonts w:ascii="Arial" w:hAnsi="Arial" w:cs="Arial"/>
          <w:b/>
          <w:i w:val="0"/>
        </w:rPr>
        <w:t>Financial Year</w:t>
      </w:r>
      <w:r w:rsidRPr="35F371ED">
        <w:rPr>
          <w:rFonts w:ascii="Arial" w:hAnsi="Arial" w:cs="Arial"/>
          <w:i w:val="0"/>
        </w:rPr>
        <w:t xml:space="preserve"> 2004/05.</w:t>
      </w:r>
    </w:p>
    <w:p w14:paraId="763A568D" w14:textId="77777777" w:rsidR="006661FE" w:rsidRPr="008E4447" w:rsidRDefault="006661FE" w:rsidP="006661FE">
      <w:pPr>
        <w:pStyle w:val="BodyText2"/>
        <w:jc w:val="both"/>
        <w:rPr>
          <w:rFonts w:ascii="Arial" w:hAnsi="Arial" w:cs="Arial"/>
          <w:szCs w:val="22"/>
        </w:rPr>
      </w:pPr>
    </w:p>
    <w:p w14:paraId="371749FF" w14:textId="77777777" w:rsidR="006661FE" w:rsidRPr="008E4447" w:rsidRDefault="006661FE" w:rsidP="006661FE">
      <w:pPr>
        <w:pStyle w:val="Heading2"/>
        <w:rPr>
          <w:rFonts w:ascii="Arial" w:hAnsi="Arial" w:cs="Arial"/>
          <w:szCs w:val="22"/>
        </w:rPr>
      </w:pPr>
      <w:bookmarkStart w:id="574"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574"/>
    </w:p>
    <w:p w14:paraId="137E8F56" w14:textId="77777777" w:rsidR="006661FE" w:rsidRPr="008E4447" w:rsidRDefault="006661FE" w:rsidP="006661FE">
      <w:pPr>
        <w:pStyle w:val="BodyText2"/>
        <w:jc w:val="both"/>
        <w:rPr>
          <w:rFonts w:ascii="Arial" w:hAnsi="Arial" w:cs="Arial"/>
          <w:szCs w:val="22"/>
        </w:rPr>
      </w:pPr>
    </w:p>
    <w:p w14:paraId="794D859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2E0B10A1" w14:textId="77777777" w:rsidR="006661FE" w:rsidRPr="00E010AE" w:rsidRDefault="006661FE" w:rsidP="006661FE">
      <w:pPr>
        <w:pStyle w:val="BodyText2"/>
        <w:jc w:val="both"/>
        <w:rPr>
          <w:rFonts w:ascii="Arial" w:hAnsi="Arial" w:cs="Arial"/>
          <w:i w:val="0"/>
          <w:szCs w:val="22"/>
        </w:rPr>
      </w:pPr>
    </w:p>
    <w:p w14:paraId="7989C66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58E50EA" w14:textId="77777777" w:rsidR="006661FE" w:rsidRPr="00E010AE" w:rsidRDefault="006661FE" w:rsidP="006661FE">
      <w:pPr>
        <w:pStyle w:val="BodyText2"/>
        <w:jc w:val="both"/>
        <w:rPr>
          <w:rFonts w:ascii="Arial" w:hAnsi="Arial" w:cs="Arial"/>
          <w:i w:val="0"/>
          <w:szCs w:val="22"/>
        </w:rPr>
      </w:pPr>
    </w:p>
    <w:p w14:paraId="2FC2EA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Pr="00ED7F31">
        <w:rPr>
          <w:rFonts w:ascii="Arial" w:hAnsi="Arial" w:cs="Arial"/>
          <w:b/>
          <w:bCs/>
          <w:i w:val="0"/>
          <w:szCs w:val="22"/>
        </w:rPr>
        <w:t>Financial Year</w:t>
      </w:r>
    </w:p>
    <w:p w14:paraId="63B14470" w14:textId="77777777" w:rsidR="006661FE" w:rsidRPr="00E010AE" w:rsidRDefault="006661FE" w:rsidP="006661FE">
      <w:pPr>
        <w:pStyle w:val="BodyText2"/>
        <w:jc w:val="both"/>
        <w:rPr>
          <w:rFonts w:ascii="Arial" w:hAnsi="Arial" w:cs="Arial"/>
          <w:i w:val="0"/>
          <w:szCs w:val="22"/>
        </w:rPr>
      </w:pPr>
    </w:p>
    <w:p w14:paraId="229B5DD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3D6CFE0B" w14:textId="77777777" w:rsidR="006661FE" w:rsidRPr="00E010AE" w:rsidRDefault="006661FE" w:rsidP="006661FE">
      <w:pPr>
        <w:pStyle w:val="BodyText2"/>
        <w:jc w:val="both"/>
        <w:rPr>
          <w:rFonts w:ascii="Arial" w:hAnsi="Arial" w:cs="Arial"/>
          <w:i w:val="0"/>
          <w:szCs w:val="22"/>
        </w:rPr>
      </w:pPr>
    </w:p>
    <w:p w14:paraId="195AB12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Pr="00ED7F31">
        <w:rPr>
          <w:rFonts w:ascii="Arial" w:hAnsi="Arial" w:cs="Arial"/>
          <w:b/>
          <w:bCs/>
          <w:i w:val="0"/>
          <w:szCs w:val="22"/>
        </w:rPr>
        <w:t>Financial Year</w:t>
      </w:r>
    </w:p>
    <w:p w14:paraId="474B181C" w14:textId="77777777" w:rsidR="006661FE" w:rsidRPr="00E010AE" w:rsidRDefault="006661FE" w:rsidP="006661FE">
      <w:pPr>
        <w:pStyle w:val="BodyText2"/>
        <w:jc w:val="both"/>
        <w:rPr>
          <w:rFonts w:ascii="Arial" w:hAnsi="Arial" w:cs="Arial"/>
          <w:i w:val="0"/>
          <w:szCs w:val="22"/>
        </w:rPr>
      </w:pPr>
    </w:p>
    <w:p w14:paraId="26E8B61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489DD0D1" w14:textId="77777777" w:rsidR="006661FE" w:rsidRPr="00E010AE" w:rsidRDefault="006661FE" w:rsidP="006661FE">
      <w:pPr>
        <w:pStyle w:val="BodyText2"/>
        <w:jc w:val="both"/>
        <w:rPr>
          <w:rFonts w:ascii="Arial" w:hAnsi="Arial" w:cs="Arial"/>
          <w:i w:val="0"/>
          <w:szCs w:val="22"/>
        </w:rPr>
      </w:pPr>
    </w:p>
    <w:p w14:paraId="6960BA9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3EE221F2" w14:textId="77777777" w:rsidR="006661FE" w:rsidRPr="00E010AE" w:rsidRDefault="006661FE" w:rsidP="006661FE">
      <w:pPr>
        <w:pStyle w:val="BodyText2"/>
        <w:jc w:val="both"/>
        <w:rPr>
          <w:rFonts w:ascii="Arial" w:hAnsi="Arial" w:cs="Arial"/>
          <w:i w:val="0"/>
          <w:szCs w:val="22"/>
        </w:rPr>
      </w:pPr>
    </w:p>
    <w:p w14:paraId="043D0F85" w14:textId="76C0F314" w:rsidR="006661F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calculates a HH demand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September 2005 for a new User registered from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10</w:t>
      </w:r>
      <w:r w:rsidR="006661FE" w:rsidRPr="35F371ED">
        <w:rPr>
          <w:rFonts w:ascii="Arial" w:hAnsi="Arial" w:cs="Arial"/>
          <w:i w:val="0"/>
          <w:vertAlign w:val="superscript"/>
        </w:rPr>
        <w:t>th</w:t>
      </w:r>
      <w:r w:rsidR="006661FE" w:rsidRPr="35F371ED">
        <w:rPr>
          <w:rFonts w:ascii="Arial" w:hAnsi="Arial" w:cs="Arial"/>
          <w:i w:val="0"/>
        </w:rPr>
        <w:t xml:space="preserve"> June 2004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3589032F" w14:textId="77777777" w:rsidR="00C83E55" w:rsidRDefault="00C83E55" w:rsidP="006661FE">
      <w:pPr>
        <w:pStyle w:val="BodyText2"/>
        <w:jc w:val="both"/>
        <w:rPr>
          <w:rFonts w:ascii="Arial" w:hAnsi="Arial" w:cs="Arial"/>
          <w:i w:val="0"/>
          <w:szCs w:val="22"/>
        </w:rPr>
      </w:pPr>
    </w:p>
    <w:p w14:paraId="644BFFCF"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52A18AF4" w14:textId="77777777" w:rsidR="006661FE" w:rsidRPr="00E010AE" w:rsidRDefault="006661FE" w:rsidP="006661FE">
      <w:pPr>
        <w:pStyle w:val="BodyText2"/>
        <w:jc w:val="both"/>
        <w:rPr>
          <w:rFonts w:ascii="Arial" w:hAnsi="Arial" w:cs="Arial"/>
          <w:i w:val="0"/>
          <w:szCs w:val="22"/>
        </w:rPr>
      </w:pPr>
    </w:p>
    <w:p w14:paraId="1A5C9BEB"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6DD641B6" w14:textId="77777777" w:rsidR="006661FE" w:rsidRPr="00E010AE" w:rsidRDefault="006661FE" w:rsidP="006661FE">
      <w:pPr>
        <w:pStyle w:val="BodyText2"/>
        <w:jc w:val="both"/>
        <w:rPr>
          <w:rFonts w:ascii="Arial" w:hAnsi="Arial" w:cs="Arial"/>
          <w:i w:val="0"/>
          <w:szCs w:val="22"/>
        </w:rPr>
      </w:pPr>
    </w:p>
    <w:p w14:paraId="4FA3DDE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5C859BD9" w14:textId="77777777" w:rsidR="006661FE" w:rsidRPr="00E010AE" w:rsidRDefault="006661FE" w:rsidP="006661FE">
      <w:pPr>
        <w:pStyle w:val="BodyText2"/>
        <w:jc w:val="both"/>
        <w:rPr>
          <w:rFonts w:ascii="Arial" w:hAnsi="Arial" w:cs="Arial"/>
          <w:i w:val="0"/>
          <w:szCs w:val="22"/>
        </w:rPr>
      </w:pPr>
    </w:p>
    <w:p w14:paraId="0CB8AA0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35E977F" w14:textId="77777777" w:rsidR="006661FE" w:rsidRPr="00E010AE" w:rsidRDefault="006661FE" w:rsidP="006661FE">
      <w:pPr>
        <w:pStyle w:val="BodyText2"/>
        <w:rPr>
          <w:rFonts w:ascii="Arial" w:hAnsi="Arial" w:cs="Arial"/>
          <w:i w:val="0"/>
          <w:szCs w:val="22"/>
        </w:rPr>
      </w:pPr>
    </w:p>
    <w:p w14:paraId="7EE6A046"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709FA605" w14:textId="77777777" w:rsidR="006661FE" w:rsidRPr="00E010AE" w:rsidRDefault="006661FE" w:rsidP="006661FE">
      <w:pPr>
        <w:pStyle w:val="BodyText2"/>
        <w:rPr>
          <w:rFonts w:ascii="Arial" w:hAnsi="Arial" w:cs="Arial"/>
          <w:i w:val="0"/>
          <w:szCs w:val="22"/>
        </w:rPr>
      </w:pPr>
    </w:p>
    <w:p w14:paraId="37B1131D"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1F371EC5" w14:textId="77777777" w:rsidR="006661FE" w:rsidRPr="00E010AE" w:rsidRDefault="006661FE" w:rsidP="006661FE">
      <w:pPr>
        <w:pStyle w:val="BodyText2"/>
        <w:rPr>
          <w:rFonts w:ascii="Arial" w:hAnsi="Arial" w:cs="Arial"/>
          <w:i w:val="0"/>
          <w:szCs w:val="22"/>
        </w:rPr>
      </w:pPr>
    </w:p>
    <w:p w14:paraId="20A4403D"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58412160" w14:textId="77777777" w:rsidR="00C83E55" w:rsidRDefault="00C83E55" w:rsidP="006661FE">
      <w:pPr>
        <w:pStyle w:val="BodyText2"/>
        <w:rPr>
          <w:rFonts w:ascii="Arial" w:hAnsi="Arial" w:cs="Arial"/>
          <w:i w:val="0"/>
          <w:szCs w:val="22"/>
        </w:rPr>
      </w:pPr>
    </w:p>
    <w:p w14:paraId="55AA4913"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00C238A5" w14:textId="77777777" w:rsidR="00C83E55" w:rsidRDefault="00C83E55" w:rsidP="00C83E55">
      <w:pPr>
        <w:pStyle w:val="BodyText2"/>
        <w:jc w:val="both"/>
        <w:rPr>
          <w:rFonts w:ascii="Arial" w:hAnsi="Arial" w:cs="Arial"/>
          <w:i w:val="0"/>
          <w:szCs w:val="22"/>
        </w:rPr>
      </w:pPr>
    </w:p>
    <w:p w14:paraId="3603C42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49888DBE" w14:textId="77777777" w:rsidR="00C83E55" w:rsidRPr="00E010AE" w:rsidRDefault="00C83E55" w:rsidP="00C83E55">
      <w:pPr>
        <w:pStyle w:val="BodyText2"/>
        <w:jc w:val="both"/>
        <w:rPr>
          <w:rFonts w:ascii="Arial" w:hAnsi="Arial" w:cs="Arial"/>
          <w:i w:val="0"/>
          <w:szCs w:val="22"/>
        </w:rPr>
      </w:pPr>
    </w:p>
    <w:p w14:paraId="16B29036"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5B532774" w14:textId="77777777" w:rsidR="00C83E55" w:rsidRPr="00E010AE" w:rsidRDefault="00C83E55" w:rsidP="00C83E55">
      <w:pPr>
        <w:pStyle w:val="BodyText2"/>
        <w:jc w:val="both"/>
        <w:rPr>
          <w:rFonts w:ascii="Arial" w:hAnsi="Arial" w:cs="Arial"/>
          <w:i w:val="0"/>
          <w:szCs w:val="22"/>
        </w:rPr>
      </w:pPr>
    </w:p>
    <w:p w14:paraId="201D840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275FCAAE" w14:textId="77777777" w:rsidR="00C83E55" w:rsidRPr="00E010AE" w:rsidRDefault="00C83E55" w:rsidP="00C83E55">
      <w:pPr>
        <w:pStyle w:val="BodyText2"/>
        <w:rPr>
          <w:rFonts w:ascii="Arial" w:hAnsi="Arial" w:cs="Arial"/>
          <w:i w:val="0"/>
          <w:szCs w:val="22"/>
        </w:rPr>
      </w:pPr>
    </w:p>
    <w:p w14:paraId="20EF3487"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3BEE52E" w14:textId="77777777" w:rsidR="00C83E55" w:rsidRPr="00E010AE" w:rsidRDefault="00C83E55" w:rsidP="00C83E55">
      <w:pPr>
        <w:pStyle w:val="BodyText2"/>
        <w:rPr>
          <w:rFonts w:ascii="Arial" w:hAnsi="Arial" w:cs="Arial"/>
          <w:i w:val="0"/>
          <w:szCs w:val="22"/>
        </w:rPr>
      </w:pPr>
    </w:p>
    <w:p w14:paraId="1D6AC9CA"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24CC0714" w14:textId="77777777" w:rsidR="00C83E55" w:rsidRPr="00E010AE" w:rsidRDefault="00C83E55" w:rsidP="00C83E55">
      <w:pPr>
        <w:pStyle w:val="BodyText2"/>
        <w:rPr>
          <w:rFonts w:ascii="Arial" w:hAnsi="Arial" w:cs="Arial"/>
          <w:i w:val="0"/>
          <w:szCs w:val="22"/>
        </w:rPr>
      </w:pPr>
    </w:p>
    <w:p w14:paraId="423842B0"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03632B2A" w14:textId="77777777" w:rsidR="00C83E55" w:rsidRPr="00E010AE" w:rsidRDefault="00C83E55" w:rsidP="006661FE">
      <w:pPr>
        <w:pStyle w:val="BodyText2"/>
        <w:rPr>
          <w:rFonts w:ascii="Arial" w:hAnsi="Arial" w:cs="Arial"/>
          <w:i w:val="0"/>
          <w:szCs w:val="22"/>
        </w:rPr>
      </w:pPr>
    </w:p>
    <w:p w14:paraId="0E7B99D7" w14:textId="77777777" w:rsidR="006661FE" w:rsidRPr="008E4447" w:rsidRDefault="006661FE" w:rsidP="006661FE">
      <w:pPr>
        <w:pStyle w:val="BodyText2"/>
        <w:rPr>
          <w:rFonts w:ascii="Arial" w:hAnsi="Arial" w:cs="Arial"/>
          <w:szCs w:val="22"/>
        </w:rPr>
      </w:pPr>
    </w:p>
    <w:p w14:paraId="36C98DB2" w14:textId="77777777" w:rsidR="006661FE" w:rsidRPr="008E4447" w:rsidRDefault="006661FE" w:rsidP="006661FE">
      <w:pPr>
        <w:pStyle w:val="Heading2"/>
        <w:rPr>
          <w:rFonts w:ascii="Arial" w:hAnsi="Arial" w:cs="Arial"/>
          <w:szCs w:val="22"/>
        </w:rPr>
      </w:pPr>
      <w:bookmarkStart w:id="575" w:name="_Toc70749747"/>
      <w:bookmarkStart w:id="576"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575"/>
      <w:bookmarkEnd w:id="576"/>
    </w:p>
    <w:p w14:paraId="6D4DAF2B" w14:textId="77777777" w:rsidR="006661FE" w:rsidRPr="008E4447" w:rsidRDefault="006661FE" w:rsidP="006661FE">
      <w:pPr>
        <w:pStyle w:val="BodyText2"/>
        <w:rPr>
          <w:rFonts w:ascii="Arial" w:hAnsi="Arial" w:cs="Arial"/>
          <w:szCs w:val="22"/>
        </w:rPr>
      </w:pPr>
    </w:p>
    <w:p w14:paraId="5845E5BA"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0C8AF9FF" w14:textId="77777777" w:rsidR="006661FE" w:rsidRPr="00E010AE" w:rsidRDefault="006661FE" w:rsidP="006661FE">
      <w:pPr>
        <w:pStyle w:val="BodyText2"/>
        <w:rPr>
          <w:rFonts w:ascii="Arial" w:hAnsi="Arial" w:cs="Arial"/>
          <w:i w:val="0"/>
          <w:szCs w:val="22"/>
        </w:rPr>
      </w:pPr>
    </w:p>
    <w:p w14:paraId="4AA574EB"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48832793" w14:textId="77777777" w:rsidR="006661FE" w:rsidRPr="00E010AE" w:rsidRDefault="006661FE" w:rsidP="006661FE">
      <w:pPr>
        <w:pStyle w:val="BodyText2"/>
        <w:rPr>
          <w:rFonts w:ascii="Arial" w:hAnsi="Arial" w:cs="Arial"/>
          <w:i w:val="0"/>
          <w:szCs w:val="22"/>
        </w:rPr>
      </w:pPr>
    </w:p>
    <w:p w14:paraId="6A9201D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7E5CEA2B" w14:textId="77777777" w:rsidR="006661FE" w:rsidRPr="00E010AE" w:rsidRDefault="006661FE" w:rsidP="006661FE">
      <w:pPr>
        <w:pStyle w:val="BodyText2"/>
        <w:rPr>
          <w:rFonts w:ascii="Arial" w:hAnsi="Arial" w:cs="Arial"/>
          <w:i w:val="0"/>
          <w:szCs w:val="22"/>
        </w:rPr>
      </w:pPr>
    </w:p>
    <w:p w14:paraId="4D9070C0"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39425CC7" w14:textId="77777777" w:rsidR="006661FE" w:rsidRPr="00E010AE" w:rsidRDefault="006661FE" w:rsidP="006661FE">
      <w:pPr>
        <w:pStyle w:val="BodyText2"/>
        <w:jc w:val="both"/>
        <w:rPr>
          <w:rFonts w:ascii="Arial" w:hAnsi="Arial" w:cs="Arial"/>
          <w:i w:val="0"/>
          <w:szCs w:val="22"/>
        </w:rPr>
      </w:pPr>
    </w:p>
    <w:p w14:paraId="41EE0EC4"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64B95230" w14:textId="77777777" w:rsidR="006661FE" w:rsidRPr="00E010AE" w:rsidRDefault="006661FE" w:rsidP="006661FE">
      <w:pPr>
        <w:pStyle w:val="BodyText2"/>
        <w:jc w:val="both"/>
        <w:rPr>
          <w:rFonts w:ascii="Arial" w:hAnsi="Arial" w:cs="Arial"/>
          <w:i w:val="0"/>
          <w:szCs w:val="22"/>
        </w:rPr>
      </w:pPr>
    </w:p>
    <w:p w14:paraId="3492E53D"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Pr="00ED7F31">
        <w:rPr>
          <w:rFonts w:ascii="Arial" w:hAnsi="Arial" w:cs="Arial"/>
          <w:b/>
          <w:bCs/>
          <w:i w:val="0"/>
          <w:szCs w:val="22"/>
        </w:rPr>
        <w:t>Financial Year</w:t>
      </w:r>
    </w:p>
    <w:p w14:paraId="02711AEC" w14:textId="77777777" w:rsidR="006661FE" w:rsidRPr="00E010AE" w:rsidRDefault="006661FE" w:rsidP="006661FE">
      <w:pPr>
        <w:pStyle w:val="BodyText2"/>
        <w:jc w:val="both"/>
        <w:rPr>
          <w:rFonts w:ascii="Arial" w:hAnsi="Arial" w:cs="Arial"/>
          <w:i w:val="0"/>
          <w:szCs w:val="22"/>
        </w:rPr>
      </w:pPr>
    </w:p>
    <w:p w14:paraId="4822875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Pr="00ED7F31">
        <w:rPr>
          <w:rFonts w:ascii="Arial" w:hAnsi="Arial" w:cs="Arial"/>
          <w:b/>
          <w:bCs/>
          <w:i w:val="0"/>
          <w:szCs w:val="22"/>
        </w:rPr>
        <w:t>Financial Year</w:t>
      </w:r>
    </w:p>
    <w:p w14:paraId="6FAE992D" w14:textId="77777777" w:rsidR="006661FE" w:rsidRPr="008E4447" w:rsidRDefault="006661FE" w:rsidP="006661FE">
      <w:pPr>
        <w:pStyle w:val="BodyText2"/>
        <w:jc w:val="both"/>
        <w:rPr>
          <w:rFonts w:ascii="Arial" w:hAnsi="Arial" w:cs="Arial"/>
          <w:szCs w:val="22"/>
        </w:rPr>
      </w:pPr>
    </w:p>
    <w:p w14:paraId="18374744"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1BB5AF2E" w14:textId="77777777" w:rsidR="006661FE" w:rsidRPr="008E4447" w:rsidRDefault="006661FE" w:rsidP="006661FE">
      <w:pPr>
        <w:pStyle w:val="1"/>
        <w:jc w:val="both"/>
        <w:rPr>
          <w:rFonts w:ascii="Arial" w:hAnsi="Arial" w:cs="Arial"/>
          <w:szCs w:val="22"/>
        </w:rPr>
      </w:pPr>
    </w:p>
    <w:p w14:paraId="240E4963" w14:textId="633A3E13" w:rsidR="006661FE" w:rsidRPr="008E4447" w:rsidRDefault="1CE92958" w:rsidP="006661FE">
      <w:pPr>
        <w:pStyle w:val="1"/>
        <w:jc w:val="both"/>
        <w:rPr>
          <w:rFonts w:ascii="Arial" w:hAnsi="Arial" w:cs="Arial"/>
        </w:rPr>
      </w:pPr>
      <w:r w:rsidRPr="0013157B">
        <w:rPr>
          <w:rFonts w:ascii="Arial" w:hAnsi="Arial" w:cs="Arial"/>
          <w:b/>
        </w:rPr>
        <w:t>The</w:t>
      </w:r>
      <w:r w:rsidR="006661FE" w:rsidRPr="0013157B">
        <w:rPr>
          <w:rFonts w:ascii="Arial" w:hAnsi="Arial" w:cs="Arial"/>
          <w:b/>
        </w:rPr>
        <w:t xml:space="preserve"> Company </w:t>
      </w:r>
      <w:r w:rsidR="006661FE" w:rsidRPr="35F371ED">
        <w:rPr>
          <w:rFonts w:ascii="Arial" w:hAnsi="Arial" w:cs="Arial"/>
        </w:rPr>
        <w:t>calculates a NHH energy consumption forecast on the above methodology at 10</w:t>
      </w:r>
      <w:r w:rsidR="006661FE" w:rsidRPr="35F371ED">
        <w:rPr>
          <w:rFonts w:ascii="Arial" w:hAnsi="Arial" w:cs="Arial"/>
          <w:vertAlign w:val="superscript"/>
        </w:rPr>
        <w:t>th</w:t>
      </w:r>
      <w:r w:rsidR="006661FE" w:rsidRPr="35F371ED">
        <w:rPr>
          <w:rFonts w:ascii="Arial" w:hAnsi="Arial" w:cs="Arial"/>
        </w:rPr>
        <w:t xml:space="preserve"> September 2005 for a new User registered from 10</w:t>
      </w:r>
      <w:r w:rsidR="006661FE" w:rsidRPr="35F371ED">
        <w:rPr>
          <w:rFonts w:ascii="Arial" w:hAnsi="Arial" w:cs="Arial"/>
          <w:vertAlign w:val="superscript"/>
        </w:rPr>
        <w:t>th</w:t>
      </w:r>
      <w:r w:rsidR="006661FE" w:rsidRPr="35F371ED">
        <w:rPr>
          <w:rFonts w:ascii="Arial" w:hAnsi="Arial" w:cs="Arial"/>
        </w:rPr>
        <w:t xml:space="preserve"> June 2005 for the period 10</w:t>
      </w:r>
      <w:r w:rsidR="006661FE" w:rsidRPr="35F371ED">
        <w:rPr>
          <w:rFonts w:ascii="Arial" w:hAnsi="Arial" w:cs="Arial"/>
          <w:vertAlign w:val="superscript"/>
        </w:rPr>
        <w:t>th</w:t>
      </w:r>
      <w:r w:rsidR="006661FE" w:rsidRPr="35F371ED">
        <w:rPr>
          <w:rFonts w:ascii="Arial" w:hAnsi="Arial" w:cs="Arial"/>
        </w:rPr>
        <w:t xml:space="preserve"> June 2005 to 31</w:t>
      </w:r>
      <w:r w:rsidR="006661FE" w:rsidRPr="35F371ED">
        <w:rPr>
          <w:rFonts w:ascii="Arial" w:hAnsi="Arial" w:cs="Arial"/>
          <w:vertAlign w:val="superscript"/>
        </w:rPr>
        <w:t>st</w:t>
      </w:r>
      <w:r w:rsidR="006661FE" w:rsidRPr="35F371ED">
        <w:rPr>
          <w:rFonts w:ascii="Arial" w:hAnsi="Arial" w:cs="Arial"/>
        </w:rPr>
        <w:t xml:space="preserve"> March 2006.</w:t>
      </w:r>
    </w:p>
    <w:p w14:paraId="53220DFD" w14:textId="77777777" w:rsidR="006661FE" w:rsidRPr="008E4447" w:rsidRDefault="006661FE" w:rsidP="006661FE">
      <w:pPr>
        <w:pStyle w:val="1"/>
        <w:jc w:val="both"/>
        <w:rPr>
          <w:rFonts w:ascii="Arial" w:hAnsi="Arial" w:cs="Arial"/>
          <w:szCs w:val="22"/>
        </w:rPr>
      </w:pPr>
    </w:p>
    <w:p w14:paraId="5C7F977F"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25E3D541" w14:textId="77777777" w:rsidR="006661FE" w:rsidRPr="008E4447" w:rsidRDefault="006661FE" w:rsidP="006661FE">
      <w:pPr>
        <w:pStyle w:val="1"/>
        <w:jc w:val="both"/>
        <w:rPr>
          <w:rFonts w:ascii="Arial" w:hAnsi="Arial" w:cs="Arial"/>
          <w:szCs w:val="22"/>
        </w:rPr>
      </w:pPr>
    </w:p>
    <w:p w14:paraId="3078EA9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29CC83BD" w14:textId="77777777" w:rsidR="006661FE" w:rsidRPr="008E4447" w:rsidRDefault="006661FE" w:rsidP="006661FE">
      <w:pPr>
        <w:pStyle w:val="1"/>
        <w:jc w:val="both"/>
        <w:rPr>
          <w:rFonts w:ascii="Arial" w:hAnsi="Arial" w:cs="Arial"/>
          <w:szCs w:val="22"/>
        </w:rPr>
      </w:pPr>
    </w:p>
    <w:p w14:paraId="25E6BE2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201AC05B" w14:textId="77777777" w:rsidR="006661FE" w:rsidRPr="008E4447" w:rsidRDefault="006661FE" w:rsidP="006661FE">
      <w:pPr>
        <w:pStyle w:val="1"/>
        <w:jc w:val="both"/>
        <w:rPr>
          <w:rFonts w:ascii="Arial" w:hAnsi="Arial" w:cs="Arial"/>
          <w:szCs w:val="22"/>
        </w:rPr>
      </w:pPr>
    </w:p>
    <w:p w14:paraId="3D522E23"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14C0CEB5" w14:textId="77777777" w:rsidR="006661FE" w:rsidRPr="008E4447" w:rsidRDefault="006661FE" w:rsidP="006661FE">
      <w:pPr>
        <w:pStyle w:val="1"/>
        <w:jc w:val="both"/>
        <w:rPr>
          <w:rFonts w:ascii="Arial" w:hAnsi="Arial" w:cs="Arial"/>
          <w:szCs w:val="22"/>
        </w:rPr>
      </w:pPr>
    </w:p>
    <w:p w14:paraId="43C6AF00"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8346426" w14:textId="77777777" w:rsidR="006661FE" w:rsidRPr="008E4447" w:rsidRDefault="006661FE" w:rsidP="006661FE">
      <w:pPr>
        <w:pStyle w:val="1"/>
        <w:jc w:val="both"/>
        <w:rPr>
          <w:rFonts w:ascii="Arial" w:hAnsi="Arial" w:cs="Arial"/>
          <w:szCs w:val="22"/>
        </w:rPr>
      </w:pPr>
    </w:p>
    <w:p w14:paraId="4CF2D4C7"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1AD9C15E" w14:textId="77777777" w:rsidR="006661FE" w:rsidRPr="008E4447" w:rsidRDefault="006661FE" w:rsidP="006661FE">
      <w:pPr>
        <w:pStyle w:val="1"/>
        <w:jc w:val="both"/>
        <w:rPr>
          <w:rFonts w:ascii="Arial" w:hAnsi="Arial" w:cs="Arial"/>
          <w:szCs w:val="22"/>
        </w:rPr>
      </w:pPr>
    </w:p>
    <w:p w14:paraId="2EDBFC4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486A146C"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0229D33A" w14:textId="77777777" w:rsidR="00A23591" w:rsidRDefault="006661FE" w:rsidP="006661FE">
      <w:pPr>
        <w:pStyle w:val="Heading1"/>
        <w:rPr>
          <w:color w:val="auto"/>
          <w:sz w:val="28"/>
          <w:szCs w:val="28"/>
        </w:rPr>
      </w:pPr>
      <w:bookmarkStart w:id="577"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w:t>
      </w:r>
    </w:p>
    <w:p w14:paraId="289E4AE7" w14:textId="187B943B" w:rsidR="006661FE" w:rsidRPr="00FE40FB" w:rsidRDefault="006661FE" w:rsidP="006661FE">
      <w:pPr>
        <w:pStyle w:val="Heading1"/>
        <w:rPr>
          <w:color w:val="auto"/>
          <w:sz w:val="28"/>
          <w:szCs w:val="28"/>
        </w:rPr>
      </w:pPr>
      <w:r w:rsidRPr="00FE40FB">
        <w:rPr>
          <w:color w:val="auto"/>
          <w:sz w:val="28"/>
          <w:szCs w:val="28"/>
        </w:rPr>
        <w:t>Stability &amp; Predictability of TNUoS tariffs</w:t>
      </w:r>
      <w:bookmarkEnd w:id="577"/>
    </w:p>
    <w:p w14:paraId="5BAC4753" w14:textId="77777777" w:rsidR="006661FE" w:rsidRDefault="006661FE">
      <w:pPr>
        <w:pStyle w:val="1"/>
        <w:jc w:val="both"/>
      </w:pPr>
    </w:p>
    <w:p w14:paraId="7B3918F6" w14:textId="77777777" w:rsidR="006661FE" w:rsidRPr="007B2988" w:rsidRDefault="006661FE" w:rsidP="006661FE">
      <w:pPr>
        <w:pStyle w:val="Heading2"/>
      </w:pPr>
      <w:bookmarkStart w:id="578" w:name="_Toc274049748"/>
      <w:r w:rsidRPr="007B2988">
        <w:t>Stability of tariffs</w:t>
      </w:r>
      <w:bookmarkEnd w:id="578"/>
    </w:p>
    <w:p w14:paraId="587F7F17" w14:textId="77777777" w:rsidR="006661FE" w:rsidRPr="007B2988" w:rsidRDefault="006661FE" w:rsidP="006661FE">
      <w:pPr>
        <w:rPr>
          <w:rFonts w:ascii="Arial" w:hAnsi="Arial" w:cs="Arial"/>
          <w:b/>
          <w:sz w:val="22"/>
          <w:szCs w:val="22"/>
        </w:rPr>
      </w:pPr>
    </w:p>
    <w:p w14:paraId="2E3B7A96" w14:textId="7DC9CC64" w:rsidR="006661FE" w:rsidRDefault="4DB720A2" w:rsidP="006661FE">
      <w:pPr>
        <w:jc w:val="both"/>
        <w:rPr>
          <w:ins w:id="579" w:author="Alex Aristodemou" w:date="2023-10-05T21:36:00Z"/>
          <w:rFonts w:ascii="Arial" w:hAnsi="Arial" w:cs="Arial"/>
          <w:sz w:val="22"/>
          <w:szCs w:val="22"/>
        </w:rPr>
      </w:pPr>
      <w:r w:rsidRPr="0537B9E0">
        <w:rPr>
          <w:rFonts w:ascii="Arial" w:hAnsi="Arial" w:cs="Arial"/>
          <w:sz w:val="22"/>
          <w:szCs w:val="22"/>
        </w:rPr>
        <w:t xml:space="preserve">The Transmission Network Use of System Charging Methodology has </w:t>
      </w:r>
      <w:bookmarkStart w:id="580" w:name="_Int_Y5S7dwoS"/>
      <w:r w:rsidRPr="0537B9E0">
        <w:rPr>
          <w:rFonts w:ascii="Arial" w:hAnsi="Arial" w:cs="Arial"/>
          <w:sz w:val="22"/>
          <w:szCs w:val="22"/>
        </w:rPr>
        <w:t>a number of</w:t>
      </w:r>
      <w:bookmarkEnd w:id="580"/>
      <w:r w:rsidRPr="0537B9E0">
        <w:rPr>
          <w:rFonts w:ascii="Arial" w:hAnsi="Arial" w:cs="Arial"/>
          <w:sz w:val="22"/>
          <w:szCs w:val="22"/>
        </w:rPr>
        <w:t xml:space="preserve"> elements to enhance the stability of the tariffs, which is an important aspect of facilitating competition in the generation and supply of electricity</w:t>
      </w:r>
      <w:r w:rsidR="1324D0F1" w:rsidRPr="0537B9E0">
        <w:rPr>
          <w:rFonts w:ascii="Arial" w:hAnsi="Arial" w:cs="Arial"/>
          <w:sz w:val="22"/>
          <w:szCs w:val="22"/>
        </w:rPr>
        <w:t xml:space="preserve">. </w:t>
      </w:r>
      <w:r w:rsidRPr="0537B9E0">
        <w:rPr>
          <w:rFonts w:ascii="Arial" w:hAnsi="Arial" w:cs="Arial"/>
          <w:sz w:val="22"/>
          <w:szCs w:val="22"/>
        </w:rPr>
        <w:t>This appendix seeks to highlight those elements.</w:t>
      </w:r>
    </w:p>
    <w:p w14:paraId="73EC1713" w14:textId="77777777" w:rsidR="002413C1" w:rsidRDefault="002413C1" w:rsidP="006661FE">
      <w:pPr>
        <w:jc w:val="both"/>
        <w:rPr>
          <w:ins w:id="581" w:author="Alex Aristodemou" w:date="2023-10-05T21:36:00Z"/>
          <w:rFonts w:ascii="Arial" w:hAnsi="Arial" w:cs="Arial"/>
          <w:sz w:val="22"/>
          <w:szCs w:val="22"/>
        </w:rPr>
      </w:pPr>
    </w:p>
    <w:p w14:paraId="3B127335" w14:textId="24647E05" w:rsidR="0039084B" w:rsidRPr="007B2988" w:rsidRDefault="0039084B" w:rsidP="0039084B">
      <w:pPr>
        <w:autoSpaceDE w:val="0"/>
        <w:autoSpaceDN w:val="0"/>
        <w:adjustRightInd w:val="0"/>
        <w:rPr>
          <w:ins w:id="582" w:author="Alex Aristodemou" w:date="2023-11-03T16:25:00Z"/>
          <w:rFonts w:ascii="Arial" w:hAnsi="Arial" w:cs="Arial"/>
          <w:sz w:val="22"/>
          <w:szCs w:val="22"/>
        </w:rPr>
      </w:pPr>
      <w:ins w:id="583" w:author="Alex Aristodemou" w:date="2023-11-03T16:25:00Z">
        <w:r>
          <w:rPr>
            <w:rFonts w:ascii="Arial" w:hAnsi="Arial" w:cs="Arial"/>
            <w:color w:val="FF0000"/>
            <w:sz w:val="22"/>
            <w:szCs w:val="22"/>
            <w:lang w:eastAsia="ja-JP"/>
          </w:rPr>
          <w:t>Fixing of revenue inputs as per paragraph 14.15.135 provides additional stability and predictability to Demand Users.</w:t>
        </w:r>
      </w:ins>
    </w:p>
    <w:p w14:paraId="432CD0DD" w14:textId="4E62B04E" w:rsidR="002413C1" w:rsidRPr="007B2988" w:rsidDel="0039084B" w:rsidRDefault="002413C1" w:rsidP="0066503F">
      <w:pPr>
        <w:autoSpaceDE w:val="0"/>
        <w:autoSpaceDN w:val="0"/>
        <w:adjustRightInd w:val="0"/>
        <w:rPr>
          <w:del w:id="584" w:author="Alex Aristodemou" w:date="2023-11-03T16:25:00Z"/>
          <w:rFonts w:ascii="Arial" w:hAnsi="Arial" w:cs="Arial"/>
          <w:sz w:val="22"/>
          <w:szCs w:val="22"/>
        </w:rPr>
      </w:pPr>
    </w:p>
    <w:p w14:paraId="3ADA8F2E" w14:textId="77777777" w:rsidR="006661FE" w:rsidRPr="007B2988" w:rsidRDefault="006661FE" w:rsidP="006661FE">
      <w:pPr>
        <w:rPr>
          <w:rFonts w:ascii="Arial" w:hAnsi="Arial" w:cs="Arial"/>
          <w:sz w:val="22"/>
          <w:szCs w:val="22"/>
        </w:rPr>
      </w:pPr>
    </w:p>
    <w:p w14:paraId="6DB3A483" w14:textId="1265B003" w:rsidR="006661FE" w:rsidRPr="007B2988" w:rsidRDefault="4DB720A2" w:rsidP="006661FE">
      <w:pPr>
        <w:jc w:val="both"/>
        <w:rPr>
          <w:rFonts w:ascii="Arial" w:hAnsi="Arial" w:cs="Arial"/>
          <w:sz w:val="22"/>
          <w:szCs w:val="22"/>
        </w:rPr>
      </w:pPr>
      <w:r w:rsidRPr="0537B9E0">
        <w:rPr>
          <w:rFonts w:ascii="Arial" w:hAnsi="Arial" w:cs="Arial"/>
          <w:sz w:val="22"/>
          <w:szCs w:val="22"/>
        </w:rPr>
        <w:t>Each node of the transmission network is assigned to a zone</w:t>
      </w:r>
      <w:r w:rsidR="394D5FCB" w:rsidRPr="0537B9E0">
        <w:rPr>
          <w:rFonts w:ascii="Arial" w:hAnsi="Arial" w:cs="Arial"/>
          <w:sz w:val="22"/>
          <w:szCs w:val="22"/>
        </w:rPr>
        <w:t>, these zones are themselves fixed</w:t>
      </w:r>
      <w:r w:rsidR="74ED9522" w:rsidRPr="0537B9E0">
        <w:rPr>
          <w:rFonts w:ascii="Arial" w:hAnsi="Arial" w:cs="Arial"/>
          <w:sz w:val="22"/>
          <w:szCs w:val="22"/>
        </w:rPr>
        <w:t xml:space="preserve">. </w:t>
      </w:r>
      <w:r w:rsidRPr="0537B9E0">
        <w:rPr>
          <w:rFonts w:ascii="Arial" w:hAnsi="Arial" w:cs="Arial"/>
          <w:sz w:val="22"/>
          <w:szCs w:val="22"/>
        </w:rPr>
        <w:t>The result of this is to dampen fluctuations that would otherwise be observed at a given node caused by changes in generation, demand, and network parameters</w:t>
      </w:r>
      <w:r w:rsidR="6846FD96" w:rsidRPr="0537B9E0">
        <w:rPr>
          <w:rFonts w:ascii="Arial" w:hAnsi="Arial" w:cs="Arial"/>
          <w:sz w:val="22"/>
          <w:szCs w:val="22"/>
        </w:rPr>
        <w:t xml:space="preserve">. </w:t>
      </w:r>
      <w:r w:rsidRPr="0537B9E0">
        <w:rPr>
          <w:rFonts w:ascii="Arial" w:hAnsi="Arial" w:cs="Arial"/>
          <w:sz w:val="22"/>
          <w:szCs w:val="22"/>
        </w:rPr>
        <w:t>The criteria used to establish generation zones are part of the methodology and are described in Paragraph 14.15.</w:t>
      </w:r>
      <w:r w:rsidR="3CD299F6" w:rsidRPr="0537B9E0">
        <w:rPr>
          <w:rFonts w:ascii="Arial" w:hAnsi="Arial" w:cs="Arial"/>
          <w:sz w:val="22"/>
          <w:szCs w:val="22"/>
        </w:rPr>
        <w:t>4</w:t>
      </w:r>
      <w:r w:rsidR="38DE1047" w:rsidRPr="0537B9E0">
        <w:rPr>
          <w:rFonts w:ascii="Arial" w:hAnsi="Arial" w:cs="Arial"/>
          <w:sz w:val="22"/>
          <w:szCs w:val="22"/>
        </w:rPr>
        <w:t>2</w:t>
      </w:r>
      <w:r w:rsidRPr="0537B9E0">
        <w:rPr>
          <w:rFonts w:ascii="Arial" w:hAnsi="Arial" w:cs="Arial"/>
          <w:sz w:val="22"/>
          <w:szCs w:val="22"/>
        </w:rPr>
        <w:t>.</w:t>
      </w:r>
    </w:p>
    <w:p w14:paraId="1FBB1666" w14:textId="77777777" w:rsidR="006661FE" w:rsidRPr="007B2988" w:rsidRDefault="006661FE" w:rsidP="006661FE">
      <w:pPr>
        <w:rPr>
          <w:rFonts w:ascii="Arial" w:hAnsi="Arial" w:cs="Arial"/>
          <w:sz w:val="22"/>
          <w:szCs w:val="22"/>
        </w:rPr>
      </w:pPr>
    </w:p>
    <w:p w14:paraId="12BE5813" w14:textId="261DAFEF" w:rsidR="006661FE" w:rsidRPr="007B2988" w:rsidRDefault="006661FE" w:rsidP="006661FE">
      <w:pPr>
        <w:rPr>
          <w:rFonts w:ascii="Arial" w:hAnsi="Arial" w:cs="Arial"/>
          <w:sz w:val="22"/>
          <w:szCs w:val="22"/>
        </w:rPr>
      </w:pPr>
    </w:p>
    <w:p w14:paraId="2B459B9C" w14:textId="4B63CF57" w:rsidR="006661FE" w:rsidRPr="007B2988" w:rsidRDefault="4DB720A2" w:rsidP="006661FE">
      <w:pPr>
        <w:jc w:val="both"/>
        <w:rPr>
          <w:rFonts w:ascii="Arial" w:hAnsi="Arial" w:cs="Arial"/>
          <w:sz w:val="22"/>
          <w:szCs w:val="22"/>
        </w:rPr>
      </w:pPr>
      <w:r w:rsidRPr="0537B9E0">
        <w:rPr>
          <w:rFonts w:ascii="Arial" w:hAnsi="Arial" w:cs="Arial"/>
          <w:sz w:val="22"/>
          <w:szCs w:val="22"/>
        </w:rPr>
        <w:t>In addition to fixing zones, other key parameters within the methodology are also fixed for the duration of the price control period or annual changes restricted in some way</w:t>
      </w:r>
      <w:r w:rsidR="1D2F11C1" w:rsidRPr="0537B9E0">
        <w:rPr>
          <w:rFonts w:ascii="Arial" w:hAnsi="Arial" w:cs="Arial"/>
          <w:sz w:val="22"/>
          <w:szCs w:val="22"/>
        </w:rPr>
        <w:t xml:space="preserve">. </w:t>
      </w:r>
      <w:r w:rsidRPr="0537B9E0">
        <w:rPr>
          <w:rFonts w:ascii="Arial" w:hAnsi="Arial" w:cs="Arial"/>
          <w:sz w:val="22"/>
          <w:szCs w:val="22"/>
        </w:rPr>
        <w:t>Specifically:</w:t>
      </w:r>
    </w:p>
    <w:p w14:paraId="286F66D2" w14:textId="77777777" w:rsidR="006661FE" w:rsidRPr="007B2988" w:rsidRDefault="006661FE" w:rsidP="006661FE">
      <w:pPr>
        <w:rPr>
          <w:rFonts w:ascii="Arial" w:hAnsi="Arial" w:cs="Arial"/>
          <w:sz w:val="22"/>
          <w:szCs w:val="22"/>
        </w:rPr>
      </w:pPr>
    </w:p>
    <w:p w14:paraId="54C85423" w14:textId="057BCC61"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constant, which reflects the annuitised value of capital investment required to transport 1MW over 1km by a 400kV over-</w:t>
      </w:r>
      <w:bookmarkStart w:id="585" w:name="_Int_Mi0Wm7HA"/>
      <w:r w:rsidRPr="0537B9E0">
        <w:rPr>
          <w:rFonts w:ascii="Arial" w:hAnsi="Arial" w:cs="Arial"/>
          <w:sz w:val="22"/>
          <w:szCs w:val="22"/>
        </w:rPr>
        <w:t>head line</w:t>
      </w:r>
      <w:bookmarkEnd w:id="585"/>
      <w:r w:rsidRPr="0537B9E0">
        <w:rPr>
          <w:rFonts w:ascii="Arial" w:hAnsi="Arial" w:cs="Arial"/>
          <w:sz w:val="22"/>
          <w:szCs w:val="22"/>
        </w:rPr>
        <w:t xml:space="preserve">, changes annually according to </w:t>
      </w:r>
      <w:r w:rsidR="6EE7F860" w:rsidRPr="0537B9E0">
        <w:rPr>
          <w:rFonts w:ascii="Arial" w:hAnsi="Arial" w:cs="Arial"/>
          <w:sz w:val="22"/>
          <w:szCs w:val="22"/>
        </w:rPr>
        <w:t>TOPI</w:t>
      </w:r>
      <w:r w:rsidRPr="0537B9E0">
        <w:rPr>
          <w:rFonts w:ascii="Arial" w:hAnsi="Arial" w:cs="Arial"/>
          <w:sz w:val="22"/>
          <w:szCs w:val="22"/>
        </w:rPr>
        <w:t xml:space="preserve">. The other elements used to derive the expansion constant are only reviewed at the beginning of a price control period to ensure that it remains </w:t>
      </w:r>
      <w:r w:rsidR="57798E82" w:rsidRPr="0537B9E0">
        <w:rPr>
          <w:rFonts w:ascii="Arial" w:hAnsi="Arial" w:cs="Arial"/>
          <w:sz w:val="22"/>
          <w:szCs w:val="22"/>
        </w:rPr>
        <w:t xml:space="preserve">cost reflective. </w:t>
      </w:r>
      <w:r w:rsidRPr="0537B9E0">
        <w:rPr>
          <w:rFonts w:ascii="Arial" w:hAnsi="Arial" w:cs="Arial"/>
          <w:sz w:val="22"/>
          <w:szCs w:val="22"/>
        </w:rPr>
        <w:t>This review will consider those components outlined in Paragraph 14.15.</w:t>
      </w:r>
      <w:r w:rsidR="38DE1047" w:rsidRPr="0537B9E0">
        <w:rPr>
          <w:rFonts w:ascii="Arial" w:hAnsi="Arial" w:cs="Arial"/>
          <w:sz w:val="22"/>
          <w:szCs w:val="22"/>
        </w:rPr>
        <w:t>59</w:t>
      </w:r>
      <w:r w:rsidR="3CD299F6" w:rsidRPr="0537B9E0">
        <w:rPr>
          <w:rFonts w:ascii="Arial" w:hAnsi="Arial" w:cs="Arial"/>
          <w:sz w:val="22"/>
          <w:szCs w:val="22"/>
        </w:rPr>
        <w:t xml:space="preserve"> </w:t>
      </w:r>
      <w:r w:rsidRPr="0537B9E0">
        <w:rPr>
          <w:rFonts w:ascii="Arial" w:hAnsi="Arial" w:cs="Arial"/>
          <w:sz w:val="22"/>
          <w:szCs w:val="22"/>
        </w:rPr>
        <w:t>to Paragraph 14.15.</w:t>
      </w:r>
      <w:r w:rsidR="38DE1047" w:rsidRPr="0537B9E0">
        <w:rPr>
          <w:rFonts w:ascii="Arial" w:hAnsi="Arial" w:cs="Arial"/>
          <w:sz w:val="22"/>
          <w:szCs w:val="22"/>
        </w:rPr>
        <w:t>69</w:t>
      </w:r>
      <w:r w:rsidR="2C461540" w:rsidRPr="0537B9E0">
        <w:rPr>
          <w:rFonts w:ascii="Arial" w:hAnsi="Arial" w:cs="Arial"/>
          <w:sz w:val="22"/>
          <w:szCs w:val="22"/>
        </w:rPr>
        <w:t>.</w:t>
      </w:r>
    </w:p>
    <w:p w14:paraId="2450B85B" w14:textId="386C8E4A"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w:t>
      </w:r>
      <w:r w:rsidR="3611A847" w:rsidRPr="0537B9E0">
        <w:rPr>
          <w:rFonts w:ascii="Arial" w:hAnsi="Arial" w:cs="Arial"/>
          <w:sz w:val="22"/>
          <w:szCs w:val="22"/>
        </w:rPr>
        <w:t xml:space="preserve">. </w:t>
      </w:r>
      <w:r w:rsidRPr="0537B9E0">
        <w:rPr>
          <w:rFonts w:ascii="Arial" w:hAnsi="Arial" w:cs="Arial"/>
          <w:sz w:val="22"/>
          <w:szCs w:val="22"/>
        </w:rPr>
        <w:t>These factors are reviewed at the beginning of a price control period and will take account of the same factors considered in the review of the expansion constant.</w:t>
      </w:r>
    </w:p>
    <w:p w14:paraId="47BD3547" w14:textId="77777777" w:rsidR="006661FE"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locational security factor, which reflects the transmission security provided under the NETS Security and Quality of Supply Standard, is fixed for the duration of the price control </w:t>
      </w:r>
      <w:bookmarkStart w:id="586" w:name="_Int_xJZhrpMS"/>
      <w:r w:rsidRPr="0537B9E0">
        <w:rPr>
          <w:rFonts w:ascii="Arial" w:hAnsi="Arial" w:cs="Arial"/>
          <w:sz w:val="22"/>
          <w:szCs w:val="22"/>
        </w:rPr>
        <w:t>period</w:t>
      </w:r>
      <w:bookmarkEnd w:id="586"/>
      <w:r w:rsidRPr="0537B9E0">
        <w:rPr>
          <w:rFonts w:ascii="Arial" w:hAnsi="Arial" w:cs="Arial"/>
          <w:sz w:val="22"/>
          <w:szCs w:val="22"/>
        </w:rPr>
        <w:t xml:space="preserve"> and reviewed at the beginning of a price control period. </w:t>
      </w:r>
    </w:p>
    <w:p w14:paraId="678F9A9D" w14:textId="77777777" w:rsidR="003F1A5D" w:rsidRDefault="003F1A5D" w:rsidP="003F1A5D">
      <w:pPr>
        <w:pStyle w:val="BulletBox"/>
        <w:numPr>
          <w:ilvl w:val="0"/>
          <w:numId w:val="71"/>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40B1C3CD" w14:textId="77777777" w:rsidR="006661FE" w:rsidRPr="007B2988" w:rsidRDefault="006661FE" w:rsidP="006661FE">
      <w:pPr>
        <w:pStyle w:val="Heading2"/>
      </w:pPr>
      <w:bookmarkStart w:id="587" w:name="_Toc274049749"/>
      <w:r w:rsidRPr="007B2988">
        <w:t>Predictability of tariffs</w:t>
      </w:r>
      <w:bookmarkEnd w:id="587"/>
    </w:p>
    <w:p w14:paraId="7EB17599" w14:textId="77777777" w:rsidR="006661FE" w:rsidRPr="007B2988" w:rsidRDefault="006661FE" w:rsidP="006661FE">
      <w:pPr>
        <w:rPr>
          <w:rFonts w:ascii="Arial" w:hAnsi="Arial" w:cs="Arial"/>
          <w:b/>
          <w:sz w:val="22"/>
          <w:szCs w:val="22"/>
        </w:rPr>
      </w:pPr>
    </w:p>
    <w:p w14:paraId="78F95E86" w14:textId="4B927E7B" w:rsidR="006661FE" w:rsidRPr="007B2988" w:rsidRDefault="58867969" w:rsidP="006661FE">
      <w:pPr>
        <w:jc w:val="both"/>
        <w:rPr>
          <w:rFonts w:ascii="Arial" w:hAnsi="Arial" w:cs="Arial"/>
          <w:sz w:val="22"/>
          <w:szCs w:val="22"/>
        </w:rPr>
      </w:pP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revises TNUoS tariffs each year to ensure that these remain cost-reflective and </w:t>
      </w:r>
      <w:bookmarkStart w:id="588" w:name="_Int_H44y8oOW"/>
      <w:r w:rsidR="4DB720A2" w:rsidRPr="0537B9E0">
        <w:rPr>
          <w:rFonts w:ascii="Arial" w:hAnsi="Arial" w:cs="Arial"/>
          <w:sz w:val="22"/>
          <w:szCs w:val="22"/>
        </w:rPr>
        <w:t>take into account</w:t>
      </w:r>
      <w:bookmarkEnd w:id="588"/>
      <w:r w:rsidR="4DB720A2" w:rsidRPr="0537B9E0">
        <w:rPr>
          <w:rFonts w:ascii="Arial" w:hAnsi="Arial" w:cs="Arial"/>
          <w:sz w:val="22"/>
          <w:szCs w:val="22"/>
        </w:rPr>
        <w:t xml:space="preserve"> changes to allowable income under the price control and </w:t>
      </w:r>
      <w:r w:rsidR="6EE7F860" w:rsidRPr="0537B9E0">
        <w:rPr>
          <w:rFonts w:ascii="Arial" w:hAnsi="Arial" w:cs="Arial"/>
          <w:sz w:val="22"/>
          <w:szCs w:val="22"/>
        </w:rPr>
        <w:t>TOPI</w:t>
      </w:r>
      <w:r w:rsidR="6FBCC55D" w:rsidRPr="0537B9E0">
        <w:rPr>
          <w:rFonts w:ascii="Arial" w:hAnsi="Arial" w:cs="Arial"/>
          <w:sz w:val="22"/>
          <w:szCs w:val="22"/>
        </w:rPr>
        <w:t xml:space="preserve">. </w:t>
      </w:r>
      <w:r w:rsidR="4DB720A2" w:rsidRPr="0537B9E0">
        <w:rPr>
          <w:rFonts w:ascii="Arial" w:hAnsi="Arial" w:cs="Arial"/>
          <w:sz w:val="22"/>
          <w:szCs w:val="22"/>
        </w:rPr>
        <w:t xml:space="preserve">There are </w:t>
      </w:r>
      <w:bookmarkStart w:id="589" w:name="_Int_4cQ51Zy0"/>
      <w:r w:rsidR="4DB720A2" w:rsidRPr="0537B9E0">
        <w:rPr>
          <w:rFonts w:ascii="Arial" w:hAnsi="Arial" w:cs="Arial"/>
          <w:sz w:val="22"/>
          <w:szCs w:val="22"/>
        </w:rPr>
        <w:t>a number of</w:t>
      </w:r>
      <w:bookmarkEnd w:id="589"/>
      <w:r w:rsidR="4DB720A2" w:rsidRPr="0537B9E0">
        <w:rPr>
          <w:rFonts w:ascii="Arial" w:hAnsi="Arial" w:cs="Arial"/>
          <w:sz w:val="22"/>
          <w:szCs w:val="22"/>
        </w:rPr>
        <w:t xml:space="preserve"> provisions within </w:t>
      </w:r>
      <w:r w:rsidR="08FF6E2F" w:rsidRPr="0537B9E0">
        <w:rPr>
          <w:rFonts w:ascii="Arial" w:hAnsi="Arial" w:cs="Arial"/>
          <w:sz w:val="22"/>
          <w:szCs w:val="22"/>
        </w:rPr>
        <w:t xml:space="preserve">the </w:t>
      </w:r>
      <w:r w:rsidR="4DB720A2" w:rsidRPr="0537B9E0">
        <w:rPr>
          <w:rFonts w:ascii="Arial" w:hAnsi="Arial" w:cs="Arial"/>
          <w:sz w:val="22"/>
          <w:szCs w:val="22"/>
        </w:rPr>
        <w:t>Transmission Licence and the CUSC designed to promote the predictability of annually varying charges</w:t>
      </w:r>
      <w:r w:rsidR="7BA8231D" w:rsidRPr="0537B9E0">
        <w:rPr>
          <w:rFonts w:ascii="Arial" w:hAnsi="Arial" w:cs="Arial"/>
          <w:sz w:val="22"/>
          <w:szCs w:val="22"/>
        </w:rPr>
        <w:t xml:space="preserve">. </w:t>
      </w:r>
      <w:r w:rsidR="4DB720A2" w:rsidRPr="0537B9E0">
        <w:rPr>
          <w:rFonts w:ascii="Arial" w:hAnsi="Arial" w:cs="Arial"/>
          <w:sz w:val="22"/>
          <w:szCs w:val="22"/>
        </w:rPr>
        <w:t xml:space="preserve">Specifically, </w:t>
      </w: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is required to give the Authority 150 days notice of its intention to change use of system charges together with a reasonable assessment of the proposals on those charges; and to give Users 2 months written notice of any revised charges</w:t>
      </w:r>
      <w:r w:rsidR="170F1074" w:rsidRPr="0537B9E0">
        <w:rPr>
          <w:rFonts w:ascii="Arial" w:hAnsi="Arial" w:cs="Arial"/>
          <w:sz w:val="22"/>
          <w:szCs w:val="22"/>
        </w:rPr>
        <w:t xml:space="preserve">. </w:t>
      </w:r>
      <w:r w:rsidRPr="0537B9E0">
        <w:rPr>
          <w:rFonts w:ascii="Arial" w:hAnsi="Arial" w:cs="Arial"/>
          <w:b/>
          <w:bCs/>
          <w:sz w:val="22"/>
          <w:szCs w:val="22"/>
        </w:rPr>
        <w:t>The</w:t>
      </w:r>
      <w:r w:rsidR="4DB720A2" w:rsidRPr="0537B9E0">
        <w:rPr>
          <w:rFonts w:ascii="Arial" w:hAnsi="Arial" w:cs="Arial"/>
          <w:b/>
          <w:bCs/>
          <w:sz w:val="22"/>
          <w:szCs w:val="22"/>
        </w:rPr>
        <w:t xml:space="preserve"> Company</w:t>
      </w:r>
      <w:r w:rsidR="4DB720A2" w:rsidRPr="0537B9E0">
        <w:rPr>
          <w:rFonts w:ascii="Arial" w:hAnsi="Arial" w:cs="Arial"/>
          <w:sz w:val="22"/>
          <w:szCs w:val="22"/>
        </w:rPr>
        <w:t xml:space="preserve"> typically provides an additional </w:t>
      </w:r>
      <w:bookmarkStart w:id="590" w:name="_Int_g0sPTDu2"/>
      <w:r w:rsidR="5C08E621" w:rsidRPr="0537B9E0">
        <w:rPr>
          <w:rFonts w:ascii="Arial" w:hAnsi="Arial" w:cs="Arial"/>
          <w:sz w:val="22"/>
          <w:szCs w:val="22"/>
        </w:rPr>
        <w:t>months notice</w:t>
      </w:r>
      <w:bookmarkEnd w:id="590"/>
      <w:r w:rsidR="4DB720A2" w:rsidRPr="0537B9E0">
        <w:rPr>
          <w:rFonts w:ascii="Arial" w:hAnsi="Arial" w:cs="Arial"/>
          <w:sz w:val="22"/>
          <w:szCs w:val="22"/>
        </w:rPr>
        <w:t xml:space="preserve"> of revised charges through the publication of “indicative” tariffs</w:t>
      </w:r>
      <w:r w:rsidR="6A85AD05" w:rsidRPr="0537B9E0">
        <w:rPr>
          <w:rFonts w:ascii="Arial" w:hAnsi="Arial" w:cs="Arial"/>
          <w:sz w:val="22"/>
          <w:szCs w:val="22"/>
        </w:rPr>
        <w:t xml:space="preserve">. </w:t>
      </w:r>
      <w:r w:rsidR="4DB720A2" w:rsidRPr="0537B9E0">
        <w:rPr>
          <w:rFonts w:ascii="Arial" w:hAnsi="Arial" w:cs="Arial"/>
          <w:sz w:val="22"/>
          <w:szCs w:val="22"/>
        </w:rPr>
        <w:t>Shorter notice periods are permitted by the framework but only following consent from the Authority</w:t>
      </w:r>
      <w:r w:rsidR="0965A0F7" w:rsidRPr="0537B9E0">
        <w:rPr>
          <w:rFonts w:ascii="Arial" w:hAnsi="Arial" w:cs="Arial"/>
          <w:sz w:val="22"/>
          <w:szCs w:val="22"/>
        </w:rPr>
        <w:t xml:space="preserve">. </w:t>
      </w:r>
    </w:p>
    <w:p w14:paraId="11AC22E8" w14:textId="77777777" w:rsidR="006661FE" w:rsidRPr="007B2988" w:rsidRDefault="006661FE" w:rsidP="006661FE">
      <w:pPr>
        <w:rPr>
          <w:rFonts w:ascii="Arial" w:hAnsi="Arial" w:cs="Arial"/>
          <w:sz w:val="22"/>
          <w:szCs w:val="22"/>
        </w:rPr>
      </w:pPr>
    </w:p>
    <w:p w14:paraId="13C3EB3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lastRenderedPageBreak/>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5E24252D" w14:textId="77777777" w:rsidR="006661FE" w:rsidRPr="007B2988" w:rsidRDefault="006661FE" w:rsidP="006661FE">
      <w:pPr>
        <w:rPr>
          <w:rFonts w:ascii="Arial" w:hAnsi="Arial" w:cs="Arial"/>
          <w:sz w:val="22"/>
          <w:szCs w:val="22"/>
        </w:rPr>
      </w:pPr>
    </w:p>
    <w:p w14:paraId="2BB31B05" w14:textId="1795F616"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More fundamentally,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also provides Users with the tool used by </w:t>
      </w:r>
      <w:r w:rsidR="58867969" w:rsidRPr="0537B9E0">
        <w:rPr>
          <w:rFonts w:ascii="Arial" w:hAnsi="Arial" w:cs="Arial"/>
          <w:b/>
          <w:bCs/>
          <w:sz w:val="22"/>
          <w:szCs w:val="22"/>
        </w:rPr>
        <w:t>The Company</w:t>
      </w:r>
      <w:r w:rsidRPr="0537B9E0">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Seven Year Statement, and Users own prediction of market activity, Users </w:t>
      </w:r>
      <w:bookmarkStart w:id="591" w:name="_Int_s4LfaFA8"/>
      <w:r w:rsidRPr="0537B9E0">
        <w:rPr>
          <w:rFonts w:ascii="Arial" w:hAnsi="Arial" w:cs="Arial"/>
          <w:sz w:val="22"/>
          <w:szCs w:val="22"/>
        </w:rPr>
        <w:t>are able to</w:t>
      </w:r>
      <w:bookmarkEnd w:id="591"/>
      <w:r w:rsidRPr="0537B9E0">
        <w:rPr>
          <w:rFonts w:ascii="Arial" w:hAnsi="Arial" w:cs="Arial"/>
          <w:sz w:val="22"/>
          <w:szCs w:val="22"/>
        </w:rPr>
        <w:t xml:space="preserve"> make a reasonable estimate of future tariffs and perform sensitivity analysis</w:t>
      </w:r>
      <w:r w:rsidR="550FCA07" w:rsidRPr="0537B9E0">
        <w:rPr>
          <w:rFonts w:ascii="Arial" w:hAnsi="Arial" w:cs="Arial"/>
          <w:sz w:val="22"/>
          <w:szCs w:val="22"/>
        </w:rPr>
        <w:t xml:space="preserve">. </w:t>
      </w:r>
    </w:p>
    <w:p w14:paraId="11206955" w14:textId="77777777" w:rsidR="006661FE" w:rsidRPr="007B2988" w:rsidRDefault="006661FE" w:rsidP="006661FE">
      <w:pPr>
        <w:rPr>
          <w:rFonts w:ascii="Arial" w:hAnsi="Arial" w:cs="Arial"/>
          <w:sz w:val="22"/>
          <w:szCs w:val="22"/>
        </w:rPr>
      </w:pPr>
    </w:p>
    <w:p w14:paraId="2375A58B" w14:textId="6AEC14A7" w:rsidR="006661FE" w:rsidRPr="007B2988" w:rsidRDefault="4DB720A2" w:rsidP="006661FE">
      <w:pPr>
        <w:jc w:val="both"/>
        <w:rPr>
          <w:rFonts w:ascii="Arial" w:hAnsi="Arial" w:cs="Arial"/>
          <w:sz w:val="22"/>
          <w:szCs w:val="22"/>
        </w:rPr>
      </w:pPr>
      <w:r w:rsidRPr="007B2988">
        <w:rPr>
          <w:rFonts w:ascii="Arial" w:hAnsi="Arial" w:cs="Arial"/>
          <w:sz w:val="22"/>
          <w:szCs w:val="22"/>
        </w:rPr>
        <w:t xml:space="preserve">To supplement this, </w:t>
      </w:r>
      <w:r w:rsidR="58867969" w:rsidRPr="0537B9E0">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w:t>
      </w:r>
      <w:r w:rsidR="49EA5ACF" w:rsidRPr="007B2988">
        <w:rPr>
          <w:rFonts w:ascii="Arial" w:hAnsi="Arial" w:cs="Arial"/>
          <w:sz w:val="22"/>
          <w:szCs w:val="22"/>
        </w:rPr>
        <w:t xml:space="preserve">. </w:t>
      </w:r>
      <w:r w:rsidRPr="007B2988">
        <w:rPr>
          <w:rFonts w:ascii="Arial" w:hAnsi="Arial" w:cs="Arial"/>
          <w:sz w:val="22"/>
          <w:szCs w:val="22"/>
        </w:rPr>
        <w:t>This report typically includes:</w:t>
      </w:r>
    </w:p>
    <w:p w14:paraId="735C79CB" w14:textId="77777777" w:rsidR="006661FE" w:rsidRPr="007B2988" w:rsidRDefault="006661FE" w:rsidP="006661FE">
      <w:pPr>
        <w:rPr>
          <w:rFonts w:ascii="Arial" w:hAnsi="Arial" w:cs="Arial"/>
          <w:sz w:val="22"/>
          <w:szCs w:val="22"/>
        </w:rPr>
      </w:pPr>
    </w:p>
    <w:p w14:paraId="3DB958B5"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A8CEA41" w14:textId="77777777"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sensitivity analysis to indicate how generation and demand tariffs would change </w:t>
      </w:r>
      <w:bookmarkStart w:id="592" w:name="_Int_VYIlqAM5"/>
      <w:r w:rsidRPr="0537B9E0">
        <w:rPr>
          <w:rFonts w:ascii="Arial" w:hAnsi="Arial" w:cs="Arial"/>
          <w:sz w:val="22"/>
          <w:szCs w:val="22"/>
        </w:rPr>
        <w:t>as a result of</w:t>
      </w:r>
      <w:bookmarkEnd w:id="592"/>
      <w:r w:rsidRPr="0537B9E0">
        <w:rPr>
          <w:rFonts w:ascii="Arial" w:hAnsi="Arial" w:cs="Arial"/>
          <w:sz w:val="22"/>
          <w:szCs w:val="22"/>
        </w:rPr>
        <w:t xml:space="preserve"> changes in generation and demand at certain points on the network that are not included within the SYS;</w:t>
      </w:r>
    </w:p>
    <w:p w14:paraId="5B037290"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E4EEBEF" w14:textId="53DCC24C"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a complete dataset for the DCLF Transport Model developed for each future year, </w:t>
      </w:r>
      <w:r w:rsidR="3693EA04" w:rsidRPr="0537B9E0">
        <w:rPr>
          <w:rFonts w:ascii="Arial" w:hAnsi="Arial" w:cs="Arial"/>
          <w:sz w:val="22"/>
          <w:szCs w:val="22"/>
        </w:rPr>
        <w:t>to allow</w:t>
      </w:r>
      <w:r w:rsidRPr="0537B9E0">
        <w:rPr>
          <w:rFonts w:ascii="Arial" w:hAnsi="Arial" w:cs="Arial"/>
          <w:sz w:val="22"/>
          <w:szCs w:val="22"/>
        </w:rPr>
        <w:t xml:space="preserve"> Users to undertake their own sensitivity analysis for specific scenarios that they may wish to model.</w:t>
      </w:r>
    </w:p>
    <w:p w14:paraId="24BDFFB3" w14:textId="2F5CA59A" w:rsidR="00736E6F" w:rsidRDefault="28AFD6EF" w:rsidP="006661FE">
      <w:pPr>
        <w:jc w:val="both"/>
        <w:rPr>
          <w:rFonts w:ascii="Arial" w:hAnsi="Arial" w:cs="Arial"/>
          <w:sz w:val="22"/>
          <w:szCs w:val="22"/>
        </w:rPr>
      </w:pPr>
      <w:r w:rsidRPr="0537B9E0">
        <w:rPr>
          <w:rFonts w:ascii="Arial" w:hAnsi="Arial" w:cs="Arial"/>
          <w:sz w:val="22"/>
          <w:szCs w:val="22"/>
        </w:rPr>
        <w:t xml:space="preserve">The first year of tariffs forecasted in the annual information paper are updated twice throughout the proceeding </w:t>
      </w:r>
      <w:r w:rsidR="40B7C2DA" w:rsidRPr="0537B9E0">
        <w:rPr>
          <w:rFonts w:ascii="Arial" w:hAnsi="Arial" w:cs="Arial"/>
          <w:b/>
          <w:bCs/>
          <w:sz w:val="22"/>
          <w:szCs w:val="22"/>
          <w:lang w:eastAsia="en-US"/>
        </w:rPr>
        <w:t>Financial Year</w:t>
      </w:r>
      <w:r w:rsidR="40B7C2DA" w:rsidRPr="0537B9E0">
        <w:rPr>
          <w:rFonts w:ascii="Arial" w:eastAsia="Arial" w:hAnsi="Arial"/>
          <w:sz w:val="22"/>
          <w:szCs w:val="22"/>
          <w:lang w:val="en-US"/>
        </w:rPr>
        <w:t xml:space="preserve"> </w:t>
      </w:r>
      <w:r w:rsidRPr="0537B9E0">
        <w:rPr>
          <w:rFonts w:ascii="Arial" w:hAnsi="Arial" w:cs="Arial"/>
          <w:sz w:val="22"/>
          <w:szCs w:val="22"/>
        </w:rPr>
        <w:t>as the various Transport and Tariff model inputs are received or amended</w:t>
      </w:r>
      <w:r w:rsidR="2B21A726" w:rsidRPr="0537B9E0">
        <w:rPr>
          <w:rFonts w:ascii="Arial" w:hAnsi="Arial" w:cs="Arial"/>
          <w:sz w:val="22"/>
          <w:szCs w:val="22"/>
        </w:rPr>
        <w:t xml:space="preserve">. </w:t>
      </w:r>
      <w:r w:rsidRPr="0537B9E0">
        <w:rPr>
          <w:rFonts w:ascii="Arial" w:hAnsi="Arial" w:cs="Arial"/>
          <w:sz w:val="22"/>
          <w:szCs w:val="22"/>
        </w:rPr>
        <w:t>These updates are in addition to the Authority 150 days notice and publication of “indicative” tariffs.</w:t>
      </w:r>
    </w:p>
    <w:p w14:paraId="280741A2" w14:textId="77777777" w:rsidR="00F61A2D" w:rsidRDefault="00F61A2D" w:rsidP="006661FE">
      <w:pPr>
        <w:jc w:val="both"/>
        <w:rPr>
          <w:rFonts w:ascii="Arial" w:hAnsi="Arial" w:cs="Arial"/>
          <w:sz w:val="22"/>
          <w:szCs w:val="22"/>
        </w:rPr>
      </w:pPr>
    </w:p>
    <w:p w14:paraId="396DA1E5" w14:textId="472EE74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3DE890F4" w14:textId="77777777" w:rsidR="00736E6F" w:rsidRDefault="00736E6F" w:rsidP="006661FE">
      <w:pPr>
        <w:jc w:val="both"/>
        <w:rPr>
          <w:rFonts w:ascii="Arial" w:hAnsi="Arial" w:cs="Arial"/>
          <w:sz w:val="22"/>
          <w:szCs w:val="22"/>
        </w:rPr>
      </w:pPr>
    </w:p>
    <w:p w14:paraId="1E0DB46A" w14:textId="6DF0E435"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In addition,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will, when revising generation charging zones prior to a new price control period, undertake a zoning consultation that uses data from the latest information paper</w:t>
      </w:r>
      <w:r w:rsidR="56BA76B5" w:rsidRPr="0537B9E0">
        <w:rPr>
          <w:rFonts w:ascii="Arial" w:hAnsi="Arial" w:cs="Arial"/>
          <w:sz w:val="22"/>
          <w:szCs w:val="22"/>
        </w:rPr>
        <w:t xml:space="preserve">. </w:t>
      </w:r>
      <w:r w:rsidRPr="0537B9E0">
        <w:rPr>
          <w:rFonts w:ascii="Arial" w:hAnsi="Arial" w:cs="Arial"/>
          <w:sz w:val="22"/>
          <w:szCs w:val="22"/>
        </w:rPr>
        <w:t>The purpose of this consultation will be to ensure tariff zones are robust to contracted changes in generation and supply, which could be expected to reduce the need for re-zoning exercises within a price control period.</w:t>
      </w:r>
    </w:p>
    <w:p w14:paraId="0ECEFCD6" w14:textId="77777777" w:rsidR="006661FE" w:rsidRPr="007B2988" w:rsidRDefault="006661FE">
      <w:pPr>
        <w:pStyle w:val="1"/>
        <w:jc w:val="both"/>
        <w:rPr>
          <w:rFonts w:cs="Arial"/>
          <w:szCs w:val="22"/>
        </w:rPr>
      </w:pPr>
    </w:p>
    <w:p w14:paraId="35C6454E" w14:textId="77777777" w:rsidR="006661FE" w:rsidRPr="007B2988" w:rsidRDefault="006661FE">
      <w:pPr>
        <w:pStyle w:val="1"/>
        <w:jc w:val="both"/>
      </w:pPr>
    </w:p>
    <w:p w14:paraId="125D9795" w14:textId="77777777" w:rsidR="00750515" w:rsidRPr="009A4AC7" w:rsidRDefault="006661FE" w:rsidP="00750515">
      <w:pPr>
        <w:pStyle w:val="Heading1"/>
        <w:jc w:val="center"/>
        <w:rPr>
          <w:color w:val="auto"/>
        </w:rPr>
      </w:pPr>
      <w:r>
        <w:br w:type="page"/>
      </w:r>
      <w:bookmarkStart w:id="593" w:name="_Toc3598575"/>
      <w:bookmarkStart w:id="594" w:name="_Toc35675434"/>
      <w:bookmarkStart w:id="595" w:name="_Toc274049751"/>
      <w:r w:rsidR="00750515" w:rsidRPr="009A4AC7">
        <w:rPr>
          <w:color w:val="auto"/>
        </w:rPr>
        <w:lastRenderedPageBreak/>
        <w:t>Section 2 – The Statement of the Balancing Services Use of System Charging Methodology</w:t>
      </w:r>
    </w:p>
    <w:p w14:paraId="2B8CE53B" w14:textId="77777777" w:rsidR="00750515" w:rsidRPr="00512312" w:rsidRDefault="00750515" w:rsidP="00750515"/>
    <w:bookmarkEnd w:id="593"/>
    <w:bookmarkEnd w:id="594"/>
    <w:bookmarkEnd w:id="595"/>
    <w:p w14:paraId="5742C174" w14:textId="4A2CFC75" w:rsidR="00750515" w:rsidRPr="002653AC" w:rsidRDefault="00750515" w:rsidP="00750515">
      <w:pPr>
        <w:pStyle w:val="Heading1"/>
        <w:jc w:val="left"/>
        <w:rPr>
          <w:color w:val="auto"/>
          <w:sz w:val="28"/>
          <w:szCs w:val="28"/>
        </w:rPr>
      </w:pPr>
      <w:r w:rsidRPr="002653AC">
        <w:rPr>
          <w:color w:val="auto"/>
          <w:sz w:val="28"/>
          <w:szCs w:val="28"/>
        </w:rPr>
        <w:t xml:space="preserve"> </w:t>
      </w:r>
      <w:r w:rsidR="00FD5F7F">
        <w:rPr>
          <w:color w:val="auto"/>
          <w:sz w:val="28"/>
          <w:szCs w:val="28"/>
        </w:rPr>
        <w:t>14.</w:t>
      </w:r>
      <w:r w:rsidR="007A3917">
        <w:rPr>
          <w:color w:val="auto"/>
          <w:sz w:val="28"/>
          <w:szCs w:val="28"/>
        </w:rPr>
        <w:t>30</w:t>
      </w:r>
      <w:r w:rsidR="00FD5F7F">
        <w:rPr>
          <w:color w:val="auto"/>
          <w:sz w:val="28"/>
          <w:szCs w:val="28"/>
        </w:rPr>
        <w:t xml:space="preserve"> </w:t>
      </w:r>
      <w:r w:rsidRPr="002653AC">
        <w:rPr>
          <w:color w:val="auto"/>
          <w:sz w:val="28"/>
          <w:szCs w:val="28"/>
        </w:rPr>
        <w:t>Principles</w:t>
      </w:r>
    </w:p>
    <w:p w14:paraId="370461BF"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596" w:name="_Hlt474031874"/>
      <w:bookmarkEnd w:id="596"/>
      <w:r>
        <w:rPr>
          <w:b/>
        </w:rPr>
        <w:fldChar w:fldCharType="begin"/>
      </w:r>
      <w:r>
        <w:rPr>
          <w:b/>
        </w:rPr>
        <w:instrText>tc \l2 "Transmission Services Use of System Charges Background</w:instrText>
      </w:r>
      <w:r>
        <w:rPr>
          <w:b/>
        </w:rPr>
        <w:fldChar w:fldCharType="end"/>
      </w:r>
    </w:p>
    <w:p w14:paraId="3E26B7BA" w14:textId="686AA185" w:rsidR="00750515" w:rsidRDefault="6CF20E13" w:rsidP="00150FE0">
      <w:pPr>
        <w:pStyle w:val="1"/>
        <w:ind w:left="1627" w:hanging="918"/>
        <w:jc w:val="both"/>
      </w:pPr>
      <w:r>
        <w:t xml:space="preserve">14.30.1 </w:t>
      </w:r>
      <w:r w:rsidR="5258A730">
        <w:t xml:space="preserve"> </w:t>
      </w:r>
      <w:r w:rsidR="76DC4F11">
        <w:t xml:space="preserve">The Transmission Licence allows </w:t>
      </w:r>
      <w:r w:rsidR="58867969" w:rsidRPr="0537B9E0">
        <w:rPr>
          <w:b/>
          <w:bCs/>
        </w:rPr>
        <w:t>The Company</w:t>
      </w:r>
      <w:r w:rsidR="76DC4F11" w:rsidRPr="0537B9E0">
        <w:rPr>
          <w:b/>
          <w:bCs/>
        </w:rPr>
        <w:t xml:space="preserve"> </w:t>
      </w:r>
      <w:r w:rsidR="76DC4F11">
        <w:t xml:space="preserve">to derive revenue in respect of the Balancing Services Activity through the Balancing Services Use of System (BSUoS) </w:t>
      </w:r>
      <w:r w:rsidR="6200BA9D">
        <w:t>Charges</w:t>
      </w:r>
      <w:r w:rsidR="4F665DD4">
        <w:t xml:space="preserve">. </w:t>
      </w:r>
      <w:r w:rsidR="76DC4F11">
        <w:t xml:space="preserve">This statement explains the methodology used </w:t>
      </w:r>
      <w:bookmarkStart w:id="597" w:name="_Int_mnpVBLtJ"/>
      <w:r w:rsidR="76DC4F11">
        <w:t>in order to</w:t>
      </w:r>
      <w:bookmarkEnd w:id="597"/>
      <w:r w:rsidR="76DC4F11">
        <w:t xml:space="preserve"> calculate the BSUoS </w:t>
      </w:r>
      <w:r w:rsidR="6200BA9D">
        <w:t>Charges</w:t>
      </w:r>
      <w:r w:rsidR="76DC4F11">
        <w:t>.</w:t>
      </w:r>
    </w:p>
    <w:p w14:paraId="125A8818" w14:textId="77777777" w:rsidR="007A3917" w:rsidRDefault="007A3917" w:rsidP="00150FE0">
      <w:pPr>
        <w:pStyle w:val="1"/>
        <w:ind w:left="1627"/>
        <w:jc w:val="both"/>
      </w:pPr>
    </w:p>
    <w:p w14:paraId="6E631E27" w14:textId="77777777" w:rsidR="00750515" w:rsidRDefault="00750515" w:rsidP="00750515">
      <w:pPr>
        <w:pStyle w:val="1"/>
        <w:jc w:val="both"/>
      </w:pPr>
    </w:p>
    <w:p w14:paraId="6B88B839" w14:textId="3ADDF5D6" w:rsidR="00750515" w:rsidRDefault="007A3917" w:rsidP="00150FE0">
      <w:pPr>
        <w:pStyle w:val="1"/>
        <w:ind w:left="1627" w:hanging="918"/>
        <w:jc w:val="both"/>
      </w:pPr>
      <w:r>
        <w:t xml:space="preserve">14.30.2 </w:t>
      </w:r>
      <w:r w:rsidR="00081CA4">
        <w:t xml:space="preserve"> </w:t>
      </w:r>
      <w:r w:rsidR="00750515">
        <w:t xml:space="preserve">The Balancing Services Activity is defined in the Transmission Licence as the activity undertaken by </w:t>
      </w:r>
      <w:r w:rsidR="1CE92958" w:rsidRPr="00150FE0">
        <w:rPr>
          <w:b/>
        </w:rPr>
        <w:t>The Company</w:t>
      </w:r>
      <w:r w:rsidR="00750515">
        <w:t xml:space="preserve"> as part of the Transmission Business including the operation of the </w:t>
      </w:r>
      <w:r w:rsidR="003D2D67">
        <w:t>NETS</w:t>
      </w:r>
      <w:r w:rsidR="00750515">
        <w:t xml:space="preserve"> and the procuring and using of Balancing Services for the purpose of balancing the </w:t>
      </w:r>
      <w:r w:rsidR="00AB3F31">
        <w:t>NETS</w:t>
      </w:r>
      <w:r w:rsidR="00750515">
        <w:t>.</w:t>
      </w:r>
    </w:p>
    <w:p w14:paraId="335CF6F1" w14:textId="77777777" w:rsidR="007A3917" w:rsidRDefault="007A3917" w:rsidP="00150FE0">
      <w:pPr>
        <w:pStyle w:val="1"/>
        <w:ind w:left="1627"/>
        <w:jc w:val="both"/>
      </w:pPr>
    </w:p>
    <w:p w14:paraId="77105EDC" w14:textId="77777777" w:rsidR="00750515" w:rsidRDefault="00750515" w:rsidP="00750515">
      <w:pPr>
        <w:pStyle w:val="1"/>
        <w:jc w:val="both"/>
      </w:pPr>
    </w:p>
    <w:p w14:paraId="4A141D60" w14:textId="4E05BF01" w:rsidR="00750515" w:rsidRPr="00CF4B8F" w:rsidRDefault="6CF20E13" w:rsidP="00150FE0">
      <w:pPr>
        <w:pStyle w:val="1"/>
        <w:ind w:left="1560" w:hanging="851"/>
        <w:jc w:val="both"/>
      </w:pPr>
      <w:r>
        <w:t>14.30.3</w:t>
      </w:r>
      <w:r w:rsidR="5258A730">
        <w:t xml:space="preserve"> </w:t>
      </w:r>
      <w:r w:rsidR="58867969" w:rsidRPr="0537B9E0">
        <w:rPr>
          <w:b/>
          <w:bCs/>
        </w:rPr>
        <w:t>The</w:t>
      </w:r>
      <w:r w:rsidR="76DC4F11" w:rsidRPr="0537B9E0">
        <w:rPr>
          <w:b/>
          <w:bCs/>
        </w:rPr>
        <w:t xml:space="preserve"> Company </w:t>
      </w:r>
      <w:r w:rsidR="76DC4F11">
        <w:t>keeps the electricity system in balance (energy balancing) and maintains the quality and security of supply (system balancing)</w:t>
      </w:r>
      <w:r w:rsidR="733BD316">
        <w:t xml:space="preserve">. </w:t>
      </w:r>
      <w:r w:rsidR="58867969" w:rsidRPr="0537B9E0">
        <w:rPr>
          <w:b/>
          <w:bCs/>
        </w:rPr>
        <w:t>The</w:t>
      </w:r>
      <w:r w:rsidR="76DC4F11" w:rsidRPr="0537B9E0">
        <w:rPr>
          <w:b/>
          <w:bCs/>
        </w:rPr>
        <w:t xml:space="preserve"> Company </w:t>
      </w:r>
      <w:r w:rsidR="76DC4F11">
        <w:t xml:space="preserve">is incentivised on the procurement and utilisation of services to maintain the energy and system balance and other costs associated with operating the system. Users pay for the cost of these services and any incentivised payment/receipts through BSUoS </w:t>
      </w:r>
      <w:r w:rsidR="01B1A3C7">
        <w:t>Charges</w:t>
      </w:r>
      <w:r w:rsidR="3CC7F88E">
        <w:t xml:space="preserve">. </w:t>
      </w:r>
    </w:p>
    <w:p w14:paraId="00B7C4AB" w14:textId="77777777" w:rsidR="00750515" w:rsidRDefault="00750515" w:rsidP="00750515">
      <w:pPr>
        <w:pStyle w:val="1"/>
        <w:jc w:val="both"/>
      </w:pPr>
    </w:p>
    <w:p w14:paraId="35A63DDF" w14:textId="0378812B" w:rsidR="00CE7853" w:rsidRDefault="76DC4F11" w:rsidP="00533333">
      <w:pPr>
        <w:pStyle w:val="1"/>
        <w:numPr>
          <w:ilvl w:val="2"/>
          <w:numId w:val="102"/>
        </w:numPr>
        <w:ind w:left="1560" w:hanging="851"/>
        <w:jc w:val="both"/>
      </w:pPr>
      <w:r>
        <w:t xml:space="preserve">All </w:t>
      </w:r>
      <w:r w:rsidR="2BAEF950">
        <w:t xml:space="preserve">Users excluding those Users with valid Declarations, Interconnectors and Virtual Lead Parties are liable for Balancing Services Use of System charges based on their Final Demand in each </w:t>
      </w:r>
      <w:r>
        <w:t xml:space="preserve">Settlement </w:t>
      </w:r>
      <w:r w:rsidR="2E456CBE">
        <w:t>Day</w:t>
      </w:r>
      <w:r w:rsidR="13E2F28C">
        <w:t xml:space="preserve">. </w:t>
      </w:r>
      <w:r w:rsidR="40D31C7F">
        <w:t xml:space="preserve"> </w:t>
      </w:r>
    </w:p>
    <w:p w14:paraId="371AF625" w14:textId="77777777" w:rsidR="00CE7853" w:rsidRDefault="00CE7853" w:rsidP="009F4595">
      <w:pPr>
        <w:pStyle w:val="1"/>
        <w:ind w:left="1560"/>
        <w:jc w:val="both"/>
      </w:pPr>
    </w:p>
    <w:p w14:paraId="53673E19" w14:textId="610AB038" w:rsidR="006D1247" w:rsidRDefault="006D1247" w:rsidP="009F4595">
      <w:pPr>
        <w:pStyle w:val="1"/>
        <w:numPr>
          <w:ilvl w:val="2"/>
          <w:numId w:val="102"/>
        </w:numPr>
        <w:ind w:left="1560" w:hanging="851"/>
        <w:jc w:val="both"/>
      </w:pPr>
      <w:bookmarkStart w:id="598" w:name="_Hlk43984034"/>
      <w:r>
        <w:t>BSUoS Charges are calculated on a fixed price basis as described in Section 14.3</w:t>
      </w:r>
      <w:r w:rsidR="009A4DDF">
        <w:t>1</w:t>
      </w:r>
      <w:r>
        <w:t>.</w:t>
      </w:r>
    </w:p>
    <w:p w14:paraId="21C61A17" w14:textId="77777777" w:rsidR="00750515" w:rsidRDefault="00750515" w:rsidP="00750515">
      <w:pPr>
        <w:pStyle w:val="1"/>
        <w:jc w:val="both"/>
      </w:pPr>
    </w:p>
    <w:p w14:paraId="47E3B8D6" w14:textId="7BC673CA" w:rsidR="00750515" w:rsidRDefault="00750515" w:rsidP="009F4595">
      <w:pPr>
        <w:pStyle w:val="1"/>
        <w:numPr>
          <w:ilvl w:val="2"/>
          <w:numId w:val="102"/>
        </w:numPr>
        <w:ind w:left="1560" w:hanging="862"/>
        <w:jc w:val="both"/>
      </w:pPr>
      <w:r>
        <w:t xml:space="preserve">BSUoS </w:t>
      </w:r>
      <w:r w:rsidR="007C44B1">
        <w:t>C</w:t>
      </w:r>
      <w:r>
        <w:t>harges comprise the following costs:</w:t>
      </w:r>
    </w:p>
    <w:p w14:paraId="0636CF16" w14:textId="77777777" w:rsidR="00750515" w:rsidRDefault="00750515" w:rsidP="00750515">
      <w:pPr>
        <w:pStyle w:val="1"/>
        <w:jc w:val="both"/>
      </w:pPr>
      <w:r>
        <w:t xml:space="preserve"> </w:t>
      </w:r>
    </w:p>
    <w:p w14:paraId="7FB338FC" w14:textId="77777777" w:rsidR="00750515" w:rsidRDefault="00750515" w:rsidP="00533333">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9E0C04"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5F3FC1A7" w14:textId="7E6D7194" w:rsidR="00750515" w:rsidRPr="00FE60D3"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Payments/Receipts from</w:t>
      </w:r>
      <w:r w:rsidR="00357487" w:rsidRPr="35F371ED">
        <w:rPr>
          <w:rFonts w:ascii="Arial" w:hAnsi="Arial"/>
          <w:sz w:val="22"/>
          <w:szCs w:val="22"/>
        </w:rPr>
        <w:t xml:space="preserve"> </w:t>
      </w:r>
      <w:r w:rsidR="1CE92958" w:rsidRPr="00150FE0">
        <w:rPr>
          <w:rFonts w:ascii="Arial" w:hAnsi="Arial"/>
          <w:b/>
          <w:sz w:val="22"/>
          <w:szCs w:val="22"/>
        </w:rPr>
        <w:t xml:space="preserve">The </w:t>
      </w:r>
      <w:r w:rsidR="00357487" w:rsidRPr="00150FE0">
        <w:rPr>
          <w:rFonts w:ascii="Arial" w:hAnsi="Arial"/>
          <w:b/>
          <w:sz w:val="22"/>
          <w:szCs w:val="22"/>
        </w:rPr>
        <w:t>Compan</w:t>
      </w:r>
      <w:r w:rsidR="00357487" w:rsidRPr="007219D1">
        <w:rPr>
          <w:rFonts w:ascii="Arial" w:hAnsi="Arial"/>
          <w:b/>
          <w:sz w:val="22"/>
          <w:szCs w:val="22"/>
        </w:rPr>
        <w:t>y’s</w:t>
      </w:r>
      <w:r w:rsidRPr="007219D1">
        <w:rPr>
          <w:rFonts w:ascii="Arial" w:hAnsi="Arial"/>
          <w:b/>
          <w:sz w:val="22"/>
          <w:szCs w:val="22"/>
        </w:rPr>
        <w:t xml:space="preserve"> </w:t>
      </w:r>
      <w:r w:rsidRPr="35F371ED">
        <w:rPr>
          <w:rFonts w:ascii="Arial" w:hAnsi="Arial"/>
          <w:sz w:val="22"/>
          <w:szCs w:val="22"/>
        </w:rPr>
        <w:t>incentive schemes</w:t>
      </w:r>
    </w:p>
    <w:p w14:paraId="2BF51975"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74DE65A8"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12EEDB2A"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705A9AEB" w14:textId="47AB3BDE" w:rsidR="00750515"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 xml:space="preserve">Costs invoiced to </w:t>
      </w:r>
      <w:r w:rsidR="1CE92958" w:rsidRPr="00150FE0">
        <w:rPr>
          <w:rFonts w:ascii="Arial" w:hAnsi="Arial"/>
          <w:b/>
          <w:sz w:val="22"/>
          <w:szCs w:val="22"/>
        </w:rPr>
        <w:t>The Company</w:t>
      </w:r>
      <w:r w:rsidRPr="00150FE0">
        <w:rPr>
          <w:rFonts w:ascii="Arial" w:hAnsi="Arial"/>
          <w:b/>
          <w:sz w:val="22"/>
          <w:szCs w:val="22"/>
        </w:rPr>
        <w:t xml:space="preserve"> </w:t>
      </w:r>
      <w:r w:rsidRPr="35F371ED">
        <w:rPr>
          <w:rFonts w:ascii="Arial" w:hAnsi="Arial"/>
          <w:sz w:val="22"/>
          <w:szCs w:val="22"/>
        </w:rPr>
        <w:t>associated with Manifest Errors and Special Provisions.</w:t>
      </w:r>
    </w:p>
    <w:p w14:paraId="5EF62035" w14:textId="77777777" w:rsidR="00750515" w:rsidRDefault="00750515" w:rsidP="00533333">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233E6E64" w14:textId="6067D6A6" w:rsidR="009016A7" w:rsidRPr="009016A7" w:rsidRDefault="009016A7" w:rsidP="00533333">
      <w:pPr>
        <w:numPr>
          <w:ilvl w:val="0"/>
          <w:numId w:val="61"/>
        </w:numPr>
        <w:tabs>
          <w:tab w:val="clear" w:pos="1440"/>
          <w:tab w:val="num" w:pos="2347"/>
        </w:tabs>
        <w:ind w:left="2347"/>
        <w:rPr>
          <w:rFonts w:ascii="Arial" w:hAnsi="Arial"/>
          <w:sz w:val="22"/>
        </w:rPr>
      </w:pPr>
      <w:r w:rsidRPr="000164D4">
        <w:rPr>
          <w:rFonts w:ascii="Arial" w:hAnsi="Arial"/>
          <w:sz w:val="22"/>
        </w:rPr>
        <w:t>Financing and administrative costs, as agreed by The Authority, associated with the management of the Covid Support Scheme in 14.3</w:t>
      </w:r>
      <w:r w:rsidR="00E02C9D">
        <w:rPr>
          <w:rFonts w:ascii="Arial" w:hAnsi="Arial"/>
          <w:sz w:val="22"/>
        </w:rPr>
        <w:t>1</w:t>
      </w:r>
      <w:r w:rsidRPr="000164D4">
        <w:rPr>
          <w:rFonts w:ascii="Arial" w:hAnsi="Arial"/>
          <w:sz w:val="22"/>
        </w:rPr>
        <w:t>.</w:t>
      </w:r>
      <w:r w:rsidR="000A4CBD">
        <w:rPr>
          <w:rFonts w:ascii="Arial" w:hAnsi="Arial"/>
          <w:sz w:val="22"/>
        </w:rPr>
        <w:t>24</w:t>
      </w:r>
      <w:r w:rsidR="003C6419">
        <w:rPr>
          <w:rFonts w:ascii="Arial" w:hAnsi="Arial"/>
          <w:sz w:val="22"/>
        </w:rPr>
        <w:t xml:space="preserve"> </w:t>
      </w:r>
      <w:r w:rsidR="003C6419" w:rsidRPr="00A23021">
        <w:rPr>
          <w:rFonts w:ascii="Arial" w:hAnsi="Arial"/>
          <w:sz w:val="22"/>
        </w:rPr>
        <w:t>and Exceptional Costs Support Scheme in 14.3</w:t>
      </w:r>
      <w:r w:rsidR="00E02C9D">
        <w:rPr>
          <w:rFonts w:ascii="Arial" w:hAnsi="Arial"/>
          <w:sz w:val="22"/>
        </w:rPr>
        <w:t>1</w:t>
      </w:r>
      <w:r w:rsidR="003C6419" w:rsidRPr="00A23021">
        <w:rPr>
          <w:rFonts w:ascii="Arial" w:hAnsi="Arial"/>
          <w:sz w:val="22"/>
        </w:rPr>
        <w:t>.</w:t>
      </w:r>
      <w:r w:rsidR="0076616C">
        <w:rPr>
          <w:rFonts w:ascii="Arial" w:hAnsi="Arial"/>
          <w:sz w:val="22"/>
        </w:rPr>
        <w:t>33</w:t>
      </w:r>
      <w:r w:rsidR="00B5507A" w:rsidRPr="00B5507A">
        <w:rPr>
          <w:rFonts w:ascii="Arial" w:hAnsi="Arial"/>
          <w:sz w:val="22"/>
        </w:rPr>
        <w:t xml:space="preserve"> </w:t>
      </w:r>
      <w:r w:rsidR="00B5507A">
        <w:rPr>
          <w:rFonts w:ascii="Arial" w:hAnsi="Arial"/>
          <w:sz w:val="22"/>
        </w:rPr>
        <w:t>and the Further Costs Support Scheme in 14.3</w:t>
      </w:r>
      <w:r w:rsidR="00567A0F">
        <w:rPr>
          <w:rStyle w:val="FootnoteReference"/>
          <w:rFonts w:ascii="Arial" w:hAnsi="Arial"/>
          <w:sz w:val="22"/>
        </w:rPr>
        <w:t>1</w:t>
      </w:r>
      <w:r w:rsidR="00B5507A">
        <w:rPr>
          <w:rFonts w:ascii="Arial" w:hAnsi="Arial"/>
          <w:sz w:val="22"/>
        </w:rPr>
        <w:t>.</w:t>
      </w:r>
      <w:r w:rsidR="0076616C">
        <w:rPr>
          <w:rFonts w:ascii="Arial" w:hAnsi="Arial"/>
          <w:sz w:val="22"/>
        </w:rPr>
        <w:t>39</w:t>
      </w:r>
      <w:r w:rsidR="00B5507A">
        <w:rPr>
          <w:rFonts w:ascii="Arial" w:hAnsi="Arial"/>
          <w:sz w:val="22"/>
        </w:rPr>
        <w:t>.</w:t>
      </w:r>
    </w:p>
    <w:bookmarkEnd w:id="598"/>
    <w:p w14:paraId="2D1DC3B4" w14:textId="77777777" w:rsidR="00750515" w:rsidRDefault="00750515" w:rsidP="00750515">
      <w:pPr>
        <w:pStyle w:val="Date"/>
        <w:ind w:left="907"/>
      </w:pPr>
    </w:p>
    <w:p w14:paraId="69E98DE8" w14:textId="0AA2955F" w:rsidR="00750515" w:rsidRPr="002653AC" w:rsidRDefault="00750515" w:rsidP="00750515">
      <w:pPr>
        <w:pStyle w:val="Heading1"/>
        <w:rPr>
          <w:i/>
          <w:color w:val="auto"/>
          <w:sz w:val="28"/>
          <w:szCs w:val="28"/>
        </w:rPr>
      </w:pPr>
      <w:r>
        <w:br w:type="page"/>
      </w:r>
      <w:bookmarkStart w:id="599" w:name="_Toc3598576"/>
      <w:bookmarkStart w:id="600" w:name="_Toc35675435"/>
      <w:bookmarkStart w:id="601" w:name="_Toc274049752"/>
      <w:r w:rsidRPr="002653AC">
        <w:rPr>
          <w:color w:val="auto"/>
          <w:sz w:val="28"/>
          <w:szCs w:val="28"/>
        </w:rPr>
        <w:lastRenderedPageBreak/>
        <w:t>14.3</w:t>
      </w:r>
      <w:r w:rsidR="00DE438B">
        <w:rPr>
          <w:color w:val="auto"/>
          <w:sz w:val="28"/>
          <w:szCs w:val="28"/>
        </w:rPr>
        <w:t>1</w:t>
      </w:r>
      <w:r w:rsidRPr="002653AC">
        <w:rPr>
          <w:color w:val="auto"/>
          <w:sz w:val="28"/>
          <w:szCs w:val="28"/>
        </w:rPr>
        <w:t xml:space="preserve"> Calculation of the Daily Balancing Services Use of System </w:t>
      </w:r>
      <w:bookmarkEnd w:id="599"/>
      <w:bookmarkEnd w:id="600"/>
      <w:bookmarkEnd w:id="601"/>
      <w:r w:rsidR="00BD3D37">
        <w:rPr>
          <w:color w:val="auto"/>
          <w:sz w:val="28"/>
          <w:szCs w:val="28"/>
        </w:rPr>
        <w:t>Charges</w:t>
      </w:r>
    </w:p>
    <w:p w14:paraId="3FF5DBFE" w14:textId="51F99A1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1EB8AC5" w14:textId="77777777" w:rsidR="00A72BDD" w:rsidRDefault="00A72BDD" w:rsidP="00A72BDD">
      <w:pPr>
        <w:pStyle w:val="Heading2"/>
      </w:pPr>
      <w:r>
        <w:t>Calculation of the Daily Balancing Services Use of System charge</w:t>
      </w:r>
    </w:p>
    <w:p w14:paraId="44376682" w14:textId="77777777" w:rsidR="00A72BDD" w:rsidRDefault="00A72BDD" w:rsidP="00A72BDD"/>
    <w:p w14:paraId="1C6452E3" w14:textId="77777777" w:rsidR="00A72BDD" w:rsidRDefault="00A72BDD" w:rsidP="00A72BDD">
      <w:pPr>
        <w:pStyle w:val="1"/>
        <w:numPr>
          <w:ilvl w:val="0"/>
          <w:numId w:val="132"/>
        </w:numPr>
        <w:jc w:val="both"/>
      </w:pPr>
      <w:r>
        <w:t>The BSUoS charge payable by customer c, on Settlement Day d, will be calculated in accordance with the following formula:</w:t>
      </w:r>
    </w:p>
    <w:p w14:paraId="4FCC87C9" w14:textId="77777777" w:rsidR="00A72BDD" w:rsidRDefault="00A72BDD" w:rsidP="00A72BDD">
      <w:pPr>
        <w:pStyle w:val="1"/>
        <w:tabs>
          <w:tab w:val="left" w:pos="-1440"/>
          <w:tab w:val="left" w:pos="-720"/>
          <w:tab w:val="left" w:pos="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7482022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noProof/>
          <w:position w:val="-24"/>
        </w:rPr>
        <w:drawing>
          <wp:inline distT="0" distB="0" distL="0" distR="0" wp14:anchorId="78B7BC8B" wp14:editId="3BC91C21">
            <wp:extent cx="2314575" cy="314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314575" cy="314325"/>
                    </a:xfrm>
                    <a:prstGeom prst="rect">
                      <a:avLst/>
                    </a:prstGeom>
                    <a:noFill/>
                    <a:ln>
                      <a:noFill/>
                    </a:ln>
                  </pic:spPr>
                </pic:pic>
              </a:graphicData>
            </a:graphic>
          </wp:inline>
        </w:drawing>
      </w:r>
    </w:p>
    <w:p w14:paraId="3A98C39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2"/>
        </w:rPr>
      </w:pPr>
    </w:p>
    <w:p w14:paraId="11937D33" w14:textId="77777777" w:rsidR="00A72BDD" w:rsidRDefault="00A72BDD" w:rsidP="00A72BDD">
      <w:pPr>
        <w:ind w:left="1440"/>
        <w:jc w:val="both"/>
        <w:rPr>
          <w:rFonts w:ascii="Arial" w:hAnsi="Arial"/>
          <w:sz w:val="22"/>
        </w:rPr>
      </w:pPr>
      <w:r>
        <w:rPr>
          <w:rFonts w:ascii="Arial" w:hAnsi="Arial"/>
          <w:sz w:val="22"/>
        </w:rPr>
        <w:tab/>
        <w:t>Where:</w:t>
      </w:r>
    </w:p>
    <w:p w14:paraId="6236DA1A" w14:textId="77777777" w:rsidR="00A72BDD" w:rsidRDefault="00A72BDD" w:rsidP="00A72BDD">
      <w:pPr>
        <w:ind w:left="1440"/>
        <w:jc w:val="both"/>
        <w:rPr>
          <w:rFonts w:ascii="Arial" w:hAnsi="Arial"/>
          <w:sz w:val="22"/>
        </w:rPr>
      </w:pPr>
      <w:r>
        <w:rPr>
          <w:rFonts w:ascii="Arial" w:hAnsi="Arial"/>
          <w:sz w:val="22"/>
        </w:rPr>
        <w:t xml:space="preserve"> </w:t>
      </w:r>
      <w:r>
        <w:rPr>
          <w:rFonts w:ascii="Arial" w:hAnsi="Arial"/>
          <w:sz w:val="22"/>
        </w:rPr>
        <w:tab/>
      </w:r>
      <w:r>
        <w:rPr>
          <w:rFonts w:ascii="Arial" w:hAnsi="Arial"/>
          <w:sz w:val="22"/>
          <w:vertAlign w:val="subscript"/>
        </w:rPr>
        <w:t>i</w:t>
      </w:r>
      <w:r>
        <w:rPr>
          <w:rFonts w:ascii="Arial" w:hAnsi="Arial"/>
          <w:sz w:val="22"/>
        </w:rPr>
        <w:t xml:space="preserve">  </w:t>
      </w:r>
      <w:r>
        <w:rPr>
          <w:rFonts w:ascii="Arial" w:hAnsi="Arial"/>
          <w:sz w:val="22"/>
        </w:rPr>
        <w:tab/>
      </w:r>
      <w:r>
        <w:rPr>
          <w:rFonts w:ascii="Arial" w:hAnsi="Arial"/>
          <w:sz w:val="22"/>
        </w:rPr>
        <w:tab/>
        <w:t>-</w:t>
      </w:r>
      <w:r>
        <w:rPr>
          <w:rFonts w:ascii="Arial" w:hAnsi="Arial"/>
          <w:sz w:val="22"/>
        </w:rPr>
        <w:tab/>
        <w:t>refers to the individual BM Unit</w:t>
      </w:r>
    </w:p>
    <w:p w14:paraId="6D5A09B5" w14:textId="77777777" w:rsidR="00A72BDD" w:rsidRDefault="00A72BDD" w:rsidP="00A72BDD">
      <w:pPr>
        <w:ind w:left="1440"/>
        <w:jc w:val="both"/>
        <w:rPr>
          <w:rFonts w:ascii="Arial" w:hAnsi="Arial"/>
          <w:sz w:val="22"/>
        </w:rPr>
      </w:pPr>
      <w:r>
        <w:rPr>
          <w:rFonts w:ascii="Arial" w:hAnsi="Arial"/>
          <w:sz w:val="22"/>
        </w:rPr>
        <w:tab/>
      </w:r>
      <w:r>
        <w:rPr>
          <w:rFonts w:ascii="Arial" w:hAnsi="Arial"/>
          <w:sz w:val="22"/>
          <w:vertAlign w:val="subscript"/>
        </w:rPr>
        <w:t>j</w:t>
      </w:r>
      <w:r>
        <w:rPr>
          <w:rFonts w:ascii="Arial" w:hAnsi="Arial"/>
          <w:sz w:val="22"/>
        </w:rPr>
        <w:tab/>
      </w:r>
      <w:r>
        <w:rPr>
          <w:rFonts w:ascii="Arial" w:hAnsi="Arial"/>
          <w:sz w:val="22"/>
        </w:rPr>
        <w:tab/>
        <w:t>-</w:t>
      </w:r>
      <w:r>
        <w:rPr>
          <w:rFonts w:ascii="Arial" w:hAnsi="Arial"/>
          <w:sz w:val="22"/>
        </w:rPr>
        <w:tab/>
        <w:t>refers to an individual Settlement Period</w:t>
      </w:r>
    </w:p>
    <w:p w14:paraId="32336508" w14:textId="77777777" w:rsidR="00A72BDD" w:rsidRDefault="00A72BDD" w:rsidP="0537B9E0">
      <w:pPr>
        <w:ind w:left="4320" w:hanging="2126"/>
        <w:jc w:val="both"/>
        <w:rPr>
          <w:rFonts w:ascii="Arial" w:hAnsi="Arial"/>
          <w:sz w:val="22"/>
          <w:szCs w:val="22"/>
        </w:rPr>
      </w:pPr>
      <w:r>
        <w:rPr>
          <w:rFonts w:ascii="Arial" w:hAnsi="Arial"/>
          <w:noProof/>
          <w:position w:val="-18"/>
          <w:sz w:val="22"/>
        </w:rPr>
        <w:drawing>
          <wp:inline distT="0" distB="0" distL="0" distR="0" wp14:anchorId="2D48ECBD" wp14:editId="61AEE4D3">
            <wp:extent cx="752475" cy="304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52475" cy="304800"/>
                    </a:xfrm>
                    <a:prstGeom prst="rect">
                      <a:avLst/>
                    </a:prstGeom>
                    <a:noFill/>
                    <a:ln>
                      <a:noFill/>
                    </a:ln>
                  </pic:spPr>
                </pic:pic>
              </a:graphicData>
            </a:graphic>
          </wp:inline>
        </w:drawing>
      </w:r>
      <w:r w:rsidR="29182891" w:rsidRPr="0537B9E0">
        <w:rPr>
          <w:rFonts w:ascii="Arial" w:hAnsi="Arial"/>
          <w:sz w:val="22"/>
          <w:szCs w:val="22"/>
        </w:rPr>
        <w:t xml:space="preserve">    -</w:t>
      </w:r>
      <w:r>
        <w:rPr>
          <w:rFonts w:ascii="Arial" w:hAnsi="Arial"/>
          <w:sz w:val="22"/>
        </w:rPr>
        <w:tab/>
      </w:r>
      <w:r w:rsidR="29182891" w:rsidRPr="0537B9E0">
        <w:rPr>
          <w:rFonts w:ascii="Arial" w:hAnsi="Arial"/>
          <w:sz w:val="22"/>
          <w:szCs w:val="22"/>
        </w:rPr>
        <w:t>refers to the sum over all BM units ‘i</w:t>
      </w:r>
      <w:bookmarkStart w:id="602" w:name="_Int_48pjymsz"/>
      <w:r w:rsidR="29182891" w:rsidRPr="0537B9E0">
        <w:rPr>
          <w:rFonts w:ascii="Arial" w:hAnsi="Arial"/>
          <w:sz w:val="22"/>
          <w:szCs w:val="22"/>
        </w:rPr>
        <w:t>’,</w:t>
      </w:r>
      <w:bookmarkEnd w:id="602"/>
      <w:r w:rsidR="29182891" w:rsidRPr="0537B9E0">
        <w:rPr>
          <w:rFonts w:ascii="Arial" w:hAnsi="Arial"/>
          <w:sz w:val="22"/>
          <w:szCs w:val="22"/>
        </w:rPr>
        <w:t xml:space="preserve"> for which customer ‘c’ is the Lead Party</w:t>
      </w:r>
      <w:r w:rsidRPr="0537B9E0">
        <w:rPr>
          <w:rStyle w:val="FootnoteReference"/>
          <w:rFonts w:ascii="Arial" w:hAnsi="Arial"/>
          <w:sz w:val="22"/>
          <w:szCs w:val="22"/>
        </w:rPr>
        <w:footnoteReference w:customMarkFollows="1" w:id="8"/>
        <w:t>*</w:t>
      </w:r>
      <w:r w:rsidR="29182891" w:rsidRPr="0537B9E0">
        <w:rPr>
          <w:rFonts w:ascii="Arial" w:hAnsi="Arial"/>
          <w:sz w:val="22"/>
          <w:szCs w:val="22"/>
        </w:rPr>
        <w:t xml:space="preserve"> summed over all Settlement Periods ‘j’ on a Settlement Day ‘d’</w:t>
      </w:r>
    </w:p>
    <w:p w14:paraId="06158066" w14:textId="77777777" w:rsidR="00A72BDD" w:rsidRDefault="00A72BDD"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F994071" w14:textId="654A11F4" w:rsidR="001119E7" w:rsidRDefault="001119E7"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3D0BE93" w14:textId="61767584" w:rsidR="001119E7" w:rsidRDefault="001119E7" w:rsidP="001119E7">
      <w:pPr>
        <w:pStyle w:val="Heading2"/>
      </w:pPr>
      <w:r>
        <w:t xml:space="preserve">Calculation of the Daily Balancing Services Use of System </w:t>
      </w:r>
      <w:r w:rsidR="000577C8">
        <w:t>Charges</w:t>
      </w:r>
    </w:p>
    <w:p w14:paraId="4A5781C1" w14:textId="77777777" w:rsidR="000A17B7" w:rsidRPr="000A17B7" w:rsidRDefault="000A17B7" w:rsidP="000A17B7">
      <w:pPr>
        <w:rPr>
          <w:lang w:eastAsia="en-US"/>
        </w:rPr>
      </w:pPr>
    </w:p>
    <w:p w14:paraId="55A173C3" w14:textId="77777777" w:rsidR="006355EB" w:rsidRDefault="006355EB" w:rsidP="006355EB">
      <w:pPr>
        <w:pStyle w:val="ListParagraph"/>
        <w:numPr>
          <w:ilvl w:val="0"/>
          <w:numId w:val="132"/>
        </w:numPr>
        <w:rPr>
          <w:rFonts w:ascii="Arial (W1)" w:hAnsi="Arial (W1)"/>
          <w:sz w:val="22"/>
          <w:szCs w:val="20"/>
          <w:lang w:eastAsia="en-US"/>
        </w:rPr>
      </w:pPr>
      <w:r w:rsidRPr="006D666F">
        <w:rPr>
          <w:rFonts w:ascii="Arial (W1)" w:hAnsi="Arial (W1)"/>
          <w:sz w:val="22"/>
          <w:szCs w:val="20"/>
          <w:lang w:eastAsia="en-US"/>
        </w:rPr>
        <w:t xml:space="preserve">BSUoS Charges are calculated and levied </w:t>
      </w:r>
      <w:r>
        <w:rPr>
          <w:rFonts w:ascii="Arial (W1)" w:hAnsi="Arial (W1)"/>
          <w:sz w:val="22"/>
          <w:szCs w:val="20"/>
          <w:lang w:eastAsia="en-US"/>
        </w:rPr>
        <w:t xml:space="preserve">for </w:t>
      </w:r>
      <w:r w:rsidRPr="006D666F">
        <w:rPr>
          <w:rFonts w:ascii="Arial (W1)" w:hAnsi="Arial (W1)"/>
          <w:sz w:val="22"/>
          <w:szCs w:val="20"/>
          <w:lang w:eastAsia="en-US"/>
        </w:rPr>
        <w:t xml:space="preserve">each Settlement Day </w:t>
      </w:r>
      <w:r>
        <w:rPr>
          <w:rFonts w:ascii="Arial (W1)" w:hAnsi="Arial (W1)"/>
          <w:sz w:val="22"/>
          <w:szCs w:val="20"/>
          <w:lang w:eastAsia="en-US"/>
        </w:rPr>
        <w:t xml:space="preserve">based </w:t>
      </w:r>
      <w:r w:rsidRPr="006D666F">
        <w:rPr>
          <w:rFonts w:ascii="Arial (W1)" w:hAnsi="Arial (W1)"/>
          <w:sz w:val="22"/>
          <w:szCs w:val="20"/>
          <w:lang w:eastAsia="en-US"/>
        </w:rPr>
        <w:t>on the Fixed BSUoS Price.</w:t>
      </w:r>
    </w:p>
    <w:p w14:paraId="2DE2D9E8" w14:textId="77777777" w:rsidR="006355EB" w:rsidRDefault="006355EB" w:rsidP="006355EB">
      <w:pPr>
        <w:pStyle w:val="ListParagraph"/>
        <w:ind w:left="1627"/>
        <w:rPr>
          <w:rFonts w:ascii="Arial (W1)" w:hAnsi="Arial (W1)"/>
          <w:sz w:val="22"/>
          <w:szCs w:val="20"/>
          <w:lang w:eastAsia="en-US"/>
        </w:rPr>
      </w:pPr>
    </w:p>
    <w:p w14:paraId="72CE597E" w14:textId="0AA23DC7" w:rsidR="006355EB" w:rsidRDefault="006355EB" w:rsidP="006355EB">
      <w:pPr>
        <w:pStyle w:val="ListParagraph"/>
        <w:numPr>
          <w:ilvl w:val="0"/>
          <w:numId w:val="132"/>
        </w:numPr>
        <w:rPr>
          <w:rFonts w:ascii="Arial (W1)" w:hAnsi="Arial (W1)"/>
          <w:sz w:val="22"/>
          <w:szCs w:val="20"/>
          <w:lang w:eastAsia="en-US"/>
        </w:rPr>
      </w:pPr>
      <w:r w:rsidRPr="00887B83">
        <w:rPr>
          <w:rFonts w:ascii="Arial (W1)" w:hAnsi="Arial (W1)"/>
          <w:sz w:val="22"/>
          <w:szCs w:val="20"/>
          <w:lang w:eastAsia="en-US"/>
        </w:rPr>
        <w:t>The Fixed BSUoS Price will be the same for all Settlement Days within the same Fixed Price Period</w:t>
      </w:r>
      <w:r>
        <w:rPr>
          <w:rFonts w:ascii="Arial (W1)" w:hAnsi="Arial (W1)"/>
          <w:sz w:val="22"/>
          <w:szCs w:val="20"/>
          <w:lang w:eastAsia="en-US"/>
        </w:rPr>
        <w:t>, unless a revised Fixed BSUoS Price comes into effect as outlined in Paragraph 14.3</w:t>
      </w:r>
      <w:r w:rsidR="003669C3">
        <w:rPr>
          <w:rFonts w:ascii="Arial (W1)" w:hAnsi="Arial (W1)"/>
          <w:sz w:val="22"/>
          <w:szCs w:val="20"/>
          <w:lang w:eastAsia="en-US"/>
        </w:rPr>
        <w:t>1</w:t>
      </w:r>
      <w:r>
        <w:rPr>
          <w:rFonts w:ascii="Arial (W1)" w:hAnsi="Arial (W1)"/>
          <w:sz w:val="22"/>
          <w:szCs w:val="20"/>
          <w:lang w:eastAsia="en-US"/>
        </w:rPr>
        <w:t>.18</w:t>
      </w:r>
      <w:r w:rsidRPr="00887B83">
        <w:rPr>
          <w:rFonts w:ascii="Arial (W1)" w:hAnsi="Arial (W1)"/>
          <w:sz w:val="22"/>
          <w:szCs w:val="20"/>
          <w:lang w:eastAsia="en-US"/>
        </w:rPr>
        <w:t>.</w:t>
      </w:r>
    </w:p>
    <w:p w14:paraId="714C2A29" w14:textId="77777777" w:rsidR="006355EB" w:rsidRPr="006D666F" w:rsidRDefault="006355EB" w:rsidP="006355EB">
      <w:pPr>
        <w:pStyle w:val="ListParagraph"/>
        <w:ind w:left="1627"/>
        <w:rPr>
          <w:rFonts w:ascii="Arial (W1)" w:hAnsi="Arial (W1)"/>
          <w:sz w:val="22"/>
          <w:szCs w:val="20"/>
          <w:lang w:eastAsia="en-US"/>
        </w:rPr>
      </w:pPr>
    </w:p>
    <w:p w14:paraId="11FA5C9C" w14:textId="77777777" w:rsidR="006355EB" w:rsidRDefault="006355EB" w:rsidP="006355EB">
      <w:pPr>
        <w:pStyle w:val="ListParagraph"/>
        <w:numPr>
          <w:ilvl w:val="0"/>
          <w:numId w:val="132"/>
        </w:numPr>
        <w:rPr>
          <w:rFonts w:ascii="Arial (W1)" w:hAnsi="Arial (W1)"/>
          <w:sz w:val="22"/>
          <w:szCs w:val="20"/>
          <w:lang w:eastAsia="en-US"/>
        </w:rPr>
      </w:pPr>
      <w:r w:rsidRPr="006242E0">
        <w:rPr>
          <w:rFonts w:ascii="Arial (W1)" w:hAnsi="Arial (W1)"/>
          <w:sz w:val="22"/>
          <w:szCs w:val="20"/>
          <w:lang w:eastAsia="en-US"/>
        </w:rPr>
        <w:t xml:space="preserve">The Fixed BSUoS Price is </w:t>
      </w:r>
      <w:r>
        <w:rPr>
          <w:rFonts w:ascii="Arial (W1)" w:hAnsi="Arial (W1)"/>
          <w:sz w:val="22"/>
          <w:szCs w:val="20"/>
          <w:lang w:eastAsia="en-US"/>
        </w:rPr>
        <w:t>calculated using</w:t>
      </w:r>
      <w:r w:rsidRPr="006242E0">
        <w:rPr>
          <w:rFonts w:ascii="Arial (W1)" w:hAnsi="Arial (W1)"/>
          <w:sz w:val="22"/>
          <w:szCs w:val="20"/>
          <w:lang w:eastAsia="en-US"/>
        </w:rPr>
        <w:t xml:space="preserve"> forecast average </w:t>
      </w:r>
      <w:r>
        <w:rPr>
          <w:rFonts w:ascii="Arial (W1)" w:hAnsi="Arial (W1)"/>
          <w:sz w:val="22"/>
          <w:szCs w:val="20"/>
          <w:lang w:eastAsia="en-US"/>
        </w:rPr>
        <w:t>T</w:t>
      </w:r>
      <w:r w:rsidRPr="006242E0">
        <w:rPr>
          <w:rFonts w:ascii="Arial (W1)" w:hAnsi="Arial (W1)"/>
          <w:sz w:val="22"/>
          <w:szCs w:val="20"/>
          <w:lang w:eastAsia="en-US"/>
        </w:rPr>
        <w:t>otal BSUoS Costs</w:t>
      </w:r>
      <w:r>
        <w:rPr>
          <w:rFonts w:ascii="Arial (W1)" w:hAnsi="Arial (W1)"/>
          <w:sz w:val="22"/>
          <w:szCs w:val="20"/>
          <w:lang w:eastAsia="en-US"/>
        </w:rPr>
        <w:t>.</w:t>
      </w:r>
    </w:p>
    <w:p w14:paraId="4CBF8DEF" w14:textId="77777777" w:rsidR="006355EB" w:rsidRDefault="006355EB" w:rsidP="006355EB">
      <w:pPr>
        <w:pStyle w:val="ListParagraph"/>
        <w:ind w:left="1627"/>
        <w:rPr>
          <w:rFonts w:ascii="Arial (W1)" w:hAnsi="Arial (W1)"/>
          <w:sz w:val="22"/>
          <w:szCs w:val="20"/>
          <w:lang w:eastAsia="en-US"/>
        </w:rPr>
      </w:pPr>
    </w:p>
    <w:p w14:paraId="6BB4EBAE" w14:textId="77777777" w:rsidR="006355EB" w:rsidRPr="009F1C91" w:rsidRDefault="006355EB" w:rsidP="006355EB">
      <w:pPr>
        <w:rPr>
          <w:rFonts w:ascii="Arial (W1)" w:hAnsi="Arial (W1)"/>
          <w:b/>
          <w:bCs/>
          <w:sz w:val="22"/>
          <w:szCs w:val="20"/>
          <w:lang w:eastAsia="en-US"/>
        </w:rPr>
      </w:pPr>
      <w:r>
        <w:rPr>
          <w:rFonts w:ascii="Arial (W1)" w:hAnsi="Arial (W1)"/>
          <w:b/>
          <w:bCs/>
          <w:sz w:val="22"/>
          <w:szCs w:val="20"/>
          <w:lang w:eastAsia="en-US"/>
        </w:rPr>
        <w:t>Calculation of forecast Total BSUoS Costs</w:t>
      </w:r>
    </w:p>
    <w:p w14:paraId="16C25498" w14:textId="77777777" w:rsidR="006355EB" w:rsidRPr="006242E0" w:rsidRDefault="006355EB" w:rsidP="006355EB">
      <w:pPr>
        <w:pStyle w:val="ListParagraph"/>
        <w:ind w:left="1627"/>
        <w:rPr>
          <w:rFonts w:ascii="Arial (W1)" w:hAnsi="Arial (W1)"/>
          <w:sz w:val="22"/>
          <w:szCs w:val="20"/>
          <w:lang w:eastAsia="en-US"/>
        </w:rPr>
      </w:pPr>
    </w:p>
    <w:p w14:paraId="383411BA" w14:textId="77777777" w:rsidR="006355EB" w:rsidRDefault="006355EB" w:rsidP="006355EB">
      <w:pPr>
        <w:pStyle w:val="ListParagraph"/>
        <w:numPr>
          <w:ilvl w:val="0"/>
          <w:numId w:val="132"/>
        </w:numPr>
        <w:rPr>
          <w:rFonts w:ascii="Arial (W1)" w:hAnsi="Arial (W1)"/>
          <w:sz w:val="22"/>
          <w:szCs w:val="20"/>
          <w:lang w:eastAsia="en-US"/>
        </w:rPr>
      </w:pPr>
      <w:r w:rsidRPr="00625BEA">
        <w:rPr>
          <w:rFonts w:ascii="Arial (W1)" w:hAnsi="Arial (W1)"/>
          <w:sz w:val="22"/>
          <w:szCs w:val="20"/>
          <w:lang w:eastAsia="en-US"/>
        </w:rPr>
        <w:t>The forecast</w:t>
      </w:r>
      <w:r>
        <w:rPr>
          <w:rFonts w:ascii="Arial (W1)" w:hAnsi="Arial (W1)"/>
          <w:sz w:val="22"/>
          <w:szCs w:val="20"/>
          <w:lang w:eastAsia="en-US"/>
        </w:rPr>
        <w:t xml:space="preserve"> average</w:t>
      </w:r>
      <w:r w:rsidRPr="00625BEA">
        <w:rPr>
          <w:rFonts w:ascii="Arial (W1)" w:hAnsi="Arial (W1)"/>
          <w:sz w:val="22"/>
          <w:szCs w:val="20"/>
          <w:lang w:eastAsia="en-US"/>
        </w:rPr>
        <w:t xml:space="preserve"> </w:t>
      </w:r>
      <w:r>
        <w:rPr>
          <w:rFonts w:ascii="Arial (W1)" w:hAnsi="Arial (W1)"/>
          <w:sz w:val="22"/>
          <w:szCs w:val="20"/>
          <w:lang w:eastAsia="en-US"/>
        </w:rPr>
        <w:t>Total BSUoS</w:t>
      </w:r>
      <w:r w:rsidRPr="00625BEA">
        <w:rPr>
          <w:rFonts w:ascii="Arial (W1)" w:hAnsi="Arial (W1)"/>
          <w:sz w:val="22"/>
          <w:szCs w:val="20"/>
          <w:lang w:eastAsia="en-US"/>
        </w:rPr>
        <w:t xml:space="preserve"> </w:t>
      </w:r>
      <w:r>
        <w:rPr>
          <w:rFonts w:ascii="Arial (W1)" w:hAnsi="Arial (W1)"/>
          <w:sz w:val="22"/>
          <w:szCs w:val="20"/>
          <w:lang w:eastAsia="en-US"/>
        </w:rPr>
        <w:t xml:space="preserve">Costs </w:t>
      </w:r>
      <w:r w:rsidRPr="00625BEA">
        <w:rPr>
          <w:rFonts w:ascii="Arial (W1)" w:hAnsi="Arial (W1)"/>
          <w:sz w:val="22"/>
          <w:szCs w:val="20"/>
          <w:lang w:eastAsia="en-US"/>
        </w:rPr>
        <w:t xml:space="preserve">for a Fixed Price Period t (fBSUoSTOTt) </w:t>
      </w:r>
      <w:r>
        <w:rPr>
          <w:rFonts w:ascii="Arial (W1)" w:hAnsi="Arial (W1)"/>
          <w:sz w:val="22"/>
          <w:szCs w:val="20"/>
          <w:lang w:eastAsia="en-US"/>
        </w:rPr>
        <w:t>are</w:t>
      </w:r>
      <w:r w:rsidRPr="00625BEA">
        <w:rPr>
          <w:rFonts w:ascii="Arial (W1)" w:hAnsi="Arial (W1)"/>
          <w:sz w:val="22"/>
          <w:szCs w:val="20"/>
          <w:lang w:eastAsia="en-US"/>
        </w:rPr>
        <w:t xml:space="preserve"> calculated using the following formula:</w:t>
      </w:r>
    </w:p>
    <w:p w14:paraId="4098E37D" w14:textId="77777777" w:rsidR="006355EB" w:rsidRDefault="006355EB" w:rsidP="006355EB">
      <w:pPr>
        <w:pStyle w:val="ListParagraph"/>
        <w:ind w:left="1627"/>
        <w:rPr>
          <w:rFonts w:ascii="Arial (W1)" w:hAnsi="Arial (W1)"/>
          <w:sz w:val="22"/>
          <w:szCs w:val="20"/>
          <w:lang w:eastAsia="en-US"/>
        </w:rPr>
      </w:pPr>
    </w:p>
    <w:p w14:paraId="445C00DC" w14:textId="77777777" w:rsidR="006355EB" w:rsidRPr="00983756" w:rsidRDefault="00B428B8" w:rsidP="006355EB">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fBSUoSEXT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fBSUoSINT</m:t>
              </m:r>
            </m:e>
            <m:sub>
              <m:r>
                <w:rPr>
                  <w:rFonts w:ascii="Cambria Math" w:hAnsi="Cambria Math"/>
                  <w:sz w:val="22"/>
                  <w:szCs w:val="20"/>
                  <w:lang w:eastAsia="en-US"/>
                </w:rPr>
                <m:t>t</m:t>
              </m:r>
            </m:sub>
          </m:sSub>
          <m:r>
            <w:rPr>
              <w:rFonts w:ascii="Cambria Math" w:hAnsi="Cambria Math"/>
              <w:sz w:val="22"/>
              <w:szCs w:val="20"/>
              <w:lang w:eastAsia="en-US"/>
            </w:rPr>
            <m:t xml:space="preserve"> + </m:t>
          </m:r>
          <m:sSub>
            <m:sSubPr>
              <m:ctrlPr>
                <w:rPr>
                  <w:rFonts w:ascii="Cambria Math" w:hAnsi="Cambria Math"/>
                  <w:i/>
                  <w:sz w:val="22"/>
                  <w:szCs w:val="20"/>
                  <w:lang w:eastAsia="en-US"/>
                </w:rPr>
              </m:ctrlPr>
            </m:sSubPr>
            <m:e>
              <m:r>
                <w:rPr>
                  <w:rFonts w:ascii="Cambria Math" w:hAnsi="Cambria Math"/>
                  <w:sz w:val="22"/>
                  <w:szCs w:val="20"/>
                  <w:lang w:eastAsia="en-US"/>
                </w:rPr>
                <m:t>kb</m:t>
              </m:r>
            </m:e>
            <m:sub>
              <m:r>
                <w:rPr>
                  <w:rFonts w:ascii="Cambria Math" w:hAnsi="Cambria Math"/>
                  <w:sz w:val="22"/>
                  <w:szCs w:val="20"/>
                  <w:lang w:eastAsia="en-US"/>
                </w:rPr>
                <m:t>t</m:t>
              </m:r>
            </m:sub>
          </m:sSub>
        </m:oMath>
      </m:oMathPara>
    </w:p>
    <w:p w14:paraId="72511820" w14:textId="77777777" w:rsidR="00831E56" w:rsidRPr="00A85912" w:rsidRDefault="00831E56" w:rsidP="006355EB">
      <w:pPr>
        <w:rPr>
          <w:rFonts w:ascii="Arial (W1)" w:hAnsi="Arial (W1)"/>
          <w:sz w:val="22"/>
          <w:szCs w:val="20"/>
          <w:lang w:eastAsia="en-US"/>
        </w:rPr>
      </w:pPr>
    </w:p>
    <w:p w14:paraId="5A85A1F9" w14:textId="77777777" w:rsidR="00125EF6" w:rsidRDefault="00125EF6" w:rsidP="00125EF6">
      <w:pPr>
        <w:pStyle w:val="ListParagraph"/>
        <w:ind w:left="1627"/>
        <w:rPr>
          <w:rFonts w:ascii="Arial (W1)" w:hAnsi="Arial (W1)"/>
          <w:sz w:val="22"/>
          <w:szCs w:val="20"/>
          <w:lang w:eastAsia="en-US"/>
        </w:rPr>
      </w:pPr>
      <w:r>
        <w:rPr>
          <w:rFonts w:ascii="Arial (W1)" w:hAnsi="Arial (W1)"/>
          <w:sz w:val="22"/>
          <w:szCs w:val="20"/>
          <w:lang w:eastAsia="en-US"/>
        </w:rPr>
        <w:t>Where:</w:t>
      </w:r>
    </w:p>
    <w:p w14:paraId="53A3AD84" w14:textId="77777777" w:rsidR="00125EF6" w:rsidRDefault="00125EF6" w:rsidP="00125EF6">
      <w:pPr>
        <w:pStyle w:val="ListParagraph"/>
        <w:ind w:left="1627"/>
        <w:rPr>
          <w:rFonts w:ascii="Arial (W1)" w:hAnsi="Arial (W1)"/>
          <w:sz w:val="22"/>
          <w:szCs w:val="20"/>
          <w:lang w:eastAsia="en-US"/>
        </w:rPr>
      </w:pPr>
    </w:p>
    <w:p w14:paraId="4944758C" w14:textId="77777777" w:rsidR="00125EF6" w:rsidRDefault="00125EF6" w:rsidP="00125EF6">
      <w:pPr>
        <w:pStyle w:val="1"/>
        <w:ind w:left="1627"/>
        <w:jc w:val="both"/>
      </w:pPr>
      <w:r>
        <w:t>fBSUoSTOT</w:t>
      </w:r>
      <w:r w:rsidRPr="00DD65DA">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625E5878" w14:textId="77777777" w:rsidR="00125EF6" w:rsidRDefault="00125EF6" w:rsidP="00125EF6">
      <w:pPr>
        <w:pStyle w:val="1"/>
        <w:ind w:left="1627"/>
        <w:jc w:val="both"/>
      </w:pPr>
    </w:p>
    <w:p w14:paraId="5874E0EA" w14:textId="1A4902AE" w:rsidR="00125EF6" w:rsidRDefault="00125EF6" w:rsidP="00125EF6">
      <w:pPr>
        <w:pStyle w:val="1"/>
        <w:ind w:left="1627"/>
        <w:jc w:val="both"/>
      </w:pPr>
      <w:r>
        <w:t>fBSUoSEXT</w:t>
      </w:r>
      <w:r w:rsidRPr="00DD65DA">
        <w:rPr>
          <w:vertAlign w:val="subscript"/>
        </w:rPr>
        <w:t>t</w:t>
      </w:r>
      <w:r w:rsidRPr="009F1C91">
        <w:t xml:space="preserve"> </w:t>
      </w:r>
      <w:r>
        <w:t>= forecast External BSUoS Costs. The terms which make up External BSUoS Costs are set out in Paragraph 14.3</w:t>
      </w:r>
      <w:r w:rsidR="00514C73">
        <w:t>1</w:t>
      </w:r>
      <w:r>
        <w:t>.23</w:t>
      </w:r>
    </w:p>
    <w:p w14:paraId="16E54B60" w14:textId="77777777" w:rsidR="00125EF6" w:rsidRDefault="00125EF6" w:rsidP="00125EF6">
      <w:pPr>
        <w:pStyle w:val="1"/>
        <w:ind w:left="1627"/>
        <w:jc w:val="both"/>
      </w:pPr>
    </w:p>
    <w:p w14:paraId="75895798" w14:textId="7DF88448" w:rsidR="00125EF6" w:rsidRDefault="00125EF6" w:rsidP="00125EF6">
      <w:pPr>
        <w:pStyle w:val="ListParagraph"/>
        <w:ind w:left="1627"/>
        <w:rPr>
          <w:rFonts w:ascii="Arial (W1)" w:hAnsi="Arial (W1)"/>
          <w:sz w:val="22"/>
          <w:szCs w:val="20"/>
          <w:lang w:eastAsia="en-US"/>
        </w:rPr>
      </w:pPr>
      <w:r w:rsidRPr="009F1C91">
        <w:rPr>
          <w:rFonts w:ascii="Arial (W1)" w:hAnsi="Arial (W1)"/>
          <w:sz w:val="22"/>
          <w:szCs w:val="20"/>
          <w:lang w:eastAsia="en-US"/>
        </w:rPr>
        <w:t>fBSUoSINT</w:t>
      </w:r>
      <w:r w:rsidRPr="00DD65DA">
        <w:rPr>
          <w:rFonts w:ascii="Arial (W1)" w:hAnsi="Arial (W1)"/>
          <w:sz w:val="22"/>
          <w:szCs w:val="20"/>
          <w:vertAlign w:val="subscript"/>
          <w:lang w:eastAsia="en-US"/>
        </w:rPr>
        <w:t xml:space="preserve">t </w:t>
      </w:r>
      <w:r w:rsidRPr="009F1C91">
        <w:rPr>
          <w:rFonts w:ascii="Arial (W1)" w:hAnsi="Arial (W1)"/>
          <w:sz w:val="22"/>
          <w:szCs w:val="20"/>
          <w:lang w:eastAsia="en-US"/>
        </w:rPr>
        <w:t xml:space="preserve">= forecast Internal BSUoS </w:t>
      </w:r>
      <w:r>
        <w:rPr>
          <w:rFonts w:ascii="Arial (W1)" w:hAnsi="Arial (W1)"/>
          <w:sz w:val="22"/>
          <w:szCs w:val="20"/>
          <w:lang w:eastAsia="en-US"/>
        </w:rPr>
        <w:t>C</w:t>
      </w:r>
      <w:r w:rsidRPr="009F1C91">
        <w:rPr>
          <w:rFonts w:ascii="Arial (W1)" w:hAnsi="Arial (W1)"/>
          <w:sz w:val="22"/>
          <w:szCs w:val="20"/>
          <w:lang w:eastAsia="en-US"/>
        </w:rPr>
        <w:t xml:space="preserve">osts. The </w:t>
      </w:r>
      <w:r>
        <w:rPr>
          <w:rFonts w:ascii="Arial (W1)" w:hAnsi="Arial (W1)"/>
          <w:sz w:val="22"/>
          <w:szCs w:val="20"/>
          <w:lang w:eastAsia="en-US"/>
        </w:rPr>
        <w:t>terms</w:t>
      </w:r>
      <w:r w:rsidRPr="009F1C91">
        <w:rPr>
          <w:rFonts w:ascii="Arial (W1)" w:hAnsi="Arial (W1)"/>
          <w:sz w:val="22"/>
          <w:szCs w:val="20"/>
          <w:lang w:eastAsia="en-US"/>
        </w:rPr>
        <w:t xml:space="preserve"> which </w:t>
      </w:r>
      <w:r>
        <w:rPr>
          <w:rFonts w:ascii="Arial (W1)" w:hAnsi="Arial (W1)"/>
          <w:sz w:val="22"/>
          <w:szCs w:val="20"/>
          <w:lang w:eastAsia="en-US"/>
        </w:rPr>
        <w:t>make up</w:t>
      </w:r>
      <w:r w:rsidRPr="009F1C91">
        <w:rPr>
          <w:rFonts w:ascii="Arial (W1)" w:hAnsi="Arial (W1)"/>
          <w:sz w:val="22"/>
          <w:szCs w:val="20"/>
          <w:lang w:eastAsia="en-US"/>
        </w:rPr>
        <w:t xml:space="preserve"> </w:t>
      </w:r>
      <w:r>
        <w:rPr>
          <w:rFonts w:ascii="Arial (W1)" w:hAnsi="Arial (W1)"/>
          <w:sz w:val="22"/>
          <w:szCs w:val="20"/>
          <w:lang w:eastAsia="en-US"/>
        </w:rPr>
        <w:t>I</w:t>
      </w:r>
      <w:r w:rsidRPr="009F1C91">
        <w:rPr>
          <w:rFonts w:ascii="Arial (W1)" w:hAnsi="Arial (W1)"/>
          <w:sz w:val="22"/>
          <w:szCs w:val="20"/>
          <w:lang w:eastAsia="en-US"/>
        </w:rPr>
        <w:t xml:space="preserve">nternal BSUoS </w:t>
      </w:r>
      <w:r>
        <w:rPr>
          <w:rFonts w:ascii="Arial (W1)" w:hAnsi="Arial (W1)"/>
          <w:sz w:val="22"/>
          <w:szCs w:val="20"/>
          <w:lang w:eastAsia="en-US"/>
        </w:rPr>
        <w:t>C</w:t>
      </w:r>
      <w:r w:rsidRPr="009F1C91">
        <w:rPr>
          <w:rFonts w:ascii="Arial (W1)" w:hAnsi="Arial (W1)"/>
          <w:sz w:val="22"/>
          <w:szCs w:val="20"/>
          <w:lang w:eastAsia="en-US"/>
        </w:rPr>
        <w:t xml:space="preserve">osts </w:t>
      </w:r>
      <w:r>
        <w:rPr>
          <w:rFonts w:ascii="Arial (W1)" w:hAnsi="Arial (W1)"/>
          <w:sz w:val="22"/>
          <w:szCs w:val="20"/>
          <w:lang w:eastAsia="en-US"/>
        </w:rPr>
        <w:t>are set out</w:t>
      </w:r>
      <w:r w:rsidRPr="009F1C91">
        <w:rPr>
          <w:rFonts w:ascii="Arial (W1)" w:hAnsi="Arial (W1)"/>
          <w:sz w:val="22"/>
          <w:szCs w:val="20"/>
          <w:lang w:eastAsia="en-US"/>
        </w:rPr>
        <w:t xml:space="preserve"> in</w:t>
      </w:r>
      <w:r>
        <w:rPr>
          <w:rFonts w:ascii="Arial (W1)" w:hAnsi="Arial (W1)"/>
          <w:sz w:val="22"/>
          <w:szCs w:val="20"/>
          <w:lang w:eastAsia="en-US"/>
        </w:rPr>
        <w:t xml:space="preserve"> Paragraph</w:t>
      </w:r>
      <w:r w:rsidRPr="009F1C91">
        <w:rPr>
          <w:rFonts w:ascii="Arial (W1)" w:hAnsi="Arial (W1)"/>
          <w:sz w:val="22"/>
          <w:szCs w:val="20"/>
          <w:lang w:eastAsia="en-US"/>
        </w:rPr>
        <w:t xml:space="preserve"> 14.3</w:t>
      </w:r>
      <w:r w:rsidR="009104DD">
        <w:rPr>
          <w:rFonts w:ascii="Arial (W1)" w:hAnsi="Arial (W1)"/>
          <w:sz w:val="22"/>
          <w:szCs w:val="20"/>
          <w:lang w:eastAsia="en-US"/>
        </w:rPr>
        <w:t>1</w:t>
      </w:r>
      <w:r w:rsidRPr="009F1C91">
        <w:rPr>
          <w:rFonts w:ascii="Arial (W1)" w:hAnsi="Arial (W1)"/>
          <w:sz w:val="22"/>
          <w:szCs w:val="20"/>
          <w:lang w:eastAsia="en-US"/>
        </w:rPr>
        <w:t>.2</w:t>
      </w:r>
      <w:r>
        <w:rPr>
          <w:rFonts w:ascii="Arial (W1)" w:hAnsi="Arial (W1)"/>
          <w:sz w:val="22"/>
          <w:szCs w:val="20"/>
          <w:lang w:eastAsia="en-US"/>
        </w:rPr>
        <w:t>4</w:t>
      </w:r>
    </w:p>
    <w:p w14:paraId="30F26B7D" w14:textId="77777777" w:rsidR="00125EF6" w:rsidRDefault="00125EF6" w:rsidP="00125EF6">
      <w:pPr>
        <w:pStyle w:val="ListParagraph"/>
        <w:ind w:left="1627"/>
        <w:rPr>
          <w:rFonts w:ascii="Arial (W1)" w:hAnsi="Arial (W1)"/>
          <w:sz w:val="22"/>
          <w:szCs w:val="20"/>
          <w:lang w:eastAsia="en-US"/>
        </w:rPr>
      </w:pPr>
    </w:p>
    <w:p w14:paraId="5F126B42" w14:textId="77777777" w:rsidR="00125EF6" w:rsidRPr="005300AB" w:rsidRDefault="00125EF6" w:rsidP="00125EF6">
      <w:pPr>
        <w:pStyle w:val="ListParagraph"/>
        <w:ind w:left="1627"/>
        <w:rPr>
          <w:rFonts w:ascii="Arial (W1)" w:hAnsi="Arial (W1)"/>
          <w:sz w:val="22"/>
          <w:szCs w:val="20"/>
          <w:lang w:eastAsia="en-US"/>
        </w:rPr>
      </w:pPr>
      <w:r>
        <w:rPr>
          <w:rFonts w:ascii="Arial (W1)" w:hAnsi="Arial (W1)"/>
          <w:sz w:val="22"/>
          <w:szCs w:val="20"/>
          <w:lang w:eastAsia="en-US"/>
        </w:rPr>
        <w:t>kb</w:t>
      </w:r>
      <w:r>
        <w:rPr>
          <w:rFonts w:ascii="Arial (W1)" w:hAnsi="Arial (W1)"/>
          <w:sz w:val="22"/>
          <w:szCs w:val="20"/>
          <w:vertAlign w:val="subscript"/>
          <w:lang w:eastAsia="en-US"/>
        </w:rPr>
        <w:t xml:space="preserve">t </w:t>
      </w:r>
      <w:r>
        <w:rPr>
          <w:rFonts w:ascii="Arial (W1)" w:hAnsi="Arial (W1)"/>
          <w:sz w:val="22"/>
          <w:szCs w:val="20"/>
          <w:lang w:eastAsia="en-US"/>
        </w:rPr>
        <w:t xml:space="preserve">= </w:t>
      </w:r>
      <w:r w:rsidRPr="00C56C81">
        <w:rPr>
          <w:rFonts w:ascii="Arial (W1)" w:hAnsi="Arial (W1)"/>
          <w:sz w:val="22"/>
          <w:szCs w:val="20"/>
          <w:lang w:eastAsia="en-US"/>
        </w:rPr>
        <w:t>the amount included in the Fixed BSUoS Price for Fixed Price Period t, to account for any over or under recovery from previous Fixed Price Periods. For the first Fixed Price Period (t=0) this amount is zero.</w:t>
      </w:r>
    </w:p>
    <w:p w14:paraId="60A99C70" w14:textId="77777777" w:rsidR="00125EF6" w:rsidRPr="00DD65DA" w:rsidRDefault="00125EF6" w:rsidP="00125EF6">
      <w:pPr>
        <w:rPr>
          <w:rFonts w:ascii="Arial (W1)" w:hAnsi="Arial (W1)"/>
          <w:sz w:val="22"/>
          <w:szCs w:val="20"/>
          <w:lang w:eastAsia="en-US"/>
        </w:rPr>
      </w:pPr>
    </w:p>
    <w:p w14:paraId="65E3703E" w14:textId="30A2EF2D" w:rsidR="00125EF6" w:rsidRPr="00C06D6B" w:rsidRDefault="00125EF6" w:rsidP="00125EF6">
      <w:pPr>
        <w:pStyle w:val="ListParagraph"/>
        <w:numPr>
          <w:ilvl w:val="0"/>
          <w:numId w:val="132"/>
        </w:numPr>
        <w:rPr>
          <w:rFonts w:ascii="Arial (W1)" w:hAnsi="Arial (W1)"/>
          <w:sz w:val="22"/>
          <w:szCs w:val="20"/>
          <w:lang w:eastAsia="en-US"/>
        </w:rPr>
      </w:pPr>
      <w:r w:rsidRPr="00C06D6B">
        <w:rPr>
          <w:rFonts w:ascii="Arial (W1)" w:hAnsi="Arial (W1)"/>
          <w:sz w:val="22"/>
          <w:szCs w:val="20"/>
          <w:lang w:eastAsia="en-US"/>
        </w:rPr>
        <w:lastRenderedPageBreak/>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w:t>
      </w:r>
      <w:r w:rsidR="0079242C">
        <w:rPr>
          <w:rFonts w:ascii="Arial (W1)" w:hAnsi="Arial (W1)"/>
          <w:sz w:val="22"/>
          <w:szCs w:val="20"/>
          <w:lang w:eastAsia="en-US"/>
        </w:rPr>
        <w:t>2</w:t>
      </w:r>
      <w:r w:rsidRPr="00C06D6B">
        <w:rPr>
          <w:rFonts w:ascii="Arial (W1)" w:hAnsi="Arial (W1)"/>
          <w:sz w:val="22"/>
          <w:szCs w:val="20"/>
          <w:lang w:eastAsia="en-US"/>
        </w:rPr>
        <w:t>.</w:t>
      </w:r>
      <w:r w:rsidR="000603CE">
        <w:rPr>
          <w:rFonts w:ascii="Arial (W1)" w:hAnsi="Arial (W1)"/>
          <w:sz w:val="22"/>
          <w:szCs w:val="20"/>
          <w:lang w:eastAsia="en-US"/>
        </w:rPr>
        <w:t>5</w:t>
      </w:r>
      <w:r w:rsidRPr="00C06D6B">
        <w:rPr>
          <w:rFonts w:ascii="Arial (W1)" w:hAnsi="Arial (W1)"/>
          <w:sz w:val="22"/>
          <w:szCs w:val="20"/>
          <w:lang w:eastAsia="en-US"/>
        </w:rPr>
        <w:t>.</w:t>
      </w:r>
    </w:p>
    <w:p w14:paraId="6155E884" w14:textId="77777777" w:rsidR="00125EF6" w:rsidRDefault="00125EF6" w:rsidP="00125EF6">
      <w:pPr>
        <w:pStyle w:val="ListParagraph"/>
        <w:ind w:left="1627"/>
        <w:rPr>
          <w:rFonts w:ascii="Arial (W1)" w:hAnsi="Arial (W1)"/>
          <w:sz w:val="22"/>
          <w:szCs w:val="20"/>
          <w:lang w:eastAsia="en-US"/>
        </w:rPr>
      </w:pPr>
    </w:p>
    <w:p w14:paraId="37C602AB" w14:textId="071E61BD" w:rsidR="00125EF6" w:rsidRPr="000B17FD" w:rsidRDefault="00125EF6" w:rsidP="00125EF6">
      <w:pPr>
        <w:pStyle w:val="ListParagraph"/>
        <w:numPr>
          <w:ilvl w:val="0"/>
          <w:numId w:val="132"/>
        </w:numPr>
        <w:rPr>
          <w:lang w:eastAsia="en-US"/>
        </w:rPr>
      </w:pPr>
      <w:r>
        <w:rPr>
          <w:rFonts w:ascii="Arial (W1)" w:hAnsi="Arial (W1)"/>
          <w:sz w:val="22"/>
          <w:szCs w:val="20"/>
          <w:lang w:eastAsia="en-US"/>
        </w:rPr>
        <w:t>The process described in Paragraph 14.3</w:t>
      </w:r>
      <w:r w:rsidR="001A02B1">
        <w:rPr>
          <w:rFonts w:ascii="Arial (W1)" w:hAnsi="Arial (W1)"/>
          <w:sz w:val="22"/>
          <w:szCs w:val="20"/>
          <w:lang w:eastAsia="en-US"/>
        </w:rPr>
        <w:t>1</w:t>
      </w:r>
      <w:r>
        <w:rPr>
          <w:rFonts w:ascii="Arial (W1)" w:hAnsi="Arial (W1)"/>
          <w:sz w:val="22"/>
          <w:szCs w:val="20"/>
          <w:lang w:eastAsia="en-US"/>
        </w:rPr>
        <w:t>.5 does not apply to Final Reconciliation (RF) BSUoS Charges for Settlement Days which occur before the start of the first Fixed Price Period, on 1</w:t>
      </w:r>
      <w:r w:rsidRPr="00DD65DA">
        <w:rPr>
          <w:rFonts w:ascii="Arial (W1)" w:hAnsi="Arial (W1)"/>
          <w:sz w:val="22"/>
          <w:szCs w:val="20"/>
          <w:vertAlign w:val="superscript"/>
          <w:lang w:eastAsia="en-US"/>
        </w:rPr>
        <w:t>st</w:t>
      </w:r>
      <w:r>
        <w:rPr>
          <w:rFonts w:ascii="Arial (W1)" w:hAnsi="Arial (W1)"/>
          <w:sz w:val="22"/>
          <w:szCs w:val="20"/>
          <w:lang w:eastAsia="en-US"/>
        </w:rPr>
        <w:t xml:space="preserve"> April 2023.</w:t>
      </w:r>
      <w:r w:rsidR="006F7BFC">
        <w:rPr>
          <w:rFonts w:ascii="Arial (W1)" w:hAnsi="Arial (W1)"/>
          <w:sz w:val="22"/>
          <w:szCs w:val="20"/>
          <w:lang w:eastAsia="en-US"/>
        </w:rPr>
        <w:br/>
      </w:r>
    </w:p>
    <w:p w14:paraId="7625DDC7"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Calculating the Fixed BSUoS Price</w:t>
      </w:r>
    </w:p>
    <w:p w14:paraId="25BA14E7" w14:textId="77777777" w:rsidR="00F1720C" w:rsidRPr="00A04D94" w:rsidRDefault="00F1720C" w:rsidP="00F1720C">
      <w:pPr>
        <w:pStyle w:val="ListParagraph"/>
        <w:ind w:left="1627"/>
        <w:rPr>
          <w:rFonts w:ascii="Arial (W1)" w:hAnsi="Arial (W1)"/>
          <w:sz w:val="22"/>
          <w:szCs w:val="20"/>
          <w:lang w:eastAsia="en-US"/>
        </w:rPr>
      </w:pPr>
    </w:p>
    <w:p w14:paraId="6EC0B443" w14:textId="77777777" w:rsidR="00F1720C" w:rsidRDefault="00F1720C" w:rsidP="009F4595">
      <w:pPr>
        <w:pStyle w:val="ListParagraph"/>
        <w:numPr>
          <w:ilvl w:val="0"/>
          <w:numId w:val="132"/>
        </w:numPr>
        <w:rPr>
          <w:rFonts w:ascii="Arial (W1)" w:hAnsi="Arial (W1)"/>
          <w:sz w:val="22"/>
          <w:szCs w:val="20"/>
          <w:lang w:eastAsia="en-US"/>
        </w:rPr>
      </w:pPr>
      <w:r w:rsidRPr="00D0324D">
        <w:rPr>
          <w:rFonts w:ascii="Arial (W1)" w:hAnsi="Arial (W1)"/>
          <w:sz w:val="22"/>
          <w:szCs w:val="20"/>
          <w:lang w:eastAsia="en-US"/>
        </w:rPr>
        <w:t>The Fixed BSUoS Price for each Fixed Price Period t is calculated by the following formula:</w:t>
      </w:r>
    </w:p>
    <w:p w14:paraId="71D06014" w14:textId="77777777" w:rsidR="00F1720C" w:rsidRDefault="00F1720C" w:rsidP="00F1720C">
      <w:pPr>
        <w:rPr>
          <w:rFonts w:ascii="Arial (W1)" w:hAnsi="Arial (W1)"/>
          <w:sz w:val="22"/>
          <w:szCs w:val="20"/>
          <w:lang w:eastAsia="en-US"/>
        </w:rPr>
      </w:pPr>
    </w:p>
    <w:p w14:paraId="6202D547" w14:textId="77777777" w:rsidR="00F1720C" w:rsidRDefault="00B428B8" w:rsidP="00F1720C">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1BCE1EE" w14:textId="77777777" w:rsidR="00F1720C" w:rsidRDefault="00F1720C" w:rsidP="00F1720C">
      <w:pPr>
        <w:pStyle w:val="1"/>
        <w:ind w:left="1627"/>
        <w:jc w:val="both"/>
      </w:pPr>
    </w:p>
    <w:p w14:paraId="663438D5" w14:textId="77777777" w:rsidR="00F1720C" w:rsidRDefault="00F1720C" w:rsidP="00F1720C">
      <w:pPr>
        <w:pStyle w:val="1"/>
        <w:ind w:left="1627"/>
        <w:jc w:val="both"/>
      </w:pPr>
      <w:r>
        <w:t>Where:</w:t>
      </w:r>
    </w:p>
    <w:p w14:paraId="7C752741" w14:textId="77777777" w:rsidR="00F1720C" w:rsidRDefault="00F1720C" w:rsidP="00F1720C">
      <w:pPr>
        <w:pStyle w:val="1"/>
        <w:ind w:left="1627"/>
        <w:jc w:val="both"/>
      </w:pPr>
    </w:p>
    <w:p w14:paraId="356FEDB0" w14:textId="77777777" w:rsidR="00F1720C" w:rsidRDefault="00F1720C" w:rsidP="00F1720C">
      <w:pPr>
        <w:pStyle w:val="1"/>
        <w:ind w:left="1627"/>
        <w:jc w:val="both"/>
      </w:pPr>
      <w:r>
        <w:t>FixedBSUoSP</w:t>
      </w:r>
      <w:r w:rsidRPr="00376AE1">
        <w:rPr>
          <w:vertAlign w:val="subscript"/>
        </w:rPr>
        <w:t xml:space="preserve">t </w:t>
      </w:r>
      <w:r>
        <w:t>= the Fixed BSUoS Price for the Fixed Price Period t</w:t>
      </w:r>
    </w:p>
    <w:p w14:paraId="21FE4332" w14:textId="77777777" w:rsidR="00F1720C" w:rsidRDefault="00F1720C" w:rsidP="00F1720C">
      <w:pPr>
        <w:pStyle w:val="1"/>
        <w:ind w:left="1627"/>
        <w:jc w:val="both"/>
      </w:pPr>
    </w:p>
    <w:p w14:paraId="326488DE" w14:textId="77777777" w:rsidR="00F1720C" w:rsidRDefault="00F1720C" w:rsidP="00F1720C">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55E36CDC" w14:textId="77777777" w:rsidR="00F1720C" w:rsidRDefault="00F1720C" w:rsidP="00F1720C">
      <w:pPr>
        <w:pStyle w:val="1"/>
        <w:jc w:val="both"/>
      </w:pPr>
    </w:p>
    <w:p w14:paraId="10D42751" w14:textId="77777777" w:rsidR="00F1720C" w:rsidRDefault="00F1720C" w:rsidP="00F1720C">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35F4F76A" w14:textId="77777777" w:rsidR="00F1720C" w:rsidRDefault="00F1720C" w:rsidP="00F1720C">
      <w:pPr>
        <w:pStyle w:val="1"/>
        <w:ind w:left="1627"/>
        <w:jc w:val="both"/>
      </w:pPr>
    </w:p>
    <w:p w14:paraId="11C45EB3" w14:textId="77777777" w:rsidR="00F1720C" w:rsidRDefault="00F1720C" w:rsidP="00F1720C">
      <w:pPr>
        <w:pStyle w:val="1"/>
        <w:ind w:left="1627"/>
        <w:jc w:val="both"/>
      </w:pPr>
      <w:r>
        <w:t>fSGQM</w:t>
      </w:r>
      <w:r w:rsidRPr="00376AE1">
        <w:rPr>
          <w:vertAlign w:val="subscript"/>
        </w:rPr>
        <w:t>t</w:t>
      </w:r>
      <w:r>
        <w:t xml:space="preserve"> = forecast of the total Gross Demand BM Unit Volume during the Fixed Price Period t</w:t>
      </w:r>
    </w:p>
    <w:p w14:paraId="3571AD8E" w14:textId="77777777" w:rsidR="00F1720C" w:rsidRDefault="00F1720C" w:rsidP="00F1720C">
      <w:pPr>
        <w:rPr>
          <w:lang w:eastAsia="en-US"/>
        </w:rPr>
      </w:pPr>
    </w:p>
    <w:p w14:paraId="651BE0B9" w14:textId="77777777" w:rsidR="00F1720C" w:rsidRPr="00DD65DA" w:rsidRDefault="00F1720C" w:rsidP="00F1720C">
      <w:pPr>
        <w:rPr>
          <w:rFonts w:ascii="Arial (W1)" w:hAnsi="Arial (W1)"/>
          <w:b/>
          <w:bCs/>
          <w:sz w:val="22"/>
          <w:szCs w:val="20"/>
          <w:lang w:eastAsia="en-US"/>
        </w:rPr>
      </w:pPr>
      <w:r w:rsidRPr="00DD65DA">
        <w:rPr>
          <w:rFonts w:ascii="Arial (W1)" w:hAnsi="Arial (W1)"/>
          <w:b/>
          <w:bCs/>
          <w:sz w:val="22"/>
          <w:szCs w:val="20"/>
          <w:lang w:eastAsia="en-US"/>
        </w:rPr>
        <w:t>Notice of Fixed BSUoS Price</w:t>
      </w:r>
    </w:p>
    <w:p w14:paraId="798905A0" w14:textId="77777777" w:rsidR="00F1720C" w:rsidRDefault="00F1720C" w:rsidP="00F1720C">
      <w:pPr>
        <w:pStyle w:val="ListParagraph"/>
        <w:ind w:left="1627"/>
        <w:rPr>
          <w:rFonts w:ascii="Arial (W1)" w:hAnsi="Arial (W1)"/>
          <w:sz w:val="22"/>
          <w:szCs w:val="20"/>
          <w:lang w:eastAsia="en-US"/>
        </w:rPr>
      </w:pPr>
    </w:p>
    <w:p w14:paraId="18A9C4F6" w14:textId="77777777" w:rsidR="00F1720C" w:rsidRDefault="00F1720C" w:rsidP="009F4595">
      <w:pPr>
        <w:pStyle w:val="ListParagraph"/>
        <w:numPr>
          <w:ilvl w:val="0"/>
          <w:numId w:val="132"/>
        </w:numPr>
        <w:rPr>
          <w:rFonts w:ascii="Arial (W1)" w:hAnsi="Arial (W1)"/>
          <w:sz w:val="22"/>
          <w:szCs w:val="20"/>
          <w:lang w:eastAsia="en-US"/>
        </w:rPr>
      </w:pPr>
      <w:r w:rsidRPr="008D10D0">
        <w:rPr>
          <w:rFonts w:ascii="Arial (W1)" w:hAnsi="Arial (W1)"/>
          <w:sz w:val="22"/>
          <w:szCs w:val="20"/>
          <w:lang w:eastAsia="en-US"/>
        </w:rPr>
        <w:t xml:space="preserve">Users are given a notice period of at least </w:t>
      </w:r>
      <w:r>
        <w:rPr>
          <w:rFonts w:ascii="Arial (W1)" w:hAnsi="Arial (W1)"/>
          <w:sz w:val="22"/>
          <w:szCs w:val="20"/>
          <w:lang w:eastAsia="en-US"/>
        </w:rPr>
        <w:t>nine</w:t>
      </w:r>
      <w:r w:rsidRPr="008D10D0">
        <w:rPr>
          <w:rFonts w:ascii="Arial (W1)" w:hAnsi="Arial (W1)"/>
          <w:sz w:val="22"/>
          <w:szCs w:val="20"/>
          <w:lang w:eastAsia="en-US"/>
        </w:rPr>
        <w:t xml:space="preserve"> months of the Fixed BSUoS Price, for the next Fixed Price Period.</w:t>
      </w:r>
    </w:p>
    <w:p w14:paraId="43F5D255" w14:textId="77777777" w:rsidR="00F1720C" w:rsidRDefault="00F1720C" w:rsidP="00F1720C">
      <w:pPr>
        <w:pStyle w:val="ListParagraph"/>
        <w:ind w:left="1627"/>
        <w:rPr>
          <w:rFonts w:ascii="Arial (W1)" w:hAnsi="Arial (W1)"/>
          <w:sz w:val="22"/>
          <w:szCs w:val="20"/>
          <w:lang w:eastAsia="en-US"/>
        </w:rPr>
      </w:pPr>
    </w:p>
    <w:p w14:paraId="4892CCDD" w14:textId="41F7AB67" w:rsidR="00F1720C" w:rsidRPr="00286902" w:rsidRDefault="00F1720C" w:rsidP="009F4595">
      <w:pPr>
        <w:pStyle w:val="ListParagraph"/>
        <w:numPr>
          <w:ilvl w:val="0"/>
          <w:numId w:val="132"/>
        </w:numPr>
        <w:rPr>
          <w:rFonts w:ascii="Arial (W1)" w:hAnsi="Arial (W1)"/>
          <w:sz w:val="22"/>
          <w:szCs w:val="20"/>
          <w:lang w:eastAsia="en-US"/>
        </w:rPr>
      </w:pPr>
      <w:r>
        <w:rPr>
          <w:rFonts w:ascii="Arial (W1)" w:hAnsi="Arial (W1)"/>
          <w:sz w:val="22"/>
          <w:szCs w:val="20"/>
          <w:lang w:eastAsia="en-US"/>
        </w:rPr>
        <w:t>Paragraph 14.3</w:t>
      </w:r>
      <w:r w:rsidR="00B22ECC">
        <w:rPr>
          <w:rFonts w:ascii="Arial (W1)" w:hAnsi="Arial (W1)"/>
          <w:sz w:val="22"/>
          <w:szCs w:val="20"/>
          <w:lang w:eastAsia="en-US"/>
        </w:rPr>
        <w:t>1</w:t>
      </w:r>
      <w:r>
        <w:rPr>
          <w:rFonts w:ascii="Arial (W1)" w:hAnsi="Arial (W1)"/>
          <w:sz w:val="22"/>
          <w:szCs w:val="20"/>
          <w:lang w:eastAsia="en-US"/>
        </w:rPr>
        <w:t>.8 does not apply for the first Fixed Price Period, where a notice period of at least six months will be given for the Fixed BSUoS Price.</w:t>
      </w:r>
    </w:p>
    <w:p w14:paraId="42CA06C9" w14:textId="77777777" w:rsidR="00F1720C" w:rsidRDefault="00F1720C" w:rsidP="00F1720C">
      <w:pPr>
        <w:rPr>
          <w:rFonts w:ascii="Arial (W1)" w:hAnsi="Arial (W1)"/>
          <w:sz w:val="22"/>
          <w:szCs w:val="20"/>
          <w:lang w:eastAsia="en-US"/>
        </w:rPr>
      </w:pPr>
    </w:p>
    <w:p w14:paraId="5B733851"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Calculation of BSUoS Charges for BM Units</w:t>
      </w:r>
    </w:p>
    <w:p w14:paraId="6E445975" w14:textId="77777777" w:rsidR="00F1720C" w:rsidRPr="00DD65DA" w:rsidRDefault="00F1720C" w:rsidP="00F1720C">
      <w:pPr>
        <w:rPr>
          <w:rFonts w:ascii="Arial (W1)" w:hAnsi="Arial (W1)"/>
          <w:sz w:val="22"/>
          <w:szCs w:val="20"/>
          <w:lang w:eastAsia="en-US"/>
        </w:rPr>
      </w:pPr>
      <w:r w:rsidRPr="00DD65DA">
        <w:rPr>
          <w:rFonts w:ascii="Arial (W1)" w:hAnsi="Arial (W1)"/>
          <w:sz w:val="22"/>
          <w:szCs w:val="20"/>
          <w:lang w:eastAsia="en-US"/>
        </w:rPr>
        <w:t xml:space="preserve">   </w:t>
      </w:r>
    </w:p>
    <w:p w14:paraId="4F28DC22" w14:textId="77777777" w:rsidR="00F1720C" w:rsidRPr="000D0C44" w:rsidRDefault="00F1720C" w:rsidP="009F4595">
      <w:pPr>
        <w:pStyle w:val="ListParagraph"/>
        <w:numPr>
          <w:ilvl w:val="0"/>
          <w:numId w:val="132"/>
        </w:numPr>
        <w:rPr>
          <w:rFonts w:ascii="Arial (W1)" w:hAnsi="Arial (W1)"/>
          <w:sz w:val="22"/>
          <w:szCs w:val="20"/>
          <w:lang w:eastAsia="en-US"/>
        </w:rPr>
      </w:pPr>
      <w:r w:rsidRPr="000D0C44">
        <w:rPr>
          <w:rFonts w:ascii="Arial (W1)" w:hAnsi="Arial (W1)"/>
          <w:sz w:val="22"/>
          <w:szCs w:val="20"/>
          <w:lang w:eastAsia="en-US"/>
        </w:rPr>
        <w:t>The Total BSUoS Charges for an individual BM Unit are calculated for each Settlement Day, denoted by d, based on the BM Unit’s metered volumes for each Settlement Period, denoted by j, and based on the Fixed BSUoS Price.</w:t>
      </w:r>
    </w:p>
    <w:p w14:paraId="6D91DD4A" w14:textId="77777777" w:rsidR="00F1720C" w:rsidRPr="00AE3393" w:rsidRDefault="00F1720C" w:rsidP="00F1720C">
      <w:pPr>
        <w:pStyle w:val="ListParagraph"/>
        <w:ind w:left="1627"/>
        <w:rPr>
          <w:rFonts w:ascii="Arial (W1)" w:hAnsi="Arial (W1)"/>
          <w:sz w:val="22"/>
          <w:szCs w:val="20"/>
          <w:lang w:eastAsia="en-US"/>
        </w:rPr>
      </w:pPr>
    </w:p>
    <w:p w14:paraId="0FE35107" w14:textId="77777777" w:rsidR="00F1720C" w:rsidRDefault="00F1720C" w:rsidP="009F4595">
      <w:pPr>
        <w:pStyle w:val="ListParagraph"/>
        <w:numPr>
          <w:ilvl w:val="0"/>
          <w:numId w:val="132"/>
        </w:numPr>
        <w:rPr>
          <w:rFonts w:ascii="Arial (W1)" w:hAnsi="Arial (W1)"/>
          <w:sz w:val="22"/>
          <w:szCs w:val="20"/>
          <w:lang w:eastAsia="en-US"/>
        </w:rPr>
      </w:pPr>
      <w:r w:rsidRPr="001B0400">
        <w:rPr>
          <w:rFonts w:ascii="Arial (W1)" w:hAnsi="Arial (W1)"/>
          <w:sz w:val="22"/>
          <w:szCs w:val="20"/>
          <w:lang w:eastAsia="en-US"/>
        </w:rPr>
        <w:t>Supplier BM Units and Exempt Export BM Units,</w:t>
      </w:r>
      <w:r>
        <w:rPr>
          <w:rFonts w:ascii="Arial (W1)" w:hAnsi="Arial (W1)"/>
          <w:sz w:val="22"/>
          <w:szCs w:val="20"/>
          <w:lang w:eastAsia="en-US"/>
        </w:rPr>
        <w:t xml:space="preserve"> prefixed by</w:t>
      </w:r>
      <w:r w:rsidRPr="001B0400">
        <w:rPr>
          <w:rFonts w:ascii="Arial (W1)" w:hAnsi="Arial (W1)"/>
          <w:sz w:val="22"/>
          <w:szCs w:val="20"/>
          <w:lang w:eastAsia="en-US"/>
        </w:rPr>
        <w:t xml:space="preserve"> i, have their </w:t>
      </w:r>
      <w:r>
        <w:rPr>
          <w:rFonts w:ascii="Arial (W1)" w:hAnsi="Arial (W1)"/>
          <w:sz w:val="22"/>
          <w:szCs w:val="20"/>
          <w:lang w:eastAsia="en-US"/>
        </w:rPr>
        <w:t>Total BSUoS Charges</w:t>
      </w:r>
      <w:r w:rsidRPr="001B0400">
        <w:rPr>
          <w:rFonts w:ascii="Arial (W1)" w:hAnsi="Arial (W1)"/>
          <w:sz w:val="22"/>
          <w:szCs w:val="20"/>
          <w:lang w:eastAsia="en-US"/>
        </w:rPr>
        <w:t xml:space="preserve"> calculated by the following formula:</w:t>
      </w:r>
    </w:p>
    <w:p w14:paraId="1EA837D0" w14:textId="77777777" w:rsidR="00F1720C" w:rsidRDefault="00F1720C" w:rsidP="00F1720C">
      <w:pPr>
        <w:pStyle w:val="ListParagraph"/>
        <w:ind w:left="1627"/>
        <w:rPr>
          <w:rFonts w:ascii="Arial (W1)" w:hAnsi="Arial (W1)"/>
          <w:sz w:val="22"/>
          <w:szCs w:val="20"/>
          <w:lang w:eastAsia="en-US"/>
        </w:rPr>
      </w:pPr>
    </w:p>
    <w:p w14:paraId="3671D7DE" w14:textId="77777777" w:rsidR="00F1720C" w:rsidRPr="00DD65DA" w:rsidRDefault="00B428B8"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m:t>
              </m:r>
              <m:r>
                <w:rPr>
                  <w:rFonts w:ascii="Cambria Math" w:hAnsi="Cambria Math"/>
                  <w:sz w:val="22"/>
                  <w:szCs w:val="20"/>
                  <w:lang w:eastAsia="en-US"/>
                </w:rPr>
                <m:t>∈</m:t>
              </m:r>
              <m:r>
                <w:rPr>
                  <w:rFonts w:ascii="Cambria Math" w:hAnsi="Cambria Math"/>
                  <w:sz w:val="22"/>
                  <w:szCs w:val="20"/>
                  <w:lang w:eastAsia="en-US"/>
                </w:rPr>
                <m:t>d</m:t>
              </m:r>
            </m:sub>
            <m:sup/>
            <m:e>
              <m:sSub>
                <m:sSubPr>
                  <m:ctrlPr>
                    <w:rPr>
                      <w:rFonts w:ascii="Cambria Math" w:hAnsi="Cambria Math"/>
                      <w:i/>
                      <w:sz w:val="22"/>
                      <w:szCs w:val="20"/>
                      <w:lang w:eastAsia="en-US"/>
                    </w:rPr>
                  </m:ctrlPr>
                </m:sSubPr>
                <m:e>
                  <m:r>
                    <w:rPr>
                      <w:rFonts w:ascii="Cambria Math" w:hAnsi="Cambria Math"/>
                      <w:sz w:val="22"/>
                      <w:szCs w:val="20"/>
                      <w:lang w:eastAsia="en-US"/>
                    </w:rPr>
                    <m:t>SGQM</m:t>
                  </m:r>
                </m:e>
                <m:sub>
                  <m:r>
                    <w:rPr>
                      <w:rFonts w:ascii="Cambria Math" w:hAnsi="Cambria Math"/>
                      <w:sz w:val="22"/>
                      <w:szCs w:val="20"/>
                      <w:lang w:eastAsia="en-US"/>
                    </w:rPr>
                    <m:t>ij</m:t>
                  </m:r>
                </m:sub>
              </m:sSub>
            </m:e>
          </m:nary>
        </m:oMath>
      </m:oMathPara>
    </w:p>
    <w:p w14:paraId="4873270E" w14:textId="77777777" w:rsidR="00F1720C" w:rsidRDefault="00F1720C" w:rsidP="00F1720C">
      <w:pPr>
        <w:pStyle w:val="ListParagraph"/>
        <w:ind w:left="1627"/>
        <w:rPr>
          <w:rFonts w:ascii="Arial (W1)" w:hAnsi="Arial (W1)"/>
          <w:sz w:val="22"/>
          <w:szCs w:val="20"/>
          <w:lang w:eastAsia="en-US"/>
        </w:rPr>
      </w:pPr>
    </w:p>
    <w:p w14:paraId="04AE21E6"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Where:</w:t>
      </w:r>
    </w:p>
    <w:p w14:paraId="275737EB" w14:textId="77777777" w:rsidR="00F1720C" w:rsidRPr="00786BBB" w:rsidRDefault="00F1720C" w:rsidP="00F1720C">
      <w:pPr>
        <w:pStyle w:val="ListParagraph"/>
        <w:ind w:left="1627"/>
        <w:rPr>
          <w:rFonts w:ascii="Arial (W1)" w:hAnsi="Arial (W1)"/>
          <w:sz w:val="22"/>
          <w:szCs w:val="20"/>
          <w:lang w:eastAsia="en-US"/>
        </w:rPr>
      </w:pPr>
    </w:p>
    <w:p w14:paraId="5808F129"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BSUoSTOT</w:t>
      </w:r>
      <w:r w:rsidRPr="00972D70">
        <w:rPr>
          <w:rFonts w:ascii="Arial (W1)" w:hAnsi="Arial (W1)"/>
          <w:sz w:val="22"/>
          <w:szCs w:val="20"/>
          <w:vertAlign w:val="subscript"/>
          <w:lang w:eastAsia="en-US"/>
        </w:rPr>
        <w:t>id</w:t>
      </w:r>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r>
        <w:rPr>
          <w:rFonts w:ascii="Arial (W1)" w:hAnsi="Arial (W1)"/>
          <w:sz w:val="22"/>
          <w:szCs w:val="20"/>
          <w:lang w:eastAsia="en-US"/>
        </w:rPr>
        <w:t>i,</w:t>
      </w:r>
      <w:r w:rsidRPr="00786BBB">
        <w:rPr>
          <w:rFonts w:ascii="Arial (W1)" w:hAnsi="Arial (W1)"/>
          <w:sz w:val="22"/>
          <w:szCs w:val="20"/>
          <w:lang w:eastAsia="en-US"/>
        </w:rPr>
        <w:t xml:space="preserve"> on Settlement Day d</w:t>
      </w:r>
    </w:p>
    <w:p w14:paraId="6A1893F9" w14:textId="77777777" w:rsidR="00F1720C" w:rsidRPr="00786BBB" w:rsidRDefault="00F1720C" w:rsidP="00F1720C">
      <w:pPr>
        <w:pStyle w:val="ListParagraph"/>
        <w:ind w:left="1627"/>
        <w:rPr>
          <w:rFonts w:ascii="Arial (W1)" w:hAnsi="Arial (W1)"/>
          <w:sz w:val="22"/>
          <w:szCs w:val="20"/>
          <w:lang w:eastAsia="en-US"/>
        </w:rPr>
      </w:pPr>
    </w:p>
    <w:p w14:paraId="4BF1AEBE"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FixedBSUoSP</w:t>
      </w:r>
      <w:r w:rsidRPr="00972D70">
        <w:rPr>
          <w:rFonts w:ascii="Arial (W1)" w:hAnsi="Arial (W1)"/>
          <w:sz w:val="22"/>
          <w:szCs w:val="20"/>
          <w:vertAlign w:val="subscript"/>
          <w:lang w:eastAsia="en-US"/>
        </w:rPr>
        <w:t xml:space="preserve">d </w:t>
      </w:r>
      <w:r w:rsidRPr="00786BBB">
        <w:rPr>
          <w:rFonts w:ascii="Arial (W1)" w:hAnsi="Arial (W1)"/>
          <w:sz w:val="22"/>
          <w:szCs w:val="20"/>
          <w:lang w:eastAsia="en-US"/>
        </w:rPr>
        <w:t xml:space="preserve">= the Fixed BSUoS Price on Settlement Day d. </w:t>
      </w:r>
    </w:p>
    <w:p w14:paraId="11C98F76" w14:textId="77777777" w:rsidR="00F1720C" w:rsidRPr="00786BBB" w:rsidRDefault="00F1720C" w:rsidP="00F1720C">
      <w:pPr>
        <w:pStyle w:val="ListParagraph"/>
        <w:ind w:left="1627"/>
        <w:rPr>
          <w:rFonts w:ascii="Arial (W1)" w:hAnsi="Arial (W1)"/>
          <w:sz w:val="22"/>
          <w:szCs w:val="20"/>
          <w:lang w:eastAsia="en-US"/>
        </w:rPr>
      </w:pPr>
    </w:p>
    <w:p w14:paraId="7C914C93" w14:textId="77777777" w:rsidR="00F1720C"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SGQM</w:t>
      </w:r>
      <w:r w:rsidRPr="00972D70">
        <w:rPr>
          <w:rFonts w:ascii="Arial (W1)" w:hAnsi="Arial (W1)"/>
          <w:sz w:val="22"/>
          <w:szCs w:val="20"/>
          <w:vertAlign w:val="subscript"/>
          <w:lang w:eastAsia="en-US"/>
        </w:rPr>
        <w:t>i</w:t>
      </w:r>
      <w:r>
        <w:rPr>
          <w:rFonts w:ascii="Arial (W1)" w:hAnsi="Arial (W1)"/>
          <w:sz w:val="22"/>
          <w:szCs w:val="20"/>
          <w:vertAlign w:val="subscript"/>
          <w:lang w:eastAsia="en-US"/>
        </w:rPr>
        <w:t>j</w:t>
      </w:r>
      <w:r w:rsidRPr="00786BBB">
        <w:rPr>
          <w:rFonts w:ascii="Arial (W1)" w:hAnsi="Arial (W1)"/>
          <w:sz w:val="22"/>
          <w:szCs w:val="20"/>
          <w:lang w:eastAsia="en-US"/>
        </w:rPr>
        <w:t xml:space="preserve"> = the Gross Demand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Volume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i </w:t>
      </w:r>
      <w:r>
        <w:rPr>
          <w:rFonts w:ascii="Arial (W1)" w:hAnsi="Arial (W1)"/>
          <w:sz w:val="22"/>
          <w:szCs w:val="20"/>
          <w:lang w:eastAsia="en-US"/>
        </w:rPr>
        <w:t>for Settlement Period j</w:t>
      </w:r>
    </w:p>
    <w:p w14:paraId="6D3391C5" w14:textId="77777777" w:rsidR="00F1720C" w:rsidRPr="001B0400" w:rsidRDefault="00F1720C" w:rsidP="00F1720C">
      <w:pPr>
        <w:rPr>
          <w:lang w:eastAsia="en-US"/>
        </w:rPr>
      </w:pPr>
    </w:p>
    <w:p w14:paraId="6E6C21D5" w14:textId="77777777" w:rsidR="00F1720C" w:rsidRDefault="00F1720C" w:rsidP="009F4595">
      <w:pPr>
        <w:pStyle w:val="ListParagraph"/>
        <w:numPr>
          <w:ilvl w:val="0"/>
          <w:numId w:val="132"/>
        </w:numPr>
        <w:rPr>
          <w:rFonts w:ascii="Arial (W1)" w:hAnsi="Arial (W1)"/>
          <w:sz w:val="22"/>
          <w:szCs w:val="20"/>
          <w:lang w:eastAsia="en-US"/>
        </w:rPr>
      </w:pPr>
      <w:r w:rsidRPr="0011345E">
        <w:rPr>
          <w:rFonts w:ascii="Arial (W1)" w:hAnsi="Arial (W1)"/>
          <w:sz w:val="22"/>
          <w:szCs w:val="20"/>
          <w:lang w:eastAsia="en-US"/>
        </w:rPr>
        <w:t xml:space="preserve">All Transmission Connected BM Units, </w:t>
      </w:r>
      <w:r>
        <w:rPr>
          <w:rFonts w:ascii="Arial (W1)" w:hAnsi="Arial (W1)"/>
          <w:sz w:val="22"/>
          <w:szCs w:val="20"/>
          <w:lang w:eastAsia="en-US"/>
        </w:rPr>
        <w:t xml:space="preserve">prefixed by </w:t>
      </w:r>
      <w:r w:rsidRPr="0011345E">
        <w:rPr>
          <w:rFonts w:ascii="Arial (W1)" w:hAnsi="Arial (W1)"/>
          <w:sz w:val="22"/>
          <w:szCs w:val="20"/>
          <w:lang w:eastAsia="en-US"/>
        </w:rPr>
        <w:t xml:space="preserve">m, have their </w:t>
      </w:r>
      <w:r>
        <w:rPr>
          <w:rFonts w:ascii="Arial (W1)" w:hAnsi="Arial (W1)"/>
          <w:sz w:val="22"/>
          <w:szCs w:val="20"/>
          <w:lang w:eastAsia="en-US"/>
        </w:rPr>
        <w:t>Total BSUoS Charges</w:t>
      </w:r>
      <w:r w:rsidRPr="0011345E">
        <w:rPr>
          <w:rFonts w:ascii="Arial (W1)" w:hAnsi="Arial (W1)"/>
          <w:sz w:val="22"/>
          <w:szCs w:val="20"/>
          <w:lang w:eastAsia="en-US"/>
        </w:rPr>
        <w:t xml:space="preserve"> calculated by the following formula:</w:t>
      </w:r>
    </w:p>
    <w:p w14:paraId="455ADE8A" w14:textId="77777777" w:rsidR="00F1720C" w:rsidRPr="00DD65DA" w:rsidRDefault="00B428B8" w:rsidP="00F1720C">
      <w:pPr>
        <w:pStyle w:val="ListParagraph"/>
        <w:ind w:left="1627"/>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m:t>
              </m:r>
              <m:r>
                <w:rPr>
                  <w:rFonts w:ascii="Cambria Math" w:hAnsi="Cambria Math"/>
                  <w:sz w:val="22"/>
                  <w:szCs w:val="20"/>
                  <w:lang w:eastAsia="en-US"/>
                </w:rPr>
                <m:t>∈</m:t>
              </m:r>
              <m:r>
                <w:rPr>
                  <w:rFonts w:ascii="Cambria Math" w:hAnsi="Cambria Math"/>
                  <w:sz w:val="22"/>
                  <w:szCs w:val="20"/>
                  <w:lang w:eastAsia="en-US"/>
                </w:rPr>
                <m:t>d</m:t>
              </m:r>
            </m:sub>
            <m:sup/>
            <m:e>
              <m:sSub>
                <m:sSubPr>
                  <m:ctrlPr>
                    <w:rPr>
                      <w:rFonts w:ascii="Cambria Math" w:hAnsi="Cambria Math"/>
                      <w:i/>
                      <w:sz w:val="22"/>
                      <w:szCs w:val="20"/>
                      <w:lang w:eastAsia="en-US"/>
                    </w:rPr>
                  </m:ctrlPr>
                </m:sSubPr>
                <m:e>
                  <m:r>
                    <w:rPr>
                      <w:rFonts w:ascii="Cambria Math" w:hAnsi="Cambria Math"/>
                      <w:sz w:val="22"/>
                      <w:szCs w:val="20"/>
                      <w:lang w:eastAsia="en-US"/>
                    </w:rPr>
                    <m:t>TQM</m:t>
                  </m:r>
                </m:e>
                <m:sub>
                  <m:r>
                    <w:rPr>
                      <w:rFonts w:ascii="Cambria Math" w:hAnsi="Cambria Math"/>
                      <w:sz w:val="22"/>
                      <w:szCs w:val="20"/>
                      <w:lang w:eastAsia="en-US"/>
                    </w:rPr>
                    <m:t>mj</m:t>
                  </m:r>
                </m:sub>
              </m:sSub>
            </m:e>
          </m:nary>
        </m:oMath>
      </m:oMathPara>
    </w:p>
    <w:p w14:paraId="4A183F34"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Where:</w:t>
      </w:r>
    </w:p>
    <w:p w14:paraId="1F3D9D63" w14:textId="77777777" w:rsidR="00F1720C" w:rsidRPr="00D6554D" w:rsidRDefault="00F1720C" w:rsidP="00F1720C">
      <w:pPr>
        <w:pStyle w:val="ListParagraph"/>
        <w:ind w:left="1627"/>
        <w:rPr>
          <w:rFonts w:ascii="Arial (W1)" w:hAnsi="Arial (W1)"/>
          <w:sz w:val="22"/>
          <w:szCs w:val="20"/>
          <w:lang w:eastAsia="en-US"/>
        </w:rPr>
      </w:pPr>
    </w:p>
    <w:p w14:paraId="19CB9D3C"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p>
    <w:p w14:paraId="335BB81A" w14:textId="77777777" w:rsidR="00F1720C" w:rsidRPr="00D6554D" w:rsidRDefault="00F1720C" w:rsidP="00F1720C">
      <w:pPr>
        <w:pStyle w:val="ListParagraph"/>
        <w:ind w:left="1627"/>
        <w:rPr>
          <w:rFonts w:ascii="Arial (W1)" w:hAnsi="Arial (W1)"/>
          <w:sz w:val="22"/>
          <w:szCs w:val="20"/>
          <w:lang w:eastAsia="en-US"/>
        </w:rPr>
      </w:pPr>
    </w:p>
    <w:p w14:paraId="60B284DA"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FixedBSUoSP</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Fixed BSUoS Price on Settlement Day d. </w:t>
      </w:r>
    </w:p>
    <w:p w14:paraId="3B9F7D02" w14:textId="77777777" w:rsidR="00F1720C" w:rsidRPr="00D6554D" w:rsidRDefault="00F1720C" w:rsidP="00F1720C">
      <w:pPr>
        <w:pStyle w:val="ListParagraph"/>
        <w:ind w:left="1627"/>
        <w:rPr>
          <w:rFonts w:ascii="Arial (W1)" w:hAnsi="Arial (W1)"/>
          <w:sz w:val="22"/>
          <w:szCs w:val="20"/>
          <w:lang w:eastAsia="en-US"/>
        </w:rPr>
      </w:pPr>
    </w:p>
    <w:p w14:paraId="708B7916" w14:textId="77777777" w:rsidR="00F1720C"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TQM</w:t>
      </w:r>
      <w:r>
        <w:rPr>
          <w:rFonts w:ascii="Arial (W1)" w:hAnsi="Arial (W1)"/>
          <w:sz w:val="22"/>
          <w:szCs w:val="20"/>
          <w:vertAlign w:val="subscript"/>
          <w:lang w:eastAsia="en-US"/>
        </w:rPr>
        <w:t>mj</w:t>
      </w:r>
      <w:r w:rsidRPr="00D6554D">
        <w:rPr>
          <w:rFonts w:ascii="Arial (W1)" w:hAnsi="Arial (W1)"/>
          <w:sz w:val="22"/>
          <w:szCs w:val="20"/>
          <w:lang w:eastAsia="en-US"/>
        </w:rPr>
        <w:t xml:space="preserve"> = the total Transmission Connected Site BM Unit Metered Volume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w:t>
      </w:r>
      <w:r>
        <w:rPr>
          <w:rFonts w:ascii="Arial (W1)" w:hAnsi="Arial (W1)"/>
          <w:sz w:val="22"/>
          <w:szCs w:val="20"/>
          <w:lang w:eastAsia="en-US"/>
        </w:rPr>
        <w:t>for Settlement Period j</w:t>
      </w:r>
    </w:p>
    <w:p w14:paraId="31B12626" w14:textId="77777777" w:rsidR="00F1720C" w:rsidRDefault="00F1720C" w:rsidP="00F1720C">
      <w:pPr>
        <w:pStyle w:val="ListParagraph"/>
        <w:ind w:left="1627"/>
        <w:rPr>
          <w:rFonts w:ascii="Arial (W1)" w:hAnsi="Arial (W1)"/>
          <w:sz w:val="22"/>
          <w:szCs w:val="20"/>
          <w:lang w:eastAsia="en-US"/>
        </w:rPr>
      </w:pPr>
    </w:p>
    <w:p w14:paraId="74113BAB" w14:textId="4562AE70" w:rsidR="00F1720C" w:rsidRPr="009F4595" w:rsidRDefault="00F1720C" w:rsidP="00F1720C">
      <w:pPr>
        <w:rPr>
          <w:rFonts w:ascii="Arial (W1)" w:hAnsi="Arial (W1)"/>
          <w:b/>
          <w:bCs/>
          <w:sz w:val="22"/>
          <w:szCs w:val="20"/>
          <w:u w:val="single"/>
          <w:lang w:eastAsia="en-US"/>
        </w:rPr>
      </w:pPr>
      <w:r w:rsidRPr="009F4595">
        <w:rPr>
          <w:rFonts w:ascii="Arial (W1)" w:hAnsi="Arial (W1)"/>
          <w:b/>
          <w:bCs/>
          <w:sz w:val="22"/>
          <w:szCs w:val="20"/>
          <w:u w:val="single"/>
          <w:lang w:eastAsia="en-US"/>
        </w:rPr>
        <w:t>Calculation of BSUoS Charges for a BSUoS liable customer</w:t>
      </w:r>
    </w:p>
    <w:p w14:paraId="58F662D8" w14:textId="77777777" w:rsidR="00DE2F25" w:rsidRDefault="00DE2F25" w:rsidP="00F1720C">
      <w:pPr>
        <w:rPr>
          <w:rFonts w:ascii="Arial (W1)" w:hAnsi="Arial (W1)"/>
          <w:b/>
          <w:bCs/>
          <w:sz w:val="22"/>
          <w:szCs w:val="20"/>
          <w:lang w:eastAsia="en-US"/>
        </w:rPr>
      </w:pPr>
    </w:p>
    <w:p w14:paraId="4B34A1AF" w14:textId="77777777" w:rsidR="00DE2F25" w:rsidRPr="003B6E26" w:rsidRDefault="00DE2F25" w:rsidP="00DE2F25">
      <w:pPr>
        <w:pStyle w:val="1"/>
        <w:jc w:val="both"/>
        <w:rPr>
          <w:b/>
        </w:rPr>
      </w:pPr>
      <w:r w:rsidRPr="003B6E26">
        <w:rPr>
          <w:b/>
        </w:rPr>
        <w:t>Definition of the BSUoS charging base</w:t>
      </w:r>
    </w:p>
    <w:p w14:paraId="3D2B9D3A" w14:textId="77777777" w:rsidR="00DE2F25" w:rsidRDefault="00DE2F25" w:rsidP="00DE2F25">
      <w:pPr>
        <w:pStyle w:val="1"/>
        <w:ind w:left="1627"/>
        <w:jc w:val="both"/>
      </w:pPr>
    </w:p>
    <w:p w14:paraId="4D3B8E10" w14:textId="77777777" w:rsidR="00DE2F25" w:rsidRPr="005A506C" w:rsidRDefault="00DE2F25" w:rsidP="00DE2F25">
      <w:pPr>
        <w:pStyle w:val="ListParagraph"/>
        <w:numPr>
          <w:ilvl w:val="0"/>
          <w:numId w:val="132"/>
        </w:numPr>
        <w:jc w:val="both"/>
        <w:rPr>
          <w:rFonts w:ascii="Arial (W1)" w:hAnsi="Arial (W1)"/>
          <w:vanish/>
          <w:sz w:val="22"/>
          <w:szCs w:val="20"/>
          <w:lang w:eastAsia="en-US"/>
        </w:rPr>
      </w:pPr>
    </w:p>
    <w:p w14:paraId="00C5ED68" w14:textId="75CAE9C2" w:rsidR="00DE2F25" w:rsidRDefault="00DE2F25" w:rsidP="009F4595">
      <w:pPr>
        <w:pStyle w:val="1"/>
        <w:numPr>
          <w:ilvl w:val="0"/>
          <w:numId w:val="158"/>
        </w:numPr>
        <w:jc w:val="both"/>
      </w:pPr>
      <w:r>
        <w:t>BSUoS liability is based on a User’s Final Demand.</w:t>
      </w:r>
    </w:p>
    <w:p w14:paraId="104F3F1B" w14:textId="77777777" w:rsidR="00DE2F25" w:rsidRPr="00DD65DA" w:rsidRDefault="00DE2F25" w:rsidP="00F1720C">
      <w:pPr>
        <w:rPr>
          <w:rFonts w:ascii="Arial (W1)" w:hAnsi="Arial (W1)"/>
          <w:b/>
          <w:bCs/>
          <w:sz w:val="22"/>
          <w:szCs w:val="20"/>
          <w:lang w:eastAsia="en-US"/>
        </w:rPr>
      </w:pPr>
    </w:p>
    <w:p w14:paraId="542B1458" w14:textId="77777777" w:rsidR="00F1720C" w:rsidRDefault="00F1720C" w:rsidP="00F1720C">
      <w:pPr>
        <w:pStyle w:val="ListParagraph"/>
        <w:ind w:left="1627"/>
        <w:rPr>
          <w:rFonts w:ascii="Arial (W1)" w:hAnsi="Arial (W1)"/>
          <w:sz w:val="22"/>
          <w:szCs w:val="20"/>
          <w:lang w:eastAsia="en-US"/>
        </w:rPr>
      </w:pPr>
    </w:p>
    <w:p w14:paraId="13B84C50" w14:textId="77777777" w:rsidR="00F1720C" w:rsidRDefault="00F1720C" w:rsidP="009F4595">
      <w:pPr>
        <w:pStyle w:val="ListParagraph"/>
        <w:numPr>
          <w:ilvl w:val="0"/>
          <w:numId w:val="132"/>
        </w:numPr>
        <w:rPr>
          <w:rFonts w:ascii="Arial (W1)" w:hAnsi="Arial (W1)"/>
          <w:sz w:val="22"/>
          <w:szCs w:val="20"/>
          <w:lang w:eastAsia="en-US"/>
        </w:rPr>
      </w:pPr>
      <w:r w:rsidRPr="00D11590">
        <w:rPr>
          <w:rFonts w:ascii="Arial (W1)" w:hAnsi="Arial (W1)"/>
          <w:sz w:val="22"/>
          <w:szCs w:val="20"/>
          <w:lang w:eastAsia="en-US"/>
        </w:rPr>
        <w:t xml:space="preserve">The BSUoS Charges for a BSUoS liable customer c on a Settlement Day d will be calculated by the following formula: </w:t>
      </w:r>
    </w:p>
    <w:p w14:paraId="20545276" w14:textId="77777777" w:rsidR="00F1720C" w:rsidRDefault="00F1720C" w:rsidP="00F1720C">
      <w:pPr>
        <w:pStyle w:val="ListParagraph"/>
        <w:ind w:left="1627"/>
        <w:rPr>
          <w:rFonts w:ascii="Arial (W1)" w:hAnsi="Arial (W1)"/>
          <w:sz w:val="22"/>
          <w:szCs w:val="20"/>
          <w:lang w:eastAsia="en-US"/>
        </w:rPr>
      </w:pPr>
    </w:p>
    <w:p w14:paraId="5DEC3196" w14:textId="77777777" w:rsidR="00F1720C" w:rsidRPr="00D61D84" w:rsidRDefault="00B428B8"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cd</m:t>
              </m:r>
            </m:sub>
          </m:sSub>
          <m:r>
            <w:rPr>
              <w:rFonts w:ascii="Cambria Math" w:hAnsi="Cambria Math"/>
              <w:sz w:val="22"/>
              <w:szCs w:val="20"/>
              <w:lang w:eastAsia="en-US"/>
            </w:rPr>
            <m:t xml:space="preserve">= </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i</m:t>
              </m:r>
              <m:r>
                <w:rPr>
                  <w:rFonts w:ascii="Cambria Math" w:hAnsi="Cambria Math"/>
                  <w:sz w:val="22"/>
                  <w:szCs w:val="20"/>
                  <w:lang w:eastAsia="en-US"/>
                </w:rPr>
                <m:t>,</m:t>
              </m:r>
              <m:r>
                <w:rPr>
                  <w:rFonts w:ascii="Cambria Math" w:hAnsi="Cambria Math"/>
                  <w:sz w:val="22"/>
                  <w:szCs w:val="20"/>
                  <w:lang w:eastAsia="en-US"/>
                </w:rPr>
                <m:t>m</m:t>
              </m:r>
              <m:r>
                <w:rPr>
                  <w:rFonts w:ascii="Cambria Math" w:hAnsi="Cambria Math"/>
                  <w:sz w:val="22"/>
                  <w:szCs w:val="20"/>
                  <w:lang w:eastAsia="en-US"/>
                </w:rPr>
                <m:t>∈</m:t>
              </m:r>
              <m:r>
                <w:rPr>
                  <w:rFonts w:ascii="Cambria Math" w:hAnsi="Cambria Math"/>
                  <w:sz w:val="22"/>
                  <w:szCs w:val="20"/>
                  <w:lang w:eastAsia="en-US"/>
                </w:rPr>
                <m:t>c</m:t>
              </m:r>
            </m:sub>
            <m:sup/>
            <m:e>
              <m:sSub>
                <m:sSubPr>
                  <m:ctrlPr>
                    <w:rPr>
                      <w:rFonts w:ascii="Cambria Math" w:hAnsi="Cambria Math"/>
                      <w:i/>
                      <w:sz w:val="22"/>
                      <w:szCs w:val="20"/>
                      <w:lang w:eastAsia="en-US"/>
                    </w:rPr>
                  </m:ctrlPr>
                </m:sSubPr>
                <m:e>
                  <m:r>
                    <w:rPr>
                      <w:rFonts w:ascii="Cambria Math" w:hAnsi="Cambria Math"/>
                      <w:sz w:val="22"/>
                      <w:szCs w:val="20"/>
                      <w:lang w:eastAsia="en-US"/>
                    </w:rPr>
                    <m:t>(</m:t>
                  </m:r>
                  <m:r>
                    <w:rPr>
                      <w:rFonts w:ascii="Cambria Math" w:hAnsi="Cambria Math"/>
                      <w:sz w:val="22"/>
                      <w:szCs w:val="20"/>
                      <w:lang w:eastAsia="en-US"/>
                    </w:rPr>
                    <m:t>BSUoSTOT</m:t>
                  </m:r>
                </m:e>
                <m:sub>
                  <m:r>
                    <w:rPr>
                      <w:rFonts w:ascii="Cambria Math" w:hAnsi="Cambria Math"/>
                      <w:sz w:val="22"/>
                      <w:szCs w:val="20"/>
                      <w:lang w:eastAsia="en-US"/>
                    </w:rPr>
                    <m:t>id</m:t>
                  </m:r>
                </m:sub>
              </m:sSub>
            </m:e>
          </m:nary>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oMath>
      </m:oMathPara>
    </w:p>
    <w:p w14:paraId="49373496" w14:textId="77777777" w:rsidR="00F1720C" w:rsidRPr="00DD65DA" w:rsidRDefault="00F1720C" w:rsidP="00F1720C">
      <w:pPr>
        <w:rPr>
          <w:rFonts w:ascii="Arial (W1)" w:hAnsi="Arial (W1)"/>
          <w:sz w:val="22"/>
          <w:szCs w:val="20"/>
          <w:lang w:eastAsia="en-US"/>
        </w:rPr>
      </w:pPr>
    </w:p>
    <w:p w14:paraId="65E94A5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 xml:space="preserve">Where: </w:t>
      </w:r>
    </w:p>
    <w:p w14:paraId="41D4C783" w14:textId="77777777" w:rsidR="00F1720C" w:rsidRDefault="00F1720C" w:rsidP="00F1720C">
      <w:pPr>
        <w:pStyle w:val="ListParagraph"/>
        <w:ind w:left="1627"/>
        <w:rPr>
          <w:rFonts w:ascii="Arial (W1)" w:hAnsi="Arial (W1)"/>
          <w:sz w:val="22"/>
          <w:szCs w:val="20"/>
          <w:lang w:eastAsia="en-US"/>
        </w:rPr>
      </w:pPr>
    </w:p>
    <w:p w14:paraId="1AF6CE6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BSUoSTOT</w:t>
      </w:r>
      <w:r w:rsidRPr="00DD65DA">
        <w:rPr>
          <w:rFonts w:ascii="Arial (W1)" w:hAnsi="Arial (W1)"/>
          <w:sz w:val="22"/>
          <w:szCs w:val="20"/>
          <w:vertAlign w:val="subscript"/>
          <w:lang w:eastAsia="en-US"/>
        </w:rPr>
        <w:t>cd</w:t>
      </w:r>
      <w:r>
        <w:rPr>
          <w:rFonts w:ascii="Arial (W1)" w:hAnsi="Arial (W1)"/>
          <w:sz w:val="22"/>
          <w:szCs w:val="20"/>
          <w:vertAlign w:val="subscript"/>
          <w:lang w:eastAsia="en-US"/>
        </w:rPr>
        <w:t xml:space="preserve"> </w:t>
      </w:r>
      <w:r>
        <w:rPr>
          <w:rFonts w:ascii="Arial (W1)" w:hAnsi="Arial (W1)"/>
          <w:sz w:val="22"/>
          <w:szCs w:val="20"/>
          <w:lang w:eastAsia="en-US"/>
        </w:rPr>
        <w:t>= the Total BSUoS Charges for a BSUoS liable customer c on Settlement Day d</w:t>
      </w:r>
    </w:p>
    <w:p w14:paraId="0957EDEE" w14:textId="77777777" w:rsidR="00F1720C" w:rsidRDefault="00F1720C" w:rsidP="00F1720C">
      <w:pPr>
        <w:pStyle w:val="ListParagraph"/>
        <w:ind w:left="1627"/>
        <w:rPr>
          <w:rFonts w:ascii="Arial (W1)" w:hAnsi="Arial (W1)"/>
          <w:sz w:val="22"/>
          <w:szCs w:val="20"/>
          <w:lang w:eastAsia="en-US"/>
        </w:rPr>
      </w:pPr>
    </w:p>
    <w:p w14:paraId="0D4F67A8" w14:textId="77777777" w:rsidR="00F1720C"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BSUoSTOT</w:t>
      </w:r>
      <w:r w:rsidRPr="00972D70">
        <w:rPr>
          <w:rFonts w:ascii="Arial (W1)" w:hAnsi="Arial (W1)"/>
          <w:sz w:val="22"/>
          <w:szCs w:val="20"/>
          <w:vertAlign w:val="subscript"/>
          <w:lang w:eastAsia="en-US"/>
        </w:rPr>
        <w:t>id</w:t>
      </w:r>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BM Unit i on Settlement Day d</w:t>
      </w:r>
    </w:p>
    <w:p w14:paraId="3A48413E" w14:textId="77777777" w:rsidR="00F1720C" w:rsidRDefault="00F1720C" w:rsidP="00F1720C">
      <w:pPr>
        <w:pStyle w:val="ListParagraph"/>
        <w:ind w:left="1627"/>
        <w:rPr>
          <w:rFonts w:ascii="Arial (W1)" w:hAnsi="Arial (W1)"/>
          <w:sz w:val="22"/>
          <w:szCs w:val="20"/>
          <w:lang w:eastAsia="en-US"/>
        </w:rPr>
      </w:pPr>
    </w:p>
    <w:p w14:paraId="5A2C0A02" w14:textId="68ACC9B7" w:rsidR="001119E7" w:rsidRDefault="00F1720C" w:rsidP="00447FCA">
      <w:pPr>
        <w:pStyle w:val="ListParagraph"/>
        <w:ind w:left="1627"/>
      </w:pPr>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r w:rsidR="00ED0181">
        <w:rPr>
          <w:rFonts w:ascii="Arial (W1)" w:hAnsi="Arial (W1)"/>
          <w:sz w:val="22"/>
          <w:szCs w:val="20"/>
          <w:lang w:eastAsia="en-US"/>
        </w:rPr>
        <w:br/>
      </w:r>
    </w:p>
    <w:p w14:paraId="560A4FFB" w14:textId="0A29FE2D" w:rsidR="001119E7" w:rsidRPr="0059657F" w:rsidRDefault="001119E7" w:rsidP="00D477DD">
      <w:r>
        <w:rPr>
          <w:rFonts w:ascii="Arial" w:hAnsi="Arial"/>
          <w:sz w:val="22"/>
        </w:rPr>
        <w:tab/>
      </w:r>
    </w:p>
    <w:p w14:paraId="5012C1AB" w14:textId="77777777" w:rsidR="001119E7" w:rsidRDefault="001119E7" w:rsidP="00000FD3">
      <w:pPr>
        <w:pStyle w:val="1"/>
        <w:jc w:val="both"/>
      </w:pPr>
    </w:p>
    <w:p w14:paraId="7A9C984E" w14:textId="77777777" w:rsidR="001119E7" w:rsidRDefault="001119E7" w:rsidP="001119E7">
      <w:pPr>
        <w:pStyle w:val="Heading2"/>
      </w:pPr>
      <w:r>
        <w:t>Interconnector BM Units</w:t>
      </w:r>
    </w:p>
    <w:p w14:paraId="648BEAB6" w14:textId="77777777" w:rsidR="001119E7" w:rsidRDefault="001119E7" w:rsidP="001119E7">
      <w:pPr>
        <w:keepNext/>
      </w:pPr>
    </w:p>
    <w:p w14:paraId="66B8240D" w14:textId="7EC0789B" w:rsidR="001119E7" w:rsidRDefault="001119E7" w:rsidP="009A61A0">
      <w:pPr>
        <w:pStyle w:val="1"/>
        <w:numPr>
          <w:ilvl w:val="2"/>
          <w:numId w:val="103"/>
        </w:numPr>
        <w:ind w:left="1701" w:hanging="992"/>
        <w:jc w:val="both"/>
      </w:pPr>
      <w:r>
        <w:t xml:space="preserve">BM Unit </w:t>
      </w:r>
      <w:r w:rsidRPr="00EB1F51">
        <w:t>and Trading Units associated with Interconnectors, including those associated with the Interconnector Error Administrator, are not</w:t>
      </w:r>
      <w:r>
        <w:t xml:space="preserve"> liable for BSUoS </w:t>
      </w:r>
      <w:r w:rsidR="008C7820">
        <w:t>Charges</w:t>
      </w:r>
      <w:r>
        <w:t xml:space="preserve">. BM Units, including Secondary BM Units, which are associated with Virtual Lead Parties are not liable for BSUoS </w:t>
      </w:r>
      <w:r w:rsidR="008C7820">
        <w:t>Charges</w:t>
      </w:r>
      <w:r>
        <w:t xml:space="preserve">. </w:t>
      </w:r>
    </w:p>
    <w:p w14:paraId="414C020E" w14:textId="77777777" w:rsidR="001119E7" w:rsidRDefault="001119E7" w:rsidP="001119E7">
      <w:pPr>
        <w:pStyle w:val="1"/>
        <w:ind w:left="1627"/>
        <w:jc w:val="both"/>
      </w:pPr>
    </w:p>
    <w:p w14:paraId="7BA86128" w14:textId="66C954A4" w:rsidR="00210970" w:rsidRPr="00DD65DA" w:rsidRDefault="00210970" w:rsidP="00210970">
      <w:pPr>
        <w:pStyle w:val="1"/>
        <w:jc w:val="both"/>
        <w:rPr>
          <w:b/>
          <w:bCs/>
        </w:rPr>
      </w:pPr>
      <w:r>
        <w:rPr>
          <w:b/>
          <w:bCs/>
        </w:rPr>
        <w:t>Issuing a revised Fixed BSUoS Price</w:t>
      </w:r>
    </w:p>
    <w:p w14:paraId="05A44014" w14:textId="77777777" w:rsidR="00210970" w:rsidRDefault="00210970" w:rsidP="00210970">
      <w:pPr>
        <w:pStyle w:val="1"/>
        <w:jc w:val="both"/>
      </w:pPr>
    </w:p>
    <w:p w14:paraId="093AF78A" w14:textId="7AD494A4" w:rsidR="00210970" w:rsidRDefault="00210970" w:rsidP="009A61A0">
      <w:pPr>
        <w:pStyle w:val="ListParagraph"/>
        <w:numPr>
          <w:ilvl w:val="2"/>
          <w:numId w:val="103"/>
        </w:numPr>
        <w:ind w:left="1701" w:hanging="992"/>
        <w:rPr>
          <w:rFonts w:ascii="Arial (W1)" w:hAnsi="Arial (W1)"/>
          <w:sz w:val="22"/>
          <w:szCs w:val="20"/>
          <w:lang w:eastAsia="en-US"/>
        </w:rPr>
      </w:pPr>
      <w:r>
        <w:rPr>
          <w:rFonts w:ascii="Arial (W1)" w:hAnsi="Arial (W1)"/>
          <w:sz w:val="22"/>
          <w:szCs w:val="20"/>
          <w:lang w:eastAsia="en-US"/>
        </w:rPr>
        <w:t>If before or d</w:t>
      </w:r>
      <w:r w:rsidRPr="00411743">
        <w:rPr>
          <w:rFonts w:ascii="Arial (W1)" w:hAnsi="Arial (W1)"/>
          <w:sz w:val="22"/>
          <w:szCs w:val="20"/>
          <w:lang w:eastAsia="en-US"/>
        </w:rPr>
        <w:t>uring a Fixed Price Period, The Company forecast</w:t>
      </w:r>
      <w:r>
        <w:rPr>
          <w:rFonts w:ascii="Arial (W1)" w:hAnsi="Arial (W1)"/>
          <w:sz w:val="22"/>
          <w:szCs w:val="20"/>
          <w:lang w:eastAsia="en-US"/>
        </w:rPr>
        <w:t>s</w:t>
      </w:r>
      <w:r w:rsidRPr="00411743">
        <w:rPr>
          <w:rFonts w:ascii="Arial (W1)" w:hAnsi="Arial (W1)"/>
          <w:sz w:val="22"/>
          <w:szCs w:val="20"/>
          <w:lang w:eastAsia="en-US"/>
        </w:rPr>
        <w:t xml:space="preserve"> that it will neither recover sufficient funds through BSUoS Charges nor will it hold </w:t>
      </w:r>
      <w:r w:rsidRPr="00411743">
        <w:rPr>
          <w:rFonts w:ascii="Arial (W1)" w:hAnsi="Arial (W1)"/>
          <w:sz w:val="22"/>
          <w:szCs w:val="20"/>
          <w:lang w:eastAsia="en-US"/>
        </w:rPr>
        <w:lastRenderedPageBreak/>
        <w:t xml:space="preserve">sufficient funds in the </w:t>
      </w:r>
      <w:r>
        <w:rPr>
          <w:rFonts w:ascii="Arial (W1)" w:hAnsi="Arial (W1)"/>
          <w:sz w:val="22"/>
          <w:szCs w:val="20"/>
          <w:lang w:eastAsia="en-US"/>
        </w:rPr>
        <w:t xml:space="preserve">Industry </w:t>
      </w:r>
      <w:r w:rsidRPr="00411743">
        <w:rPr>
          <w:rFonts w:ascii="Arial (W1)" w:hAnsi="Arial (W1)"/>
          <w:sz w:val="22"/>
          <w:szCs w:val="20"/>
          <w:lang w:eastAsia="en-US"/>
        </w:rPr>
        <w:t>BSUoS Fund and the BSUoS Working Capital Facility to meet balancing costs</w:t>
      </w:r>
      <w:r>
        <w:rPr>
          <w:rFonts w:ascii="Arial (W1)" w:hAnsi="Arial (W1)"/>
          <w:sz w:val="22"/>
          <w:szCs w:val="20"/>
          <w:lang w:eastAsia="en-US"/>
        </w:rPr>
        <w:t xml:space="preserve"> during that Fixed Price Period</w:t>
      </w:r>
      <w:r w:rsidRPr="00411743">
        <w:rPr>
          <w:rFonts w:ascii="Arial (W1)" w:hAnsi="Arial (W1)"/>
          <w:sz w:val="22"/>
          <w:szCs w:val="20"/>
          <w:lang w:eastAsia="en-US"/>
        </w:rPr>
        <w:t xml:space="preserve">, The Company has the right to </w:t>
      </w:r>
      <w:r>
        <w:rPr>
          <w:rFonts w:ascii="Arial (W1)" w:hAnsi="Arial (W1)"/>
          <w:sz w:val="22"/>
          <w:szCs w:val="20"/>
          <w:lang w:eastAsia="en-US"/>
        </w:rPr>
        <w:t>set</w:t>
      </w:r>
      <w:r w:rsidRPr="00411743">
        <w:rPr>
          <w:rFonts w:ascii="Arial (W1)" w:hAnsi="Arial (W1)"/>
          <w:sz w:val="22"/>
          <w:szCs w:val="20"/>
          <w:lang w:eastAsia="en-US"/>
        </w:rPr>
        <w:t xml:space="preserve"> a revised Fixed BSUoS Price for the </w:t>
      </w:r>
      <w:r>
        <w:rPr>
          <w:rFonts w:ascii="Arial (W1)" w:hAnsi="Arial (W1)"/>
          <w:sz w:val="22"/>
          <w:szCs w:val="20"/>
          <w:lang w:eastAsia="en-US"/>
        </w:rPr>
        <w:t xml:space="preserve">entirety of or </w:t>
      </w:r>
      <w:r w:rsidRPr="00411743">
        <w:rPr>
          <w:rFonts w:ascii="Arial (W1)" w:hAnsi="Arial (W1)"/>
          <w:sz w:val="22"/>
          <w:szCs w:val="20"/>
          <w:lang w:eastAsia="en-US"/>
        </w:rPr>
        <w:t>remainder of that Fixed Price Period.</w:t>
      </w:r>
    </w:p>
    <w:p w14:paraId="36372C6B" w14:textId="77777777" w:rsidR="00210970" w:rsidRDefault="00210970" w:rsidP="00567A0F">
      <w:pPr>
        <w:pStyle w:val="ListParagraph"/>
        <w:ind w:left="2346"/>
        <w:rPr>
          <w:rFonts w:ascii="Arial (W1)" w:hAnsi="Arial (W1)"/>
          <w:sz w:val="22"/>
          <w:szCs w:val="20"/>
          <w:lang w:eastAsia="en-US"/>
        </w:rPr>
      </w:pPr>
    </w:p>
    <w:p w14:paraId="7DAFE30D" w14:textId="77777777" w:rsidR="00210970" w:rsidRDefault="00210970" w:rsidP="009A61A0">
      <w:pPr>
        <w:pStyle w:val="ListParagraph"/>
        <w:numPr>
          <w:ilvl w:val="2"/>
          <w:numId w:val="103"/>
        </w:numPr>
        <w:ind w:left="1701" w:hanging="992"/>
        <w:rPr>
          <w:rFonts w:ascii="Arial (W1)" w:hAnsi="Arial (W1)"/>
          <w:sz w:val="22"/>
          <w:szCs w:val="20"/>
          <w:lang w:eastAsia="en-US"/>
        </w:rPr>
      </w:pPr>
      <w:r w:rsidRPr="00E334BC">
        <w:rPr>
          <w:rFonts w:ascii="Arial (W1)" w:hAnsi="Arial (W1)"/>
          <w:sz w:val="22"/>
          <w:szCs w:val="20"/>
          <w:lang w:eastAsia="en-US"/>
        </w:rPr>
        <w:t>In the case that The Company needs to issue a revised Fixed BSUoS Price, then The Company will use reasonable endeavours to consult on the revised Fixed BSUoS Price</w:t>
      </w:r>
      <w:r>
        <w:rPr>
          <w:rFonts w:ascii="Arial (W1)" w:hAnsi="Arial (W1)"/>
          <w:sz w:val="22"/>
          <w:szCs w:val="20"/>
          <w:lang w:eastAsia="en-US"/>
        </w:rPr>
        <w:t xml:space="preserve"> prior to its application</w:t>
      </w:r>
      <w:r w:rsidRPr="00E334BC">
        <w:rPr>
          <w:rFonts w:ascii="Arial (W1)" w:hAnsi="Arial (W1)"/>
          <w:sz w:val="22"/>
          <w:szCs w:val="20"/>
          <w:lang w:eastAsia="en-US"/>
        </w:rPr>
        <w:t xml:space="preserve">. The Company will provide a minimum notice of five Business Days before the commencement of a revised Fixed BSUoS Price. </w:t>
      </w:r>
    </w:p>
    <w:p w14:paraId="5FA67649" w14:textId="77777777" w:rsidR="00210970" w:rsidRPr="00411743" w:rsidRDefault="00210970" w:rsidP="00567A0F">
      <w:pPr>
        <w:pStyle w:val="ListParagraph"/>
        <w:rPr>
          <w:rFonts w:ascii="Arial (W1)" w:hAnsi="Arial (W1)"/>
          <w:sz w:val="22"/>
          <w:szCs w:val="20"/>
          <w:lang w:eastAsia="en-US"/>
        </w:rPr>
      </w:pPr>
    </w:p>
    <w:p w14:paraId="4779CC89" w14:textId="77777777" w:rsidR="00567A0F" w:rsidRDefault="00567A0F" w:rsidP="006816A0">
      <w:pPr>
        <w:pStyle w:val="ListParagraph"/>
        <w:ind w:left="2346" w:hanging="1637"/>
        <w:rPr>
          <w:rFonts w:ascii="Arial (W1)" w:hAnsi="Arial (W1)"/>
          <w:sz w:val="22"/>
          <w:szCs w:val="20"/>
          <w:lang w:eastAsia="en-US"/>
        </w:rPr>
      </w:pPr>
    </w:p>
    <w:p w14:paraId="1014C56F" w14:textId="07D47948" w:rsidR="00210970" w:rsidRDefault="00210970" w:rsidP="009F4595">
      <w:pPr>
        <w:pStyle w:val="ListParagraph"/>
        <w:numPr>
          <w:ilvl w:val="2"/>
          <w:numId w:val="103"/>
        </w:numPr>
        <w:ind w:left="1560" w:hanging="1134"/>
        <w:rPr>
          <w:rFonts w:ascii="Arial (W1)" w:hAnsi="Arial (W1)"/>
          <w:sz w:val="22"/>
          <w:szCs w:val="20"/>
          <w:lang w:eastAsia="en-US"/>
        </w:rPr>
      </w:pPr>
      <w:r>
        <w:rPr>
          <w:rFonts w:ascii="Arial (W1)" w:hAnsi="Arial (W1)"/>
          <w:sz w:val="22"/>
          <w:szCs w:val="20"/>
          <w:lang w:eastAsia="en-US"/>
        </w:rPr>
        <w:t>The</w:t>
      </w:r>
      <w:r w:rsidRPr="00DA553C">
        <w:rPr>
          <w:rFonts w:ascii="Arial (W1)" w:hAnsi="Arial (W1)"/>
          <w:sz w:val="22"/>
          <w:szCs w:val="20"/>
          <w:lang w:eastAsia="en-US"/>
        </w:rPr>
        <w:t xml:space="preserve"> revised Fixed BSUoS Price</w:t>
      </w:r>
      <w:r>
        <w:rPr>
          <w:rFonts w:ascii="Arial (W1)" w:hAnsi="Arial (W1)"/>
          <w:sz w:val="22"/>
          <w:szCs w:val="20"/>
          <w:lang w:eastAsia="en-US"/>
        </w:rPr>
        <w:t>, described in Paragraph 14.3</w:t>
      </w:r>
      <w:r w:rsidR="00211361">
        <w:rPr>
          <w:rFonts w:ascii="Arial (W1)" w:hAnsi="Arial (W1)"/>
          <w:sz w:val="22"/>
          <w:szCs w:val="20"/>
          <w:lang w:eastAsia="en-US"/>
        </w:rPr>
        <w:t>1</w:t>
      </w:r>
      <w:r>
        <w:rPr>
          <w:rFonts w:ascii="Arial (W1)" w:hAnsi="Arial (W1)"/>
          <w:sz w:val="22"/>
          <w:szCs w:val="20"/>
          <w:lang w:eastAsia="en-US"/>
        </w:rPr>
        <w:t>.18,</w:t>
      </w:r>
      <w:r w:rsidRPr="00DA553C">
        <w:rPr>
          <w:rFonts w:ascii="Arial (W1)" w:hAnsi="Arial (W1)"/>
          <w:sz w:val="22"/>
          <w:szCs w:val="20"/>
          <w:lang w:eastAsia="en-US"/>
        </w:rPr>
        <w:t xml:space="preserve"> is determined by the following formula:</w:t>
      </w:r>
    </w:p>
    <w:p w14:paraId="07E6F0EB" w14:textId="77777777" w:rsidR="00210970" w:rsidRDefault="00210970" w:rsidP="00210970">
      <w:pPr>
        <w:rPr>
          <w:rFonts w:ascii="Arial (W1)" w:hAnsi="Arial (W1)"/>
          <w:sz w:val="22"/>
          <w:szCs w:val="20"/>
          <w:lang w:eastAsia="en-US"/>
        </w:rPr>
      </w:pPr>
    </w:p>
    <w:p w14:paraId="41B526B0" w14:textId="77777777" w:rsidR="00210970" w:rsidRPr="00894AE9" w:rsidRDefault="00B428B8" w:rsidP="00210970">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FixedBSUoSPrev</m:t>
              </m:r>
            </m:e>
            <m:sub>
              <m:r>
                <w:rPr>
                  <w:rFonts w:ascii="Cambria Math" w:hAnsi="Cambria Math"/>
                  <w:sz w:val="22"/>
                  <w:szCs w:val="20"/>
                  <w:lang w:eastAsia="en-US"/>
                </w:rPr>
                <m:t>s</m:t>
              </m:r>
            </m:sub>
          </m:sSub>
          <m:r>
            <w:rPr>
              <w:rFonts w:ascii="Cambria Math" w:hAnsi="Cambria Math"/>
              <w:sz w:val="22"/>
              <w:szCs w:val="20"/>
              <w:lang w:eastAsia="en-US"/>
            </w:rPr>
            <m:t>=</m:t>
          </m:r>
          <m:f>
            <m:fPr>
              <m:ctrlPr>
                <w:rPr>
                  <w:rFonts w:ascii="Cambria Math" w:hAnsi="Cambria Math"/>
                  <w:i/>
                  <w:sz w:val="22"/>
                  <w:szCs w:val="20"/>
                  <w:lang w:eastAsia="en-US"/>
                </w:rPr>
              </m:ctrlPr>
            </m:fPr>
            <m:num>
              <w:bookmarkStart w:id="603" w:name="_Hlk82512519"/>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s</m:t>
                  </m:r>
                </m:sub>
              </m:sSub>
              <w:bookmarkEnd w:id="603"/>
            </m:num>
            <m:den>
              <m:sSub>
                <m:sSubPr>
                  <m:ctrlPr>
                    <w:rPr>
                      <w:rFonts w:ascii="Cambria Math" w:hAnsi="Cambria Math"/>
                      <w:i/>
                      <w:sz w:val="22"/>
                      <w:szCs w:val="20"/>
                      <w:lang w:eastAsia="en-US"/>
                    </w:rPr>
                  </m:ctrlPr>
                </m:sSubPr>
                <m:e>
                  <m:r>
                    <w:rPr>
                      <w:rFonts w:ascii="Cambria Math" w:hAnsi="Cambria Math"/>
                      <w:sz w:val="22"/>
                      <w:szCs w:val="20"/>
                      <w:lang w:eastAsia="en-US"/>
                    </w:rPr>
                    <m:t>fTQM</m:t>
                  </m:r>
                </m:e>
                <m:sub>
                  <m:r>
                    <w:rPr>
                      <w:rFonts w:ascii="Cambria Math" w:hAnsi="Cambria Math"/>
                      <w:sz w:val="22"/>
                      <w:szCs w:val="20"/>
                      <w:lang w:eastAsia="en-US"/>
                    </w:rPr>
                    <m:t>s</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fSGQM</m:t>
                  </m:r>
                </m:e>
                <m:sub>
                  <m:r>
                    <w:rPr>
                      <w:rFonts w:ascii="Cambria Math" w:hAnsi="Cambria Math"/>
                      <w:sz w:val="22"/>
                      <w:szCs w:val="20"/>
                      <w:lang w:eastAsia="en-US"/>
                    </w:rPr>
                    <m:t>s</m:t>
                  </m:r>
                </m:sub>
              </m:sSub>
            </m:den>
          </m:f>
        </m:oMath>
      </m:oMathPara>
    </w:p>
    <w:p w14:paraId="5D99F412"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Where:</w:t>
      </w:r>
    </w:p>
    <w:p w14:paraId="763530F9" w14:textId="77777777" w:rsidR="00210970" w:rsidRPr="00866282" w:rsidRDefault="00210970" w:rsidP="00210970">
      <w:pPr>
        <w:pStyle w:val="ListParagraph"/>
        <w:ind w:left="1627"/>
        <w:rPr>
          <w:rFonts w:ascii="Arial (W1)" w:hAnsi="Arial (W1)"/>
          <w:sz w:val="22"/>
          <w:szCs w:val="20"/>
          <w:lang w:eastAsia="en-US"/>
        </w:rPr>
      </w:pPr>
    </w:p>
    <w:p w14:paraId="71A4C9DF"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FixedBSUoSPrev</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The </w:t>
      </w:r>
      <w:r>
        <w:rPr>
          <w:rFonts w:ascii="Arial (W1)" w:hAnsi="Arial (W1)"/>
          <w:sz w:val="22"/>
          <w:szCs w:val="20"/>
          <w:lang w:eastAsia="en-US"/>
        </w:rPr>
        <w:t>r</w:t>
      </w:r>
      <w:r w:rsidRPr="00866282">
        <w:rPr>
          <w:rFonts w:ascii="Arial (W1)" w:hAnsi="Arial (W1)"/>
          <w:sz w:val="22"/>
          <w:szCs w:val="20"/>
          <w:lang w:eastAsia="en-US"/>
        </w:rPr>
        <w:t>evised Fixed BSUoS Price for the number of Settlement Days s remaining in the Fixed Price Period</w:t>
      </w:r>
    </w:p>
    <w:p w14:paraId="59E1754F" w14:textId="77777777" w:rsidR="00210970" w:rsidRPr="00866282" w:rsidRDefault="00210970" w:rsidP="00210970">
      <w:pPr>
        <w:pStyle w:val="ListParagraph"/>
        <w:ind w:left="1627"/>
        <w:rPr>
          <w:rFonts w:ascii="Arial (W1)" w:hAnsi="Arial (W1)"/>
          <w:sz w:val="22"/>
          <w:szCs w:val="20"/>
          <w:lang w:eastAsia="en-US"/>
        </w:rPr>
      </w:pPr>
    </w:p>
    <w:p w14:paraId="395E36EF" w14:textId="7D3D655E"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fBSUoSTOT</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remaining balancing costs for the number of Settlement Days s remaining in the Fixed Price Period</w:t>
      </w:r>
      <w:r>
        <w:rPr>
          <w:rFonts w:ascii="Arial (W1)" w:hAnsi="Arial (W1)"/>
          <w:sz w:val="22"/>
          <w:szCs w:val="20"/>
          <w:lang w:eastAsia="en-US"/>
        </w:rPr>
        <w:t>. The Company would use reasonable endeavours to consult on this value, pursuant to Paragraph 14.3</w:t>
      </w:r>
      <w:r w:rsidR="00211361">
        <w:rPr>
          <w:rFonts w:ascii="Arial (W1)" w:hAnsi="Arial (W1)"/>
          <w:sz w:val="22"/>
          <w:szCs w:val="20"/>
          <w:lang w:eastAsia="en-US"/>
        </w:rPr>
        <w:t>1</w:t>
      </w:r>
      <w:r>
        <w:rPr>
          <w:rFonts w:ascii="Arial (W1)" w:hAnsi="Arial (W1)"/>
          <w:sz w:val="22"/>
          <w:szCs w:val="20"/>
          <w:lang w:eastAsia="en-US"/>
        </w:rPr>
        <w:t>.19.</w:t>
      </w:r>
      <w:r w:rsidRPr="00866282">
        <w:rPr>
          <w:rFonts w:ascii="Arial (W1)" w:hAnsi="Arial (W1)"/>
          <w:sz w:val="22"/>
          <w:szCs w:val="20"/>
          <w:lang w:eastAsia="en-US"/>
        </w:rPr>
        <w:t xml:space="preserve"> </w:t>
      </w:r>
    </w:p>
    <w:p w14:paraId="6E6E437E" w14:textId="77777777" w:rsidR="00210970" w:rsidRPr="00866282" w:rsidRDefault="00210970" w:rsidP="00210970">
      <w:pPr>
        <w:pStyle w:val="ListParagraph"/>
        <w:ind w:left="1627"/>
        <w:rPr>
          <w:rFonts w:ascii="Arial (W1)" w:hAnsi="Arial (W1)"/>
          <w:sz w:val="22"/>
          <w:szCs w:val="20"/>
          <w:lang w:eastAsia="en-US"/>
        </w:rPr>
      </w:pPr>
    </w:p>
    <w:p w14:paraId="17201C5B" w14:textId="77777777" w:rsidR="00210970" w:rsidRPr="00866282" w:rsidRDefault="00210970" w:rsidP="00210970">
      <w:pPr>
        <w:pStyle w:val="ListParagraph"/>
        <w:ind w:left="1627"/>
        <w:rPr>
          <w:rFonts w:ascii="Arial (W1)" w:hAnsi="Arial (W1)"/>
          <w:sz w:val="22"/>
          <w:szCs w:val="20"/>
          <w:lang w:eastAsia="en-US"/>
        </w:rPr>
      </w:pPr>
      <w:r>
        <w:rPr>
          <w:rFonts w:ascii="Arial (W1)" w:hAnsi="Arial (W1)"/>
          <w:sz w:val="22"/>
          <w:szCs w:val="20"/>
          <w:lang w:eastAsia="en-US"/>
        </w:rPr>
        <w:t>f</w:t>
      </w:r>
      <w:r w:rsidRPr="00866282">
        <w:rPr>
          <w:rFonts w:ascii="Arial (W1)" w:hAnsi="Arial (W1)"/>
          <w:sz w:val="22"/>
          <w:szCs w:val="20"/>
          <w:lang w:eastAsia="en-US"/>
        </w:rPr>
        <w:t>TQM</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the total Transmission Connected Site BM Unit Metered Volume for the number of Settlement Days s remaining in the Fixed Price Period </w:t>
      </w:r>
    </w:p>
    <w:p w14:paraId="45EC91F8" w14:textId="77777777" w:rsidR="00210970" w:rsidRPr="00866282" w:rsidRDefault="00210970" w:rsidP="00210970">
      <w:pPr>
        <w:pStyle w:val="ListParagraph"/>
        <w:ind w:left="1627"/>
        <w:rPr>
          <w:rFonts w:ascii="Arial (W1)" w:hAnsi="Arial (W1)"/>
          <w:sz w:val="22"/>
          <w:szCs w:val="20"/>
          <w:lang w:eastAsia="en-US"/>
        </w:rPr>
      </w:pPr>
    </w:p>
    <w:p w14:paraId="1FA8B8CD" w14:textId="77777777" w:rsidR="00210970"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fSGQM</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the total Gross Demand BM Unit Volume for the number of Settlement Days s remaining in the Fixed Price Period</w:t>
      </w:r>
    </w:p>
    <w:p w14:paraId="26C664EB" w14:textId="77777777" w:rsidR="00210970" w:rsidRPr="00DD65DA" w:rsidRDefault="00210970" w:rsidP="00210970">
      <w:pPr>
        <w:rPr>
          <w:rFonts w:ascii="Arial (W1)" w:hAnsi="Arial (W1)"/>
          <w:sz w:val="22"/>
          <w:szCs w:val="20"/>
          <w:lang w:eastAsia="en-US"/>
        </w:rPr>
      </w:pPr>
    </w:p>
    <w:p w14:paraId="241A5A0C" w14:textId="7AE3F17E" w:rsidR="00210970" w:rsidRDefault="00210970" w:rsidP="009F4595">
      <w:pPr>
        <w:pStyle w:val="ListParagraph"/>
        <w:numPr>
          <w:ilvl w:val="2"/>
          <w:numId w:val="103"/>
        </w:numPr>
        <w:ind w:left="1701" w:hanging="1275"/>
        <w:rPr>
          <w:rFonts w:ascii="Arial (W1)" w:hAnsi="Arial (W1)"/>
          <w:sz w:val="22"/>
          <w:szCs w:val="20"/>
          <w:lang w:eastAsia="en-US"/>
        </w:rPr>
      </w:pPr>
      <w:r w:rsidRPr="00BA7438">
        <w:rPr>
          <w:rFonts w:ascii="Arial (W1)" w:hAnsi="Arial (W1)"/>
          <w:sz w:val="22"/>
          <w:szCs w:val="20"/>
          <w:lang w:eastAsia="en-US"/>
        </w:rPr>
        <w:t xml:space="preserve">Pursuant to </w:t>
      </w:r>
      <w:r>
        <w:rPr>
          <w:rFonts w:ascii="Arial (W1)" w:hAnsi="Arial (W1)"/>
          <w:sz w:val="22"/>
          <w:szCs w:val="20"/>
          <w:lang w:eastAsia="en-US"/>
        </w:rPr>
        <w:t>P</w:t>
      </w:r>
      <w:r w:rsidRPr="00BA7438">
        <w:rPr>
          <w:rFonts w:ascii="Arial (W1)" w:hAnsi="Arial (W1)"/>
          <w:sz w:val="22"/>
          <w:szCs w:val="20"/>
          <w:lang w:eastAsia="en-US"/>
        </w:rPr>
        <w:t>aragraph 14.3</w:t>
      </w:r>
      <w:r w:rsidR="00A828FC">
        <w:rPr>
          <w:rFonts w:ascii="Arial (W1)" w:hAnsi="Arial (W1)"/>
          <w:sz w:val="22"/>
          <w:szCs w:val="20"/>
          <w:lang w:eastAsia="en-US"/>
        </w:rPr>
        <w:t>1</w:t>
      </w:r>
      <w:r w:rsidRPr="00BA7438">
        <w:rPr>
          <w:rFonts w:ascii="Arial (W1)" w:hAnsi="Arial (W1)"/>
          <w:sz w:val="22"/>
          <w:szCs w:val="20"/>
          <w:lang w:eastAsia="en-US"/>
        </w:rPr>
        <w:t>.</w:t>
      </w:r>
      <w:r w:rsidR="00681690">
        <w:rPr>
          <w:rFonts w:ascii="Arial (W1)" w:hAnsi="Arial (W1)"/>
          <w:sz w:val="22"/>
          <w:szCs w:val="20"/>
          <w:lang w:eastAsia="en-US"/>
        </w:rPr>
        <w:t>19</w:t>
      </w:r>
      <w:r w:rsidRPr="00BA7438">
        <w:rPr>
          <w:rFonts w:ascii="Arial (W1)" w:hAnsi="Arial (W1)"/>
          <w:sz w:val="22"/>
          <w:szCs w:val="20"/>
          <w:lang w:eastAsia="en-US"/>
        </w:rPr>
        <w:t xml:space="preserve">, the revised Fixed BSUoS Price only covers costs for the remainder of the fixed Price Period. </w:t>
      </w:r>
      <w:r>
        <w:rPr>
          <w:rFonts w:ascii="Arial (W1)" w:hAnsi="Arial (W1)"/>
          <w:sz w:val="22"/>
          <w:szCs w:val="20"/>
          <w:lang w:eastAsia="en-US"/>
        </w:rPr>
        <w:t>T</w:t>
      </w:r>
      <w:r w:rsidRPr="00BA7438">
        <w:rPr>
          <w:rFonts w:ascii="Arial (W1)" w:hAnsi="Arial (W1)"/>
          <w:sz w:val="22"/>
          <w:szCs w:val="20"/>
          <w:lang w:eastAsia="en-US"/>
        </w:rPr>
        <w:t xml:space="preserve">he BSUoS Working Capital Facility would be </w:t>
      </w:r>
      <w:r>
        <w:rPr>
          <w:rFonts w:ascii="Arial (W1)" w:hAnsi="Arial (W1)"/>
          <w:sz w:val="22"/>
          <w:szCs w:val="20"/>
          <w:lang w:eastAsia="en-US"/>
        </w:rPr>
        <w:t>built back up</w:t>
      </w:r>
      <w:r w:rsidRPr="00BA7438">
        <w:rPr>
          <w:rFonts w:ascii="Arial (W1)" w:hAnsi="Arial (W1)"/>
          <w:sz w:val="22"/>
          <w:szCs w:val="20"/>
          <w:lang w:eastAsia="en-US"/>
        </w:rPr>
        <w:t xml:space="preserve"> in subsequent Fixed Price Periods</w:t>
      </w:r>
      <w:r>
        <w:rPr>
          <w:rFonts w:ascii="Arial (W1)" w:hAnsi="Arial (W1)"/>
          <w:sz w:val="22"/>
          <w:szCs w:val="20"/>
          <w:lang w:eastAsia="en-US"/>
        </w:rPr>
        <w:t>,</w:t>
      </w:r>
      <w:r w:rsidRPr="00BA7438">
        <w:rPr>
          <w:rFonts w:ascii="Arial (W1)" w:hAnsi="Arial (W1)"/>
          <w:sz w:val="22"/>
          <w:szCs w:val="20"/>
          <w:lang w:eastAsia="en-US"/>
        </w:rPr>
        <w:t xml:space="preserve"> via </w:t>
      </w:r>
      <w:r>
        <w:rPr>
          <w:rFonts w:ascii="Arial (W1)" w:hAnsi="Arial (W1)"/>
          <w:sz w:val="22"/>
          <w:szCs w:val="20"/>
          <w:lang w:eastAsia="en-US"/>
        </w:rPr>
        <w:t>the</w:t>
      </w:r>
      <w:r w:rsidRPr="00BA7438">
        <w:rPr>
          <w:rFonts w:ascii="Arial (W1)" w:hAnsi="Arial (W1)"/>
          <w:sz w:val="22"/>
          <w:szCs w:val="20"/>
          <w:lang w:eastAsia="en-US"/>
        </w:rPr>
        <w:t xml:space="preserve"> Fixed BSUoS Prices</w:t>
      </w:r>
      <w:r>
        <w:rPr>
          <w:rFonts w:ascii="Arial (W1)" w:hAnsi="Arial (W1)"/>
          <w:sz w:val="22"/>
          <w:szCs w:val="20"/>
          <w:lang w:eastAsia="en-US"/>
        </w:rPr>
        <w:t xml:space="preserve"> calculated for those Fixed Price Periods.</w:t>
      </w:r>
    </w:p>
    <w:p w14:paraId="171A5F06" w14:textId="77777777" w:rsidR="001119E7" w:rsidRDefault="001119E7" w:rsidP="001119E7">
      <w:pPr>
        <w:pStyle w:val="1"/>
        <w:jc w:val="both"/>
      </w:pPr>
    </w:p>
    <w:p w14:paraId="69BC323C" w14:textId="70221ABE" w:rsidR="001119E7" w:rsidRDefault="001119E7" w:rsidP="001119E7">
      <w:pPr>
        <w:pStyle w:val="Heading2"/>
      </w:pPr>
      <w:r>
        <w:t xml:space="preserve">Total BSUoS </w:t>
      </w:r>
      <w:r w:rsidR="00D02D5D">
        <w:t>Costs</w:t>
      </w:r>
      <w:r>
        <w:t xml:space="preserve"> (Internal + External) for each Settlement </w:t>
      </w:r>
      <w:r w:rsidR="00C8038C">
        <w:t>Day</w:t>
      </w:r>
      <w:r w:rsidR="00182EDD">
        <w:t xml:space="preserve"> </w:t>
      </w:r>
      <w:r>
        <w:t>(BSUoSTOT</w:t>
      </w:r>
      <w:r>
        <w:rPr>
          <w:vertAlign w:val="subscript"/>
        </w:rPr>
        <w:t>jd</w:t>
      </w:r>
      <w:r>
        <w:t>)</w:t>
      </w:r>
    </w:p>
    <w:p w14:paraId="73E00574" w14:textId="77777777" w:rsidR="001119E7" w:rsidRDefault="001119E7" w:rsidP="001119E7">
      <w:pPr>
        <w:pStyle w:val="1"/>
        <w:jc w:val="both"/>
      </w:pPr>
    </w:p>
    <w:p w14:paraId="208F5C31" w14:textId="68255021" w:rsidR="004C38C3" w:rsidRDefault="004C38C3" w:rsidP="009F4595">
      <w:pPr>
        <w:pStyle w:val="1"/>
        <w:numPr>
          <w:ilvl w:val="2"/>
          <w:numId w:val="103"/>
        </w:numPr>
        <w:ind w:left="1701" w:hanging="1275"/>
        <w:jc w:val="both"/>
      </w:pPr>
      <w:r>
        <w:t xml:space="preserve">The </w:t>
      </w:r>
      <w:r w:rsidRPr="006A2FE1">
        <w:t>Total BSUoS costs for each Settlement Day (BSUoSTOT</w:t>
      </w:r>
      <w:r w:rsidRPr="00DD65DA">
        <w:rPr>
          <w:vertAlign w:val="subscript"/>
        </w:rPr>
        <w:t>d</w:t>
      </w:r>
      <w:r w:rsidRPr="006A2FE1">
        <w:t xml:space="preserve">) are calculated by summing the </w:t>
      </w:r>
      <w:r>
        <w:t>E</w:t>
      </w:r>
      <w:r w:rsidRPr="006A2FE1">
        <w:t xml:space="preserve">xternal BSUoS </w:t>
      </w:r>
      <w:r>
        <w:t>C</w:t>
      </w:r>
      <w:r w:rsidRPr="006A2FE1">
        <w:t>osts (BSUoSEXT</w:t>
      </w:r>
      <w:r w:rsidRPr="00DD65DA">
        <w:rPr>
          <w:vertAlign w:val="subscript"/>
        </w:rPr>
        <w:t>d</w:t>
      </w:r>
      <w:r w:rsidRPr="006A2FE1">
        <w:t xml:space="preserve">) and </w:t>
      </w:r>
      <w:r>
        <w:t>I</w:t>
      </w:r>
      <w:r w:rsidRPr="006A2FE1">
        <w:t xml:space="preserve">nternal BSUoS </w:t>
      </w:r>
      <w:r>
        <w:t>C</w:t>
      </w:r>
      <w:r w:rsidRPr="006A2FE1">
        <w:t>osts (BSUoSINT</w:t>
      </w:r>
      <w:r w:rsidRPr="00DD65DA">
        <w:rPr>
          <w:vertAlign w:val="subscript"/>
        </w:rPr>
        <w:t>d</w:t>
      </w:r>
      <w:r w:rsidRPr="006A2FE1">
        <w:t xml:space="preserve">) for </w:t>
      </w:r>
      <w:r w:rsidRPr="00227979">
        <w:t>that Settlement Day d</w:t>
      </w:r>
      <w:r>
        <w:t>:</w:t>
      </w:r>
    </w:p>
    <w:p w14:paraId="36D075EE" w14:textId="77777777" w:rsidR="004C38C3" w:rsidRDefault="004C38C3" w:rsidP="004C38C3">
      <w:pPr>
        <w:jc w:val="both"/>
      </w:pPr>
    </w:p>
    <w:p w14:paraId="7648F2CA" w14:textId="77777777" w:rsidR="004C38C3" w:rsidRDefault="00B428B8" w:rsidP="004C38C3">
      <w:pPr>
        <w:jc w:val="both"/>
      </w:pPr>
      <m:oMathPara>
        <m:oMath>
          <m:sSub>
            <m:sSubPr>
              <m:ctrlPr>
                <w:rPr>
                  <w:rFonts w:ascii="Cambria Math" w:hAnsi="Cambria Math"/>
                  <w:i/>
                </w:rPr>
              </m:ctrlPr>
            </m:sSubPr>
            <m:e>
              <m:r>
                <w:rPr>
                  <w:rFonts w:ascii="Cambria Math" w:hAnsi="Cambria Math"/>
                </w:rPr>
                <m:t>BSUoSTOT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BSUoSINT</m:t>
              </m:r>
            </m:e>
            <m:sub>
              <m:r>
                <w:rPr>
                  <w:rFonts w:ascii="Cambria Math" w:hAnsi="Cambria Math"/>
                </w:rPr>
                <m:t>d</m:t>
              </m:r>
            </m:sub>
          </m:sSub>
        </m:oMath>
      </m:oMathPara>
    </w:p>
    <w:p w14:paraId="69126B5A" w14:textId="77777777" w:rsidR="001119E7" w:rsidRDefault="001119E7" w:rsidP="001119E7">
      <w:pPr>
        <w:jc w:val="both"/>
      </w:pPr>
    </w:p>
    <w:p w14:paraId="02AD3B3C" w14:textId="169706BC" w:rsidR="001119E7" w:rsidRDefault="001119E7" w:rsidP="001119E7">
      <w:pPr>
        <w:pStyle w:val="Heading2"/>
      </w:pPr>
      <w:r>
        <w:t xml:space="preserve">External BSUoS </w:t>
      </w:r>
      <w:r w:rsidR="0040421E">
        <w:t>Costs</w:t>
      </w:r>
      <w:r>
        <w:t xml:space="preserve"> for each Settlement </w:t>
      </w:r>
      <w:r w:rsidR="00BB3C38">
        <w:t xml:space="preserve">Day </w:t>
      </w:r>
      <w:r>
        <w:t>(BSUoSEXT</w:t>
      </w:r>
      <w:r>
        <w:rPr>
          <w:vertAlign w:val="subscript"/>
        </w:rPr>
        <w:t>d</w:t>
      </w:r>
      <w:r>
        <w:t>)</w:t>
      </w:r>
    </w:p>
    <w:p w14:paraId="4AC6109D" w14:textId="77777777" w:rsidR="001119E7" w:rsidRDefault="001119E7" w:rsidP="001119E7">
      <w:pPr>
        <w:pStyle w:val="1"/>
        <w:jc w:val="both"/>
      </w:pPr>
    </w:p>
    <w:p w14:paraId="2B782A22" w14:textId="62BF956D" w:rsidR="001119E7" w:rsidRDefault="001119E7" w:rsidP="00447FCA">
      <w:pPr>
        <w:pStyle w:val="1"/>
        <w:numPr>
          <w:ilvl w:val="2"/>
          <w:numId w:val="103"/>
        </w:numPr>
        <w:ind w:left="1701" w:hanging="1275"/>
        <w:jc w:val="both"/>
      </w:pPr>
      <w:r>
        <w:t xml:space="preserve">The External BSUoS </w:t>
      </w:r>
      <w:r w:rsidR="005631DE">
        <w:t xml:space="preserve">Costs </w:t>
      </w:r>
      <w:r>
        <w:t xml:space="preserve">for each Settlement </w:t>
      </w:r>
      <w:r w:rsidR="005631DE">
        <w:t xml:space="preserve">Day </w:t>
      </w:r>
      <w:r>
        <w:t>(BSUoSEXT</w:t>
      </w:r>
      <w:r>
        <w:rPr>
          <w:vertAlign w:val="subscript"/>
        </w:rPr>
        <w:t>d</w:t>
      </w:r>
      <w:r>
        <w:t xml:space="preserve">) are calculated by </w:t>
      </w:r>
      <w:r w:rsidR="00A912E1">
        <w:t xml:space="preserve">adding up </w:t>
      </w:r>
      <w:r>
        <w:t>each Settlement Period System Operator BM Cash Flow (CSOBM</w:t>
      </w:r>
      <w:r>
        <w:rPr>
          <w:vertAlign w:val="subscript"/>
        </w:rPr>
        <w:t>j</w:t>
      </w:r>
      <w:r w:rsidR="0081584D">
        <w:rPr>
          <w:vertAlign w:val="subscript"/>
        </w:rPr>
        <w:t>d</w:t>
      </w:r>
      <w:r>
        <w:t>) and Balancing Service Variable Contract Cost (BSCCV</w:t>
      </w:r>
      <w:r>
        <w:rPr>
          <w:vertAlign w:val="subscript"/>
        </w:rPr>
        <w:t>j</w:t>
      </w:r>
      <w:r w:rsidR="00DF0F61">
        <w:rPr>
          <w:vertAlign w:val="subscript"/>
        </w:rPr>
        <w:t>d</w:t>
      </w:r>
      <w:r>
        <w:t>)</w:t>
      </w:r>
      <w:r w:rsidR="00D83025">
        <w:t xml:space="preserve">, </w:t>
      </w:r>
      <w:r w:rsidR="00041697">
        <w:t>for each Settlement Period j</w:t>
      </w:r>
      <w:r w:rsidR="00D83025">
        <w:t xml:space="preserve"> </w:t>
      </w:r>
      <w:r w:rsidR="00D83025" w:rsidRPr="007E0358">
        <w:t>BSUoSCOVID</w:t>
      </w:r>
      <w:r w:rsidR="00D83025" w:rsidRPr="00835F3F">
        <w:rPr>
          <w:vertAlign w:val="subscript"/>
        </w:rPr>
        <w:t>jd</w:t>
      </w:r>
      <w:r>
        <w:t xml:space="preserve"> and </w:t>
      </w:r>
      <w:r w:rsidR="0086033A">
        <w:t xml:space="preserve">then adding </w:t>
      </w:r>
      <w:r>
        <w:t>the daily elements</w:t>
      </w:r>
      <w:r w:rsidR="006C5DCB">
        <w:t>.</w:t>
      </w:r>
      <w:r w:rsidR="009E6D17">
        <w:t xml:space="preserve"> </w:t>
      </w:r>
      <w:r>
        <w:t>.</w:t>
      </w:r>
      <w:r w:rsidR="00830EBF">
        <w:br/>
      </w:r>
      <m:oMathPara>
        <m:oMath>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nary>
            <m:naryPr>
              <m:chr m:val="∑"/>
              <m:limLoc m:val="subSup"/>
              <m:supHide m:val="1"/>
              <m:ctrlPr>
                <w:rPr>
                  <w:rFonts w:ascii="Cambria Math" w:hAnsi="Cambria Math"/>
                  <w:i/>
                </w:rPr>
              </m:ctrlPr>
            </m:naryPr>
            <m:sub>
              <m:r>
                <w:rPr>
                  <w:rFonts w:ascii="Cambria Math" w:hAnsi="Cambria Math"/>
                </w:rPr>
                <m:t>j∈d</m:t>
              </m:r>
            </m:sub>
            <m:sup/>
            <m:e>
              <m:d>
                <m:dPr>
                  <m:ctrlPr>
                    <w:rPr>
                      <w:rFonts w:ascii="Cambria Math" w:hAnsi="Cambria Math"/>
                      <w:i/>
                    </w:rPr>
                  </m:ctrlPr>
                </m:dPr>
                <m:e>
                  <m:sSub>
                    <m:sSubPr>
                      <m:ctrlPr>
                        <w:rPr>
                          <w:rFonts w:ascii="Cambria Math" w:hAnsi="Cambria Math"/>
                          <w:i/>
                        </w:rPr>
                      </m:ctrlPr>
                    </m:sSubPr>
                    <m:e>
                      <m:r>
                        <w:rPr>
                          <w:rFonts w:ascii="Cambria Math" w:hAnsi="Cambria Math"/>
                        </w:rPr>
                        <m:t>CSOBM</m:t>
                      </m:r>
                    </m:e>
                    <m:sub>
                      <m:r>
                        <w:rPr>
                          <w:rFonts w:ascii="Cambria Math" w:hAnsi="Cambria Math"/>
                        </w:rPr>
                        <m:t>jd</m:t>
                      </m:r>
                    </m:sub>
                  </m:sSub>
                  <m:r>
                    <w:rPr>
                      <w:rFonts w:ascii="Cambria Math" w:hAnsi="Cambria Math"/>
                    </w:rPr>
                    <m:t>+</m:t>
                  </m:r>
                  <m:sSub>
                    <m:sSubPr>
                      <m:ctrlPr>
                        <w:rPr>
                          <w:rFonts w:ascii="Cambria Math" w:hAnsi="Cambria Math"/>
                          <w:i/>
                        </w:rPr>
                      </m:ctrlPr>
                    </m:sSubPr>
                    <m:e>
                      <m:r>
                        <w:rPr>
                          <w:rFonts w:ascii="Cambria Math" w:hAnsi="Cambria Math"/>
                        </w:rPr>
                        <m:t>BSCCV</m:t>
                      </m:r>
                    </m:e>
                    <m:sub>
                      <m:r>
                        <w:rPr>
                          <w:rFonts w:ascii="Cambria Math" w:hAnsi="Cambria Math"/>
                        </w:rPr>
                        <m:t>jd</m:t>
                      </m:r>
                    </m:sub>
                  </m:sSub>
                </m:e>
              </m:d>
              <m:r>
                <w:rPr>
                  <w:rFonts w:ascii="Cambria Math" w:hAnsi="Cambria Math"/>
                </w:rPr>
                <m:t>+[</m:t>
              </m:r>
              <m:sSub>
                <m:sSubPr>
                  <m:ctrlPr>
                    <w:rPr>
                      <w:rFonts w:ascii="Cambria Math" w:hAnsi="Cambria Math"/>
                      <w:i/>
                    </w:rPr>
                  </m:ctrlPr>
                </m:sSubPr>
                <m:e>
                  <m:r>
                    <w:rPr>
                      <w:rFonts w:ascii="Cambria Math" w:hAnsi="Cambria Math"/>
                    </w:rPr>
                    <m:t>BSCCA</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TotAdj</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OM</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SOTOC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LOCTRU</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BSUoSCOVID</m:t>
                  </m:r>
                </m:e>
                <m:sub>
                  <m:r>
                    <w:rPr>
                      <w:rFonts w:ascii="Cambria Math" w:hAnsi="Cambria Math"/>
                    </w:rPr>
                    <m:t>d</m:t>
                  </m:r>
                </m:sub>
              </m:sSub>
              <m:r>
                <w:rPr>
                  <w:rFonts w:ascii="Cambria Math" w:hAnsi="Cambria Math"/>
                </w:rPr>
                <m:t>]</m:t>
              </m:r>
            </m:e>
          </m:nary>
        </m:oMath>
      </m:oMathPara>
    </w:p>
    <w:p w14:paraId="40B1D60A" w14:textId="77777777" w:rsidR="00364581" w:rsidRDefault="00364581" w:rsidP="00150FE0">
      <w:pPr>
        <w:pStyle w:val="1"/>
        <w:ind w:left="1560"/>
        <w:jc w:val="both"/>
      </w:pPr>
    </w:p>
    <w:p w14:paraId="5F21B6FA" w14:textId="6AD46484" w:rsidR="001119E7" w:rsidRDefault="00830EBF" w:rsidP="00346BB7">
      <w:pPr>
        <w:pStyle w:val="1"/>
        <w:ind w:left="1560"/>
        <w:jc w:val="both"/>
      </w:pPr>
      <w:r w:rsidRPr="007E0358">
        <w:lastRenderedPageBreak/>
        <w:t>Where BSUoSCOVID</w:t>
      </w:r>
      <w:r w:rsidRPr="00835F3F">
        <w:rPr>
          <w:vertAlign w:val="subscript"/>
        </w:rPr>
        <w:t>jd</w:t>
      </w:r>
      <w:r w:rsidRPr="007E0358">
        <w:t xml:space="preserve"> is the cumulative total Covid Cost of the Covid Support Scheme incurred in 2020-2021 (including any administrative or financing cost borne by </w:t>
      </w:r>
      <w:r w:rsidR="1CE92958" w:rsidRPr="00150FE0">
        <w:rPr>
          <w:b/>
        </w:rPr>
        <w:t>The Company</w:t>
      </w:r>
      <w:r w:rsidRPr="007E0358">
        <w:t xml:space="preserve">, as agreed by The Authority) recovered equally from each Settlement Period in the Financial Year 2021-2022. </w:t>
      </w:r>
    </w:p>
    <w:p w14:paraId="2B758284" w14:textId="77777777" w:rsidR="001119E7" w:rsidRPr="00BF4F34" w:rsidRDefault="001119E7" w:rsidP="001119E7"/>
    <w:p w14:paraId="667C0FAE" w14:textId="77777777" w:rsidR="001119E7" w:rsidRDefault="001119E7" w:rsidP="001119E7">
      <w:pPr>
        <w:pStyle w:val="Heading2"/>
      </w:pPr>
    </w:p>
    <w:p w14:paraId="407268E4" w14:textId="77777777" w:rsidR="001119E7" w:rsidRDefault="001119E7" w:rsidP="001119E7">
      <w:pPr>
        <w:pStyle w:val="Heading2"/>
      </w:pPr>
    </w:p>
    <w:p w14:paraId="002ED523" w14:textId="0FA0ECA0" w:rsidR="001119E7" w:rsidRDefault="00B428B8" w:rsidP="00BA7E0B">
      <w:pPr>
        <w:ind w:left="720" w:firstLine="720"/>
        <w:jc w:val="both"/>
      </w:pPr>
      <m:oMathPara>
        <m:oMath>
          <m:sSub>
            <m:sSubPr>
              <m:ctrlPr>
                <w:rPr>
                  <w:rFonts w:ascii="Cambria Math" w:hAnsi="Cambria Math"/>
                  <w:sz w:val="22"/>
                  <w:szCs w:val="20"/>
                  <w:lang w:eastAsia="en-US"/>
                </w:rPr>
              </m:ctrlPr>
            </m:sSubPr>
            <m:e>
              <m:r>
                <w:rPr>
                  <w:rFonts w:ascii="Cambria Math" w:hAnsi="Cambria Math"/>
                  <w:sz w:val="22"/>
                  <w:szCs w:val="20"/>
                  <w:lang w:eastAsia="en-US"/>
                </w:rPr>
                <m:t>BSUoSEXT</m:t>
              </m:r>
            </m:e>
            <m:sub>
              <m:r>
                <w:rPr>
                  <w:rFonts w:ascii="Cambria Math" w:hAnsi="Cambria Math"/>
                  <w:sz w:val="22"/>
                  <w:szCs w:val="20"/>
                  <w:lang w:eastAsia="en-US"/>
                </w:rPr>
                <m:t>jd</m:t>
              </m:r>
            </m:sub>
          </m:sSub>
          <m:r>
            <m:rPr>
              <m:sty m:val="p"/>
            </m:rPr>
            <w:rPr>
              <w:rFonts w:ascii="Cambria Math" w:hAnsi="Cambria Math"/>
              <w:sz w:val="22"/>
              <w:szCs w:val="20"/>
              <w:lang w:eastAsia="en-US"/>
            </w:rPr>
            <m:t>= </m:t>
          </m:r>
          <m:sSub>
            <m:sSubPr>
              <m:ctrlPr>
                <w:rPr>
                  <w:rFonts w:ascii="Cambria Math" w:hAnsi="Cambria Math"/>
                  <w:sz w:val="22"/>
                  <w:szCs w:val="20"/>
                  <w:lang w:eastAsia="en-US"/>
                </w:rPr>
              </m:ctrlPr>
            </m:sSubPr>
            <m:e>
              <m:r>
                <w:rPr>
                  <w:rFonts w:ascii="Cambria Math" w:hAnsi="Cambria Math"/>
                  <w:sz w:val="22"/>
                  <w:szCs w:val="20"/>
                  <w:lang w:eastAsia="en-US"/>
                </w:rPr>
                <m:t>CSOBM</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BSCCV</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BSUoSCOVID</m:t>
              </m:r>
            </m:e>
            <m:sub>
              <m:r>
                <w:rPr>
                  <w:rFonts w:ascii="Cambria Math" w:hAnsi="Cambria Math"/>
                  <w:sz w:val="22"/>
                  <w:szCs w:val="20"/>
                  <w:lang w:eastAsia="en-US"/>
                </w:rPr>
                <m:t>jd</m:t>
              </m:r>
            </m:sub>
          </m:sSub>
          <m:r>
            <m:rPr>
              <m:sty m:val="p"/>
            </m:rPr>
            <w:rPr>
              <w:rFonts w:ascii="Cambria Math" w:hAnsi="Cambria Math"/>
              <w:sz w:val="22"/>
              <w:szCs w:val="20"/>
              <w:lang w:eastAsia="en-US"/>
            </w:rPr>
            <m:t>+[</m:t>
          </m:r>
          <m:r>
            <w:rPr>
              <w:rFonts w:ascii="Cambria Math" w:hAnsi="Cambria Math"/>
              <w:color w:val="000000" w:themeColor="text1"/>
              <w:kern w:val="24"/>
            </w:rPr>
            <m:t> </m:t>
          </m:r>
          <m:d>
            <m:dPr>
              <m:ctrlPr>
                <w:rPr>
                  <w:rFonts w:ascii="Cambria Math" w:hAnsi="Cambria Math"/>
                  <w:i/>
                  <w:iCs/>
                  <w:color w:val="000000" w:themeColor="text1"/>
                  <w:kern w:val="24"/>
                </w:rPr>
              </m:ctrlPr>
            </m:dPr>
            <m:e>
              <m:sSub>
                <m:sSubPr>
                  <m:ctrlPr>
                    <w:rPr>
                      <w:rFonts w:ascii="Cambria Math" w:hAnsi="Cambria Math"/>
                      <w:i/>
                      <w:iCs/>
                      <w:color w:val="000000" w:themeColor="text1"/>
                      <w:kern w:val="24"/>
                    </w:rPr>
                  </m:ctrlPr>
                </m:sSubPr>
                <m:e>
                  <m:r>
                    <w:rPr>
                      <w:rFonts w:ascii="Cambria Math" w:hAnsi="Cambria Math"/>
                      <w:color w:val="000000" w:themeColor="text1"/>
                      <w:kern w:val="24"/>
                    </w:rPr>
                    <m:t>BSCCA</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TotAdj</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OM</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BSC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SOTOC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LOCTRU</m:t>
                  </m:r>
                </m:e>
                <m:sub>
                  <m:r>
                    <w:rPr>
                      <w:rFonts w:ascii="Cambria Math" w:hAnsi="Cambria Math"/>
                      <w:color w:val="000000" w:themeColor="text1"/>
                      <w:kern w:val="24"/>
                    </w:rPr>
                    <m:t>d</m:t>
                  </m:r>
                </m:sub>
              </m:sSub>
            </m:e>
          </m:d>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ijd</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ijd</m:t>
              </m:r>
            </m:sub>
          </m:sSub>
          <m:r>
            <w:rPr>
              <w:rFonts w:ascii="Cambria Math" w:hAnsi="Cambria Math"/>
              <w:color w:val="000000" w:themeColor="text1"/>
              <w:kern w:val="24"/>
            </w:rPr>
            <m:t>)/</m:t>
          </m:r>
          <m:nary>
            <m:naryPr>
              <m:chr m:val="∑"/>
              <m:limLoc m:val="subSup"/>
              <m:supHide m:val="1"/>
              <m:ctrlPr>
                <w:rPr>
                  <w:rFonts w:ascii="Cambria Math" w:hAnsi="Cambria Math"/>
                  <w:i/>
                  <w:iCs/>
                  <w:color w:val="000000" w:themeColor="text1"/>
                  <w:kern w:val="24"/>
                </w:rPr>
              </m:ctrlPr>
            </m:naryPr>
            <m:sub>
              <m:r>
                <w:rPr>
                  <w:rFonts w:ascii="Cambria Math" w:hAnsi="Cambria Math"/>
                  <w:color w:val="000000" w:themeColor="text1"/>
                  <w:kern w:val="24"/>
                </w:rPr>
                <m:t>j</m:t>
              </m:r>
              <m:r>
                <w:rPr>
                  <w:rFonts w:ascii="Cambria Math" w:hAnsi="Cambria Math"/>
                  <w:color w:val="000000" w:themeColor="text1"/>
                  <w:kern w:val="24"/>
                </w:rPr>
                <m:t>∈</m:t>
              </m:r>
              <m:r>
                <w:rPr>
                  <w:rFonts w:ascii="Cambria Math" w:hAnsi="Cambria Math"/>
                  <w:color w:val="000000" w:themeColor="text1"/>
                  <w:kern w:val="24"/>
                </w:rPr>
                <m:t>d</m:t>
              </m:r>
            </m:sub>
            <m:sup/>
            <m:e>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m:t>
                  </m:r>
                </m:sub>
              </m:sSub>
              <m:r>
                <w:rPr>
                  <w:rFonts w:ascii="Cambria Math" w:hAnsi="Cambria Math"/>
                  <w:color w:val="000000" w:themeColor="text1"/>
                  <w:kern w:val="24"/>
                </w:rPr>
                <m:t>)]</m:t>
              </m:r>
            </m:e>
          </m:nary>
        </m:oMath>
      </m:oMathPara>
    </w:p>
    <w:p w14:paraId="1FB35F2E" w14:textId="77777777" w:rsidR="001119E7" w:rsidRDefault="001119E7" w:rsidP="001119E7">
      <w:pPr>
        <w:pStyle w:val="1"/>
        <w:jc w:val="center"/>
      </w:pPr>
    </w:p>
    <w:p w14:paraId="3F573BC8" w14:textId="77777777" w:rsidR="001119E7" w:rsidRDefault="001119E7" w:rsidP="001119E7">
      <w:pPr>
        <w:pStyle w:val="Heading2"/>
      </w:pPr>
    </w:p>
    <w:p w14:paraId="4FEB17E6" w14:textId="77777777" w:rsidR="00AD4D47" w:rsidRDefault="00AD4D47" w:rsidP="00AD4D47">
      <w:pPr>
        <w:pStyle w:val="Heading2"/>
      </w:pPr>
      <w:r>
        <w:t>Internal BSUoS Costs for each Settlement Day (BSUoSINT</w:t>
      </w:r>
      <w:r>
        <w:rPr>
          <w:vertAlign w:val="subscript"/>
        </w:rPr>
        <w:t>d</w:t>
      </w:r>
      <w:r>
        <w:t>)</w:t>
      </w:r>
    </w:p>
    <w:p w14:paraId="0900B3F7" w14:textId="77777777" w:rsidR="00AD4D47" w:rsidRDefault="00AD4D47" w:rsidP="00AD4D47">
      <w:pPr>
        <w:pStyle w:val="Heading2"/>
      </w:pPr>
    </w:p>
    <w:p w14:paraId="109D483E" w14:textId="0B09C1EB" w:rsidR="001119E7" w:rsidRDefault="001119E7" w:rsidP="001119E7">
      <w:pPr>
        <w:pStyle w:val="Heading2"/>
      </w:pPr>
    </w:p>
    <w:p w14:paraId="7CE92B2A" w14:textId="574B50B0" w:rsidR="001119E7" w:rsidRDefault="001119E7" w:rsidP="001119E7">
      <w:pPr>
        <w:pStyle w:val="1"/>
        <w:jc w:val="both"/>
      </w:pPr>
    </w:p>
    <w:p w14:paraId="1829F6C0" w14:textId="3BAA44ED" w:rsidR="001119E7" w:rsidRDefault="00DF6391" w:rsidP="009F4595">
      <w:pPr>
        <w:pStyle w:val="1"/>
        <w:numPr>
          <w:ilvl w:val="2"/>
          <w:numId w:val="103"/>
        </w:numPr>
        <w:ind w:left="1701" w:hanging="992"/>
        <w:jc w:val="both"/>
      </w:pPr>
      <w:r>
        <w:t>The Internal BSUoS Costs (BSUoSINT</w:t>
      </w:r>
      <w:r>
        <w:rPr>
          <w:vertAlign w:val="subscript"/>
        </w:rPr>
        <w:t>d</w:t>
      </w:r>
      <w:r>
        <w:t>) for each Settlement Day d are calculated by adding the incentivised and non-incentivised SO Internal Costs (as determined in line with Transmission Licence Special Condition 4.1).</w:t>
      </w:r>
      <w:r w:rsidR="001119E7">
        <w:t xml:space="preserve">. </w:t>
      </w:r>
    </w:p>
    <w:p w14:paraId="1CEBED68" w14:textId="77777777" w:rsidR="001119E7" w:rsidRDefault="001119E7" w:rsidP="001119E7">
      <w:pPr>
        <w:rPr>
          <w:lang w:eastAsia="en-US"/>
        </w:rPr>
      </w:pPr>
    </w:p>
    <w:p w14:paraId="21FF7777" w14:textId="77777777" w:rsidR="001119E7" w:rsidRDefault="00B428B8" w:rsidP="001119E7">
      <w:pPr>
        <w:rPr>
          <w:lang w:eastAsia="en-US"/>
        </w:rPr>
      </w:pPr>
      <w:r>
        <w:rPr>
          <w:noProof/>
          <w:lang w:eastAsia="en-US"/>
        </w:rPr>
        <w:pict w14:anchorId="2F58E0BB">
          <v:shape id="_x0000_s2469" type="#_x0000_t75" style="position:absolute;margin-left:104.5pt;margin-top:9.1pt;width:244.3pt;height:42.9pt;z-index:251658273" fillcolor="blue">
            <v:imagedata r:id="rId58" o:title=""/>
            <w10:wrap type="square"/>
          </v:shape>
        </w:pict>
      </w:r>
    </w:p>
    <w:p w14:paraId="6096CB0C" w14:textId="77777777" w:rsidR="001119E7" w:rsidRDefault="001119E7" w:rsidP="001119E7">
      <w:pPr>
        <w:rPr>
          <w:lang w:eastAsia="en-US"/>
        </w:rPr>
      </w:pPr>
    </w:p>
    <w:p w14:paraId="13F87BC1" w14:textId="77777777" w:rsidR="001119E7" w:rsidRDefault="001119E7" w:rsidP="001119E7">
      <w:pPr>
        <w:rPr>
          <w:lang w:eastAsia="en-US"/>
        </w:rPr>
      </w:pPr>
    </w:p>
    <w:p w14:paraId="3EB06046" w14:textId="77777777" w:rsidR="001119E7" w:rsidRDefault="001119E7" w:rsidP="001119E7">
      <w:pPr>
        <w:rPr>
          <w:lang w:eastAsia="en-US"/>
        </w:rPr>
      </w:pPr>
    </w:p>
    <w:p w14:paraId="178AEED4" w14:textId="77777777" w:rsidR="006701B8" w:rsidRDefault="00B428B8" w:rsidP="006701B8">
      <w:pPr>
        <w:rPr>
          <w:lang w:eastAsia="en-US"/>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603348B7" w14:textId="77777777" w:rsidR="001119E7" w:rsidRPr="00BF4F34" w:rsidRDefault="001119E7" w:rsidP="001119E7"/>
    <w:p w14:paraId="783BDC9A" w14:textId="6538B162" w:rsidR="001119E7" w:rsidRDefault="001119E7" w:rsidP="001119E7">
      <w:pPr>
        <w:pStyle w:val="1"/>
        <w:ind w:left="1627"/>
        <w:jc w:val="both"/>
      </w:pPr>
    </w:p>
    <w:p w14:paraId="2B8AE939" w14:textId="77777777" w:rsidR="001119E7" w:rsidRDefault="001119E7" w:rsidP="001119E7">
      <w:pPr>
        <w:pStyle w:val="1"/>
        <w:jc w:val="both"/>
        <w:rPr>
          <w:b/>
          <w:color w:val="008080"/>
        </w:rPr>
      </w:pPr>
      <w:r>
        <w:rPr>
          <w:b/>
          <w:color w:val="008080"/>
        </w:rPr>
        <w:t>Covid-19 specific changes</w:t>
      </w:r>
    </w:p>
    <w:p w14:paraId="0B21EB21" w14:textId="77777777" w:rsidR="001119E7" w:rsidRDefault="001119E7" w:rsidP="001119E7">
      <w:pPr>
        <w:pStyle w:val="1"/>
        <w:ind w:left="1627"/>
        <w:jc w:val="both"/>
      </w:pPr>
    </w:p>
    <w:p w14:paraId="2F46060A" w14:textId="5DCF106A" w:rsidR="001119E7" w:rsidRDefault="001119E7" w:rsidP="009F4595">
      <w:pPr>
        <w:pStyle w:val="1"/>
        <w:numPr>
          <w:ilvl w:val="2"/>
          <w:numId w:val="103"/>
        </w:numPr>
        <w:ind w:left="1701" w:hanging="992"/>
        <w:jc w:val="both"/>
      </w:pPr>
      <w:r w:rsidRPr="00DD7DC6">
        <w:t xml:space="preserve">As a result of the Coronavirus-19 (Covid-19) pandemic, </w:t>
      </w:r>
      <w:r w:rsidR="1CE92958" w:rsidRPr="00150FE0">
        <w:rPr>
          <w:b/>
        </w:rPr>
        <w:t>The Company</w:t>
      </w:r>
      <w:r w:rsidRPr="00150FE0">
        <w:rPr>
          <w:b/>
        </w:rPr>
        <w:t xml:space="preserve"> </w:t>
      </w:r>
      <w:r w:rsidRPr="00DD7DC6">
        <w:t>will make specific and time-limited changes to the BSUoS methodology</w:t>
      </w:r>
      <w:r>
        <w:t xml:space="preserve"> in this Section 2</w:t>
      </w:r>
      <w:r w:rsidRPr="00DD7DC6">
        <w:t xml:space="preserve"> to support those Users identified in </w:t>
      </w:r>
      <w:r w:rsidR="006E0363">
        <w:t>14.3</w:t>
      </w:r>
      <w:r w:rsidR="007177E0">
        <w:t>0</w:t>
      </w:r>
      <w:r w:rsidR="006E0363">
        <w:t>.</w:t>
      </w:r>
      <w:r w:rsidR="007177E0">
        <w:t>4</w:t>
      </w:r>
      <w:r w:rsidRPr="00DD7DC6">
        <w:t xml:space="preserve">This will consist of deferring </w:t>
      </w:r>
      <w:r>
        <w:t xml:space="preserve">the </w:t>
      </w:r>
      <w:r w:rsidRPr="00DD7DC6">
        <w:t>BSUoS costs associated with Covid-19 (“Covid Costs”) from the calculation in 14.3</w:t>
      </w:r>
      <w:r w:rsidR="0034664E">
        <w:t>1</w:t>
      </w:r>
      <w:r w:rsidRPr="00DD7DC6">
        <w:t>.</w:t>
      </w:r>
      <w:r w:rsidR="008310AA">
        <w:t>21</w:t>
      </w:r>
      <w:r w:rsidR="008310AA" w:rsidRPr="00DD7DC6">
        <w:t xml:space="preserve"> </w:t>
      </w:r>
      <w:r w:rsidRPr="00DD7DC6">
        <w:t>to a later date as described in</w:t>
      </w:r>
      <w:r>
        <w:t xml:space="preserve"> </w:t>
      </w:r>
      <w:r w:rsidRPr="009A6831">
        <w:t>14.3</w:t>
      </w:r>
      <w:r w:rsidR="0034664E">
        <w:t>1</w:t>
      </w:r>
      <w:r w:rsidRPr="009A6831">
        <w:t>.</w:t>
      </w:r>
      <w:r w:rsidR="00D8625D">
        <w:t>27</w:t>
      </w:r>
      <w:r w:rsidR="00613FBE">
        <w:t xml:space="preserve"> </w:t>
      </w:r>
      <w:r w:rsidRPr="009A6831">
        <w:t>and 14.3</w:t>
      </w:r>
      <w:r w:rsidR="0034664E">
        <w:t>1</w:t>
      </w:r>
      <w:r w:rsidRPr="009A6831">
        <w:t>.</w:t>
      </w:r>
      <w:r w:rsidR="00D8625D">
        <w:t>2</w:t>
      </w:r>
      <w:r w:rsidR="00255A1A">
        <w:t>8</w:t>
      </w:r>
      <w:r>
        <w:t xml:space="preserve"> (the “Covid Support Scheme”).</w:t>
      </w:r>
    </w:p>
    <w:p w14:paraId="2C627830" w14:textId="77777777" w:rsidR="001119E7" w:rsidRDefault="001119E7" w:rsidP="001119E7">
      <w:pPr>
        <w:pStyle w:val="1"/>
        <w:ind w:left="1627"/>
        <w:jc w:val="both"/>
      </w:pPr>
    </w:p>
    <w:p w14:paraId="58A99903" w14:textId="77777777" w:rsidR="001119E7" w:rsidRDefault="001119E7" w:rsidP="009F4595">
      <w:pPr>
        <w:pStyle w:val="1"/>
        <w:numPr>
          <w:ilvl w:val="2"/>
          <w:numId w:val="164"/>
        </w:numPr>
        <w:jc w:val="both"/>
      </w:pPr>
      <w:r>
        <w:t>Covid Costs shall be calculated as;</w:t>
      </w:r>
    </w:p>
    <w:p w14:paraId="7D5FDE2E" w14:textId="77777777" w:rsidR="001119E7" w:rsidRDefault="001119E7" w:rsidP="001119E7">
      <w:pPr>
        <w:pStyle w:val="ListParagraph"/>
      </w:pPr>
    </w:p>
    <w:p w14:paraId="61DB7F99" w14:textId="77777777" w:rsidR="001119E7" w:rsidRDefault="001119E7" w:rsidP="001119E7">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3CBAF835" w14:textId="77777777" w:rsidR="001119E7" w:rsidRDefault="001119E7" w:rsidP="001119E7">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6BD0EB1C" w14:textId="77777777" w:rsidR="001119E7" w:rsidRDefault="001119E7" w:rsidP="001119E7">
      <w:pPr>
        <w:pStyle w:val="1"/>
        <w:ind w:left="1627"/>
        <w:jc w:val="both"/>
      </w:pPr>
    </w:p>
    <w:p w14:paraId="48D8738D" w14:textId="77777777" w:rsidR="001119E7" w:rsidRDefault="001119E7" w:rsidP="001119E7">
      <w:pPr>
        <w:pStyle w:val="1"/>
        <w:ind w:left="1627"/>
        <w:jc w:val="both"/>
      </w:pPr>
      <w:r>
        <w:t>Where;</w:t>
      </w:r>
    </w:p>
    <w:p w14:paraId="32D5D518" w14:textId="77777777" w:rsidR="001119E7" w:rsidRDefault="001119E7" w:rsidP="001119E7">
      <w:pPr>
        <w:pStyle w:val="1"/>
        <w:ind w:left="1627"/>
        <w:jc w:val="both"/>
      </w:pPr>
    </w:p>
    <w:p w14:paraId="505CD0A3" w14:textId="77777777" w:rsidR="001119E7" w:rsidRDefault="001119E7" w:rsidP="001119E7">
      <w:pPr>
        <w:pStyle w:val="1"/>
        <w:ind w:left="1627"/>
        <w:jc w:val="both"/>
      </w:pPr>
      <w:r>
        <w:t>From 25</w:t>
      </w:r>
      <w:r w:rsidRPr="004C2CE9">
        <w:rPr>
          <w:vertAlign w:val="superscript"/>
        </w:rPr>
        <w:t>th</w:t>
      </w:r>
      <w:r>
        <w:t xml:space="preserve"> June 2020 until the </w:t>
      </w:r>
      <w:r w:rsidRPr="00ED7F31">
        <w:rPr>
          <w:b/>
          <w:bCs/>
        </w:rPr>
        <w:t>Business Day</w:t>
      </w:r>
      <w:r>
        <w:t xml:space="preserve"> after the Authority’s decision on CMP350, COVIDCAPTOT</w:t>
      </w:r>
      <w:r w:rsidRPr="00F56A6A">
        <w:rPr>
          <w:vertAlign w:val="subscript"/>
        </w:rPr>
        <w:t>j</w:t>
      </w:r>
      <w:r>
        <w:t xml:space="preserve"> is calculated as;</w:t>
      </w:r>
    </w:p>
    <w:p w14:paraId="13BCCBAB" w14:textId="77777777" w:rsidR="001119E7" w:rsidRDefault="001119E7" w:rsidP="001119E7">
      <w:pPr>
        <w:pStyle w:val="1"/>
        <w:ind w:left="1627"/>
        <w:jc w:val="both"/>
      </w:pPr>
    </w:p>
    <w:p w14:paraId="4CDE196A" w14:textId="77777777" w:rsidR="001119E7" w:rsidRPr="00575BBD" w:rsidRDefault="001119E7" w:rsidP="001119E7">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7F81DD7B" w14:textId="77777777" w:rsidR="001119E7" w:rsidRDefault="001119E7" w:rsidP="001119E7">
      <w:pPr>
        <w:pStyle w:val="1"/>
        <w:ind w:left="1627"/>
        <w:jc w:val="both"/>
      </w:pPr>
    </w:p>
    <w:p w14:paraId="341AC00E" w14:textId="77777777" w:rsidR="001119E7" w:rsidRDefault="001119E7" w:rsidP="001119E7">
      <w:pPr>
        <w:pStyle w:val="1"/>
        <w:ind w:left="1627"/>
        <w:jc w:val="both"/>
      </w:pPr>
      <w:r>
        <w:t>And</w:t>
      </w:r>
    </w:p>
    <w:p w14:paraId="0146A30B" w14:textId="77777777" w:rsidR="001119E7" w:rsidRDefault="001119E7" w:rsidP="001119E7">
      <w:pPr>
        <w:pStyle w:val="1"/>
        <w:ind w:left="1627"/>
        <w:jc w:val="both"/>
      </w:pPr>
    </w:p>
    <w:p w14:paraId="0DE99B31" w14:textId="77777777" w:rsidR="001119E7" w:rsidRDefault="001119E7" w:rsidP="001119E7">
      <w:pPr>
        <w:pStyle w:val="1"/>
        <w:ind w:left="1627"/>
        <w:jc w:val="both"/>
      </w:pPr>
      <w:r>
        <w:t xml:space="preserve">From </w:t>
      </w:r>
      <w:r w:rsidRPr="00B11384">
        <w:t xml:space="preserve">the first Settlement Period of </w:t>
      </w:r>
      <w:r>
        <w:t xml:space="preserve">the </w:t>
      </w:r>
      <w:r w:rsidRPr="00ED7F31">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55F35123" w14:textId="77777777" w:rsidR="001119E7" w:rsidRDefault="001119E7" w:rsidP="001119E7">
      <w:pPr>
        <w:pStyle w:val="1"/>
        <w:ind w:left="1627"/>
        <w:jc w:val="both"/>
      </w:pPr>
    </w:p>
    <w:p w14:paraId="727C82BE" w14:textId="77777777" w:rsidR="001119E7" w:rsidRDefault="001119E7" w:rsidP="001119E7">
      <w:pPr>
        <w:pStyle w:val="1"/>
        <w:ind w:left="1627"/>
        <w:jc w:val="both"/>
      </w:pPr>
    </w:p>
    <w:p w14:paraId="2DB09F12" w14:textId="77777777" w:rsidR="001119E7" w:rsidRPr="00575BBD" w:rsidRDefault="001119E7" w:rsidP="001119E7">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7BC87415" w14:textId="77777777" w:rsidR="00436EF5" w:rsidRPr="00436EF5" w:rsidRDefault="00436EF5" w:rsidP="00436EF5">
      <w:pPr>
        <w:pStyle w:val="1"/>
        <w:ind w:left="1627"/>
        <w:jc w:val="both"/>
      </w:pPr>
      <w:r w:rsidRPr="00436EF5">
        <w:t>where the Covid Support Scheme End Date shall be the earlier of:</w:t>
      </w:r>
    </w:p>
    <w:p w14:paraId="541A3A2C" w14:textId="77777777" w:rsidR="00436EF5" w:rsidRPr="00436EF5" w:rsidRDefault="00436EF5" w:rsidP="00533333">
      <w:pPr>
        <w:pStyle w:val="1"/>
        <w:numPr>
          <w:ilvl w:val="0"/>
          <w:numId w:val="94"/>
        </w:numPr>
        <w:jc w:val="both"/>
      </w:pPr>
      <w:r w:rsidRPr="00436EF5">
        <w:t>The 25th October 2020, or,</w:t>
      </w:r>
    </w:p>
    <w:p w14:paraId="0D367D3C" w14:textId="4380D599" w:rsidR="00436EF5" w:rsidRPr="00436EF5" w:rsidRDefault="00436EF5" w:rsidP="00533333">
      <w:pPr>
        <w:pStyle w:val="1"/>
        <w:numPr>
          <w:ilvl w:val="0"/>
          <w:numId w:val="94"/>
        </w:numPr>
        <w:jc w:val="both"/>
      </w:pPr>
      <w:r w:rsidRPr="00436EF5">
        <w:t xml:space="preserve">The day as advised by </w:t>
      </w:r>
      <w:r w:rsidR="1CE92958" w:rsidRPr="00150FE0">
        <w:rPr>
          <w:b/>
        </w:rPr>
        <w:t>The Company</w:t>
      </w:r>
      <w:r w:rsidRPr="00436EF5">
        <w:t xml:space="preserve"> as described in 14.3</w:t>
      </w:r>
      <w:r w:rsidR="00E02C9D">
        <w:t>1</w:t>
      </w:r>
      <w:r w:rsidRPr="00436EF5">
        <w:t>.</w:t>
      </w:r>
      <w:r w:rsidR="002B1920">
        <w:t>29</w:t>
      </w:r>
    </w:p>
    <w:p w14:paraId="24319291" w14:textId="77777777" w:rsidR="001119E7" w:rsidRDefault="001119E7" w:rsidP="001119E7">
      <w:pPr>
        <w:pStyle w:val="1"/>
        <w:ind w:left="1627"/>
        <w:jc w:val="both"/>
      </w:pPr>
    </w:p>
    <w:p w14:paraId="1CD0991F" w14:textId="77777777" w:rsidR="001119E7" w:rsidRDefault="001119E7" w:rsidP="001119E7">
      <w:pPr>
        <w:pStyle w:val="1"/>
        <w:ind w:left="1627"/>
        <w:jc w:val="both"/>
      </w:pPr>
    </w:p>
    <w:p w14:paraId="098F08F1" w14:textId="4F5C256A" w:rsidR="001119E7" w:rsidRDefault="001119E7" w:rsidP="009F4595">
      <w:pPr>
        <w:pStyle w:val="1"/>
        <w:numPr>
          <w:ilvl w:val="2"/>
          <w:numId w:val="164"/>
        </w:numPr>
        <w:ind w:left="1701" w:hanging="992"/>
        <w:jc w:val="both"/>
        <w:rPr>
          <w:rFonts w:ascii="Arial" w:hAnsi="Arial" w:cs="Arial"/>
          <w:szCs w:val="22"/>
        </w:rPr>
      </w:pPr>
      <w:r w:rsidRPr="00D13368">
        <w:t xml:space="preserve">Between </w:t>
      </w:r>
      <w:r>
        <w:t xml:space="preserve">2 </w:t>
      </w:r>
      <w:r w:rsidR="00ED7F31">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w:t>
      </w:r>
      <w:r w:rsidR="00EC52BD">
        <w:t>1</w:t>
      </w:r>
      <w:r w:rsidRPr="00DD7DC6">
        <w:t>.</w:t>
      </w:r>
      <w:r w:rsidR="00EA5730">
        <w:t>21</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4F56AE63" w14:textId="77777777" w:rsidR="001119E7" w:rsidRDefault="001119E7" w:rsidP="001119E7">
      <w:pPr>
        <w:pStyle w:val="1"/>
        <w:ind w:left="1627"/>
        <w:jc w:val="both"/>
        <w:rPr>
          <w:rFonts w:ascii="Arial" w:hAnsi="Arial" w:cs="Arial"/>
          <w:szCs w:val="22"/>
        </w:rPr>
      </w:pPr>
    </w:p>
    <w:p w14:paraId="4B6CE594" w14:textId="59E47501" w:rsidR="001119E7" w:rsidRDefault="001119E7" w:rsidP="001119E7">
      <w:pPr>
        <w:ind w:left="720"/>
        <w:rPr>
          <w:rFonts w:ascii="Arial" w:hAnsi="Arial" w:cs="Arial"/>
          <w:sz w:val="22"/>
          <w:szCs w:val="22"/>
          <w:vertAlign w:val="subscript"/>
        </w:rPr>
      </w:pPr>
      <w:r>
        <w:rPr>
          <w:rFonts w:ascii="Arial" w:hAnsi="Arial" w:cs="Arial"/>
          <w:sz w:val="22"/>
          <w:szCs w:val="22"/>
        </w:rPr>
        <w:t xml:space="preserve"> </w:t>
      </w:r>
      <w:r w:rsidR="0034664E">
        <w:rPr>
          <w:rFonts w:ascii="Arial" w:hAnsi="Arial" w:cs="Arial"/>
          <w:sz w:val="22"/>
          <w:szCs w:val="22"/>
        </w:rPr>
        <w:t xml:space="preserve">              </w:t>
      </w:r>
      <w:r>
        <w:rPr>
          <w:rFonts w:ascii="Arial" w:hAnsi="Arial" w:cs="Arial"/>
          <w:sz w:val="22"/>
          <w:szCs w:val="22"/>
        </w:rPr>
        <w:t xml:space="preserve">  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p>
    <w:p w14:paraId="1FB6A4F9" w14:textId="77777777" w:rsidR="0061512D" w:rsidRDefault="0061512D" w:rsidP="001119E7">
      <w:pPr>
        <w:ind w:left="720"/>
        <w:rPr>
          <w:rFonts w:ascii="Arial" w:hAnsi="Arial" w:cs="Arial"/>
          <w:sz w:val="22"/>
          <w:szCs w:val="22"/>
          <w:vertAlign w:val="subscript"/>
        </w:rPr>
      </w:pPr>
    </w:p>
    <w:p w14:paraId="2BB041E6" w14:textId="383562ED" w:rsidR="001119E7" w:rsidRDefault="0061512D" w:rsidP="001119E7">
      <w:pPr>
        <w:ind w:left="720"/>
        <w:rPr>
          <w:rFonts w:ascii="Arial (W1)" w:hAnsi="Arial (W1)"/>
          <w:sz w:val="22"/>
          <w:szCs w:val="20"/>
          <w:lang w:eastAsia="en-US"/>
        </w:rPr>
      </w:pPr>
      <w:r>
        <w:rPr>
          <w:rFonts w:ascii="Arial" w:hAnsi="Arial" w:cs="Arial"/>
          <w:sz w:val="22"/>
          <w:szCs w:val="22"/>
          <w:vertAlign w:val="subscript"/>
        </w:rPr>
        <w:tab/>
      </w:r>
      <w:r w:rsidR="0034664E">
        <w:rPr>
          <w:rFonts w:ascii="Arial" w:hAnsi="Arial" w:cs="Arial"/>
          <w:sz w:val="22"/>
          <w:szCs w:val="22"/>
          <w:vertAlign w:val="subscript"/>
        </w:rPr>
        <w:t xml:space="preserve">       </w:t>
      </w:r>
      <w:r w:rsidRPr="0061512D">
        <w:rPr>
          <w:rFonts w:ascii="Arial (W1)" w:hAnsi="Arial (W1)"/>
          <w:sz w:val="22"/>
          <w:szCs w:val="20"/>
          <w:lang w:eastAsia="en-US"/>
        </w:rPr>
        <w:t>The COVID Support Scheme End Date shall be the earlier of:</w:t>
      </w:r>
    </w:p>
    <w:p w14:paraId="41F1A3ED" w14:textId="4E0F03C7" w:rsidR="0061512D" w:rsidRDefault="0061512D" w:rsidP="00533333">
      <w:pPr>
        <w:pStyle w:val="ListParagraph"/>
        <w:numPr>
          <w:ilvl w:val="0"/>
          <w:numId w:val="99"/>
        </w:numPr>
        <w:ind w:left="2268"/>
        <w:rPr>
          <w:rFonts w:ascii="Arial (W1)" w:hAnsi="Arial (W1)"/>
          <w:sz w:val="22"/>
          <w:szCs w:val="20"/>
          <w:lang w:eastAsia="en-US"/>
        </w:rPr>
      </w:pPr>
      <w:r>
        <w:rPr>
          <w:rFonts w:ascii="Arial (W1)" w:hAnsi="Arial (W1)"/>
          <w:sz w:val="22"/>
          <w:szCs w:val="20"/>
          <w:lang w:eastAsia="en-US"/>
        </w:rPr>
        <w:t>The 25</w:t>
      </w:r>
      <w:r w:rsidRPr="0061512D">
        <w:rPr>
          <w:rFonts w:ascii="Arial (W1)" w:hAnsi="Arial (W1)"/>
          <w:sz w:val="22"/>
          <w:szCs w:val="20"/>
          <w:vertAlign w:val="superscript"/>
          <w:lang w:eastAsia="en-US"/>
        </w:rPr>
        <w:t>th</w:t>
      </w:r>
      <w:r>
        <w:rPr>
          <w:rFonts w:ascii="Arial (W1)" w:hAnsi="Arial (W1)"/>
          <w:sz w:val="22"/>
          <w:szCs w:val="20"/>
          <w:lang w:eastAsia="en-US"/>
        </w:rPr>
        <w:t xml:space="preserve"> October 2020, or, </w:t>
      </w:r>
    </w:p>
    <w:p w14:paraId="73E5001E" w14:textId="4BC4BF76" w:rsidR="0034664E" w:rsidRPr="00150FE0" w:rsidRDefault="0061512D" w:rsidP="00150FE0">
      <w:pPr>
        <w:ind w:left="1908"/>
        <w:rPr>
          <w:rFonts w:ascii="Arial (W1)" w:hAnsi="Arial (W1)"/>
          <w:sz w:val="22"/>
          <w:szCs w:val="22"/>
          <w:lang w:eastAsia="en-US"/>
        </w:rPr>
      </w:pPr>
      <w:r w:rsidRPr="39EF7C5B">
        <w:rPr>
          <w:rFonts w:ascii="Arial (W1)" w:hAnsi="Arial (W1)"/>
          <w:sz w:val="22"/>
          <w:szCs w:val="22"/>
          <w:lang w:eastAsia="en-US"/>
        </w:rPr>
        <w:t>The day as advised by</w:t>
      </w:r>
      <w:r w:rsidR="3B2A405E" w:rsidRPr="39EF7C5B">
        <w:rPr>
          <w:rFonts w:ascii="Arial (W1)" w:hAnsi="Arial (W1)"/>
          <w:sz w:val="22"/>
          <w:szCs w:val="22"/>
          <w:lang w:eastAsia="en-US"/>
        </w:rPr>
        <w:t xml:space="preserve"> </w:t>
      </w:r>
      <w:r w:rsidRPr="00150FE0">
        <w:rPr>
          <w:rFonts w:ascii="Arial (W1)" w:hAnsi="Arial (W1)"/>
          <w:b/>
          <w:bCs/>
          <w:sz w:val="22"/>
          <w:szCs w:val="22"/>
          <w:lang w:eastAsia="en-US"/>
        </w:rPr>
        <w:t>The</w:t>
      </w:r>
      <w:r w:rsidRPr="00150FE0">
        <w:rPr>
          <w:rFonts w:ascii="Arial (W1)" w:hAnsi="Arial (W1)"/>
          <w:b/>
          <w:sz w:val="22"/>
          <w:szCs w:val="22"/>
          <w:lang w:eastAsia="en-US"/>
        </w:rPr>
        <w:t xml:space="preserve"> Company </w:t>
      </w:r>
      <w:r w:rsidRPr="39EF7C5B">
        <w:rPr>
          <w:rFonts w:ascii="Arial (W1)" w:hAnsi="Arial (W1)"/>
          <w:sz w:val="22"/>
          <w:szCs w:val="22"/>
          <w:lang w:eastAsia="en-US"/>
        </w:rPr>
        <w:t>as described in 14.3</w:t>
      </w:r>
      <w:r w:rsidR="0034664E">
        <w:rPr>
          <w:rFonts w:ascii="Arial (W1)" w:hAnsi="Arial (W1)"/>
          <w:sz w:val="22"/>
          <w:szCs w:val="22"/>
          <w:lang w:eastAsia="en-US"/>
        </w:rPr>
        <w:t>1</w:t>
      </w:r>
      <w:r w:rsidRPr="39EF7C5B">
        <w:rPr>
          <w:rFonts w:ascii="Arial (W1)" w:hAnsi="Arial (W1)"/>
          <w:sz w:val="22"/>
          <w:szCs w:val="22"/>
          <w:lang w:eastAsia="en-US"/>
        </w:rPr>
        <w:t>.</w:t>
      </w:r>
      <w:r w:rsidR="00C13E2D">
        <w:rPr>
          <w:rFonts w:ascii="Arial (W1)" w:hAnsi="Arial (W1)"/>
          <w:sz w:val="22"/>
          <w:szCs w:val="22"/>
          <w:lang w:eastAsia="en-US"/>
        </w:rPr>
        <w:t>30</w:t>
      </w:r>
    </w:p>
    <w:p w14:paraId="6E005FA8" w14:textId="15D7C240" w:rsidR="0061512D" w:rsidRPr="0061512D" w:rsidRDefault="0034664E" w:rsidP="00DF49BC">
      <w:pPr>
        <w:ind w:left="1701" w:hanging="992"/>
        <w:rPr>
          <w:rFonts w:ascii="Arial" w:hAnsi="Arial" w:cs="Arial"/>
          <w:sz w:val="22"/>
          <w:szCs w:val="22"/>
          <w:lang w:eastAsia="en-US"/>
        </w:rPr>
      </w:pPr>
      <w:r>
        <w:rPr>
          <w:rFonts w:ascii="Arial" w:hAnsi="Arial" w:cs="Arial"/>
          <w:sz w:val="22"/>
          <w:szCs w:val="22"/>
          <w:lang w:eastAsia="en-US"/>
        </w:rPr>
        <w:t>14.31.</w:t>
      </w:r>
      <w:r w:rsidR="00DF49BC">
        <w:rPr>
          <w:rFonts w:ascii="Arial" w:hAnsi="Arial" w:cs="Arial"/>
          <w:sz w:val="22"/>
          <w:szCs w:val="22"/>
          <w:lang w:eastAsia="en-US"/>
        </w:rPr>
        <w:t xml:space="preserve">28 </w:t>
      </w:r>
      <w:r>
        <w:rPr>
          <w:rFonts w:ascii="Arial" w:hAnsi="Arial" w:cs="Arial"/>
          <w:sz w:val="22"/>
          <w:szCs w:val="22"/>
          <w:lang w:eastAsia="en-US"/>
        </w:rPr>
        <w:t xml:space="preserve"> </w:t>
      </w:r>
      <w:r w:rsidR="0061512D" w:rsidRPr="0061512D">
        <w:rPr>
          <w:rFonts w:ascii="Arial" w:hAnsi="Arial" w:cs="Arial"/>
          <w:sz w:val="22"/>
          <w:szCs w:val="22"/>
          <w:lang w:eastAsia="en-US"/>
        </w:rPr>
        <w:t xml:space="preserve">During the </w:t>
      </w:r>
      <w:r w:rsidR="0061512D">
        <w:rPr>
          <w:rFonts w:ascii="Arial" w:hAnsi="Arial" w:cs="Arial"/>
          <w:b/>
          <w:bCs/>
          <w:sz w:val="22"/>
          <w:szCs w:val="22"/>
          <w:lang w:eastAsia="en-US"/>
        </w:rPr>
        <w:t>Financial Year</w:t>
      </w:r>
      <w:r w:rsidR="0061512D" w:rsidRPr="0061512D">
        <w:rPr>
          <w:rFonts w:ascii="Arial" w:hAnsi="Arial" w:cs="Arial"/>
          <w:sz w:val="22"/>
          <w:szCs w:val="22"/>
          <w:lang w:eastAsia="en-US"/>
        </w:rPr>
        <w:t xml:space="preserve"> 2021/22, the formula in 14.3</w:t>
      </w:r>
      <w:r w:rsidR="00E02C9D">
        <w:rPr>
          <w:rFonts w:ascii="Arial" w:hAnsi="Arial" w:cs="Arial"/>
          <w:sz w:val="22"/>
          <w:szCs w:val="22"/>
          <w:lang w:eastAsia="en-US"/>
        </w:rPr>
        <w:t>1</w:t>
      </w:r>
      <w:r w:rsidR="0061512D" w:rsidRPr="0061512D">
        <w:rPr>
          <w:rFonts w:ascii="Arial" w:hAnsi="Arial" w:cs="Arial"/>
          <w:sz w:val="22"/>
          <w:szCs w:val="22"/>
          <w:lang w:eastAsia="en-US"/>
        </w:rPr>
        <w:t>.</w:t>
      </w:r>
      <w:r w:rsidR="009C51AA">
        <w:rPr>
          <w:rFonts w:ascii="Arial" w:hAnsi="Arial" w:cs="Arial"/>
          <w:sz w:val="22"/>
          <w:szCs w:val="22"/>
          <w:lang w:eastAsia="en-US"/>
        </w:rPr>
        <w:t>21</w:t>
      </w:r>
      <w:r w:rsidR="0061512D" w:rsidRPr="0061512D">
        <w:rPr>
          <w:rFonts w:ascii="Arial" w:hAnsi="Arial" w:cs="Arial"/>
          <w:sz w:val="22"/>
          <w:szCs w:val="22"/>
          <w:lang w:eastAsia="en-US"/>
        </w:rPr>
        <w:t xml:space="preserve"> shall be updated so that Covid Costs (BSUoSCOVIDjd) for Settlement Period j in Settlement Day are added as follows;</w:t>
      </w:r>
    </w:p>
    <w:p w14:paraId="4AFB44E8" w14:textId="248F5B0A" w:rsidR="0061512D" w:rsidRPr="0061512D" w:rsidRDefault="0061512D" w:rsidP="0061512D">
      <w:pPr>
        <w:rPr>
          <w:rFonts w:ascii="Arial" w:hAnsi="Arial" w:cs="Arial"/>
          <w:sz w:val="22"/>
          <w:szCs w:val="22"/>
          <w:lang w:eastAsia="en-US"/>
        </w:rPr>
      </w:pPr>
    </w:p>
    <w:p w14:paraId="5271AAC1" w14:textId="77777777" w:rsidR="008B0A42" w:rsidRDefault="0061512D" w:rsidP="0061512D">
      <w:pPr>
        <w:ind w:left="1701"/>
        <w:rPr>
          <w:rFonts w:ascii="Arial" w:hAnsi="Arial" w:cs="Arial"/>
          <w:sz w:val="22"/>
          <w:szCs w:val="22"/>
          <w:lang w:eastAsia="en-US"/>
        </w:rPr>
      </w:pPr>
      <w:r w:rsidRPr="0061512D">
        <w:rPr>
          <w:rFonts w:ascii="Arial" w:hAnsi="Arial" w:cs="Arial"/>
          <w:sz w:val="22"/>
          <w:szCs w:val="22"/>
          <w:lang w:eastAsia="en-US"/>
        </w:rPr>
        <w:t>BSUoSTOTjd = BSUoSEXTjd + BSUoSINTjd + BSUoSCOVIDjd</w:t>
      </w:r>
    </w:p>
    <w:p w14:paraId="49A9918D" w14:textId="77777777" w:rsidR="008B0A42" w:rsidRDefault="008B0A42" w:rsidP="0061512D">
      <w:pPr>
        <w:ind w:left="1701"/>
        <w:rPr>
          <w:rFonts w:ascii="Arial" w:hAnsi="Arial" w:cs="Arial"/>
          <w:sz w:val="22"/>
          <w:szCs w:val="22"/>
          <w:lang w:eastAsia="en-US"/>
        </w:rPr>
      </w:pPr>
    </w:p>
    <w:p w14:paraId="2AA4518C" w14:textId="1143C64D" w:rsidR="0061512D" w:rsidRPr="0061512D" w:rsidRDefault="0061512D" w:rsidP="0061512D">
      <w:pPr>
        <w:ind w:left="1701"/>
        <w:rPr>
          <w:rFonts w:ascii="Arial" w:hAnsi="Arial" w:cs="Arial"/>
          <w:sz w:val="22"/>
          <w:szCs w:val="22"/>
          <w:lang w:eastAsia="en-US"/>
        </w:rPr>
      </w:pPr>
      <w:r w:rsidRPr="0061512D">
        <w:rPr>
          <w:rFonts w:ascii="Arial" w:hAnsi="Arial" w:cs="Arial"/>
          <w:sz w:val="22"/>
          <w:szCs w:val="22"/>
          <w:lang w:eastAsia="en-US"/>
        </w:rPr>
        <w:t xml:space="preserve"> Where </w:t>
      </w:r>
      <w:r w:rsidR="008B0A42">
        <w:rPr>
          <w:rFonts w:ascii="Arial" w:hAnsi="Arial" w:cs="Arial"/>
          <w:sz w:val="22"/>
          <w:szCs w:val="22"/>
          <w:lang w:eastAsia="en-US"/>
        </w:rPr>
        <w:t>:</w:t>
      </w:r>
      <w:r w:rsidRPr="0061512D">
        <w:rPr>
          <w:rFonts w:ascii="Arial" w:hAnsi="Arial" w:cs="Arial"/>
          <w:sz w:val="22"/>
          <w:szCs w:val="22"/>
          <w:lang w:eastAsia="en-US"/>
        </w:rPr>
        <w:t xml:space="preserve">BSUoSCOVIDjd, is the cumulative total Covid Cost of the Covid Support Scheme (including any administrative or financing cost borne by </w:t>
      </w:r>
      <w:r w:rsidR="1CE92958" w:rsidRPr="35F371ED">
        <w:rPr>
          <w:rFonts w:ascii="Arial" w:hAnsi="Arial" w:cs="Arial"/>
          <w:sz w:val="22"/>
          <w:szCs w:val="22"/>
          <w:lang w:eastAsia="en-US"/>
        </w:rPr>
        <w:t>T</w:t>
      </w:r>
      <w:r w:rsidR="1CE92958" w:rsidRPr="00150FE0">
        <w:rPr>
          <w:rFonts w:ascii="Arial" w:hAnsi="Arial" w:cs="Arial"/>
          <w:b/>
          <w:sz w:val="22"/>
          <w:szCs w:val="22"/>
          <w:lang w:eastAsia="en-US"/>
        </w:rPr>
        <w:t>he Company</w:t>
      </w:r>
      <w:r w:rsidRPr="00150FE0">
        <w:rPr>
          <w:rFonts w:ascii="Arial" w:hAnsi="Arial" w:cs="Arial"/>
          <w:b/>
          <w:sz w:val="22"/>
          <w:szCs w:val="22"/>
          <w:lang w:eastAsia="en-US"/>
        </w:rPr>
        <w:t>,</w:t>
      </w:r>
      <w:r w:rsidRPr="0061512D">
        <w:rPr>
          <w:rFonts w:ascii="Arial" w:hAnsi="Arial" w:cs="Arial"/>
          <w:sz w:val="22"/>
          <w:szCs w:val="22"/>
          <w:lang w:eastAsia="en-US"/>
        </w:rPr>
        <w:t xml:space="preserve"> as agreed by The Authority) recovered equally from each Settlement Period in the </w:t>
      </w:r>
      <w:r>
        <w:rPr>
          <w:rFonts w:ascii="Arial" w:hAnsi="Arial" w:cs="Arial"/>
          <w:b/>
          <w:bCs/>
          <w:sz w:val="22"/>
          <w:szCs w:val="22"/>
          <w:lang w:eastAsia="en-US"/>
        </w:rPr>
        <w:t>Financial Year</w:t>
      </w:r>
      <w:r w:rsidRPr="0061512D">
        <w:rPr>
          <w:rFonts w:ascii="Arial" w:hAnsi="Arial" w:cs="Arial"/>
          <w:sz w:val="22"/>
          <w:szCs w:val="22"/>
          <w:lang w:eastAsia="en-US"/>
        </w:rPr>
        <w:t>.</w:t>
      </w:r>
    </w:p>
    <w:p w14:paraId="72B1CC15" w14:textId="77777777" w:rsidR="0061512D" w:rsidRPr="0061512D" w:rsidRDefault="0061512D" w:rsidP="001119E7">
      <w:pPr>
        <w:ind w:left="720"/>
        <w:rPr>
          <w:rFonts w:ascii="Arial (W1)" w:hAnsi="Arial (W1)"/>
          <w:sz w:val="22"/>
          <w:szCs w:val="20"/>
          <w:lang w:eastAsia="en-US"/>
        </w:rPr>
      </w:pPr>
    </w:p>
    <w:p w14:paraId="50C133FF" w14:textId="610236DB" w:rsidR="001119E7" w:rsidRDefault="004D5385" w:rsidP="00FC77EF">
      <w:pPr>
        <w:pStyle w:val="1"/>
        <w:ind w:left="1701" w:hanging="141"/>
        <w:jc w:val="both"/>
      </w:pPr>
      <w:r w:rsidRPr="00DC7C0C">
        <w:t>Outside of the date ranges listed in 14.3</w:t>
      </w:r>
      <w:r w:rsidR="00E02C9D">
        <w:t>1</w:t>
      </w:r>
      <w:r w:rsidRPr="00DC7C0C">
        <w:t>.</w:t>
      </w:r>
      <w:r w:rsidR="00043D28">
        <w:t>26</w:t>
      </w:r>
      <w:r w:rsidRPr="00DC7C0C">
        <w:t xml:space="preserve"> and 14.3</w:t>
      </w:r>
      <w:r w:rsidR="00E02C9D">
        <w:t>1</w:t>
      </w:r>
      <w:r w:rsidRPr="00DC7C0C">
        <w:t>.</w:t>
      </w:r>
      <w:r w:rsidR="00043D28">
        <w:t>27</w:t>
      </w:r>
      <w:r w:rsidRPr="00DC7C0C">
        <w:t>, the formula in 14.3</w:t>
      </w:r>
      <w:r w:rsidR="00E02C9D">
        <w:t>1</w:t>
      </w:r>
      <w:r w:rsidRPr="00DC7C0C">
        <w:t>.</w:t>
      </w:r>
      <w:r w:rsidR="007F564D">
        <w:t>21</w:t>
      </w:r>
      <w:r>
        <w:t xml:space="preserve"> </w:t>
      </w:r>
      <w:r w:rsidRPr="00DC7C0C">
        <w:t>shall be unchanged and in effect.</w:t>
      </w:r>
    </w:p>
    <w:p w14:paraId="2DA31F12" w14:textId="77777777" w:rsidR="0034664E" w:rsidRPr="00337CE8" w:rsidRDefault="0034664E" w:rsidP="00FC77EF">
      <w:pPr>
        <w:pStyle w:val="1"/>
        <w:ind w:left="1701" w:hanging="141"/>
        <w:jc w:val="both"/>
        <w:rPr>
          <w:rFonts w:ascii="Arial" w:hAnsi="Arial" w:cs="Arial"/>
          <w:szCs w:val="22"/>
        </w:rPr>
      </w:pPr>
    </w:p>
    <w:p w14:paraId="37E915F4" w14:textId="77777777" w:rsidR="001119E7" w:rsidRDefault="001119E7" w:rsidP="001119E7">
      <w:pPr>
        <w:pStyle w:val="1"/>
        <w:jc w:val="both"/>
      </w:pPr>
    </w:p>
    <w:p w14:paraId="03FC0663" w14:textId="77777777" w:rsidR="001119E7" w:rsidRPr="00FD3A75" w:rsidRDefault="001119E7" w:rsidP="001119E7">
      <w:pPr>
        <w:pStyle w:val="1"/>
        <w:ind w:left="1627"/>
        <w:jc w:val="both"/>
        <w:rPr>
          <w:rFonts w:ascii="Arial" w:hAnsi="Arial" w:cs="Arial"/>
          <w:szCs w:val="22"/>
        </w:rPr>
      </w:pPr>
    </w:p>
    <w:p w14:paraId="768DC826" w14:textId="64D677A0" w:rsidR="001119E7" w:rsidRDefault="1CE92958" w:rsidP="002E5E76">
      <w:pPr>
        <w:pStyle w:val="1"/>
        <w:numPr>
          <w:ilvl w:val="2"/>
          <w:numId w:val="104"/>
        </w:numPr>
        <w:ind w:left="1701" w:hanging="992"/>
        <w:jc w:val="both"/>
        <w:rPr>
          <w:rFonts w:ascii="Arial" w:hAnsi="Arial" w:cs="Arial"/>
        </w:rPr>
      </w:pPr>
      <w:r w:rsidRPr="00150FE0">
        <w:rPr>
          <w:b/>
        </w:rPr>
        <w:t>The</w:t>
      </w:r>
      <w:r w:rsidR="001119E7" w:rsidRPr="00150FE0">
        <w:rPr>
          <w:b/>
        </w:rPr>
        <w:t xml:space="preserve"> Company</w:t>
      </w:r>
      <w:r w:rsidR="001119E7" w:rsidRPr="00D0386B">
        <w:t xml:space="preserve"> shall provide weekly updates to notify industry of the</w:t>
      </w:r>
      <w:r w:rsidR="001119E7">
        <w:t xml:space="preserve"> total</w:t>
      </w:r>
      <w:r w:rsidR="001119E7" w:rsidRPr="00D0386B">
        <w:t xml:space="preserve"> Covid Costs</w:t>
      </w:r>
      <w:r w:rsidR="001119E7" w:rsidRPr="005B18CD">
        <w:t xml:space="preserve"> removed</w:t>
      </w:r>
      <w:r w:rsidR="001119E7">
        <w:t xml:space="preserve"> under paragraphs 14.3</w:t>
      </w:r>
      <w:r w:rsidR="0056466D">
        <w:t>1</w:t>
      </w:r>
      <w:r w:rsidR="001119E7">
        <w:t>.</w:t>
      </w:r>
      <w:r w:rsidR="00D7765E">
        <w:t>27</w:t>
      </w:r>
      <w:r w:rsidR="001119E7">
        <w:t xml:space="preserve"> and 14.3</w:t>
      </w:r>
      <w:r w:rsidR="0056466D">
        <w:t>1</w:t>
      </w:r>
      <w:r w:rsidR="001119E7">
        <w:t>.</w:t>
      </w:r>
      <w:r w:rsidR="00D7765E">
        <w:t>28</w:t>
      </w:r>
      <w:r w:rsidR="001119E7">
        <w:t xml:space="preserve">. When </w:t>
      </w:r>
      <w:r w:rsidR="001119E7" w:rsidRPr="35F371ED">
        <w:rPr>
          <w:rFonts w:ascii="Arial" w:hAnsi="Arial" w:cs="Arial"/>
        </w:rPr>
        <w:t>BSUoSCOVID</w:t>
      </w:r>
      <w:r w:rsidR="001119E7" w:rsidRPr="35F371ED">
        <w:rPr>
          <w:rFonts w:ascii="Arial" w:hAnsi="Arial" w:cs="Arial"/>
          <w:vertAlign w:val="subscript"/>
        </w:rPr>
        <w:t xml:space="preserve">jd </w:t>
      </w:r>
      <w:r w:rsidR="001119E7" w:rsidRPr="35F371ED">
        <w:rPr>
          <w:rFonts w:ascii="Arial" w:hAnsi="Arial" w:cs="Arial"/>
        </w:rPr>
        <w:t xml:space="preserve">reaches a value of £60m, </w:t>
      </w:r>
      <w:r w:rsidRPr="00150FE0">
        <w:rPr>
          <w:rFonts w:ascii="Arial" w:hAnsi="Arial" w:cs="Arial"/>
          <w:b/>
        </w:rPr>
        <w:t>The Company</w:t>
      </w:r>
      <w:r w:rsidR="001119E7" w:rsidRPr="00150FE0">
        <w:rPr>
          <w:rFonts w:ascii="Arial" w:hAnsi="Arial" w:cs="Arial"/>
          <w:b/>
        </w:rPr>
        <w:t xml:space="preserve"> </w:t>
      </w:r>
      <w:r w:rsidR="001119E7" w:rsidRPr="35F371ED">
        <w:rPr>
          <w:rFonts w:ascii="Arial" w:hAnsi="Arial" w:cs="Arial"/>
        </w:rPr>
        <w:t xml:space="preserve">shall revise the frequency of these updates to each </w:t>
      </w:r>
      <w:r w:rsidR="001119E7" w:rsidRPr="35F371ED">
        <w:rPr>
          <w:rFonts w:ascii="Arial" w:hAnsi="Arial" w:cs="Arial"/>
          <w:b/>
        </w:rPr>
        <w:t>Business Day</w:t>
      </w:r>
      <w:r w:rsidR="001119E7" w:rsidRPr="006B5382">
        <w:t xml:space="preserve"> </w:t>
      </w:r>
      <w:r w:rsidR="001119E7" w:rsidRPr="35F371ED">
        <w:rPr>
          <w:rFonts w:ascii="Arial" w:hAnsi="Arial" w:cs="Arial"/>
        </w:rPr>
        <w:t xml:space="preserve">from the next </w:t>
      </w:r>
      <w:r w:rsidR="001119E7" w:rsidRPr="35F371ED">
        <w:rPr>
          <w:rFonts w:ascii="Arial" w:hAnsi="Arial" w:cs="Arial"/>
          <w:b/>
        </w:rPr>
        <w:t>Business Day</w:t>
      </w:r>
      <w:r w:rsidR="001119E7" w:rsidRPr="35F371ED">
        <w:rPr>
          <w:rFonts w:ascii="Arial" w:hAnsi="Arial" w:cs="Arial"/>
        </w:rPr>
        <w:t xml:space="preserve"> after BSUoSCOVID</w:t>
      </w:r>
      <w:r w:rsidR="001119E7" w:rsidRPr="35F371ED">
        <w:rPr>
          <w:rFonts w:ascii="Arial" w:hAnsi="Arial" w:cs="Arial"/>
          <w:vertAlign w:val="subscript"/>
        </w:rPr>
        <w:t>jd</w:t>
      </w:r>
      <w:r w:rsidR="001119E7" w:rsidRPr="35F371ED">
        <w:rPr>
          <w:rFonts w:ascii="Arial" w:hAnsi="Arial" w:cs="Arial"/>
        </w:rPr>
        <w:t xml:space="preserve"> reaches a value of £60m. </w:t>
      </w:r>
    </w:p>
    <w:p w14:paraId="69184C1F" w14:textId="77777777" w:rsidR="0056466D" w:rsidRDefault="0056466D" w:rsidP="00150FE0">
      <w:pPr>
        <w:pStyle w:val="1"/>
        <w:ind w:left="2346"/>
        <w:jc w:val="both"/>
        <w:rPr>
          <w:rFonts w:ascii="Arial" w:hAnsi="Arial" w:cs="Arial"/>
        </w:rPr>
      </w:pPr>
    </w:p>
    <w:p w14:paraId="568CD87B" w14:textId="77777777" w:rsidR="0034664E" w:rsidRPr="00490DB2" w:rsidRDefault="0034664E" w:rsidP="00150FE0">
      <w:pPr>
        <w:pStyle w:val="1"/>
        <w:ind w:left="1627"/>
        <w:jc w:val="both"/>
        <w:rPr>
          <w:b/>
          <w:color w:val="008080"/>
        </w:rPr>
      </w:pPr>
    </w:p>
    <w:p w14:paraId="38443EE2" w14:textId="77777777" w:rsidR="001119E7" w:rsidRPr="00490DB2" w:rsidRDefault="001119E7" w:rsidP="001119E7">
      <w:pPr>
        <w:pStyle w:val="1"/>
        <w:ind w:left="1627"/>
        <w:jc w:val="both"/>
        <w:rPr>
          <w:b/>
          <w:color w:val="008080"/>
        </w:rPr>
      </w:pPr>
    </w:p>
    <w:p w14:paraId="2D2D3F4A" w14:textId="4B9D8FBD" w:rsidR="001119E7" w:rsidRDefault="001119E7" w:rsidP="002E5E76">
      <w:pPr>
        <w:pStyle w:val="1"/>
        <w:numPr>
          <w:ilvl w:val="2"/>
          <w:numId w:val="104"/>
        </w:numPr>
        <w:ind w:left="1701" w:hanging="992"/>
        <w:jc w:val="both"/>
      </w:pPr>
      <w:r>
        <w:t xml:space="preserve"> </w:t>
      </w:r>
      <w:r w:rsidRPr="006B5382">
        <w:t xml:space="preserve">When </w:t>
      </w:r>
      <w:r w:rsidR="1CE92958" w:rsidRPr="00150FE0">
        <w:rPr>
          <w:b/>
        </w:rPr>
        <w:t>The</w:t>
      </w:r>
      <w:r w:rsidRPr="00150FE0">
        <w:rPr>
          <w:b/>
        </w:rPr>
        <w:t xml:space="preserv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1CE92958" w:rsidRPr="00150FE0">
        <w:rPr>
          <w:b/>
        </w:rPr>
        <w:t>The Company</w:t>
      </w:r>
      <w:r w:rsidRPr="006B5382">
        <w:t xml:space="preserve"> shall notify Users of when the Covid Support Scheme will end. </w:t>
      </w:r>
      <w:r w:rsidR="1CE92958" w:rsidRPr="00150FE0">
        <w:rPr>
          <w:b/>
        </w:rPr>
        <w:t>The Company</w:t>
      </w:r>
      <w:r w:rsidRPr="006B5382">
        <w:t xml:space="preserve"> shall give no less than 2 </w:t>
      </w:r>
      <w:r w:rsidRPr="0061512D">
        <w:rPr>
          <w:b/>
          <w:bCs/>
        </w:rPr>
        <w:t>Business Days</w:t>
      </w:r>
      <w:r w:rsidRPr="006B5382">
        <w:t xml:space="preserve"> notice of the Covid Support Scheme ending. Such notice shall be accompanied by an opinion which states that it is the reasonable judgement of </w:t>
      </w:r>
      <w:r w:rsidR="1CE92958" w:rsidRPr="00150FE0">
        <w:rPr>
          <w:b/>
        </w:rPr>
        <w:t>The Company</w:t>
      </w:r>
      <w:r w:rsidRPr="00150FE0">
        <w:rPr>
          <w:b/>
        </w:rPr>
        <w:t xml:space="preserve"> </w:t>
      </w:r>
      <w:r w:rsidRPr="006B5382">
        <w:t>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2B8A631E" w14:textId="36F795FD" w:rsidR="00DA069B" w:rsidRDefault="00DA069B" w:rsidP="00DA069B">
      <w:pPr>
        <w:pStyle w:val="ListParagraph"/>
      </w:pPr>
    </w:p>
    <w:p w14:paraId="18EC050B" w14:textId="77777777" w:rsidR="00B463F7" w:rsidRDefault="00B463F7" w:rsidP="00DA069B">
      <w:pPr>
        <w:pStyle w:val="1"/>
        <w:ind w:left="1627"/>
        <w:jc w:val="both"/>
        <w:rPr>
          <w:b/>
          <w:bCs/>
        </w:rPr>
      </w:pPr>
    </w:p>
    <w:p w14:paraId="1F3856DA" w14:textId="77777777" w:rsidR="00B463F7" w:rsidRDefault="00B463F7" w:rsidP="00DA069B">
      <w:pPr>
        <w:pStyle w:val="1"/>
        <w:ind w:left="1627"/>
        <w:jc w:val="both"/>
        <w:rPr>
          <w:b/>
          <w:bCs/>
        </w:rPr>
      </w:pPr>
    </w:p>
    <w:p w14:paraId="36895140" w14:textId="77777777" w:rsidR="00B463F7" w:rsidRDefault="00B463F7" w:rsidP="00150FE0">
      <w:pPr>
        <w:pStyle w:val="1"/>
        <w:ind w:left="1627" w:hanging="776"/>
        <w:jc w:val="both"/>
        <w:rPr>
          <w:b/>
          <w:bCs/>
        </w:rPr>
      </w:pPr>
    </w:p>
    <w:p w14:paraId="4A4A9D89" w14:textId="296AA26C" w:rsidR="00DA069B" w:rsidRDefault="00DA069B" w:rsidP="00150FE0">
      <w:pPr>
        <w:pStyle w:val="1"/>
        <w:ind w:left="1627" w:hanging="918"/>
        <w:jc w:val="both"/>
      </w:pPr>
      <w:r w:rsidRPr="00083919">
        <w:rPr>
          <w:b/>
          <w:bCs/>
        </w:rPr>
        <w:lastRenderedPageBreak/>
        <w:t>2020/21 Under Recovered Costs</w:t>
      </w:r>
    </w:p>
    <w:p w14:paraId="5CB4EA1F" w14:textId="77777777" w:rsidR="00DA069B" w:rsidRDefault="00DA069B" w:rsidP="00DA069B">
      <w:pPr>
        <w:pStyle w:val="ListParagraph"/>
      </w:pPr>
    </w:p>
    <w:p w14:paraId="79C6DA62" w14:textId="4F4AFEDC" w:rsidR="00DA069B" w:rsidRDefault="6F9FADCE" w:rsidP="00533333">
      <w:pPr>
        <w:pStyle w:val="1"/>
        <w:numPr>
          <w:ilvl w:val="2"/>
          <w:numId w:val="104"/>
        </w:numPr>
        <w:ind w:left="1843" w:hanging="992"/>
        <w:jc w:val="both"/>
      </w:pPr>
      <w:r>
        <w:t xml:space="preserve">Given the </w:t>
      </w:r>
      <w:r w:rsidR="7D02257E">
        <w:t>circumstances giving rise to the £33,163,790.21 under recovery of external BSUoS costs during</w:t>
      </w:r>
      <w:r w:rsidR="0F6B5488">
        <w:t xml:space="preserve"> </w:t>
      </w:r>
      <w:r w:rsidR="0F6B5488" w:rsidRPr="0537B9E0">
        <w:rPr>
          <w:b/>
          <w:bCs/>
        </w:rPr>
        <w:t>Fi</w:t>
      </w:r>
      <w:r w:rsidR="7D02257E" w:rsidRPr="0537B9E0">
        <w:rPr>
          <w:b/>
          <w:bCs/>
        </w:rPr>
        <w:t xml:space="preserve">nancial </w:t>
      </w:r>
      <w:r w:rsidR="0F6B5488" w:rsidRPr="0537B9E0">
        <w:rPr>
          <w:b/>
          <w:bCs/>
        </w:rPr>
        <w:t>Y</w:t>
      </w:r>
      <w:r w:rsidR="7D02257E" w:rsidRPr="0537B9E0">
        <w:rPr>
          <w:b/>
          <w:bCs/>
        </w:rPr>
        <w:t>ear</w:t>
      </w:r>
      <w:r w:rsidR="7D02257E">
        <w:t xml:space="preserve"> 2020/21 (the “2020/21 Under Recovered Costs”, which sum is separate and in addition to the COVID </w:t>
      </w:r>
      <w:r w:rsidR="195B3617">
        <w:t>Costs) The</w:t>
      </w:r>
      <w:r w:rsidR="5EB42C4B" w:rsidRPr="0537B9E0">
        <w:rPr>
          <w:b/>
          <w:bCs/>
        </w:rPr>
        <w:t xml:space="preserve"> Company</w:t>
      </w:r>
      <w:r w:rsidR="7D02257E">
        <w:t xml:space="preserve"> will make specific and time-limited changes to the BSUoS methodology. This consists of deferring the recovery of the 2020/21 Under Recovered Costs from recovery through the Final Reconciliation Settlement Run (RF) for </w:t>
      </w:r>
      <w:r w:rsidR="0F6B5488" w:rsidRPr="0537B9E0">
        <w:rPr>
          <w:b/>
          <w:bCs/>
        </w:rPr>
        <w:t>Financial Yea</w:t>
      </w:r>
      <w:r w:rsidR="7D02257E" w:rsidRPr="0537B9E0">
        <w:rPr>
          <w:b/>
          <w:bCs/>
        </w:rPr>
        <w:t>r</w:t>
      </w:r>
      <w:r w:rsidR="7D02257E">
        <w:t xml:space="preserve"> 2020/21 for Settlement Days 30th September 2020 to 9th March 2021 to a later date as described in 14.3</w:t>
      </w:r>
      <w:r w:rsidR="0AD10223">
        <w:t>1</w:t>
      </w:r>
      <w:r w:rsidR="7D02257E">
        <w:t>.</w:t>
      </w:r>
      <w:r w:rsidR="4C28FB12">
        <w:t>31</w:t>
      </w:r>
    </w:p>
    <w:p w14:paraId="09D8141C" w14:textId="77777777" w:rsidR="00D61F3D" w:rsidRDefault="00D61F3D" w:rsidP="00D61F3D">
      <w:pPr>
        <w:pStyle w:val="1"/>
        <w:jc w:val="both"/>
      </w:pPr>
    </w:p>
    <w:p w14:paraId="41882BE5" w14:textId="77777777" w:rsidR="00D61F3D" w:rsidRDefault="00D61F3D" w:rsidP="00C16C75"/>
    <w:p w14:paraId="545A71AA" w14:textId="58D89FE4" w:rsidR="00681611" w:rsidRPr="000E49BE" w:rsidRDefault="00293FCF" w:rsidP="00533333">
      <w:pPr>
        <w:pStyle w:val="1"/>
        <w:numPr>
          <w:ilvl w:val="2"/>
          <w:numId w:val="104"/>
        </w:numPr>
        <w:ind w:left="1843" w:hanging="992"/>
        <w:jc w:val="both"/>
      </w:pPr>
      <w:r w:rsidRPr="000E49BE">
        <w:t>The formula in 14.3</w:t>
      </w:r>
      <w:r w:rsidR="00B463F7">
        <w:t>1</w:t>
      </w:r>
      <w:r w:rsidRPr="000E49BE">
        <w:t>.</w:t>
      </w:r>
      <w:r w:rsidR="002D78CA">
        <w:t>23</w:t>
      </w:r>
      <w:r w:rsidRPr="000E49BE">
        <w:t xml:space="preserve"> shall be updated between 1st October 2021 and 31st March 2022 so that the 2020/21 Under Recovered Costs (BSUoSUR20</w:t>
      </w:r>
      <w:r w:rsidRPr="000E49BE">
        <w:rPr>
          <w:vertAlign w:val="subscript"/>
        </w:rPr>
        <w:t>d</w:t>
      </w:r>
      <w:r w:rsidRPr="000E49BE">
        <w:t xml:space="preserve">) for Settlement Day d are added as follows; </w:t>
      </w:r>
      <w:r w:rsidRPr="000E49BE">
        <w:rPr>
          <w:rFonts w:ascii="Cambria Math" w:hAnsi="Cambria Math" w:cs="Cambria Math"/>
        </w:rPr>
        <w:t>𝐵𝑆𝑈𝑜𝑆𝐸𝑋𝑇𝑗𝑑</w:t>
      </w:r>
      <w:r w:rsidRPr="000E49BE">
        <w:t xml:space="preserve"> = </w:t>
      </w:r>
      <w:r w:rsidRPr="000E49BE">
        <w:rPr>
          <w:rFonts w:ascii="Cambria Math" w:hAnsi="Cambria Math" w:cs="Cambria Math"/>
        </w:rPr>
        <w:t>𝐶𝑆𝑂𝐵𝑀𝑗𝑑</w:t>
      </w:r>
      <w:r w:rsidRPr="000E49BE">
        <w:t xml:space="preserve"> + </w:t>
      </w:r>
      <w:r w:rsidRPr="000E49BE">
        <w:rPr>
          <w:rFonts w:ascii="Cambria Math" w:hAnsi="Cambria Math" w:cs="Cambria Math"/>
        </w:rPr>
        <w:t>𝐵𝑆𝐶𝐶𝑉𝑗𝑑</w:t>
      </w:r>
      <w:r w:rsidRPr="000E49BE">
        <w:t xml:space="preserve"> + [ (</w:t>
      </w:r>
      <w:r w:rsidRPr="000E49BE">
        <w:rPr>
          <w:rFonts w:ascii="Cambria Math" w:hAnsi="Cambria Math" w:cs="Cambria Math"/>
        </w:rPr>
        <w:t>𝐵𝑆𝐶𝐶𝐴𝑑</w:t>
      </w:r>
      <w:r w:rsidRPr="000E49BE">
        <w:t xml:space="preserve"> + </w:t>
      </w:r>
      <w:r w:rsidRPr="000E49BE">
        <w:rPr>
          <w:rFonts w:ascii="Cambria Math" w:hAnsi="Cambria Math" w:cs="Cambria Math"/>
        </w:rPr>
        <w:t>𝑇𝑜𝑡𝐴𝑑𝑗𝑑</w:t>
      </w:r>
      <w:r w:rsidRPr="000E49BE">
        <w:t xml:space="preserve"> − </w:t>
      </w:r>
      <w:r w:rsidRPr="000E49BE">
        <w:rPr>
          <w:rFonts w:ascii="Cambria Math" w:hAnsi="Cambria Math" w:cs="Cambria Math"/>
        </w:rPr>
        <w:t>𝑂𝑀𝑑</w:t>
      </w:r>
      <w:r w:rsidRPr="000E49BE">
        <w:t xml:space="preserve"> + </w:t>
      </w:r>
      <w:r w:rsidRPr="000E49BE">
        <w:rPr>
          <w:rFonts w:ascii="Cambria Math" w:hAnsi="Cambria Math" w:cs="Cambria Math"/>
        </w:rPr>
        <w:t>𝐵𝑆𝐶𝑑</w:t>
      </w:r>
      <w:r w:rsidRPr="000E49BE">
        <w:t xml:space="preserve"> + </w:t>
      </w:r>
      <w:r w:rsidRPr="000E49BE">
        <w:rPr>
          <w:rFonts w:ascii="Cambria Math" w:hAnsi="Cambria Math" w:cs="Cambria Math"/>
        </w:rPr>
        <w:t>𝑆𝑂𝑇𝑂𝐶𝑑</w:t>
      </w:r>
      <w:r w:rsidRPr="000E49BE">
        <w:t xml:space="preserve"> + </w:t>
      </w:r>
      <w:r w:rsidRPr="000E49BE">
        <w:rPr>
          <w:rFonts w:ascii="Cambria Math" w:hAnsi="Cambria Math" w:cs="Cambria Math"/>
        </w:rPr>
        <w:t>𝐿𝑂𝐶𝑇𝑅𝑈𝑑</w:t>
      </w:r>
      <w:r w:rsidRPr="000E49BE">
        <w:t xml:space="preserve"> + </w:t>
      </w:r>
      <w:r w:rsidRPr="000E49BE">
        <w:rPr>
          <w:rFonts w:ascii="Cambria Math" w:hAnsi="Cambria Math" w:cs="Cambria Math"/>
        </w:rPr>
        <w:t>𝐵𝑆𝑈𝑜𝑆𝐶𝐶𝑂𝑉𝐼𝐷𝑑</w:t>
      </w:r>
      <w:r w:rsidRPr="000E49BE">
        <w:t xml:space="preserve"> + </w:t>
      </w:r>
      <w:r w:rsidRPr="000E49BE">
        <w:rPr>
          <w:rFonts w:ascii="Cambria Math" w:hAnsi="Cambria Math" w:cs="Cambria Math"/>
        </w:rPr>
        <w:t>𝐵𝑆𝑈𝑜𝑆𝑈𝑅</w:t>
      </w:r>
      <w:r w:rsidRPr="000E49BE">
        <w:t>20</w:t>
      </w:r>
      <w:r w:rsidRPr="000E49BE">
        <w:rPr>
          <w:rFonts w:ascii="Cambria Math" w:hAnsi="Cambria Math" w:cs="Cambria Math"/>
          <w:vertAlign w:val="subscript"/>
        </w:rPr>
        <w:t>𝑑</w:t>
      </w:r>
      <w:r w:rsidRPr="000E49BE">
        <w:rPr>
          <w:vertAlign w:val="subscript"/>
        </w:rPr>
        <w:t xml:space="preserve"> </w:t>
      </w:r>
      <w:r w:rsidRPr="000E49BE">
        <w:t xml:space="preserve">) </w:t>
      </w:r>
      <w:r w:rsidRPr="000E49BE">
        <w:rPr>
          <w:rFonts w:ascii="Cambria Math" w:hAnsi="Cambria Math" w:cs="Cambria Math"/>
        </w:rPr>
        <w:t>∗</w:t>
      </w:r>
      <w:r w:rsidRPr="000E49BE">
        <w:t xml:space="preserve"> (</w:t>
      </w:r>
      <w:r w:rsidRPr="000E49BE">
        <w:rPr>
          <w:rFonts w:ascii="Cambria Math" w:hAnsi="Cambria Math" w:cs="Cambria Math"/>
        </w:rPr>
        <w:t>𝑇𝑄𝑀𝑖𝑗𝑑</w:t>
      </w:r>
      <w:r w:rsidRPr="000E49BE">
        <w:t xml:space="preserve"> + </w:t>
      </w:r>
      <w:r w:rsidRPr="000E49BE">
        <w:rPr>
          <w:rFonts w:ascii="Cambria Math" w:hAnsi="Cambria Math" w:cs="Cambria Math"/>
        </w:rPr>
        <w:t>𝑆𝐺𝑄𝑀𝑖𝑗𝑑</w:t>
      </w:r>
      <w:r w:rsidRPr="000E49BE">
        <w:t>)/∑ (</w:t>
      </w:r>
      <w:r w:rsidRPr="000E49BE">
        <w:rPr>
          <w:rFonts w:ascii="Cambria Math" w:hAnsi="Cambria Math" w:cs="Cambria Math"/>
        </w:rPr>
        <w:t>𝑇𝑄𝑀𝑖𝑗</w:t>
      </w:r>
      <w:r w:rsidRPr="000E49BE">
        <w:t xml:space="preserve"> + </w:t>
      </w:r>
      <w:r w:rsidRPr="000E49BE">
        <w:rPr>
          <w:rFonts w:ascii="Cambria Math" w:hAnsi="Cambria Math" w:cs="Cambria Math"/>
        </w:rPr>
        <w:t>𝑆𝐺𝑄𝑀𝑖𝑗</w:t>
      </w:r>
      <w:r w:rsidRPr="000E49BE">
        <w:t xml:space="preserve"> )] </w:t>
      </w:r>
      <w:r w:rsidRPr="000E49BE">
        <w:rPr>
          <w:rFonts w:ascii="Cambria Math" w:hAnsi="Cambria Math" w:cs="Cambria Math"/>
        </w:rPr>
        <w:t>𝑗∈𝑑</w:t>
      </w:r>
      <w:r w:rsidRPr="000E49BE">
        <w:t xml:space="preserve"> Outside of the date range listed in 14.3</w:t>
      </w:r>
      <w:r w:rsidR="00EC52BD">
        <w:t>1</w:t>
      </w:r>
      <w:r w:rsidRPr="000E49BE">
        <w:t>.</w:t>
      </w:r>
      <w:r w:rsidR="00061613">
        <w:t>31</w:t>
      </w:r>
      <w:r w:rsidRPr="000E49BE">
        <w:t xml:space="preserve"> the formula in 14.3</w:t>
      </w:r>
      <w:r w:rsidR="00EC52BD">
        <w:t>1</w:t>
      </w:r>
      <w:r w:rsidRPr="000E49BE">
        <w:t>.</w:t>
      </w:r>
      <w:r w:rsidR="00734E4F">
        <w:t>22</w:t>
      </w:r>
      <w:r w:rsidRPr="000E49BE">
        <w:t xml:space="preserve"> shall be unchanged by 14.3</w:t>
      </w:r>
      <w:r w:rsidR="00B463F7">
        <w:t>1</w:t>
      </w:r>
      <w:r w:rsidRPr="000E49BE">
        <w:t>.</w:t>
      </w:r>
      <w:r w:rsidR="00E808ED">
        <w:t>31</w:t>
      </w:r>
      <w:r w:rsidRPr="000E49BE">
        <w:t>.</w:t>
      </w:r>
      <w:r w:rsidR="000E49BE" w:rsidRPr="000E49BE">
        <w:t xml:space="preserve"> </w:t>
      </w:r>
      <w:r w:rsidR="00681611" w:rsidRPr="000E49BE">
        <w:t>Outside of the date range listed in 14.3</w:t>
      </w:r>
      <w:r w:rsidR="00B463F7">
        <w:t>1</w:t>
      </w:r>
      <w:r w:rsidR="00681611" w:rsidRPr="000E49BE">
        <w:t>.</w:t>
      </w:r>
      <w:r w:rsidR="00E808ED">
        <w:t>31</w:t>
      </w:r>
      <w:r w:rsidR="00266795" w:rsidRPr="000E49BE">
        <w:t xml:space="preserve"> </w:t>
      </w:r>
      <w:r w:rsidR="00681611" w:rsidRPr="000E49BE">
        <w:t>the formula in 14.3</w:t>
      </w:r>
      <w:r w:rsidR="00EC52BD">
        <w:t>1</w:t>
      </w:r>
      <w:r w:rsidR="00681611" w:rsidRPr="000E49BE">
        <w:t>.</w:t>
      </w:r>
      <w:r w:rsidR="00E808ED">
        <w:t>22</w:t>
      </w:r>
      <w:r w:rsidR="00681611" w:rsidRPr="000E49BE">
        <w:t xml:space="preserve"> shall be unchanged by 14.3</w:t>
      </w:r>
      <w:r w:rsidR="00B463F7">
        <w:t>1</w:t>
      </w:r>
      <w:r w:rsidR="00681611" w:rsidRPr="000E49BE">
        <w:t>.</w:t>
      </w:r>
      <w:r w:rsidR="00E808ED">
        <w:t>31</w:t>
      </w:r>
      <w:r w:rsidR="00681611" w:rsidRPr="000E49BE">
        <w:t xml:space="preserve">. </w:t>
      </w:r>
    </w:p>
    <w:p w14:paraId="6F3EB9D1" w14:textId="546B6795" w:rsidR="00681611" w:rsidRDefault="00681611" w:rsidP="00681611">
      <w:pPr>
        <w:pStyle w:val="1"/>
        <w:ind w:left="720"/>
        <w:jc w:val="both"/>
      </w:pPr>
    </w:p>
    <w:p w14:paraId="52CC680E" w14:textId="77777777" w:rsidR="00681611" w:rsidRDefault="00681611" w:rsidP="00681611">
      <w:pPr>
        <w:pStyle w:val="1"/>
        <w:jc w:val="both"/>
        <w:rPr>
          <w:b/>
          <w:color w:val="008080"/>
        </w:rPr>
      </w:pPr>
      <w:r>
        <w:rPr>
          <w:b/>
          <w:color w:val="008080"/>
        </w:rPr>
        <w:t>Temporary BSUoS Cost Deferral</w:t>
      </w:r>
    </w:p>
    <w:p w14:paraId="3771A542" w14:textId="77777777" w:rsidR="00681611" w:rsidRDefault="00681611" w:rsidP="00681611">
      <w:pPr>
        <w:pStyle w:val="1"/>
        <w:ind w:left="720"/>
        <w:jc w:val="both"/>
      </w:pPr>
    </w:p>
    <w:p w14:paraId="20A8C883" w14:textId="429DE948" w:rsidR="00681611" w:rsidRDefault="00681611" w:rsidP="00533333">
      <w:pPr>
        <w:pStyle w:val="1"/>
        <w:numPr>
          <w:ilvl w:val="2"/>
          <w:numId w:val="104"/>
        </w:numPr>
        <w:tabs>
          <w:tab w:val="left" w:pos="1985"/>
        </w:tabs>
        <w:ind w:left="1843" w:hanging="992"/>
        <w:jc w:val="both"/>
      </w:pPr>
      <w:r w:rsidRPr="00DD7DC6">
        <w:t xml:space="preserve">As a result of the </w:t>
      </w:r>
      <w:r>
        <w:t>exceptional market conditions</w:t>
      </w:r>
      <w:r w:rsidRPr="00DD7DC6">
        <w:t xml:space="preserve">, </w:t>
      </w:r>
      <w:r w:rsidR="1CE92958" w:rsidRPr="35F371ED">
        <w:rPr>
          <w:b/>
          <w:bCs/>
        </w:rPr>
        <w:t>The Company</w:t>
      </w:r>
      <w:r w:rsidRPr="00DD7DC6">
        <w:t xml:space="preserve"> will make specific and time-limited changes to the BSUoS methodology</w:t>
      </w:r>
      <w:r>
        <w:t xml:space="preserve"> in this Section 2</w:t>
      </w:r>
      <w:r w:rsidRPr="00DD7DC6">
        <w:t xml:space="preserve"> to support those </w:t>
      </w:r>
      <w:r w:rsidRPr="00C82D21">
        <w:rPr>
          <w:b/>
          <w:bCs/>
        </w:rPr>
        <w:t>Users</w:t>
      </w:r>
      <w:r w:rsidRPr="00DD7DC6">
        <w:t xml:space="preserve"> identified in 14.</w:t>
      </w:r>
      <w:r w:rsidR="00B463F7">
        <w:t>30</w:t>
      </w:r>
      <w:r w:rsidRPr="00DD7DC6">
        <w:t xml:space="preserve">.4. This will consist of deferring </w:t>
      </w:r>
      <w:r>
        <w:t xml:space="preserve">the </w:t>
      </w:r>
      <w:r w:rsidRPr="00DD7DC6">
        <w:t xml:space="preserve">BSUoS costs associated with </w:t>
      </w:r>
      <w:r>
        <w:t>the exceptional market conditions</w:t>
      </w:r>
      <w:r w:rsidRPr="00DD7DC6">
        <w:t xml:space="preserve"> (“</w:t>
      </w:r>
      <w:r w:rsidRPr="00E13182">
        <w:t>Exceptional Costs</w:t>
      </w:r>
      <w:r w:rsidRPr="00DD7DC6">
        <w:t xml:space="preserve">”) </w:t>
      </w:r>
      <w:r w:rsidRPr="00666992">
        <w:t>above a defined £/MWh value</w:t>
      </w:r>
      <w:r>
        <w:t xml:space="preserve"> </w:t>
      </w:r>
      <w:r w:rsidRPr="00DD7DC6">
        <w:t>from the calculation in 14.3</w:t>
      </w:r>
      <w:r w:rsidR="00E02C9D">
        <w:t>1</w:t>
      </w:r>
      <w:r w:rsidRPr="00DD7DC6">
        <w:t>.</w:t>
      </w:r>
      <w:r w:rsidR="00A433F1">
        <w:t>21</w:t>
      </w:r>
      <w:r w:rsidRPr="00DD7DC6">
        <w:t xml:space="preserve"> to a later date as described in</w:t>
      </w:r>
      <w:r>
        <w:t xml:space="preserve"> </w:t>
      </w:r>
      <w:r w:rsidRPr="009A6831">
        <w:t>14.3</w:t>
      </w:r>
      <w:r w:rsidR="00B463F7">
        <w:t>1</w:t>
      </w:r>
      <w:r w:rsidRPr="009A6831">
        <w:t>.</w:t>
      </w:r>
      <w:r w:rsidR="00E436D0">
        <w:t>34</w:t>
      </w:r>
      <w:r>
        <w:t xml:space="preserve"> </w:t>
      </w:r>
      <w:r w:rsidRPr="009A6831">
        <w:t>and 14.3</w:t>
      </w:r>
      <w:r w:rsidR="00B463F7">
        <w:t>1</w:t>
      </w:r>
      <w:r w:rsidRPr="009A6831">
        <w:t>.</w:t>
      </w:r>
      <w:r w:rsidR="005B743D">
        <w:t xml:space="preserve">35 </w:t>
      </w:r>
      <w:r>
        <w:t>(the “</w:t>
      </w:r>
      <w:r w:rsidRPr="00E13182">
        <w:t>Exceptional Costs Support Scheme</w:t>
      </w:r>
      <w:r>
        <w:t>”).</w:t>
      </w:r>
    </w:p>
    <w:p w14:paraId="3B24C89F" w14:textId="77777777" w:rsidR="004C1DC2" w:rsidRDefault="004C1DC2" w:rsidP="004C1DC2">
      <w:pPr>
        <w:pStyle w:val="1"/>
        <w:ind w:left="1627"/>
        <w:jc w:val="both"/>
      </w:pPr>
    </w:p>
    <w:p w14:paraId="0D3144E5" w14:textId="3FFDC86A" w:rsidR="004C1DC2" w:rsidRDefault="004C1DC2" w:rsidP="00533333">
      <w:pPr>
        <w:pStyle w:val="1"/>
        <w:numPr>
          <w:ilvl w:val="2"/>
          <w:numId w:val="104"/>
        </w:numPr>
        <w:ind w:left="1843" w:hanging="992"/>
        <w:jc w:val="both"/>
      </w:pPr>
      <w:r w:rsidRPr="00E13182">
        <w:t>Exceptional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B22FE98" w14:textId="77777777" w:rsidR="005A256C" w:rsidRDefault="005A256C" w:rsidP="005A256C">
      <w:pPr>
        <w:pStyle w:val="ListParagraph"/>
      </w:pPr>
    </w:p>
    <w:p w14:paraId="05FE62DA" w14:textId="77777777" w:rsidR="005A256C" w:rsidRDefault="005A256C" w:rsidP="005A256C">
      <w:pPr>
        <w:pStyle w:val="1"/>
        <w:ind w:left="1627"/>
        <w:jc w:val="both"/>
      </w:pPr>
    </w:p>
    <w:p w14:paraId="347CCED9" w14:textId="77777777" w:rsidR="005A256C" w:rsidRDefault="005A256C" w:rsidP="005A256C">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33182FBA" w14:textId="77777777" w:rsidR="005A256C" w:rsidRDefault="005A256C" w:rsidP="005A256C">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41EBC4B1" w14:textId="77777777" w:rsidR="005A256C" w:rsidRDefault="005A256C" w:rsidP="005A256C">
      <w:pPr>
        <w:pStyle w:val="1"/>
        <w:ind w:left="1627"/>
        <w:jc w:val="both"/>
      </w:pPr>
    </w:p>
    <w:p w14:paraId="0CE59724" w14:textId="12D6F86B" w:rsidR="005A256C" w:rsidRDefault="005A256C" w:rsidP="005A256C">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5C04CAAE" w14:textId="3EE05CB0" w:rsidR="001369BF" w:rsidRDefault="001369BF" w:rsidP="005A256C">
      <w:pPr>
        <w:pStyle w:val="1"/>
        <w:ind w:left="1627"/>
        <w:jc w:val="both"/>
      </w:pPr>
    </w:p>
    <w:p w14:paraId="0E2288C4" w14:textId="4C0039F5" w:rsidR="001E2F70" w:rsidRPr="00014799" w:rsidRDefault="001E2F70" w:rsidP="001E2F70">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40509FDC" w14:textId="77777777" w:rsidR="001369BF" w:rsidRPr="00E21046" w:rsidRDefault="001369BF" w:rsidP="005A256C">
      <w:pPr>
        <w:pStyle w:val="1"/>
        <w:ind w:left="1627"/>
        <w:jc w:val="both"/>
      </w:pPr>
    </w:p>
    <w:p w14:paraId="067FE450" w14:textId="77777777" w:rsidR="004C1DC2" w:rsidRDefault="004C1DC2" w:rsidP="004C1DC2">
      <w:pPr>
        <w:pStyle w:val="ListParagraph"/>
      </w:pPr>
    </w:p>
    <w:p w14:paraId="34840591" w14:textId="2415E23E" w:rsidR="00D355F9" w:rsidRDefault="00D355F9" w:rsidP="00533333">
      <w:pPr>
        <w:pStyle w:val="1"/>
        <w:numPr>
          <w:ilvl w:val="2"/>
          <w:numId w:val="104"/>
        </w:numPr>
        <w:ind w:left="1843" w:hanging="992"/>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w:t>
      </w:r>
      <w:r w:rsidR="00E02C9D">
        <w:t>1</w:t>
      </w:r>
      <w:r>
        <w:t>.</w:t>
      </w:r>
      <w:r w:rsidR="00102C14">
        <w:t>21</w:t>
      </w:r>
      <w:r>
        <w:t xml:space="preserve"> and 14.3</w:t>
      </w:r>
      <w:r w:rsidR="00E02C9D">
        <w:t>1</w:t>
      </w:r>
      <w:r>
        <w:t>.</w:t>
      </w:r>
      <w:r w:rsidR="00102C14">
        <w:t>28</w:t>
      </w:r>
      <w:r>
        <w:t xml:space="preserve">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0A31DF38" w14:textId="364D199F" w:rsidR="00D355F9" w:rsidRDefault="00D355F9" w:rsidP="00D355F9">
      <w:pPr>
        <w:pStyle w:val="1"/>
        <w:ind w:left="1627"/>
        <w:jc w:val="both"/>
      </w:pPr>
    </w:p>
    <w:p w14:paraId="46DCBE08" w14:textId="0B1C4754" w:rsidR="00D355F9" w:rsidRDefault="004E7F07" w:rsidP="00D355F9">
      <w:pPr>
        <w:pStyle w:val="1"/>
        <w:ind w:left="1627"/>
        <w:jc w:val="both"/>
        <w:rPr>
          <w:rFonts w:ascii="Arial" w:hAnsi="Arial" w:cs="Arial"/>
          <w:szCs w:val="22"/>
          <w:vertAlign w:val="subscript"/>
        </w:rPr>
      </w:pPr>
      <w:r>
        <w:rPr>
          <w:rFonts w:ascii="Arial" w:hAnsi="Arial" w:cs="Arial"/>
          <w:szCs w:val="22"/>
        </w:rPr>
        <w:t>BSUoSTOT</w:t>
      </w:r>
      <w:r w:rsidRPr="009A6831">
        <w:rPr>
          <w:rFonts w:ascii="Arial" w:hAnsi="Arial" w:cs="Arial"/>
          <w:szCs w:val="22"/>
          <w:vertAlign w:val="subscript"/>
        </w:rPr>
        <w:t>jd</w:t>
      </w:r>
      <w:r>
        <w:rPr>
          <w:rFonts w:ascii="Arial" w:hAnsi="Arial" w:cs="Arial"/>
          <w:szCs w:val="22"/>
        </w:rPr>
        <w:t xml:space="preserve"> = BSUoSEXT</w:t>
      </w:r>
      <w:r w:rsidRPr="009A6831">
        <w:rPr>
          <w:rFonts w:ascii="Arial" w:hAnsi="Arial" w:cs="Arial"/>
          <w:szCs w:val="22"/>
          <w:vertAlign w:val="subscript"/>
        </w:rPr>
        <w:t>jd</w:t>
      </w:r>
      <w:r>
        <w:rPr>
          <w:rFonts w:ascii="Arial" w:hAnsi="Arial" w:cs="Arial"/>
          <w:szCs w:val="22"/>
        </w:rPr>
        <w:t xml:space="preserve"> + BSUoSINT</w:t>
      </w:r>
      <w:r w:rsidRPr="009A6831">
        <w:rPr>
          <w:rFonts w:ascii="Arial" w:hAnsi="Arial" w:cs="Arial"/>
          <w:szCs w:val="22"/>
          <w:vertAlign w:val="subscript"/>
        </w:rPr>
        <w:t>jd</w:t>
      </w:r>
      <w:r>
        <w:rPr>
          <w:rFonts w:ascii="Arial" w:hAnsi="Arial" w:cs="Arial"/>
          <w:szCs w:val="22"/>
        </w:rPr>
        <w:t xml:space="preserve"> + BSUoSCOVID</w:t>
      </w:r>
      <w:r w:rsidRPr="009A6831">
        <w:rPr>
          <w:rFonts w:ascii="Arial" w:hAnsi="Arial" w:cs="Arial"/>
          <w:szCs w:val="22"/>
          <w:vertAlign w:val="subscript"/>
        </w:rPr>
        <w:t>jd</w:t>
      </w:r>
      <w:r>
        <w:rPr>
          <w:rFonts w:ascii="Arial" w:hAnsi="Arial" w:cs="Arial"/>
          <w:szCs w:val="22"/>
          <w:vertAlign w:val="subscript"/>
        </w:rPr>
        <w:t xml:space="preserve"> </w:t>
      </w:r>
      <w:r>
        <w:rPr>
          <w:rFonts w:ascii="Arial" w:hAnsi="Arial" w:cs="Arial"/>
          <w:szCs w:val="22"/>
        </w:rPr>
        <w:t>- BSUoSEXC</w:t>
      </w:r>
      <w:r w:rsidRPr="009A6831">
        <w:rPr>
          <w:rFonts w:ascii="Arial" w:hAnsi="Arial" w:cs="Arial"/>
          <w:szCs w:val="22"/>
          <w:vertAlign w:val="subscript"/>
        </w:rPr>
        <w:t>jd</w:t>
      </w:r>
    </w:p>
    <w:p w14:paraId="44E8BC30" w14:textId="77777777" w:rsidR="00861EE3" w:rsidRPr="001E359B" w:rsidRDefault="00861EE3" w:rsidP="00861EE3">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2F88691C" w14:textId="77777777" w:rsidR="00861EE3" w:rsidRPr="001E359B" w:rsidRDefault="00861EE3" w:rsidP="00533333">
      <w:pPr>
        <w:numPr>
          <w:ilvl w:val="0"/>
          <w:numId w:val="98"/>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1F3531B0" w14:textId="6F2BF2C9" w:rsidR="00861EE3" w:rsidRPr="001E359B" w:rsidRDefault="00861EE3" w:rsidP="00533333">
      <w:pPr>
        <w:numPr>
          <w:ilvl w:val="0"/>
          <w:numId w:val="98"/>
        </w:numPr>
        <w:rPr>
          <w:rFonts w:ascii="Arial" w:hAnsi="Arial" w:cs="Arial"/>
          <w:sz w:val="22"/>
          <w:szCs w:val="22"/>
        </w:rPr>
      </w:pPr>
      <w:r w:rsidRPr="58E0835F">
        <w:rPr>
          <w:rFonts w:ascii="Arial" w:hAnsi="Arial" w:cs="Arial"/>
          <w:sz w:val="22"/>
          <w:szCs w:val="22"/>
        </w:rPr>
        <w:lastRenderedPageBreak/>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1CE92958" w:rsidRPr="35F371ED">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sidR="00E02C9D">
        <w:rPr>
          <w:rFonts w:ascii="Arial" w:hAnsi="Arial" w:cs="Arial"/>
          <w:sz w:val="22"/>
          <w:szCs w:val="22"/>
        </w:rPr>
        <w:t>1</w:t>
      </w:r>
      <w:r w:rsidRPr="58E0835F">
        <w:rPr>
          <w:rFonts w:ascii="Arial" w:hAnsi="Arial" w:cs="Arial"/>
          <w:sz w:val="22"/>
          <w:szCs w:val="22"/>
        </w:rPr>
        <w:t>.</w:t>
      </w:r>
      <w:r w:rsidR="00AF2CA4">
        <w:rPr>
          <w:rFonts w:ascii="Arial" w:hAnsi="Arial" w:cs="Arial"/>
          <w:sz w:val="22"/>
          <w:szCs w:val="22"/>
        </w:rPr>
        <w:t>38</w:t>
      </w:r>
    </w:p>
    <w:p w14:paraId="60F3CE75" w14:textId="77777777" w:rsidR="00D355F9" w:rsidRDefault="00D355F9" w:rsidP="00DF7633">
      <w:pPr>
        <w:pStyle w:val="1"/>
        <w:jc w:val="both"/>
        <w:rPr>
          <w:rFonts w:ascii="Arial" w:hAnsi="Arial" w:cs="Arial"/>
        </w:rPr>
      </w:pPr>
    </w:p>
    <w:p w14:paraId="4D765863" w14:textId="279ED763" w:rsidR="00DF7633" w:rsidRDefault="00DF7633" w:rsidP="00533333">
      <w:pPr>
        <w:pStyle w:val="1"/>
        <w:numPr>
          <w:ilvl w:val="2"/>
          <w:numId w:val="104"/>
        </w:numPr>
        <w:ind w:left="1701" w:hanging="850"/>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 </w:t>
      </w:r>
      <w:r w:rsidR="00F8707E" w:rsidRPr="00E21A8B">
        <w:t xml:space="preserve">beginning the </w:t>
      </w:r>
      <w:r w:rsidR="00F8707E" w:rsidRPr="00E21A8B">
        <w:rPr>
          <w:b/>
          <w:bCs/>
        </w:rPr>
        <w:t>Business Day</w:t>
      </w:r>
      <w:r w:rsidR="00F8707E" w:rsidRPr="00E21A8B">
        <w:t xml:space="preserve"> following the necessary licence changes coming into effect to implement recovery of CMP381 deferred costs</w:t>
      </w:r>
      <w:r w:rsidR="00F8707E" w:rsidRPr="00E21A8B" w:rsidDel="00B30AC2">
        <w:t xml:space="preserve"> </w:t>
      </w:r>
      <w:r w:rsidR="00F8707E" w:rsidRPr="00E21A8B">
        <w:t>and 31</w:t>
      </w:r>
      <w:r w:rsidR="00F8707E" w:rsidRPr="00E21A8B">
        <w:rPr>
          <w:vertAlign w:val="superscript"/>
        </w:rPr>
        <w:t>st</w:t>
      </w:r>
      <w:r w:rsidR="00F8707E" w:rsidRPr="00E21A8B">
        <w:t xml:space="preserve"> March 2023 inclusive, </w:t>
      </w:r>
      <w:r w:rsidR="003B102A" w:rsidRPr="003B102A">
        <w:t xml:space="preserve">beginning the </w:t>
      </w:r>
      <w:r w:rsidR="003B102A" w:rsidRPr="003B102A">
        <w:rPr>
          <w:b/>
          <w:bCs/>
        </w:rPr>
        <w:t>Business Day</w:t>
      </w:r>
      <w:r w:rsidR="003B102A" w:rsidRPr="003B102A">
        <w:t xml:space="preserve"> following the necessary licence changes coming into effect to implement recovery of CMP381 deferred costs</w:t>
      </w:r>
      <w:r w:rsidR="003B102A" w:rsidRPr="003B102A" w:rsidDel="00B30AC2">
        <w:t xml:space="preserve"> </w:t>
      </w:r>
      <w:r w:rsidR="003B102A" w:rsidRPr="003B102A">
        <w:t>and 31</w:t>
      </w:r>
      <w:r w:rsidR="003B102A" w:rsidRPr="003B102A">
        <w:rPr>
          <w:vertAlign w:val="superscript"/>
        </w:rPr>
        <w:t>st</w:t>
      </w:r>
      <w:r w:rsidR="003B102A" w:rsidRPr="003B102A">
        <w:t xml:space="preserve"> March 2023 inclusive, </w:t>
      </w:r>
      <w:r w:rsidRPr="00036063">
        <w:t>the formula in 14.3</w:t>
      </w:r>
      <w:r w:rsidR="00B463F7">
        <w:t>1</w:t>
      </w:r>
      <w:r w:rsidRPr="00036063">
        <w:t>.</w:t>
      </w:r>
      <w:r w:rsidR="00245EA5">
        <w:t>22</w:t>
      </w:r>
      <w:r w:rsidR="00245EA5" w:rsidRPr="00036063">
        <w:t xml:space="preserve"> </w:t>
      </w:r>
      <w:r w:rsidRPr="00036063">
        <w:t>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50C80672" w14:textId="24AC14F0" w:rsidR="00056A44" w:rsidRDefault="00056A44" w:rsidP="00056A44">
      <w:pPr>
        <w:pStyle w:val="1"/>
        <w:ind w:left="1627"/>
        <w:jc w:val="both"/>
        <w:rPr>
          <w:rFonts w:ascii="Arial" w:hAnsi="Arial" w:cs="Arial"/>
          <w:szCs w:val="22"/>
        </w:rPr>
      </w:pPr>
    </w:p>
    <w:p w14:paraId="78AC06A3" w14:textId="7A87980B" w:rsidR="00056A44" w:rsidRDefault="00056A44" w:rsidP="00056A44">
      <w:pPr>
        <w:pStyle w:val="1"/>
        <w:ind w:left="1627"/>
        <w:jc w:val="both"/>
        <w:rPr>
          <w:rFonts w:ascii="Arial" w:hAnsi="Arial" w:cs="Arial"/>
          <w:szCs w:val="22"/>
        </w:rPr>
      </w:pPr>
    </w:p>
    <w:p w14:paraId="3EE0CF83" w14:textId="553ED9E8" w:rsidR="00056A44" w:rsidRDefault="00B428B8" w:rsidP="00056A44">
      <w:pPr>
        <w:pStyle w:val="1"/>
        <w:ind w:left="1627"/>
        <w:jc w:val="both"/>
        <w:rPr>
          <w:rFonts w:ascii="Arial" w:hAnsi="Arial" w:cs="Arial"/>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BSUoSEXC</m:t>
                  </m:r>
                </m:e>
                <m:sub>
                  <m:r>
                    <w:rPr>
                      <w:rFonts w:ascii="Cambria Math" w:hAnsi="Cambria Math" w:cs="Arial"/>
                    </w:rPr>
                    <m:t>d</m:t>
                  </m:r>
                </m:sub>
              </m:sSub>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1957738" w14:textId="2E0B6CBF" w:rsidR="00056A44" w:rsidRDefault="00056A44" w:rsidP="00056A44">
      <w:pPr>
        <w:pStyle w:val="1"/>
        <w:ind w:left="1627"/>
        <w:jc w:val="both"/>
        <w:rPr>
          <w:rFonts w:ascii="Arial" w:hAnsi="Arial" w:cs="Arial"/>
          <w:szCs w:val="22"/>
        </w:rPr>
      </w:pPr>
    </w:p>
    <w:p w14:paraId="3CEE43F8" w14:textId="77777777" w:rsidR="00367DCF" w:rsidRPr="001E359B" w:rsidRDefault="00367DCF" w:rsidP="00367DCF">
      <w:pPr>
        <w:pStyle w:val="1"/>
        <w:ind w:left="1627"/>
        <w:jc w:val="both"/>
      </w:pPr>
      <w:r>
        <w:t xml:space="preserve">Where </w:t>
      </w:r>
    </w:p>
    <w:p w14:paraId="1BB25CBC" w14:textId="77777777" w:rsidR="00367DCF" w:rsidRPr="001E359B" w:rsidRDefault="00367DCF" w:rsidP="00367DCF">
      <w:pPr>
        <w:pStyle w:val="1"/>
        <w:ind w:left="1627"/>
        <w:jc w:val="both"/>
      </w:pPr>
    </w:p>
    <w:p w14:paraId="249C5165" w14:textId="13B9B7DA" w:rsidR="00367DCF" w:rsidRDefault="00367DCF" w:rsidP="00367DCF">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1CE92958" w:rsidRPr="35F371ED">
        <w:rPr>
          <w:b/>
          <w:bCs/>
        </w:rPr>
        <w:t>The Company</w:t>
      </w:r>
      <w:r w:rsidRPr="00C82D21">
        <w:t>, as agreed by the</w:t>
      </w:r>
      <w:r w:rsidRPr="00C82D21">
        <w:rPr>
          <w:b/>
          <w:bCs/>
        </w:rPr>
        <w:t xml:space="preserve"> Authority</w:t>
      </w:r>
      <w:r w:rsidDel="004C278B">
        <w:t>.</w:t>
      </w:r>
    </w:p>
    <w:p w14:paraId="459C470C" w14:textId="77777777" w:rsidR="00056A44" w:rsidRPr="00036063" w:rsidRDefault="00056A44" w:rsidP="006A0EA8">
      <w:pPr>
        <w:pStyle w:val="1"/>
        <w:jc w:val="both"/>
        <w:rPr>
          <w:rFonts w:ascii="Arial" w:hAnsi="Arial" w:cs="Arial"/>
          <w:szCs w:val="22"/>
        </w:rPr>
      </w:pPr>
    </w:p>
    <w:p w14:paraId="69308C36" w14:textId="6F490F19" w:rsidR="004C1DC2" w:rsidRPr="00EE7CDF" w:rsidRDefault="1CE92958" w:rsidP="00533333">
      <w:pPr>
        <w:pStyle w:val="1"/>
        <w:numPr>
          <w:ilvl w:val="2"/>
          <w:numId w:val="104"/>
        </w:numPr>
        <w:ind w:left="1843" w:hanging="992"/>
        <w:jc w:val="both"/>
      </w:pPr>
      <w:r w:rsidRPr="35F371ED">
        <w:rPr>
          <w:b/>
          <w:bCs/>
        </w:rPr>
        <w:t>The</w:t>
      </w:r>
      <w:r w:rsidR="00846881" w:rsidRPr="00C82D21">
        <w:rPr>
          <w:b/>
          <w:bCs/>
        </w:rPr>
        <w:t xml:space="preserve"> Company</w:t>
      </w:r>
      <w:r w:rsidR="00846881" w:rsidRPr="00D0386B">
        <w:t xml:space="preserve"> shall provide weekly updates to notify industry of the</w:t>
      </w:r>
      <w:r w:rsidR="00846881">
        <w:t xml:space="preserve"> total</w:t>
      </w:r>
      <w:r w:rsidR="00846881" w:rsidRPr="00D0386B">
        <w:t xml:space="preserve"> </w:t>
      </w:r>
      <w:r w:rsidR="00846881" w:rsidRPr="00E13182">
        <w:t>Exceptional Costs</w:t>
      </w:r>
      <w:r w:rsidR="00846881" w:rsidRPr="005B18CD">
        <w:t xml:space="preserve"> removed</w:t>
      </w:r>
      <w:r w:rsidR="00846881">
        <w:t xml:space="preserve"> under paragraphs 14.3</w:t>
      </w:r>
      <w:r w:rsidR="00B463F7">
        <w:t>1</w:t>
      </w:r>
      <w:r w:rsidR="00846881">
        <w:t>.</w:t>
      </w:r>
      <w:r w:rsidR="001B5099">
        <w:t xml:space="preserve">34 </w:t>
      </w:r>
      <w:r w:rsidR="00846881">
        <w:t>and 14.3</w:t>
      </w:r>
      <w:r w:rsidR="00B463F7">
        <w:t>1</w:t>
      </w:r>
      <w:r w:rsidR="00846881">
        <w:t>.</w:t>
      </w:r>
      <w:r w:rsidR="001B5099">
        <w:t>35</w:t>
      </w:r>
      <w:r w:rsidR="00846881">
        <w:t xml:space="preserve">. When </w:t>
      </w:r>
      <w:r w:rsidR="00846881" w:rsidRPr="35F371ED">
        <w:rPr>
          <w:rFonts w:ascii="Arial" w:hAnsi="Arial" w:cs="Arial"/>
        </w:rPr>
        <w:t>BSUoSEXC</w:t>
      </w:r>
      <w:r w:rsidR="00846881" w:rsidRPr="35F371ED">
        <w:rPr>
          <w:rFonts w:ascii="Arial" w:hAnsi="Arial" w:cs="Arial"/>
          <w:vertAlign w:val="subscript"/>
        </w:rPr>
        <w:t xml:space="preserve">d </w:t>
      </w:r>
      <w:r w:rsidR="00846881" w:rsidRPr="35F371ED">
        <w:rPr>
          <w:rFonts w:ascii="Arial" w:hAnsi="Arial" w:cs="Arial"/>
        </w:rPr>
        <w:t xml:space="preserve">reaches a value of £120m, </w:t>
      </w:r>
      <w:r w:rsidRPr="35F371ED">
        <w:rPr>
          <w:rFonts w:ascii="Arial" w:hAnsi="Arial" w:cs="Arial"/>
          <w:b/>
          <w:bCs/>
        </w:rPr>
        <w:t>The Company</w:t>
      </w:r>
      <w:r w:rsidR="00846881" w:rsidRPr="35F371ED">
        <w:rPr>
          <w:rFonts w:ascii="Arial" w:hAnsi="Arial" w:cs="Arial"/>
        </w:rPr>
        <w:t xml:space="preserve"> shall revise the frequency of these updates to each </w:t>
      </w:r>
      <w:r w:rsidR="00846881" w:rsidRPr="35F371ED">
        <w:rPr>
          <w:rFonts w:ascii="Arial" w:hAnsi="Arial" w:cs="Arial"/>
          <w:b/>
        </w:rPr>
        <w:t>Business Day</w:t>
      </w:r>
      <w:r w:rsidR="00846881" w:rsidRPr="006B5382">
        <w:t xml:space="preserve"> </w:t>
      </w:r>
      <w:r w:rsidR="00846881" w:rsidRPr="35F371ED">
        <w:rPr>
          <w:rFonts w:ascii="Arial" w:hAnsi="Arial" w:cs="Arial"/>
        </w:rPr>
        <w:t xml:space="preserve">from the next </w:t>
      </w:r>
      <w:r w:rsidR="00846881" w:rsidRPr="35F371ED">
        <w:rPr>
          <w:rFonts w:ascii="Arial" w:hAnsi="Arial" w:cs="Arial"/>
          <w:b/>
        </w:rPr>
        <w:t>Business Day</w:t>
      </w:r>
      <w:r w:rsidR="00846881" w:rsidRPr="35F371ED">
        <w:rPr>
          <w:rFonts w:ascii="Arial" w:hAnsi="Arial" w:cs="Arial"/>
        </w:rPr>
        <w:t>.</w:t>
      </w:r>
    </w:p>
    <w:p w14:paraId="71988235" w14:textId="77777777" w:rsidR="00257B33" w:rsidRPr="00EE7CDF" w:rsidRDefault="00257B33" w:rsidP="00EE7CDF">
      <w:pPr>
        <w:pStyle w:val="1"/>
        <w:ind w:left="1627"/>
        <w:jc w:val="both"/>
      </w:pPr>
    </w:p>
    <w:p w14:paraId="4C601748" w14:textId="31E43DE4" w:rsidR="00257B33" w:rsidRDefault="10984C0F" w:rsidP="00533333">
      <w:pPr>
        <w:pStyle w:val="1"/>
        <w:numPr>
          <w:ilvl w:val="2"/>
          <w:numId w:val="104"/>
        </w:numPr>
        <w:ind w:left="1843" w:hanging="992"/>
        <w:jc w:val="both"/>
      </w:pPr>
      <w:r w:rsidRPr="008A44AF">
        <w:t>The £</w:t>
      </w:r>
      <w:r>
        <w:t>20</w:t>
      </w:r>
      <w:r w:rsidRPr="008A44AF">
        <w:t xml:space="preserve">/MWh </w:t>
      </w:r>
      <w:r w:rsidRPr="35F371ED">
        <w:rPr>
          <w:rFonts w:ascii="Arial" w:hAnsi="Arial" w:cs="Arial"/>
        </w:rPr>
        <w:t xml:space="preserve">cap </w:t>
      </w:r>
      <w:r w:rsidRPr="35F371ED">
        <w:rPr>
          <w:rFonts w:ascii="Arial" w:hAnsi="Arial" w:cs="Arial"/>
          <w:color w:val="242424"/>
          <w:shd w:val="clear" w:color="auto" w:fill="FFFFFF"/>
        </w:rPr>
        <w:t>(as introduced in paragraph 14.3</w:t>
      </w:r>
      <w:r w:rsidR="011F46CA">
        <w:rPr>
          <w:rFonts w:ascii="Arial" w:hAnsi="Arial" w:cs="Arial"/>
          <w:color w:val="242424"/>
          <w:shd w:val="clear" w:color="auto" w:fill="FFFFFF"/>
        </w:rPr>
        <w:t>1</w:t>
      </w:r>
      <w:r w:rsidRPr="35F371ED">
        <w:rPr>
          <w:rFonts w:ascii="Arial" w:hAnsi="Arial" w:cs="Arial"/>
          <w:color w:val="242424"/>
          <w:shd w:val="clear" w:color="auto" w:fill="FFFFFF"/>
        </w:rPr>
        <w:t>.</w:t>
      </w:r>
      <w:r w:rsidR="1CE17036">
        <w:rPr>
          <w:rFonts w:ascii="Arial" w:hAnsi="Arial" w:cs="Arial"/>
          <w:color w:val="242424"/>
          <w:shd w:val="clear" w:color="auto" w:fill="FFFFFF"/>
        </w:rPr>
        <w:t>34</w:t>
      </w:r>
      <w:r w:rsidRPr="35F371ED">
        <w:rPr>
          <w:rFonts w:ascii="Arial" w:hAnsi="Arial" w:cs="Arial"/>
          <w:color w:val="242424"/>
          <w:shd w:val="clear" w:color="auto" w:fill="FFFFFF"/>
        </w:rPr>
        <w:t>)</w:t>
      </w:r>
      <w:r w:rsidRPr="35F371ED">
        <w:rPr>
          <w:rFonts w:ascii="Arial" w:hAnsi="Arial" w:cs="Arial"/>
        </w:rPr>
        <w:t xml:space="preserve"> will not</w:t>
      </w:r>
      <w:r w:rsidRPr="008A44AF">
        <w:t xml:space="preserve"> be applied in the first and subsequent </w:t>
      </w:r>
      <w:r w:rsidRPr="00C82D21">
        <w:rPr>
          <w:b/>
          <w:bCs/>
        </w:rPr>
        <w:t>Settlement Periods</w:t>
      </w:r>
      <w:r w:rsidRPr="008A44AF">
        <w:t xml:space="preserve"> where the £200m limit would have otherwise been breached. </w:t>
      </w:r>
      <w:r>
        <w:t xml:space="preserve">Once the </w:t>
      </w:r>
      <w:r w:rsidRPr="00C82D21">
        <w:rPr>
          <w:b/>
          <w:bCs/>
        </w:rPr>
        <w:t>Initial Settlement Run</w:t>
      </w:r>
      <w:r>
        <w:t xml:space="preserve"> confirming this has been completed, </w:t>
      </w:r>
      <w:r w:rsidR="58867969" w:rsidRPr="00C82D21">
        <w:rPr>
          <w:b/>
          <w:bCs/>
        </w:rPr>
        <w:t>The Company</w:t>
      </w:r>
      <w:r>
        <w:t xml:space="preserve"> will notify </w:t>
      </w:r>
      <w:r w:rsidRPr="00C82D21">
        <w:rPr>
          <w:b/>
          <w:bCs/>
        </w:rPr>
        <w:t>Users</w:t>
      </w:r>
      <w:r>
        <w:t xml:space="preserve"> to confirm that </w:t>
      </w:r>
      <w:r w:rsidRPr="00E13182">
        <w:t>the Exceptional Costs Support Scheme</w:t>
      </w:r>
      <w:r>
        <w:t xml:space="preserve"> has ended, providing the precise </w:t>
      </w:r>
      <w:r w:rsidRPr="00C82D21">
        <w:rPr>
          <w:b/>
          <w:bCs/>
        </w:rPr>
        <w:t xml:space="preserve">Settlement Day, Settlement </w:t>
      </w:r>
      <w:bookmarkStart w:id="604" w:name="_Int_NSWWP4Zn"/>
      <w:r w:rsidRPr="00C82D21">
        <w:rPr>
          <w:b/>
          <w:bCs/>
        </w:rPr>
        <w:t>Period</w:t>
      </w:r>
      <w:bookmarkEnd w:id="604"/>
      <w:r>
        <w:t xml:space="preserve"> and value of BSUoSEXC</w:t>
      </w:r>
      <w:r w:rsidRPr="00C82D21">
        <w:rPr>
          <w:vertAlign w:val="subscript"/>
        </w:rPr>
        <w:t>d</w:t>
      </w:r>
      <w:r>
        <w:t>.</w:t>
      </w:r>
    </w:p>
    <w:p w14:paraId="225AE629" w14:textId="77777777" w:rsidR="001F4F39" w:rsidRDefault="001F4F39" w:rsidP="00150FE0">
      <w:pPr>
        <w:pStyle w:val="ListParagraph"/>
      </w:pPr>
    </w:p>
    <w:p w14:paraId="73DABB69" w14:textId="77777777" w:rsidR="001F4F39" w:rsidRDefault="001F4F39" w:rsidP="001F4F39">
      <w:pPr>
        <w:pStyle w:val="1"/>
        <w:ind w:left="720"/>
        <w:jc w:val="both"/>
        <w:rPr>
          <w:b/>
          <w:bCs/>
          <w:color w:val="008080"/>
        </w:rPr>
      </w:pPr>
      <w:r w:rsidRPr="7F6CC2C4">
        <w:rPr>
          <w:b/>
          <w:bCs/>
          <w:color w:val="008080"/>
        </w:rPr>
        <w:t>Further BSUoS Cost Deferral</w:t>
      </w:r>
    </w:p>
    <w:p w14:paraId="2954B0D1" w14:textId="77777777" w:rsidR="001F4F39" w:rsidRDefault="001F4F39" w:rsidP="001F4F39">
      <w:pPr>
        <w:pStyle w:val="ListParagraph"/>
      </w:pPr>
    </w:p>
    <w:p w14:paraId="6C9BB15A" w14:textId="1BC8D140" w:rsidR="00650EEC" w:rsidRPr="000F2701" w:rsidRDefault="00086F5C" w:rsidP="006332A7">
      <w:pPr>
        <w:pStyle w:val="1"/>
        <w:ind w:left="1843" w:hanging="992"/>
        <w:jc w:val="both"/>
        <w:rPr>
          <w:rFonts w:ascii="Arial" w:hAnsi="Arial" w:cs="Arial"/>
        </w:rPr>
      </w:pPr>
      <w:r w:rsidRPr="00484D7B">
        <w:rPr>
          <w:rFonts w:ascii="Arial" w:hAnsi="Arial" w:cs="Arial"/>
        </w:rPr>
        <w:t>14.31.</w:t>
      </w:r>
      <w:r w:rsidR="002E5E76">
        <w:rPr>
          <w:rFonts w:ascii="Arial" w:hAnsi="Arial" w:cs="Arial"/>
        </w:rPr>
        <w:t>39</w:t>
      </w:r>
      <w:r w:rsidRPr="00484D7B">
        <w:rPr>
          <w:rFonts w:ascii="Arial" w:hAnsi="Arial" w:cs="Arial"/>
        </w:rPr>
        <w:t xml:space="preserve"> </w:t>
      </w:r>
      <w:r w:rsidR="00650EEC" w:rsidRPr="00484D7B">
        <w:rPr>
          <w:rFonts w:ascii="Arial" w:hAnsi="Arial" w:cs="Arial"/>
        </w:rPr>
        <w:t xml:space="preserve">As a result of continuing difficulties in the market, </w:t>
      </w:r>
      <w:r w:rsidR="00650EEC" w:rsidRPr="00484D7B">
        <w:rPr>
          <w:rFonts w:ascii="Arial" w:hAnsi="Arial" w:cs="Arial"/>
          <w:b/>
          <w:bCs/>
        </w:rPr>
        <w:t xml:space="preserve">The Company </w:t>
      </w:r>
      <w:r w:rsidR="00650EEC" w:rsidRPr="00484D7B">
        <w:rPr>
          <w:rFonts w:ascii="Arial" w:hAnsi="Arial" w:cs="Arial"/>
        </w:rPr>
        <w:t>will make specific and time-limited changes to the BSUoS methodology in this Section 2 to support CUSC Parties acting as Generators and Suppliers, This will consist of deferring the BSUoS co</w:t>
      </w:r>
      <w:r w:rsidR="00650EEC" w:rsidRPr="00976E53">
        <w:rPr>
          <w:rFonts w:ascii="Arial" w:hAnsi="Arial" w:cs="Arial"/>
        </w:rPr>
        <w:t>sts associated with the exceptional market conditions (“Further Costs”) above a defined £/MWh value from the calculation in 14.3</w:t>
      </w:r>
      <w:r w:rsidR="000F2701">
        <w:rPr>
          <w:rFonts w:ascii="Arial" w:hAnsi="Arial" w:cs="Arial"/>
        </w:rPr>
        <w:t>1</w:t>
      </w:r>
      <w:r w:rsidR="00650EEC" w:rsidRPr="000F2701">
        <w:rPr>
          <w:rFonts w:ascii="Arial" w:hAnsi="Arial" w:cs="Arial"/>
        </w:rPr>
        <w:t>.</w:t>
      </w:r>
      <w:r w:rsidR="008D0B4F">
        <w:rPr>
          <w:rFonts w:ascii="Arial" w:hAnsi="Arial" w:cs="Arial"/>
        </w:rPr>
        <w:t>21</w:t>
      </w:r>
      <w:r w:rsidR="00650EEC" w:rsidRPr="000F2701">
        <w:rPr>
          <w:rFonts w:ascii="Arial" w:hAnsi="Arial" w:cs="Arial"/>
        </w:rPr>
        <w:t xml:space="preserve"> to a later date as described in 14.3</w:t>
      </w:r>
      <w:r w:rsidR="000F2701">
        <w:rPr>
          <w:rFonts w:ascii="Arial" w:hAnsi="Arial" w:cs="Arial"/>
        </w:rPr>
        <w:t>1</w:t>
      </w:r>
      <w:r w:rsidR="00650EEC" w:rsidRPr="000F2701">
        <w:rPr>
          <w:rFonts w:ascii="Arial" w:hAnsi="Arial" w:cs="Arial"/>
        </w:rPr>
        <w:t>.</w:t>
      </w:r>
      <w:r w:rsidR="009B0E87">
        <w:rPr>
          <w:rFonts w:ascii="Arial" w:hAnsi="Arial" w:cs="Arial"/>
        </w:rPr>
        <w:t>41</w:t>
      </w:r>
      <w:r w:rsidR="009B0E87" w:rsidRPr="000F2701">
        <w:rPr>
          <w:rFonts w:ascii="Arial" w:hAnsi="Arial" w:cs="Arial"/>
        </w:rPr>
        <w:t xml:space="preserve"> </w:t>
      </w:r>
      <w:r w:rsidR="00650EEC" w:rsidRPr="000F2701">
        <w:rPr>
          <w:rFonts w:ascii="Arial" w:hAnsi="Arial" w:cs="Arial"/>
        </w:rPr>
        <w:t>and 14.3</w:t>
      </w:r>
      <w:r w:rsidR="000F2701">
        <w:rPr>
          <w:rFonts w:ascii="Arial" w:hAnsi="Arial" w:cs="Arial"/>
        </w:rPr>
        <w:t>1</w:t>
      </w:r>
      <w:r w:rsidR="00650EEC" w:rsidRPr="000F2701">
        <w:rPr>
          <w:rFonts w:ascii="Arial" w:hAnsi="Arial" w:cs="Arial"/>
        </w:rPr>
        <w:t>.</w:t>
      </w:r>
      <w:r w:rsidR="009B0E87">
        <w:rPr>
          <w:rFonts w:ascii="Arial" w:hAnsi="Arial" w:cs="Arial"/>
        </w:rPr>
        <w:t>42</w:t>
      </w:r>
      <w:r w:rsidR="009B0E87" w:rsidRPr="000F2701">
        <w:rPr>
          <w:rFonts w:ascii="Arial" w:hAnsi="Arial" w:cs="Arial"/>
        </w:rPr>
        <w:t xml:space="preserve"> </w:t>
      </w:r>
      <w:r w:rsidR="00650EEC" w:rsidRPr="000F2701">
        <w:rPr>
          <w:rFonts w:ascii="Arial" w:hAnsi="Arial" w:cs="Arial"/>
        </w:rPr>
        <w:t>(the “Further Costs Support Scheme”).</w:t>
      </w:r>
    </w:p>
    <w:p w14:paraId="2BEFAA48" w14:textId="77777777" w:rsidR="00650EEC" w:rsidRPr="000F2701" w:rsidRDefault="00650EEC" w:rsidP="00650EEC">
      <w:pPr>
        <w:pStyle w:val="ListParagraph"/>
        <w:rPr>
          <w:rFonts w:ascii="Arial" w:hAnsi="Arial" w:cs="Arial"/>
          <w:sz w:val="22"/>
          <w:szCs w:val="22"/>
        </w:rPr>
      </w:pPr>
    </w:p>
    <w:p w14:paraId="246444E1" w14:textId="5524C016" w:rsidR="00650EEC" w:rsidRPr="000F2701" w:rsidRDefault="00086F5C" w:rsidP="006332A7">
      <w:pPr>
        <w:pStyle w:val="ListParagraph"/>
        <w:ind w:left="1758" w:hanging="907"/>
        <w:rPr>
          <w:rFonts w:ascii="Arial" w:hAnsi="Arial" w:cs="Arial"/>
          <w:sz w:val="22"/>
          <w:szCs w:val="22"/>
        </w:rPr>
      </w:pPr>
      <w:r w:rsidRPr="000F2701">
        <w:rPr>
          <w:rFonts w:ascii="Arial" w:hAnsi="Arial" w:cs="Arial"/>
          <w:sz w:val="22"/>
          <w:szCs w:val="22"/>
        </w:rPr>
        <w:t>14.3</w:t>
      </w:r>
      <w:r w:rsidR="002E5E76">
        <w:rPr>
          <w:rFonts w:ascii="Arial" w:hAnsi="Arial" w:cs="Arial"/>
          <w:sz w:val="22"/>
          <w:szCs w:val="22"/>
        </w:rPr>
        <w:t>1</w:t>
      </w:r>
      <w:r w:rsidRPr="000F2701">
        <w:rPr>
          <w:rFonts w:ascii="Arial" w:hAnsi="Arial" w:cs="Arial"/>
          <w:sz w:val="22"/>
          <w:szCs w:val="22"/>
        </w:rPr>
        <w:t>.</w:t>
      </w:r>
      <w:r w:rsidR="002E5E76">
        <w:rPr>
          <w:rFonts w:ascii="Arial" w:hAnsi="Arial" w:cs="Arial"/>
          <w:sz w:val="22"/>
          <w:szCs w:val="22"/>
        </w:rPr>
        <w:t>40</w:t>
      </w:r>
      <w:r w:rsidR="00A36050" w:rsidRPr="000F2701">
        <w:rPr>
          <w:rFonts w:ascii="Arial" w:hAnsi="Arial" w:cs="Arial"/>
          <w:sz w:val="22"/>
          <w:szCs w:val="22"/>
        </w:rPr>
        <w:t xml:space="preserve"> </w:t>
      </w:r>
      <w:r w:rsidR="00650EEC" w:rsidRPr="000F2701">
        <w:rPr>
          <w:rFonts w:ascii="Arial" w:hAnsi="Arial" w:cs="Arial"/>
          <w:sz w:val="22"/>
          <w:szCs w:val="22"/>
        </w:rPr>
        <w:t xml:space="preserve">Further Costs for </w:t>
      </w:r>
      <w:r w:rsidR="00650EEC" w:rsidRPr="000F2701">
        <w:rPr>
          <w:rFonts w:ascii="Arial" w:hAnsi="Arial" w:cs="Arial"/>
          <w:b/>
          <w:bCs/>
          <w:sz w:val="22"/>
          <w:szCs w:val="22"/>
        </w:rPr>
        <w:t>Settlement Period</w:t>
      </w:r>
      <w:r w:rsidR="00650EEC" w:rsidRPr="000F2701">
        <w:rPr>
          <w:rFonts w:ascii="Arial" w:hAnsi="Arial" w:cs="Arial"/>
          <w:sz w:val="22"/>
          <w:szCs w:val="22"/>
        </w:rPr>
        <w:t xml:space="preserve"> j (BSUoSFXC</w:t>
      </w:r>
      <w:r w:rsidR="00650EEC" w:rsidRPr="000F2701">
        <w:rPr>
          <w:rFonts w:ascii="Arial" w:hAnsi="Arial" w:cs="Arial"/>
          <w:sz w:val="22"/>
          <w:szCs w:val="22"/>
          <w:vertAlign w:val="subscript"/>
        </w:rPr>
        <w:t>j</w:t>
      </w:r>
      <w:r w:rsidR="00650EEC" w:rsidRPr="000F2701">
        <w:rPr>
          <w:rFonts w:ascii="Arial" w:hAnsi="Arial" w:cs="Arial"/>
          <w:sz w:val="22"/>
          <w:szCs w:val="22"/>
        </w:rPr>
        <w:t>) shall be calculated as:</w:t>
      </w:r>
    </w:p>
    <w:p w14:paraId="35B33279" w14:textId="47EFAC8E" w:rsidR="00650EEC" w:rsidRPr="000F2701" w:rsidRDefault="00C703B1" w:rsidP="00650EEC">
      <w:pPr>
        <w:pStyle w:val="ListParagraph"/>
        <w:ind w:left="1627"/>
        <w:rPr>
          <w:rFonts w:ascii="Arial" w:hAnsi="Arial" w:cs="Arial"/>
          <w:sz w:val="22"/>
          <w:szCs w:val="22"/>
        </w:rPr>
      </w:pPr>
      <w:r w:rsidRPr="000F2701">
        <w:rPr>
          <w:rFonts w:ascii="Arial" w:hAnsi="Arial" w:cs="Arial"/>
          <w:sz w:val="22"/>
          <w:szCs w:val="22"/>
        </w:rPr>
        <w:t xml:space="preserve">  </w:t>
      </w:r>
      <w:r w:rsidR="00650EEC" w:rsidRPr="000F2701">
        <w:rPr>
          <w:rFonts w:ascii="Arial" w:hAnsi="Arial" w:cs="Arial"/>
          <w:sz w:val="22"/>
          <w:szCs w:val="22"/>
        </w:rPr>
        <w:t xml:space="preserve">If BSUoSTOTj &lt;= FXCCAPTOTj, then BSUoSFXCj = £0 </w:t>
      </w:r>
      <w:r w:rsidR="00650EEC" w:rsidRPr="000F2701">
        <w:rPr>
          <w:rFonts w:ascii="Arial" w:hAnsi="Arial" w:cs="Arial"/>
          <w:sz w:val="22"/>
          <w:szCs w:val="22"/>
        </w:rPr>
        <w:br/>
      </w:r>
      <w:r w:rsidRPr="000F2701">
        <w:rPr>
          <w:rFonts w:ascii="Arial" w:hAnsi="Arial" w:cs="Arial"/>
          <w:sz w:val="22"/>
          <w:szCs w:val="22"/>
        </w:rPr>
        <w:t xml:space="preserve">  </w:t>
      </w:r>
      <w:r w:rsidR="00650EEC" w:rsidRPr="000F2701">
        <w:rPr>
          <w:rFonts w:ascii="Arial" w:hAnsi="Arial" w:cs="Arial"/>
          <w:sz w:val="22"/>
          <w:szCs w:val="22"/>
        </w:rPr>
        <w:t xml:space="preserve">Or BSUoSTOTj &gt; FXCCAPTOTj, then BSUoSFXCj = BSUoSTOTj - </w:t>
      </w:r>
      <w:r w:rsidRPr="000F2701">
        <w:rPr>
          <w:rFonts w:ascii="Arial" w:hAnsi="Arial" w:cs="Arial"/>
          <w:sz w:val="22"/>
          <w:szCs w:val="22"/>
        </w:rPr>
        <w:t xml:space="preserve">   </w:t>
      </w:r>
      <w:r w:rsidR="00650EEC" w:rsidRPr="000F2701">
        <w:rPr>
          <w:rFonts w:ascii="Arial" w:hAnsi="Arial" w:cs="Arial"/>
          <w:sz w:val="22"/>
          <w:szCs w:val="22"/>
        </w:rPr>
        <w:t xml:space="preserve">FXCCAPTOTj </w:t>
      </w:r>
    </w:p>
    <w:p w14:paraId="36A4116B" w14:textId="77777777" w:rsidR="00650EEC" w:rsidRPr="000F2701" w:rsidRDefault="00650EEC" w:rsidP="00650EEC">
      <w:pPr>
        <w:pStyle w:val="ListParagraph"/>
        <w:ind w:left="1627"/>
        <w:rPr>
          <w:rFonts w:ascii="Arial" w:hAnsi="Arial" w:cs="Arial"/>
          <w:sz w:val="22"/>
          <w:szCs w:val="22"/>
        </w:rPr>
      </w:pPr>
    </w:p>
    <w:p w14:paraId="4F3CF7F5" w14:textId="77777777" w:rsidR="00650EEC" w:rsidRPr="000F2701" w:rsidRDefault="00650EEC" w:rsidP="00650EEC">
      <w:pPr>
        <w:pStyle w:val="ListParagraph"/>
        <w:ind w:left="1627"/>
        <w:rPr>
          <w:rFonts w:ascii="Arial" w:hAnsi="Arial" w:cs="Arial"/>
          <w:sz w:val="22"/>
          <w:szCs w:val="22"/>
        </w:rPr>
      </w:pPr>
      <w:r w:rsidRPr="000F2701">
        <w:rPr>
          <w:rFonts w:ascii="Arial" w:hAnsi="Arial" w:cs="Arial"/>
          <w:sz w:val="22"/>
          <w:szCs w:val="22"/>
        </w:rPr>
        <w:t xml:space="preserve">Where FXCCAPTOTj= </w:t>
      </w:r>
    </w:p>
    <w:p w14:paraId="710153C8" w14:textId="77777777" w:rsidR="00650EEC" w:rsidRPr="00863AF9" w:rsidRDefault="00650EEC" w:rsidP="00650EEC">
      <w:pPr>
        <w:pStyle w:val="ListParagraph"/>
        <w:ind w:left="1627"/>
        <w:rPr>
          <w:rFonts w:ascii="Arial" w:hAnsi="Arial" w:cs="Arial"/>
          <w:sz w:val="22"/>
          <w:szCs w:val="22"/>
        </w:rPr>
      </w:pPr>
      <w:r w:rsidRPr="000F2701">
        <w:rPr>
          <w:rFonts w:ascii="Arial" w:hAnsi="Arial" w:cs="Arial"/>
          <w:sz w:val="22"/>
          <w:szCs w:val="22"/>
        </w:rPr>
        <w:t xml:space="preserve"> £</w:t>
      </w:r>
      <w:r w:rsidRPr="006D0A1A">
        <w:rPr>
          <w:rFonts w:ascii="Arial" w:hAnsi="Arial" w:cs="Arial"/>
          <w:sz w:val="22"/>
          <w:szCs w:val="22"/>
        </w:rPr>
        <w:t>40</w:t>
      </w:r>
      <w:r w:rsidRPr="00484D7B">
        <w:rPr>
          <w:rFonts w:ascii="Arial" w:hAnsi="Arial" w:cs="Arial"/>
          <w:sz w:val="22"/>
          <w:szCs w:val="22"/>
        </w:rPr>
        <w:t>/</w:t>
      </w:r>
      <w:r w:rsidRPr="00484D7B">
        <w:rPr>
          <w:rFonts w:ascii="Cambria Math" w:hAnsi="Cambria Math" w:cs="Cambria Math"/>
          <w:sz w:val="22"/>
          <w:szCs w:val="22"/>
        </w:rPr>
        <w:t>𝑀𝑊ℎ</w:t>
      </w:r>
      <w:r w:rsidRPr="00937FCE">
        <w:rPr>
          <w:rFonts w:ascii="Arial" w:hAnsi="Arial" w:cs="Arial"/>
          <w:sz w:val="22"/>
          <w:szCs w:val="22"/>
        </w:rPr>
        <w:t xml:space="preserve"> </w:t>
      </w:r>
      <w:r w:rsidRPr="00937FCE">
        <w:rPr>
          <w:rFonts w:ascii="Cambria Math" w:hAnsi="Cambria Math" w:cs="Cambria Math"/>
          <w:sz w:val="22"/>
          <w:szCs w:val="22"/>
        </w:rPr>
        <w:t>∗</w:t>
      </w:r>
      <w:r w:rsidRPr="00976E53">
        <w:rPr>
          <w:rFonts w:ascii="Arial" w:hAnsi="Arial" w:cs="Arial"/>
          <w:sz w:val="22"/>
          <w:szCs w:val="22"/>
        </w:rPr>
        <w:t xml:space="preserve"> (SGQM</w:t>
      </w:r>
      <w:r w:rsidRPr="006D0A1A">
        <w:rPr>
          <w:rFonts w:ascii="Arial" w:hAnsi="Arial" w:cs="Arial"/>
          <w:sz w:val="22"/>
          <w:szCs w:val="22"/>
          <w:vertAlign w:val="subscript"/>
        </w:rPr>
        <w:t>j</w:t>
      </w:r>
      <w:r w:rsidRPr="006D0A1A">
        <w:rPr>
          <w:rFonts w:ascii="Arial" w:hAnsi="Arial" w:cs="Arial"/>
          <w:sz w:val="22"/>
          <w:szCs w:val="22"/>
        </w:rPr>
        <w:t xml:space="preserve"> + TQM</w:t>
      </w:r>
      <w:r w:rsidRPr="006D0A1A">
        <w:rPr>
          <w:rFonts w:ascii="Arial" w:hAnsi="Arial" w:cs="Arial"/>
          <w:sz w:val="22"/>
          <w:szCs w:val="22"/>
          <w:vertAlign w:val="subscript"/>
        </w:rPr>
        <w:t>j</w:t>
      </w:r>
      <w:r w:rsidRPr="006D0A1A">
        <w:rPr>
          <w:rFonts w:ascii="Arial" w:hAnsi="Arial" w:cs="Arial"/>
          <w:sz w:val="22"/>
          <w:szCs w:val="22"/>
        </w:rPr>
        <w:t>)</w:t>
      </w:r>
    </w:p>
    <w:p w14:paraId="5AF8216E" w14:textId="77777777" w:rsidR="00650EEC" w:rsidRPr="00863AF9" w:rsidRDefault="00650EEC" w:rsidP="00650EEC">
      <w:pPr>
        <w:pStyle w:val="ListParagraph"/>
        <w:ind w:left="1627"/>
        <w:rPr>
          <w:rFonts w:ascii="Arial" w:hAnsi="Arial" w:cs="Arial"/>
          <w:sz w:val="22"/>
          <w:szCs w:val="22"/>
        </w:rPr>
      </w:pPr>
    </w:p>
    <w:p w14:paraId="7C2769E0" w14:textId="4330EC80" w:rsidR="00650EEC" w:rsidRPr="000F2701" w:rsidRDefault="00291A60" w:rsidP="00863AF9">
      <w:pPr>
        <w:pStyle w:val="1"/>
        <w:ind w:left="1758" w:hanging="907"/>
        <w:rPr>
          <w:rFonts w:ascii="Arial" w:hAnsi="Arial" w:cs="Arial"/>
        </w:rPr>
      </w:pPr>
      <w:r w:rsidRPr="00863AF9">
        <w:rPr>
          <w:rFonts w:ascii="Arial" w:hAnsi="Arial" w:cs="Arial"/>
        </w:rPr>
        <w:t>14.31.</w:t>
      </w:r>
      <w:r w:rsidR="002E5E76">
        <w:rPr>
          <w:rFonts w:ascii="Arial" w:hAnsi="Arial" w:cs="Arial"/>
        </w:rPr>
        <w:t>41</w:t>
      </w:r>
      <w:r w:rsidRPr="00863AF9">
        <w:rPr>
          <w:rFonts w:ascii="Arial" w:hAnsi="Arial" w:cs="Arial"/>
        </w:rPr>
        <w:t xml:space="preserve"> </w:t>
      </w:r>
      <w:r w:rsidR="00650EEC" w:rsidRPr="006332A7">
        <w:rPr>
          <w:rFonts w:ascii="Arial" w:hAnsi="Arial" w:cs="Arial"/>
        </w:rPr>
        <w:t xml:space="preserve">From the first </w:t>
      </w:r>
      <w:r w:rsidR="00650EEC" w:rsidRPr="006332A7">
        <w:rPr>
          <w:rFonts w:ascii="Arial" w:hAnsi="Arial" w:cs="Arial"/>
          <w:b/>
          <w:bCs/>
        </w:rPr>
        <w:t xml:space="preserve">Settlement Period </w:t>
      </w:r>
      <w:r w:rsidR="00650EEC" w:rsidRPr="001649FC">
        <w:rPr>
          <w:rFonts w:ascii="Arial" w:hAnsi="Arial" w:cs="Arial"/>
        </w:rPr>
        <w:t>(00:00 – 00:30)</w:t>
      </w:r>
      <w:r w:rsidR="00650EEC" w:rsidRPr="00A42FCC">
        <w:rPr>
          <w:rFonts w:ascii="Arial" w:hAnsi="Arial" w:cs="Arial"/>
          <w:b/>
          <w:bCs/>
        </w:rPr>
        <w:t xml:space="preserve"> </w:t>
      </w:r>
      <w:r w:rsidR="00650EEC" w:rsidRPr="00A42FCC">
        <w:rPr>
          <w:rFonts w:ascii="Arial" w:hAnsi="Arial" w:cs="Arial"/>
        </w:rPr>
        <w:t>on</w:t>
      </w:r>
      <w:r w:rsidR="00BB524F">
        <w:rPr>
          <w:rFonts w:ascii="Arial" w:hAnsi="Arial" w:cs="Arial"/>
          <w:vertAlign w:val="superscript"/>
        </w:rPr>
        <w:t xml:space="preserve"> </w:t>
      </w:r>
      <w:r w:rsidR="00650EEC" w:rsidRPr="00A42FCC">
        <w:rPr>
          <w:rFonts w:ascii="Arial" w:hAnsi="Arial" w:cs="Arial"/>
        </w:rPr>
        <w:t>1</w:t>
      </w:r>
      <w:r w:rsidR="00650EEC" w:rsidRPr="00A42FCC">
        <w:rPr>
          <w:rFonts w:ascii="Arial" w:hAnsi="Arial" w:cs="Arial"/>
          <w:vertAlign w:val="superscript"/>
        </w:rPr>
        <w:t>st</w:t>
      </w:r>
      <w:r w:rsidR="00650EEC" w:rsidRPr="00221FCC">
        <w:rPr>
          <w:rFonts w:ascii="Arial" w:hAnsi="Arial" w:cs="Arial"/>
        </w:rPr>
        <w:t xml:space="preserve"> October 2022 or such later date as </w:t>
      </w:r>
      <w:r w:rsidR="00650EEC" w:rsidRPr="007A1F7C">
        <w:rPr>
          <w:rFonts w:ascii="Arial" w:hAnsi="Arial" w:cs="Arial"/>
        </w:rPr>
        <w:t xml:space="preserve">the </w:t>
      </w:r>
      <w:r w:rsidR="00650EEC" w:rsidRPr="007A1F7C">
        <w:rPr>
          <w:rFonts w:ascii="Arial" w:hAnsi="Arial" w:cs="Arial"/>
          <w:b/>
          <w:bCs/>
        </w:rPr>
        <w:t>Authority</w:t>
      </w:r>
      <w:r w:rsidR="00650EEC" w:rsidRPr="007A1F7C">
        <w:rPr>
          <w:rFonts w:ascii="Arial" w:hAnsi="Arial" w:cs="Arial"/>
        </w:rPr>
        <w:t xml:space="preserve"> may specify until the Further Costs Support </w:t>
      </w:r>
      <w:r w:rsidR="00650EEC" w:rsidRPr="007A1F7C">
        <w:rPr>
          <w:rFonts w:ascii="Arial" w:hAnsi="Arial" w:cs="Arial"/>
        </w:rPr>
        <w:lastRenderedPageBreak/>
        <w:t>Scheme End Date, the formula in 14.3</w:t>
      </w:r>
      <w:r w:rsidR="002F5EB1">
        <w:rPr>
          <w:rFonts w:ascii="Arial" w:hAnsi="Arial" w:cs="Arial"/>
        </w:rPr>
        <w:t>1</w:t>
      </w:r>
      <w:r w:rsidR="00650EEC" w:rsidRPr="000F2701">
        <w:rPr>
          <w:rFonts w:ascii="Arial" w:hAnsi="Arial" w:cs="Arial"/>
        </w:rPr>
        <w:t>.</w:t>
      </w:r>
      <w:r w:rsidR="00752B22">
        <w:rPr>
          <w:rFonts w:ascii="Arial" w:hAnsi="Arial" w:cs="Arial"/>
        </w:rPr>
        <w:t>21</w:t>
      </w:r>
      <w:r w:rsidR="00650EEC" w:rsidRPr="000F2701">
        <w:rPr>
          <w:rFonts w:ascii="Arial" w:hAnsi="Arial" w:cs="Arial"/>
        </w:rPr>
        <w:t xml:space="preserve"> shall be updated so that Further Costs (BSUoSFXC</w:t>
      </w:r>
      <w:r w:rsidR="00650EEC" w:rsidRPr="000F2701">
        <w:rPr>
          <w:rFonts w:ascii="Arial" w:hAnsi="Arial" w:cs="Arial"/>
          <w:vertAlign w:val="subscript"/>
        </w:rPr>
        <w:t>jd</w:t>
      </w:r>
      <w:r w:rsidR="00650EEC" w:rsidRPr="000F2701">
        <w:rPr>
          <w:rFonts w:ascii="Arial" w:hAnsi="Arial" w:cs="Arial"/>
        </w:rPr>
        <w:t xml:space="preserve">) for </w:t>
      </w:r>
      <w:r w:rsidR="00650EEC" w:rsidRPr="000F2701">
        <w:rPr>
          <w:rFonts w:ascii="Arial" w:hAnsi="Arial" w:cs="Arial"/>
          <w:b/>
          <w:bCs/>
        </w:rPr>
        <w:t xml:space="preserve">Settlement Period </w:t>
      </w:r>
      <w:r w:rsidR="00650EEC" w:rsidRPr="000F2701">
        <w:rPr>
          <w:rFonts w:ascii="Arial" w:hAnsi="Arial" w:cs="Arial"/>
        </w:rPr>
        <w:t xml:space="preserve">j in </w:t>
      </w:r>
      <w:r w:rsidR="00650EEC" w:rsidRPr="000F2701">
        <w:rPr>
          <w:rFonts w:ascii="Arial" w:hAnsi="Arial" w:cs="Arial"/>
          <w:b/>
          <w:bCs/>
        </w:rPr>
        <w:t xml:space="preserve">Settlement Day </w:t>
      </w:r>
      <w:r w:rsidR="00650EEC" w:rsidRPr="000F2701">
        <w:rPr>
          <w:rFonts w:ascii="Arial" w:hAnsi="Arial" w:cs="Arial"/>
        </w:rPr>
        <w:t>d are removed as follows:</w:t>
      </w:r>
      <w:r w:rsidR="00650EEC" w:rsidRPr="000F2701">
        <w:br/>
      </w:r>
      <w:r w:rsidR="00650EEC" w:rsidRPr="000F2701">
        <w:rPr>
          <w:rFonts w:ascii="Arial" w:hAnsi="Arial" w:cs="Arial"/>
        </w:rPr>
        <w:t>BSUoSTOT</w:t>
      </w:r>
      <w:r w:rsidR="00650EEC" w:rsidRPr="000F2701">
        <w:rPr>
          <w:rFonts w:ascii="Arial" w:hAnsi="Arial" w:cs="Arial"/>
          <w:vertAlign w:val="subscript"/>
        </w:rPr>
        <w:t>jd</w:t>
      </w:r>
      <w:r w:rsidR="00650EEC" w:rsidRPr="000F2701">
        <w:rPr>
          <w:rFonts w:ascii="Arial" w:hAnsi="Arial" w:cs="Arial"/>
        </w:rPr>
        <w:t xml:space="preserve"> = BSUoSEXT</w:t>
      </w:r>
      <w:r w:rsidR="00650EEC" w:rsidRPr="000F2701">
        <w:rPr>
          <w:rFonts w:ascii="Arial" w:hAnsi="Arial" w:cs="Arial"/>
          <w:vertAlign w:val="subscript"/>
        </w:rPr>
        <w:t>jd</w:t>
      </w:r>
      <w:r w:rsidR="00650EEC" w:rsidRPr="000F2701">
        <w:rPr>
          <w:rFonts w:ascii="Arial" w:hAnsi="Arial" w:cs="Arial"/>
        </w:rPr>
        <w:t xml:space="preserve"> + BSUoSINT</w:t>
      </w:r>
      <w:r w:rsidR="00650EEC" w:rsidRPr="000F2701">
        <w:rPr>
          <w:rFonts w:ascii="Arial" w:hAnsi="Arial" w:cs="Arial"/>
          <w:vertAlign w:val="subscript"/>
        </w:rPr>
        <w:t>jd</w:t>
      </w:r>
      <w:r w:rsidR="00650EEC" w:rsidRPr="000F2701">
        <w:rPr>
          <w:rFonts w:ascii="Arial" w:hAnsi="Arial" w:cs="Arial"/>
        </w:rPr>
        <w:t xml:space="preserve"> - BSUoSFXC</w:t>
      </w:r>
      <w:r w:rsidR="00650EEC" w:rsidRPr="000F2701">
        <w:rPr>
          <w:rFonts w:ascii="Arial" w:hAnsi="Arial" w:cs="Arial"/>
          <w:vertAlign w:val="subscript"/>
        </w:rPr>
        <w:t>jd</w:t>
      </w:r>
    </w:p>
    <w:p w14:paraId="0F15AC51" w14:textId="2BBD18D5" w:rsidR="00650EEC" w:rsidRPr="000F2701" w:rsidRDefault="00650EEC" w:rsidP="00650EEC">
      <w:pPr>
        <w:pStyle w:val="1"/>
        <w:ind w:left="1627"/>
        <w:rPr>
          <w:rFonts w:ascii="Arial" w:hAnsi="Arial" w:cs="Arial"/>
          <w:szCs w:val="22"/>
        </w:rPr>
      </w:pPr>
      <w:r w:rsidRPr="000F2701">
        <w:rPr>
          <w:rFonts w:ascii="Arial" w:hAnsi="Arial" w:cs="Arial"/>
          <w:szCs w:val="22"/>
          <w:vertAlign w:val="subscript"/>
        </w:rPr>
        <w:br/>
      </w:r>
      <w:r w:rsidRPr="000F2701">
        <w:rPr>
          <w:rFonts w:ascii="Arial" w:hAnsi="Arial" w:cs="Arial"/>
          <w:szCs w:val="22"/>
        </w:rPr>
        <w:t>The Further Costs Support Scheme End Date shall be the earlier of:</w:t>
      </w:r>
      <w:r w:rsidRPr="000F2701">
        <w:rPr>
          <w:rFonts w:ascii="Arial" w:hAnsi="Arial" w:cs="Arial"/>
          <w:szCs w:val="22"/>
        </w:rPr>
        <w:br/>
        <w:t xml:space="preserve">1. The end of the last </w:t>
      </w:r>
      <w:r w:rsidRPr="000F2701">
        <w:rPr>
          <w:rFonts w:ascii="Arial" w:hAnsi="Arial" w:cs="Arial"/>
          <w:b/>
          <w:bCs/>
          <w:szCs w:val="22"/>
        </w:rPr>
        <w:t>Settlement Period</w:t>
      </w:r>
      <w:r w:rsidRPr="000F2701">
        <w:rPr>
          <w:rFonts w:ascii="Arial" w:hAnsi="Arial" w:cs="Arial"/>
          <w:szCs w:val="22"/>
        </w:rPr>
        <w:t xml:space="preserve"> (23:30 – 00:00) of 31</w:t>
      </w:r>
      <w:r w:rsidRPr="000F2701">
        <w:rPr>
          <w:rFonts w:ascii="Arial" w:hAnsi="Arial" w:cs="Arial"/>
          <w:szCs w:val="22"/>
          <w:vertAlign w:val="superscript"/>
        </w:rPr>
        <w:t>st</w:t>
      </w:r>
      <w:r w:rsidRPr="000F2701">
        <w:rPr>
          <w:rFonts w:ascii="Arial" w:hAnsi="Arial" w:cs="Arial"/>
          <w:szCs w:val="22"/>
        </w:rPr>
        <w:t xml:space="preserve"> March 2023, or,</w:t>
      </w:r>
      <w:r w:rsidRPr="000F2701">
        <w:rPr>
          <w:rFonts w:ascii="Arial" w:hAnsi="Arial" w:cs="Arial"/>
          <w:szCs w:val="22"/>
        </w:rPr>
        <w:br/>
        <w:t xml:space="preserve">2. The </w:t>
      </w:r>
      <w:r w:rsidRPr="000F2701">
        <w:rPr>
          <w:rFonts w:ascii="Arial" w:hAnsi="Arial" w:cs="Arial"/>
          <w:b/>
          <w:bCs/>
          <w:szCs w:val="22"/>
        </w:rPr>
        <w:t xml:space="preserve">Settlement Period </w:t>
      </w:r>
      <w:r w:rsidRPr="000F2701">
        <w:rPr>
          <w:rFonts w:ascii="Arial" w:hAnsi="Arial" w:cs="Arial"/>
          <w:szCs w:val="22"/>
        </w:rPr>
        <w:t xml:space="preserve">as advised by </w:t>
      </w:r>
      <w:r w:rsidRPr="000F2701">
        <w:rPr>
          <w:rFonts w:ascii="Arial" w:hAnsi="Arial" w:cs="Arial"/>
          <w:b/>
          <w:bCs/>
          <w:szCs w:val="22"/>
        </w:rPr>
        <w:t>The Company</w:t>
      </w:r>
      <w:r w:rsidRPr="000F2701">
        <w:rPr>
          <w:rFonts w:ascii="Arial" w:hAnsi="Arial" w:cs="Arial"/>
          <w:szCs w:val="22"/>
        </w:rPr>
        <w:t xml:space="preserve"> in accordance with 14.3</w:t>
      </w:r>
      <w:r w:rsidR="000F2701">
        <w:rPr>
          <w:rFonts w:ascii="Arial" w:hAnsi="Arial" w:cs="Arial"/>
          <w:szCs w:val="22"/>
        </w:rPr>
        <w:t>1</w:t>
      </w:r>
      <w:r w:rsidRPr="000F2701">
        <w:rPr>
          <w:rFonts w:ascii="Arial" w:hAnsi="Arial" w:cs="Arial"/>
          <w:szCs w:val="22"/>
        </w:rPr>
        <w:t>.</w:t>
      </w:r>
      <w:r w:rsidR="0028445B">
        <w:rPr>
          <w:rFonts w:ascii="Arial" w:hAnsi="Arial" w:cs="Arial"/>
          <w:szCs w:val="22"/>
        </w:rPr>
        <w:t>46</w:t>
      </w:r>
      <w:r w:rsidRPr="000F2701">
        <w:rPr>
          <w:rFonts w:ascii="Arial" w:hAnsi="Arial" w:cs="Arial"/>
          <w:szCs w:val="22"/>
        </w:rPr>
        <w:t>.</w:t>
      </w:r>
    </w:p>
    <w:p w14:paraId="4D804F4E" w14:textId="77777777" w:rsidR="00650EEC" w:rsidRPr="000F2701" w:rsidRDefault="00650EEC" w:rsidP="00650EEC">
      <w:pPr>
        <w:pStyle w:val="1"/>
        <w:ind w:left="1627"/>
        <w:jc w:val="both"/>
        <w:rPr>
          <w:rFonts w:ascii="Arial" w:hAnsi="Arial" w:cs="Arial"/>
          <w:szCs w:val="22"/>
        </w:rPr>
      </w:pPr>
    </w:p>
    <w:p w14:paraId="4E6F3FCC" w14:textId="6DFB6D9D"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42</w:t>
      </w:r>
      <w:r w:rsidRPr="000F2701">
        <w:rPr>
          <w:rFonts w:ascii="Arial" w:hAnsi="Arial" w:cs="Arial"/>
          <w:sz w:val="22"/>
          <w:szCs w:val="22"/>
        </w:rPr>
        <w:t xml:space="preserve"> </w:t>
      </w:r>
      <w:r w:rsidR="00650EEC" w:rsidRPr="000F2701">
        <w:rPr>
          <w:rFonts w:ascii="Arial" w:hAnsi="Arial" w:cs="Arial"/>
          <w:sz w:val="22"/>
          <w:szCs w:val="22"/>
        </w:rPr>
        <w:t xml:space="preserve">For Suppliers,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1CEF547F"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24894862"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The necessary licence changes coming into effect to implement recovery of the Further Costs;</w:t>
      </w:r>
    </w:p>
    <w:p w14:paraId="41AA8C93" w14:textId="775C9AD1" w:rsidR="00650EEC" w:rsidRPr="000F2701" w:rsidRDefault="00650EEC" w:rsidP="00650EEC">
      <w:pPr>
        <w:ind w:left="1627"/>
        <w:rPr>
          <w:rFonts w:ascii="Cambria Math" w:hAnsi="Cambria Math" w:cs="Cambria Math"/>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March 2024 inclusive, the formula in 14.3</w:t>
      </w:r>
      <w:r w:rsidR="00484D7B">
        <w:rPr>
          <w:rFonts w:ascii="Arial" w:hAnsi="Arial" w:cs="Arial"/>
          <w:sz w:val="22"/>
          <w:szCs w:val="22"/>
        </w:rPr>
        <w:t>1</w:t>
      </w:r>
      <w:r w:rsidRPr="000F2701">
        <w:rPr>
          <w:rFonts w:ascii="Arial" w:hAnsi="Arial" w:cs="Arial"/>
          <w:sz w:val="22"/>
          <w:szCs w:val="22"/>
        </w:rPr>
        <w:t>.</w:t>
      </w:r>
      <w:r w:rsidR="006853D6">
        <w:rPr>
          <w:rFonts w:ascii="Arial" w:hAnsi="Arial" w:cs="Arial"/>
          <w:sz w:val="22"/>
          <w:szCs w:val="22"/>
        </w:rPr>
        <w:t>22</w:t>
      </w:r>
      <w:r w:rsidR="006853D6" w:rsidRPr="000F2701">
        <w:rPr>
          <w:rFonts w:ascii="Arial" w:hAnsi="Arial" w:cs="Arial"/>
          <w:sz w:val="22"/>
          <w:szCs w:val="22"/>
        </w:rPr>
        <w:t xml:space="preserve"> </w:t>
      </w:r>
      <w:r w:rsidRPr="000F2701">
        <w:rPr>
          <w:rFonts w:ascii="Arial" w:hAnsi="Arial" w:cs="Arial"/>
          <w:sz w:val="22"/>
          <w:szCs w:val="22"/>
        </w:rPr>
        <w:t>shall be updated so that Further Costs (BSUoSFXC</w:t>
      </w:r>
      <m:oMath>
        <m:r>
          <m:rPr>
            <m:sty m:val="p"/>
          </m:rPr>
          <w:rPr>
            <w:rFonts w:ascii="Cambria Math" w:hAnsi="Cambria Math"/>
            <w:sz w:val="18"/>
            <w:vertAlign w:val="subscript"/>
          </w:rPr>
          <m:t>d</m:t>
        </m:r>
      </m:oMath>
      <w:r w:rsidRPr="000F2701">
        <w:rPr>
          <w:rFonts w:ascii="Arial" w:hAnsi="Arial" w:cs="Arial"/>
          <w:sz w:val="22"/>
          <w:szCs w:val="22"/>
        </w:rPr>
        <w:t xml:space="preserve">) in </w:t>
      </w:r>
      <w:r w:rsidRPr="000F2701">
        <w:rPr>
          <w:rFonts w:ascii="Arial" w:hAnsi="Arial" w:cs="Arial"/>
          <w:b/>
          <w:bCs/>
          <w:sz w:val="22"/>
          <w:szCs w:val="22"/>
        </w:rPr>
        <w:t xml:space="preserve">Settlement Day </w:t>
      </w:r>
      <w:r w:rsidRPr="000F2701">
        <w:rPr>
          <w:rFonts w:ascii="Cambria Math" w:hAnsi="Cambria Math" w:cs="Cambria Math"/>
          <w:sz w:val="22"/>
          <w:szCs w:val="22"/>
        </w:rPr>
        <w:t>𝑑</w:t>
      </w:r>
      <w:r w:rsidRPr="000F2701">
        <w:rPr>
          <w:rFonts w:ascii="Arial" w:hAnsi="Arial" w:cs="Arial"/>
          <w:sz w:val="22"/>
          <w:szCs w:val="22"/>
        </w:rPr>
        <w:t xml:space="preserve"> are added as follows: </w:t>
      </w:r>
      <w:r w:rsidRPr="000F2701">
        <w:br/>
      </w:r>
    </w:p>
    <w:p w14:paraId="46DFCD5A" w14:textId="77777777" w:rsidR="00650EEC" w:rsidRPr="00484D7B" w:rsidRDefault="00B428B8" w:rsidP="00650EEC">
      <w:pPr>
        <w:ind w:left="1627"/>
        <w:rPr>
          <w:rFonts w:ascii="Cambria Math" w:hAnsi="Cambria Math" w:cs="Cambria Math"/>
          <w:sz w:val="22"/>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r>
                <m:rPr>
                  <m:sty m:val="p"/>
                </m:rPr>
                <w:rPr>
                  <w:rFonts w:ascii="Cambria Math" w:hAnsi="Cambria Math" w:cs="Arial"/>
                  <w:sz w:val="22"/>
                  <w:szCs w:val="22"/>
                </w:rPr>
                <m:t xml:space="preserve"> </m:t>
              </m:r>
              <m:r>
                <w:rPr>
                  <w:rFonts w:ascii="Cambria Math" w:hAnsi="Cambria Math" w:cs="Arial"/>
                  <w:sz w:val="22"/>
                  <w:szCs w:val="22"/>
                </w:rPr>
                <m:t>+ (</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SRD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2D5C965" w14:textId="77777777" w:rsidR="00650EEC" w:rsidRPr="00976E53" w:rsidRDefault="00650EEC" w:rsidP="00650EEC">
      <w:pPr>
        <w:ind w:left="1627"/>
        <w:rPr>
          <w:rFonts w:ascii="Arial" w:hAnsi="Arial" w:cs="Arial"/>
          <w:sz w:val="22"/>
          <w:szCs w:val="22"/>
        </w:rPr>
      </w:pPr>
    </w:p>
    <w:p w14:paraId="2E9BD70C" w14:textId="77777777" w:rsidR="00650EEC" w:rsidRPr="006D0A1A" w:rsidRDefault="00650EEC" w:rsidP="00650EEC">
      <w:pPr>
        <w:pStyle w:val="1"/>
        <w:ind w:left="1627"/>
        <w:jc w:val="both"/>
      </w:pPr>
      <w:r w:rsidRPr="00976E53">
        <w:t xml:space="preserve">Where </w:t>
      </w:r>
    </w:p>
    <w:p w14:paraId="2B95B968" w14:textId="77777777" w:rsidR="00650EEC" w:rsidRPr="00A42FCC" w:rsidRDefault="00650EEC" w:rsidP="00650EEC">
      <w:pPr>
        <w:pStyle w:val="1"/>
        <w:ind w:left="1627"/>
        <w:jc w:val="both"/>
      </w:pPr>
    </w:p>
    <w:p w14:paraId="29F6A0A7" w14:textId="77777777" w:rsidR="00650EEC" w:rsidRPr="000F2701" w:rsidRDefault="00650EEC" w:rsidP="00650EEC">
      <w:pPr>
        <w:pStyle w:val="1"/>
        <w:ind w:left="1627"/>
        <w:jc w:val="both"/>
        <w:rPr>
          <w:b/>
          <w:bCs/>
        </w:rPr>
      </w:pPr>
      <w:r w:rsidRPr="007A1F7C">
        <w:t>BSUoSFXC</w:t>
      </w:r>
      <w:r w:rsidRPr="007A1F7C">
        <w:rPr>
          <w:vertAlign w:val="subscript"/>
        </w:rPr>
        <w:t>d</w:t>
      </w:r>
      <w:r w:rsidRPr="007A1F7C">
        <w:t xml:space="preserve">, is the cumulative total deferred value of the </w:t>
      </w:r>
      <w:r w:rsidRPr="000F2701">
        <w:t xml:space="preserve">Further Costs Support Scheme, including any administrative or financing cost borne by </w:t>
      </w:r>
      <w:r w:rsidRPr="000F2701">
        <w:rPr>
          <w:b/>
          <w:bCs/>
        </w:rPr>
        <w:t>The Company</w:t>
      </w:r>
      <w:r w:rsidRPr="000F2701">
        <w:t>, as agreed by the</w:t>
      </w:r>
      <w:r w:rsidRPr="000F2701">
        <w:rPr>
          <w:b/>
          <w:bCs/>
        </w:rPr>
        <w:t xml:space="preserve"> Authority</w:t>
      </w:r>
    </w:p>
    <w:p w14:paraId="757DE049" w14:textId="77777777" w:rsidR="00650EEC" w:rsidRPr="000F2701" w:rsidRDefault="00650EEC" w:rsidP="00650EEC">
      <w:pPr>
        <w:pStyle w:val="1"/>
        <w:ind w:left="1627"/>
        <w:jc w:val="both"/>
        <w:rPr>
          <w:b/>
          <w:bCs/>
        </w:rPr>
      </w:pPr>
    </w:p>
    <w:p w14:paraId="79124481" w14:textId="4E8702B9" w:rsidR="00650EEC" w:rsidRPr="00484D7B" w:rsidRDefault="0DD13B8A" w:rsidP="00650EEC">
      <w:pPr>
        <w:pStyle w:val="1"/>
        <w:ind w:left="1627"/>
        <w:jc w:val="both"/>
      </w:pPr>
      <w:r>
        <w:t xml:space="preserve">D% is the percentage of the deferred value of the Further Costs Support Scheme to be recovered from Suppliers, calculated using volume data from </w:t>
      </w:r>
      <w:r w:rsidR="26036D1C">
        <w:t>6</w:t>
      </w:r>
      <w:r w:rsidR="7E3DBCCD" w:rsidRPr="0537B9E0">
        <w:rPr>
          <w:vertAlign w:val="superscript"/>
        </w:rPr>
        <w:t>th</w:t>
      </w:r>
      <w:r w:rsidR="7E3DBCCD">
        <w:t xml:space="preserve"> October</w:t>
      </w:r>
      <w:r>
        <w:t xml:space="preserve"> 2022 to 3</w:t>
      </w:r>
      <w:r w:rsidRPr="0537B9E0">
        <w:rPr>
          <w:rFonts w:ascii="Arial" w:hAnsi="Arial" w:cs="Arial"/>
        </w:rPr>
        <w:t>1</w:t>
      </w:r>
      <w:r w:rsidRPr="0537B9E0">
        <w:rPr>
          <w:rFonts w:ascii="Arial" w:hAnsi="Arial" w:cs="Arial"/>
          <w:vertAlign w:val="superscript"/>
        </w:rPr>
        <w:t>st</w:t>
      </w:r>
      <w:r>
        <w:t xml:space="preserve"> March 2023 inclusive, based on an assumption of which BMUs are demand and which are generation</w:t>
      </w:r>
    </w:p>
    <w:p w14:paraId="4CDB0FF5" w14:textId="77777777" w:rsidR="00650EEC" w:rsidRPr="00976E53" w:rsidRDefault="00650EEC" w:rsidP="00650EEC">
      <w:pPr>
        <w:pStyle w:val="1"/>
        <w:ind w:left="1627"/>
        <w:jc w:val="both"/>
      </w:pPr>
    </w:p>
    <w:p w14:paraId="0B001707" w14:textId="77777777" w:rsidR="00650EEC" w:rsidRPr="00A42FCC" w:rsidRDefault="00650EEC" w:rsidP="00650EEC">
      <w:pPr>
        <w:pStyle w:val="1"/>
        <w:ind w:left="1627"/>
        <w:jc w:val="both"/>
      </w:pPr>
      <w:r w:rsidRPr="00976E53">
        <w:t xml:space="preserve">SRD = the number of days within </w:t>
      </w:r>
      <w:r w:rsidRPr="006D0A1A">
        <w:rPr>
          <w:b/>
          <w:bCs/>
        </w:rPr>
        <w:t>Financial Year</w:t>
      </w:r>
      <w:r w:rsidRPr="006D0A1A">
        <w:t xml:space="preserve"> 2023/4 over which the cumulative total deferred value of the Further Costs Support Scheme is to be recovered  from Suppliers.</w:t>
      </w:r>
    </w:p>
    <w:p w14:paraId="1D802609" w14:textId="77777777" w:rsidR="00650EEC" w:rsidRPr="007A1F7C" w:rsidRDefault="00650EEC" w:rsidP="00650EEC">
      <w:pPr>
        <w:pStyle w:val="1"/>
        <w:ind w:left="1627"/>
        <w:jc w:val="both"/>
      </w:pPr>
    </w:p>
    <w:p w14:paraId="583FED7A" w14:textId="77777777" w:rsidR="00650EEC" w:rsidRPr="007A1F7C" w:rsidRDefault="00650EEC" w:rsidP="00650EEC">
      <w:pPr>
        <w:ind w:left="1627"/>
        <w:rPr>
          <w:rFonts w:ascii="Arial" w:hAnsi="Arial" w:cs="Arial"/>
          <w:sz w:val="22"/>
          <w:szCs w:val="22"/>
        </w:rPr>
      </w:pPr>
    </w:p>
    <w:p w14:paraId="278642BB" w14:textId="384B6693"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43</w:t>
      </w:r>
      <w:r w:rsidRPr="000F2701">
        <w:rPr>
          <w:rFonts w:ascii="Arial" w:hAnsi="Arial" w:cs="Arial"/>
          <w:sz w:val="22"/>
          <w:szCs w:val="22"/>
        </w:rPr>
        <w:t xml:space="preserve"> </w:t>
      </w:r>
      <w:r w:rsidR="00650EEC" w:rsidRPr="000F2701">
        <w:rPr>
          <w:rFonts w:ascii="Arial" w:hAnsi="Arial" w:cs="Arial"/>
          <w:sz w:val="22"/>
          <w:szCs w:val="22"/>
        </w:rPr>
        <w:t xml:space="preserve">For Generators,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64BAB881"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6A450C05"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The necessary licence changes coming into effect to implement recovery of Further Costs;</w:t>
      </w:r>
    </w:p>
    <w:p w14:paraId="75EB0FE1" w14:textId="77777777" w:rsidR="00650EEC" w:rsidRPr="000F2701" w:rsidRDefault="00650EEC" w:rsidP="00650EEC">
      <w:pPr>
        <w:ind w:left="1627"/>
        <w:rPr>
          <w:rFonts w:ascii="Arial" w:hAnsi="Arial" w:cs="Arial"/>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December 2023 inclusive, Generators shall be liable for a charge (the “Further Costs Support Scheme Recovery Charge”), payable monthly, calculated as follows:</w:t>
      </w:r>
    </w:p>
    <w:p w14:paraId="55CD1270" w14:textId="77777777" w:rsidR="00650EEC" w:rsidRPr="000F2701" w:rsidRDefault="00650EEC" w:rsidP="00650EEC">
      <w:pPr>
        <w:ind w:left="1627"/>
        <w:rPr>
          <w:rFonts w:ascii="Arial" w:hAnsi="Arial" w:cs="Arial"/>
          <w:sz w:val="22"/>
          <w:szCs w:val="22"/>
        </w:rPr>
      </w:pPr>
    </w:p>
    <w:p w14:paraId="37493B83" w14:textId="77777777" w:rsidR="00650EEC" w:rsidRPr="00484D7B" w:rsidRDefault="00B428B8" w:rsidP="00650EEC">
      <w:pPr>
        <w:ind w:left="1627"/>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F7CEEDA" w14:textId="77777777" w:rsidR="00650EEC" w:rsidRPr="00976E53" w:rsidRDefault="00650EEC" w:rsidP="00650EEC">
      <w:pPr>
        <w:ind w:left="1627"/>
        <w:rPr>
          <w:rFonts w:ascii="Arial" w:hAnsi="Arial" w:cs="Arial"/>
          <w:sz w:val="22"/>
          <w:szCs w:val="22"/>
        </w:rPr>
      </w:pPr>
    </w:p>
    <w:p w14:paraId="46E3E801" w14:textId="77777777" w:rsidR="00650EEC" w:rsidRPr="001649FC" w:rsidRDefault="00650EEC" w:rsidP="00650EEC">
      <w:pPr>
        <w:pStyle w:val="1"/>
        <w:ind w:left="1627"/>
        <w:jc w:val="both"/>
      </w:pPr>
      <w:r w:rsidRPr="00976E53">
        <w:t xml:space="preserve">GRD = the number of days within </w:t>
      </w:r>
      <w:r w:rsidRPr="006D0A1A">
        <w:rPr>
          <w:b/>
          <w:bCs/>
        </w:rPr>
        <w:t>Financial Year</w:t>
      </w:r>
      <w:r w:rsidRPr="006D0A1A">
        <w:t xml:space="preserve"> 2023/4 over which the cumulative total deferred value of the Further Costs Support Scheme is to be recovered over from Generators</w:t>
      </w:r>
      <w:r w:rsidRPr="006332A7" w:rsidDel="004C278B">
        <w:t>.</w:t>
      </w:r>
    </w:p>
    <w:p w14:paraId="30483ACB" w14:textId="77777777" w:rsidR="00650EEC" w:rsidRPr="00A42FCC" w:rsidRDefault="00650EEC" w:rsidP="00650EEC">
      <w:pPr>
        <w:ind w:left="1627"/>
        <w:rPr>
          <w:rFonts w:ascii="Arial" w:hAnsi="Arial" w:cs="Arial"/>
          <w:sz w:val="22"/>
          <w:szCs w:val="22"/>
        </w:rPr>
      </w:pPr>
    </w:p>
    <w:p w14:paraId="5E043BB6" w14:textId="31E460A4" w:rsidR="00650EEC" w:rsidRPr="006332A7" w:rsidRDefault="00373E06" w:rsidP="006332A7">
      <w:pPr>
        <w:ind w:left="1701" w:hanging="850"/>
        <w:rPr>
          <w:rFonts w:ascii="Arial" w:hAnsi="Arial" w:cs="Arial"/>
          <w:sz w:val="22"/>
          <w:szCs w:val="22"/>
        </w:rPr>
      </w:pPr>
      <w:r w:rsidRPr="007A1F7C">
        <w:rPr>
          <w:rFonts w:ascii="Arial" w:hAnsi="Arial" w:cs="Arial"/>
          <w:bCs/>
          <w:sz w:val="22"/>
          <w:szCs w:val="22"/>
        </w:rPr>
        <w:t>14.31.</w:t>
      </w:r>
      <w:r w:rsidR="002E5E76">
        <w:rPr>
          <w:rFonts w:ascii="Arial" w:hAnsi="Arial" w:cs="Arial"/>
          <w:bCs/>
          <w:sz w:val="22"/>
          <w:szCs w:val="22"/>
        </w:rPr>
        <w:t>44</w:t>
      </w:r>
      <w:r w:rsidRPr="007A1F7C">
        <w:rPr>
          <w:rFonts w:ascii="Arial" w:hAnsi="Arial" w:cs="Arial"/>
          <w:bCs/>
          <w:sz w:val="22"/>
          <w:szCs w:val="22"/>
        </w:rPr>
        <w:t xml:space="preserve"> </w:t>
      </w:r>
      <w:r w:rsidR="00650EEC" w:rsidRPr="006332A7">
        <w:rPr>
          <w:rFonts w:ascii="Arial" w:hAnsi="Arial" w:cs="Arial"/>
          <w:b/>
          <w:sz w:val="22"/>
          <w:szCs w:val="22"/>
        </w:rPr>
        <w:t xml:space="preserve">The Company </w:t>
      </w:r>
      <w:r w:rsidR="00650EEC" w:rsidRPr="006332A7">
        <w:rPr>
          <w:rFonts w:ascii="Arial" w:hAnsi="Arial" w:cs="Arial"/>
          <w:sz w:val="22"/>
          <w:szCs w:val="22"/>
        </w:rPr>
        <w:t>shall calculate and invoice the Further Costs Support Scheme Recovery Charge as soon as reasonably practicable following the end of each calendar month.</w:t>
      </w:r>
    </w:p>
    <w:p w14:paraId="63739745" w14:textId="77777777" w:rsidR="00650EEC" w:rsidRPr="00484D7B" w:rsidRDefault="00650EEC" w:rsidP="00650EEC">
      <w:pPr>
        <w:ind w:left="1627"/>
        <w:rPr>
          <w:rFonts w:ascii="Arial" w:hAnsi="Arial" w:cs="Arial"/>
          <w:sz w:val="22"/>
          <w:szCs w:val="22"/>
        </w:rPr>
      </w:pPr>
    </w:p>
    <w:p w14:paraId="647F3052" w14:textId="62BF0F24" w:rsidR="00650EEC" w:rsidRPr="000F2701" w:rsidRDefault="00373E06" w:rsidP="006332A7">
      <w:pPr>
        <w:pStyle w:val="ListParagraph"/>
        <w:ind w:left="1758" w:hanging="907"/>
        <w:rPr>
          <w:rFonts w:ascii="Arial" w:hAnsi="Arial" w:cs="Arial"/>
          <w:b/>
          <w:bCs/>
          <w:sz w:val="22"/>
          <w:szCs w:val="22"/>
        </w:rPr>
      </w:pPr>
      <w:r w:rsidRPr="00484D7B">
        <w:rPr>
          <w:rFonts w:ascii="Arial" w:hAnsi="Arial" w:cs="Arial"/>
          <w:sz w:val="22"/>
          <w:szCs w:val="22"/>
        </w:rPr>
        <w:t>14.31.</w:t>
      </w:r>
      <w:r w:rsidR="002E5E76">
        <w:rPr>
          <w:rFonts w:ascii="Arial" w:hAnsi="Arial" w:cs="Arial"/>
          <w:sz w:val="22"/>
          <w:szCs w:val="22"/>
        </w:rPr>
        <w:t>45</w:t>
      </w:r>
      <w:r w:rsidRPr="00484D7B">
        <w:rPr>
          <w:rFonts w:ascii="Arial" w:hAnsi="Arial" w:cs="Arial"/>
          <w:sz w:val="22"/>
          <w:szCs w:val="22"/>
        </w:rPr>
        <w:t xml:space="preserve"> </w:t>
      </w:r>
      <w:r w:rsidR="00650EEC" w:rsidRPr="00484D7B">
        <w:rPr>
          <w:rFonts w:ascii="Arial" w:hAnsi="Arial" w:cs="Arial"/>
          <w:b/>
          <w:bCs/>
          <w:sz w:val="22"/>
          <w:szCs w:val="22"/>
        </w:rPr>
        <w:t xml:space="preserve">The Company </w:t>
      </w:r>
      <w:r w:rsidR="00650EEC" w:rsidRPr="00937FCE">
        <w:rPr>
          <w:rFonts w:ascii="Arial" w:hAnsi="Arial" w:cs="Arial"/>
          <w:sz w:val="22"/>
          <w:szCs w:val="22"/>
        </w:rPr>
        <w:t xml:space="preserve">shall provide </w:t>
      </w:r>
      <w:r w:rsidR="00650EEC" w:rsidRPr="00976E53">
        <w:rPr>
          <w:rFonts w:ascii="Arial" w:hAnsi="Arial" w:cs="Arial"/>
          <w:sz w:val="22"/>
          <w:szCs w:val="22"/>
        </w:rPr>
        <w:t xml:space="preserve">an update each </w:t>
      </w:r>
      <w:r w:rsidR="00650EEC" w:rsidRPr="006D0A1A">
        <w:rPr>
          <w:rFonts w:ascii="Arial" w:hAnsi="Arial" w:cs="Arial"/>
          <w:b/>
          <w:bCs/>
          <w:sz w:val="22"/>
          <w:szCs w:val="22"/>
        </w:rPr>
        <w:t>Business Day</w:t>
      </w:r>
      <w:r w:rsidR="00650EEC" w:rsidRPr="006D0A1A">
        <w:rPr>
          <w:rFonts w:ascii="Arial" w:hAnsi="Arial" w:cs="Arial"/>
          <w:sz w:val="22"/>
          <w:szCs w:val="22"/>
        </w:rPr>
        <w:t xml:space="preserve"> to notify industry of the total Further Costs removed under paragraphs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40</w:t>
      </w:r>
      <w:r w:rsidR="00650EEC" w:rsidRPr="000F2701">
        <w:rPr>
          <w:rFonts w:ascii="Arial" w:hAnsi="Arial" w:cs="Arial"/>
          <w:sz w:val="22"/>
          <w:szCs w:val="22"/>
        </w:rPr>
        <w:t xml:space="preserve"> and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41</w:t>
      </w:r>
      <w:r w:rsidR="00650EEC" w:rsidRPr="000F2701">
        <w:rPr>
          <w:rFonts w:ascii="Arial" w:hAnsi="Arial" w:cs="Arial"/>
          <w:sz w:val="22"/>
          <w:szCs w:val="22"/>
        </w:rPr>
        <w:t xml:space="preserve">. </w:t>
      </w:r>
    </w:p>
    <w:p w14:paraId="7E6D9619" w14:textId="77777777" w:rsidR="00650EEC" w:rsidRPr="000F2701" w:rsidRDefault="00650EEC" w:rsidP="00650EEC">
      <w:pPr>
        <w:pStyle w:val="1"/>
        <w:jc w:val="both"/>
        <w:rPr>
          <w:rFonts w:ascii="Arial" w:hAnsi="Arial" w:cs="Arial"/>
          <w:b/>
          <w:bCs/>
          <w:szCs w:val="22"/>
        </w:rPr>
      </w:pPr>
    </w:p>
    <w:p w14:paraId="4D2434E4" w14:textId="6DAFCF51" w:rsidR="00650EEC" w:rsidRPr="000F2701" w:rsidRDefault="6D2C6BA6" w:rsidP="006332A7">
      <w:pPr>
        <w:pStyle w:val="ListParagraph"/>
        <w:ind w:left="1758" w:hanging="907"/>
        <w:rPr>
          <w:strike/>
        </w:rPr>
      </w:pPr>
      <w:r w:rsidRPr="0537B9E0">
        <w:rPr>
          <w:rFonts w:ascii="Arial" w:hAnsi="Arial" w:cs="Arial"/>
          <w:sz w:val="22"/>
          <w:szCs w:val="22"/>
        </w:rPr>
        <w:t>14.31.</w:t>
      </w:r>
      <w:r w:rsidR="566BA21D" w:rsidRPr="0537B9E0">
        <w:rPr>
          <w:rFonts w:ascii="Arial" w:hAnsi="Arial" w:cs="Arial"/>
          <w:sz w:val="22"/>
          <w:szCs w:val="22"/>
        </w:rPr>
        <w:t>46</w:t>
      </w:r>
      <w:r w:rsidRPr="0537B9E0">
        <w:rPr>
          <w:rFonts w:ascii="Arial" w:hAnsi="Arial" w:cs="Arial"/>
          <w:sz w:val="22"/>
          <w:szCs w:val="22"/>
        </w:rPr>
        <w:t xml:space="preserve"> </w:t>
      </w:r>
      <w:r w:rsidR="0DD13B8A" w:rsidRPr="0537B9E0">
        <w:rPr>
          <w:rFonts w:ascii="Arial" w:hAnsi="Arial" w:cs="Arial"/>
          <w:sz w:val="22"/>
          <w:szCs w:val="22"/>
        </w:rPr>
        <w:t>The £40/MWh cap (as introduced in paragraph 14.3.</w:t>
      </w:r>
      <w:r w:rsidR="29530E4F" w:rsidRPr="0537B9E0">
        <w:rPr>
          <w:rFonts w:ascii="Arial" w:hAnsi="Arial" w:cs="Arial"/>
          <w:sz w:val="22"/>
          <w:szCs w:val="22"/>
        </w:rPr>
        <w:t>40</w:t>
      </w:r>
      <w:r w:rsidR="0DD13B8A" w:rsidRPr="0537B9E0">
        <w:rPr>
          <w:rFonts w:ascii="Arial" w:hAnsi="Arial" w:cs="Arial"/>
          <w:sz w:val="22"/>
          <w:szCs w:val="22"/>
        </w:rPr>
        <w:t xml:space="preserve">) will not be applied in the first and subsequent </w:t>
      </w:r>
      <w:r w:rsidR="0DD13B8A" w:rsidRPr="0537B9E0">
        <w:rPr>
          <w:rFonts w:ascii="Arial" w:hAnsi="Arial" w:cs="Arial"/>
          <w:b/>
          <w:bCs/>
          <w:sz w:val="22"/>
          <w:szCs w:val="22"/>
        </w:rPr>
        <w:t>Settlement Periods</w:t>
      </w:r>
      <w:r w:rsidR="0DD13B8A" w:rsidRPr="0537B9E0">
        <w:rPr>
          <w:rFonts w:ascii="Arial" w:hAnsi="Arial" w:cs="Arial"/>
          <w:sz w:val="22"/>
          <w:szCs w:val="22"/>
        </w:rPr>
        <w:t xml:space="preserve"> where the limit of £250m would have otherwise been breached. Once the </w:t>
      </w:r>
      <w:r w:rsidR="0DD13B8A" w:rsidRPr="0537B9E0">
        <w:rPr>
          <w:rFonts w:ascii="Arial" w:hAnsi="Arial" w:cs="Arial"/>
          <w:b/>
          <w:bCs/>
          <w:sz w:val="22"/>
          <w:szCs w:val="22"/>
        </w:rPr>
        <w:t>Initial Settlement Run</w:t>
      </w:r>
      <w:r w:rsidR="0DD13B8A" w:rsidRPr="0537B9E0">
        <w:rPr>
          <w:rFonts w:ascii="Arial" w:hAnsi="Arial" w:cs="Arial"/>
          <w:sz w:val="22"/>
          <w:szCs w:val="22"/>
        </w:rPr>
        <w:t xml:space="preserve"> confirming this has been completed, </w:t>
      </w:r>
      <w:r w:rsidR="0DD13B8A" w:rsidRPr="0537B9E0">
        <w:rPr>
          <w:rFonts w:ascii="Arial" w:hAnsi="Arial" w:cs="Arial"/>
          <w:b/>
          <w:bCs/>
          <w:sz w:val="22"/>
          <w:szCs w:val="22"/>
        </w:rPr>
        <w:t>The Company</w:t>
      </w:r>
      <w:r w:rsidR="0DD13B8A" w:rsidRPr="0537B9E0">
        <w:rPr>
          <w:rFonts w:ascii="Arial" w:hAnsi="Arial" w:cs="Arial"/>
          <w:sz w:val="22"/>
          <w:szCs w:val="22"/>
        </w:rPr>
        <w:t xml:space="preserve"> will notify </w:t>
      </w:r>
      <w:r w:rsidR="0DD13B8A" w:rsidRPr="0537B9E0">
        <w:rPr>
          <w:rFonts w:ascii="Arial" w:hAnsi="Arial" w:cs="Arial"/>
          <w:b/>
          <w:bCs/>
          <w:sz w:val="22"/>
          <w:szCs w:val="22"/>
        </w:rPr>
        <w:t>Users</w:t>
      </w:r>
      <w:r w:rsidR="0DD13B8A" w:rsidRPr="0537B9E0">
        <w:rPr>
          <w:rFonts w:ascii="Arial" w:hAnsi="Arial" w:cs="Arial"/>
          <w:sz w:val="22"/>
          <w:szCs w:val="22"/>
        </w:rPr>
        <w:t xml:space="preserve"> to confirm that the Further Costs Support Scheme has ended, providing the precise </w:t>
      </w:r>
      <w:r w:rsidR="0DD13B8A" w:rsidRPr="0537B9E0">
        <w:rPr>
          <w:rFonts w:ascii="Arial" w:hAnsi="Arial" w:cs="Arial"/>
          <w:b/>
          <w:bCs/>
          <w:sz w:val="22"/>
          <w:szCs w:val="22"/>
        </w:rPr>
        <w:t>Settlement Day</w:t>
      </w:r>
      <w:r w:rsidR="0DD13B8A" w:rsidRPr="0537B9E0">
        <w:rPr>
          <w:rFonts w:ascii="Arial" w:hAnsi="Arial" w:cs="Arial"/>
          <w:sz w:val="22"/>
          <w:szCs w:val="22"/>
        </w:rPr>
        <w:t xml:space="preserve">, </w:t>
      </w:r>
      <w:r w:rsidR="0DD13B8A" w:rsidRPr="0537B9E0">
        <w:rPr>
          <w:rFonts w:ascii="Arial" w:hAnsi="Arial" w:cs="Arial"/>
          <w:b/>
          <w:bCs/>
          <w:sz w:val="22"/>
          <w:szCs w:val="22"/>
        </w:rPr>
        <w:t xml:space="preserve">Settlement </w:t>
      </w:r>
      <w:bookmarkStart w:id="605" w:name="_Int_mggheBCK"/>
      <w:r w:rsidR="0DD13B8A" w:rsidRPr="0537B9E0">
        <w:rPr>
          <w:rFonts w:ascii="Arial" w:hAnsi="Arial" w:cs="Arial"/>
          <w:b/>
          <w:bCs/>
          <w:sz w:val="22"/>
          <w:szCs w:val="22"/>
        </w:rPr>
        <w:t>Period</w:t>
      </w:r>
      <w:bookmarkEnd w:id="605"/>
      <w:r w:rsidR="0DD13B8A" w:rsidRPr="0537B9E0">
        <w:rPr>
          <w:rFonts w:ascii="Arial" w:hAnsi="Arial" w:cs="Arial"/>
          <w:sz w:val="22"/>
          <w:szCs w:val="22"/>
        </w:rPr>
        <w:t xml:space="preserve"> and value of BSUoSFXC</w:t>
      </w:r>
      <w:r w:rsidR="0DD13B8A" w:rsidRPr="0537B9E0">
        <w:rPr>
          <w:rFonts w:ascii="Arial" w:hAnsi="Arial" w:cs="Arial"/>
          <w:sz w:val="22"/>
          <w:szCs w:val="22"/>
          <w:vertAlign w:val="subscript"/>
        </w:rPr>
        <w:t>d</w:t>
      </w:r>
    </w:p>
    <w:p w14:paraId="036DB239" w14:textId="77777777" w:rsidR="001F4F39" w:rsidRDefault="001F4F39" w:rsidP="00150FE0">
      <w:pPr>
        <w:pStyle w:val="1"/>
        <w:jc w:val="both"/>
      </w:pPr>
    </w:p>
    <w:p w14:paraId="2A54DCE9" w14:textId="1A6634CD" w:rsidR="00A63542" w:rsidRDefault="00A63542" w:rsidP="00750515">
      <w:pPr>
        <w:pStyle w:val="1"/>
        <w:jc w:val="both"/>
        <w:rPr>
          <w:b/>
          <w:color w:val="008080"/>
        </w:rPr>
      </w:pPr>
    </w:p>
    <w:p w14:paraId="5E0452CB" w14:textId="77777777" w:rsidR="00A63542" w:rsidRDefault="00A63542" w:rsidP="00750515">
      <w:pPr>
        <w:pStyle w:val="1"/>
        <w:jc w:val="both"/>
        <w:rPr>
          <w:b/>
          <w:color w:val="008080"/>
        </w:rPr>
      </w:pPr>
    </w:p>
    <w:p w14:paraId="1C1FFE27" w14:textId="0CB13FB4" w:rsidR="00750515" w:rsidRPr="00C53DD0" w:rsidRDefault="00750515" w:rsidP="00750515">
      <w:pPr>
        <w:pStyle w:val="Heading1"/>
        <w:jc w:val="left"/>
      </w:pPr>
      <w:bookmarkStart w:id="606" w:name="_Toc3598585"/>
      <w:bookmarkStart w:id="607" w:name="_Toc35675444"/>
      <w:bookmarkStart w:id="608" w:name="_Toc274049772"/>
      <w:r w:rsidRPr="002653AC">
        <w:rPr>
          <w:color w:val="auto"/>
          <w:sz w:val="28"/>
          <w:szCs w:val="28"/>
        </w:rPr>
        <w:t>14.3</w:t>
      </w:r>
      <w:r w:rsidR="00B463F7">
        <w:rPr>
          <w:color w:val="auto"/>
          <w:sz w:val="28"/>
          <w:szCs w:val="28"/>
        </w:rPr>
        <w:t>2</w:t>
      </w:r>
      <w:r w:rsidRPr="002653AC">
        <w:rPr>
          <w:color w:val="auto"/>
          <w:sz w:val="28"/>
          <w:szCs w:val="28"/>
        </w:rPr>
        <w:t xml:space="preserve"> Settlement of BSUoS</w:t>
      </w:r>
      <w:bookmarkEnd w:id="606"/>
      <w:bookmarkEnd w:id="607"/>
      <w:bookmarkEnd w:id="608"/>
    </w:p>
    <w:p w14:paraId="1265E846" w14:textId="77777777" w:rsidR="00750515" w:rsidRDefault="00750515" w:rsidP="00750515">
      <w:pPr>
        <w:pStyle w:val="Heading2"/>
      </w:pPr>
    </w:p>
    <w:p w14:paraId="6A8C918E" w14:textId="5452875F" w:rsidR="00750515" w:rsidRDefault="00750515" w:rsidP="00750515">
      <w:pPr>
        <w:pStyle w:val="Heading2"/>
      </w:pPr>
      <w:bookmarkStart w:id="609" w:name="_Toc3598586"/>
      <w:bookmarkStart w:id="610" w:name="_Toc35675445"/>
      <w:bookmarkStart w:id="611" w:name="_Toc274049773"/>
      <w:r>
        <w:t xml:space="preserve">Settlement and Reconciliation of BSUoS </w:t>
      </w:r>
      <w:bookmarkEnd w:id="609"/>
      <w:bookmarkEnd w:id="610"/>
      <w:bookmarkEnd w:id="611"/>
      <w:r w:rsidR="004F5CE7">
        <w:t>Charges</w:t>
      </w:r>
    </w:p>
    <w:p w14:paraId="2DB8E368" w14:textId="77777777" w:rsidR="00750515" w:rsidRDefault="00750515" w:rsidP="00750515"/>
    <w:p w14:paraId="28F8D90F" w14:textId="286828F1" w:rsidR="00750515" w:rsidRDefault="00E02C9D" w:rsidP="00150FE0">
      <w:pPr>
        <w:pStyle w:val="1"/>
        <w:ind w:left="1627" w:hanging="776"/>
        <w:jc w:val="both"/>
      </w:pPr>
      <w:r>
        <w:t xml:space="preserve">14.32.1 </w:t>
      </w:r>
      <w:r w:rsidR="00750515">
        <w:t xml:space="preserve">There are two stages of the reconciliation of BSUoS </w:t>
      </w:r>
      <w:r w:rsidR="00FB199F">
        <w:t xml:space="preserve">Charges </w:t>
      </w:r>
      <w:r w:rsidR="00750515">
        <w:t>described below:</w:t>
      </w:r>
    </w:p>
    <w:p w14:paraId="6DABEAD7" w14:textId="77777777" w:rsidR="00750515" w:rsidRDefault="00750515" w:rsidP="00750515">
      <w:pPr>
        <w:rPr>
          <w:rFonts w:ascii="Arial" w:hAnsi="Arial"/>
          <w:sz w:val="22"/>
        </w:rPr>
      </w:pPr>
    </w:p>
    <w:p w14:paraId="775D2480" w14:textId="77777777" w:rsidR="00750515" w:rsidRDefault="00750515" w:rsidP="00533333">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4B4E4001" w14:textId="77777777" w:rsidR="00750515" w:rsidRDefault="00750515" w:rsidP="00533333">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1CEBD0A" w14:textId="77777777" w:rsidR="00E02C9D" w:rsidRDefault="00E02C9D" w:rsidP="00E02C9D">
      <w:pPr>
        <w:tabs>
          <w:tab w:val="num" w:pos="1500"/>
        </w:tabs>
        <w:ind w:left="1800"/>
        <w:rPr>
          <w:rFonts w:ascii="Arial" w:hAnsi="Arial"/>
          <w:sz w:val="22"/>
        </w:rPr>
      </w:pPr>
    </w:p>
    <w:p w14:paraId="13FA49CC" w14:textId="77777777" w:rsidR="00750515" w:rsidRDefault="00750515" w:rsidP="00750515">
      <w:pPr>
        <w:tabs>
          <w:tab w:val="num" w:pos="1140"/>
        </w:tabs>
        <w:ind w:left="780"/>
        <w:rPr>
          <w:rFonts w:ascii="Arial" w:hAnsi="Arial"/>
          <w:sz w:val="22"/>
        </w:rPr>
      </w:pPr>
    </w:p>
    <w:p w14:paraId="03EDCC03" w14:textId="77777777" w:rsidR="00750515" w:rsidRDefault="00750515" w:rsidP="00750515">
      <w:pPr>
        <w:pStyle w:val="Heading2"/>
      </w:pPr>
      <w:bookmarkStart w:id="612" w:name="_Toc3598587"/>
      <w:bookmarkStart w:id="613" w:name="_Toc35675446"/>
      <w:bookmarkStart w:id="614" w:name="_Toc274049774"/>
      <w:r>
        <w:t>Initial Settlement of BSUoS</w:t>
      </w:r>
      <w:bookmarkEnd w:id="612"/>
      <w:bookmarkEnd w:id="613"/>
      <w:bookmarkEnd w:id="614"/>
    </w:p>
    <w:p w14:paraId="54B84BB5" w14:textId="77777777" w:rsidR="00750515" w:rsidRDefault="00750515" w:rsidP="00750515"/>
    <w:p w14:paraId="3D3D3692" w14:textId="30FDBB9D" w:rsidR="00750515" w:rsidRDefault="00E02C9D" w:rsidP="00150FE0">
      <w:pPr>
        <w:pStyle w:val="1"/>
        <w:ind w:left="1701" w:hanging="850"/>
        <w:jc w:val="both"/>
      </w:pPr>
      <w:r>
        <w:t xml:space="preserve">14.32.2 </w:t>
      </w:r>
      <w:r w:rsidR="1CE92958" w:rsidRPr="00150FE0">
        <w:rPr>
          <w:b/>
        </w:rPr>
        <w:t>The</w:t>
      </w:r>
      <w:r w:rsidR="00750515" w:rsidRPr="00150FE0">
        <w:rPr>
          <w:b/>
        </w:rPr>
        <w:t xml:space="preserve"> Company</w:t>
      </w:r>
      <w:r w:rsidR="00750515">
        <w:t xml:space="preserve"> will calculate initial settlement (SF) BSUoS </w:t>
      </w:r>
      <w:r w:rsidR="00FB199F">
        <w:t xml:space="preserve">Charges </w:t>
      </w:r>
      <w:r w:rsidR="00750515">
        <w:t>in accordance with the methodology set out in section 14.3</w:t>
      </w:r>
      <w:r>
        <w:t>1</w:t>
      </w:r>
      <w:r w:rsidR="00750515">
        <w:t xml:space="preserve"> above, using the latest available data, including data from the Initial Settlement Run and the Initial Volume Allocation Run.</w:t>
      </w:r>
    </w:p>
    <w:p w14:paraId="70635461" w14:textId="77777777" w:rsidR="00750515" w:rsidRDefault="00750515" w:rsidP="00750515">
      <w:pPr>
        <w:pStyle w:val="1"/>
        <w:jc w:val="both"/>
      </w:pPr>
    </w:p>
    <w:p w14:paraId="2DA9092C" w14:textId="77777777" w:rsidR="00750515" w:rsidRDefault="00750515" w:rsidP="00750515">
      <w:pPr>
        <w:pStyle w:val="Heading2"/>
        <w:tabs>
          <w:tab w:val="left" w:pos="2160"/>
          <w:tab w:val="left" w:pos="3600"/>
          <w:tab w:val="left" w:pos="4680"/>
        </w:tabs>
      </w:pPr>
      <w:bookmarkStart w:id="615" w:name="_Toc3598588"/>
      <w:bookmarkStart w:id="616" w:name="_Toc35675447"/>
      <w:bookmarkStart w:id="617" w:name="_Toc274049775"/>
      <w:r>
        <w:t>Reconciliation of BSUoS Charges</w:t>
      </w:r>
      <w:bookmarkEnd w:id="615"/>
      <w:bookmarkEnd w:id="616"/>
      <w:bookmarkEnd w:id="617"/>
      <w:r>
        <w:t xml:space="preserve"> </w:t>
      </w:r>
    </w:p>
    <w:p w14:paraId="48D1A13E" w14:textId="77777777" w:rsidR="00750515" w:rsidRDefault="00750515" w:rsidP="00750515">
      <w:pPr>
        <w:pStyle w:val="1"/>
        <w:jc w:val="both"/>
      </w:pPr>
    </w:p>
    <w:p w14:paraId="2D23B392" w14:textId="77777777" w:rsidR="00750515" w:rsidRDefault="00750515" w:rsidP="00750515">
      <w:pPr>
        <w:pStyle w:val="1"/>
        <w:jc w:val="both"/>
      </w:pPr>
    </w:p>
    <w:p w14:paraId="4DACBF08" w14:textId="2AA1B06E" w:rsidR="00750515" w:rsidRPr="00BC4290" w:rsidRDefault="00750515" w:rsidP="00533333">
      <w:pPr>
        <w:pStyle w:val="ListParagraph"/>
        <w:numPr>
          <w:ilvl w:val="2"/>
          <w:numId w:val="105"/>
        </w:numPr>
        <w:ind w:left="1701" w:hanging="992"/>
        <w:jc w:val="both"/>
        <w:rPr>
          <w:rFonts w:ascii="Arial" w:hAnsi="Arial"/>
          <w:sz w:val="22"/>
          <w:szCs w:val="22"/>
        </w:rPr>
      </w:pPr>
      <w:r w:rsidRPr="00150FE0">
        <w:rPr>
          <w:rFonts w:ascii="Arial" w:hAnsi="Arial"/>
          <w:sz w:val="22"/>
          <w:szCs w:val="22"/>
        </w:rPr>
        <w:t xml:space="preserve">Final Reconciliation will result in the calculation of a reconciled charge for each </w:t>
      </w:r>
      <w:r w:rsidR="0098312C" w:rsidRPr="00150FE0">
        <w:rPr>
          <w:rFonts w:ascii="Arial" w:hAnsi="Arial"/>
          <w:sz w:val="22"/>
          <w:szCs w:val="22"/>
        </w:rPr>
        <w:t>S</w:t>
      </w:r>
      <w:r w:rsidRPr="00150FE0">
        <w:rPr>
          <w:rFonts w:ascii="Arial" w:hAnsi="Arial"/>
          <w:sz w:val="22"/>
          <w:szCs w:val="22"/>
        </w:rPr>
        <w:t xml:space="preserve">ettlement </w:t>
      </w:r>
      <w:r w:rsidR="0098312C" w:rsidRPr="00150FE0">
        <w:rPr>
          <w:rFonts w:ascii="Arial" w:hAnsi="Arial"/>
          <w:sz w:val="22"/>
          <w:szCs w:val="22"/>
        </w:rPr>
        <w:t>D</w:t>
      </w:r>
      <w:r w:rsidRPr="00150FE0">
        <w:rPr>
          <w:rFonts w:ascii="Arial" w:hAnsi="Arial"/>
          <w:sz w:val="22"/>
          <w:szCs w:val="22"/>
        </w:rPr>
        <w:t xml:space="preserve">ay in the </w:t>
      </w:r>
      <w:r w:rsidR="00EE4EFB" w:rsidRPr="00150FE0">
        <w:rPr>
          <w:rFonts w:ascii="Arial" w:hAnsi="Arial"/>
          <w:sz w:val="22"/>
          <w:szCs w:val="22"/>
        </w:rPr>
        <w:t>Financial Year</w:t>
      </w:r>
      <w:r w:rsidRPr="00150FE0">
        <w:rPr>
          <w:rFonts w:ascii="Arial" w:hAnsi="Arial"/>
          <w:sz w:val="22"/>
          <w:szCs w:val="22"/>
        </w:rPr>
        <w:t xml:space="preserve">. </w:t>
      </w:r>
      <w:r w:rsidR="1CE92958" w:rsidRPr="00150FE0">
        <w:rPr>
          <w:rFonts w:ascii="Arial" w:hAnsi="Arial"/>
          <w:b/>
          <w:bCs/>
          <w:sz w:val="22"/>
          <w:szCs w:val="22"/>
        </w:rPr>
        <w:t>The</w:t>
      </w:r>
      <w:r w:rsidRPr="00150FE0">
        <w:rPr>
          <w:rFonts w:ascii="Arial" w:hAnsi="Arial"/>
          <w:b/>
          <w:bCs/>
          <w:sz w:val="22"/>
          <w:szCs w:val="22"/>
        </w:rPr>
        <w:t xml:space="preserve"> Company </w:t>
      </w:r>
      <w:r w:rsidRPr="00150FE0">
        <w:rPr>
          <w:rFonts w:ascii="Arial" w:hAnsi="Arial"/>
          <w:sz w:val="22"/>
          <w:szCs w:val="22"/>
        </w:rPr>
        <w:t xml:space="preserve">will calculate Final Reconciliation (RF) BSUoS </w:t>
      </w:r>
      <w:r w:rsidR="007E0EE5" w:rsidRPr="00150FE0">
        <w:rPr>
          <w:rFonts w:ascii="Arial" w:hAnsi="Arial"/>
          <w:sz w:val="22"/>
          <w:szCs w:val="22"/>
        </w:rPr>
        <w:t>Charges</w:t>
      </w:r>
      <w:r w:rsidRPr="00150FE0">
        <w:rPr>
          <w:rFonts w:ascii="Arial" w:hAnsi="Arial"/>
          <w:sz w:val="22"/>
          <w:szCs w:val="22"/>
        </w:rPr>
        <w:t xml:space="preserve"> (with the inclusion of interest as defined in the CUSC) in accordance with the methodology set out in section 14.3</w:t>
      </w:r>
      <w:r w:rsidR="00E02C9D">
        <w:rPr>
          <w:rFonts w:ascii="Arial" w:hAnsi="Arial"/>
          <w:sz w:val="22"/>
          <w:szCs w:val="22"/>
        </w:rPr>
        <w:t>1</w:t>
      </w:r>
      <w:r w:rsidRPr="009F4595">
        <w:rPr>
          <w:rFonts w:ascii="Arial" w:hAnsi="Arial"/>
          <w:sz w:val="22"/>
          <w:szCs w:val="22"/>
        </w:rPr>
        <w:t xml:space="preserve"> above, using the latest available data, including data from the Final Reconciliation Settlement Run and the Final Reconciliation Volume Allocation Run.</w:t>
      </w:r>
      <w:r w:rsidR="00BC4290">
        <w:rPr>
          <w:rFonts w:ascii="Arial" w:hAnsi="Arial"/>
          <w:sz w:val="22"/>
          <w:szCs w:val="22"/>
        </w:rPr>
        <w:br/>
      </w:r>
    </w:p>
    <w:p w14:paraId="232AE260" w14:textId="77777777" w:rsidR="005555C1" w:rsidRPr="000B546B" w:rsidRDefault="005555C1" w:rsidP="005555C1">
      <w:pPr>
        <w:pStyle w:val="ListParagraph"/>
        <w:numPr>
          <w:ilvl w:val="2"/>
          <w:numId w:val="105"/>
        </w:numPr>
        <w:ind w:left="1701" w:hanging="992"/>
        <w:jc w:val="both"/>
        <w:rPr>
          <w:rFonts w:ascii="Arial" w:hAnsi="Arial"/>
          <w:sz w:val="22"/>
          <w:szCs w:val="22"/>
        </w:rPr>
      </w:pPr>
      <w:r>
        <w:rPr>
          <w:rFonts w:ascii="Arial" w:hAnsi="Arial"/>
          <w:sz w:val="22"/>
          <w:szCs w:val="22"/>
        </w:rPr>
        <w:t xml:space="preserve">Pursuant to </w:t>
      </w:r>
      <w:r>
        <w:rPr>
          <w:rFonts w:ascii="Arial" w:hAnsi="Arial"/>
          <w:sz w:val="22"/>
        </w:rPr>
        <w:t>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77296B52" w14:textId="77777777" w:rsidR="00750515" w:rsidRDefault="00750515" w:rsidP="00750515">
      <w:pPr>
        <w:pStyle w:val="1"/>
        <w:jc w:val="both"/>
      </w:pPr>
    </w:p>
    <w:p w14:paraId="0B072BB1" w14:textId="77777777" w:rsidR="00750515" w:rsidRDefault="00750515" w:rsidP="00750515">
      <w:pPr>
        <w:pStyle w:val="1"/>
        <w:jc w:val="both"/>
      </w:pPr>
    </w:p>
    <w:p w14:paraId="2D23E55E" w14:textId="77777777" w:rsidR="00750515" w:rsidRDefault="00750515" w:rsidP="00750515">
      <w:pPr>
        <w:pStyle w:val="Heading2"/>
      </w:pPr>
      <w:bookmarkStart w:id="618" w:name="_Toc488744923"/>
      <w:bookmarkStart w:id="619" w:name="_Toc497131288"/>
      <w:bookmarkStart w:id="620" w:name="_Toc500909412"/>
      <w:bookmarkStart w:id="621" w:name="_Toc3598590"/>
      <w:bookmarkStart w:id="622" w:name="_Toc35675449"/>
      <w:bookmarkStart w:id="623" w:name="_Toc274049776"/>
      <w:r>
        <w:t>Unavailability of Data</w:t>
      </w:r>
      <w:bookmarkEnd w:id="618"/>
      <w:bookmarkEnd w:id="619"/>
      <w:bookmarkEnd w:id="620"/>
      <w:bookmarkEnd w:id="621"/>
      <w:bookmarkEnd w:id="622"/>
      <w:bookmarkEnd w:id="623"/>
    </w:p>
    <w:p w14:paraId="5523063D" w14:textId="77777777" w:rsidR="00750515" w:rsidRDefault="00750515" w:rsidP="00750515">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3BB329C0" w14:textId="551C19A3" w:rsidR="00750515" w:rsidRPr="00150FE0" w:rsidRDefault="76DC4F11" w:rsidP="00533333">
      <w:pPr>
        <w:pStyle w:val="ListParagraph"/>
        <w:numPr>
          <w:ilvl w:val="2"/>
          <w:numId w:val="105"/>
        </w:numPr>
        <w:ind w:left="1701" w:hanging="981"/>
        <w:jc w:val="both"/>
        <w:rPr>
          <w:rFonts w:ascii="Arial" w:hAnsi="Arial"/>
          <w:sz w:val="22"/>
          <w:szCs w:val="22"/>
        </w:rPr>
      </w:pPr>
      <w:r w:rsidRPr="0537B9E0">
        <w:rPr>
          <w:rFonts w:ascii="Arial" w:hAnsi="Arial"/>
          <w:sz w:val="22"/>
          <w:szCs w:val="22"/>
        </w:rPr>
        <w:t xml:space="preserve">If any of the elements required to calculate the BSUoS </w:t>
      </w:r>
      <w:r w:rsidR="35DDC1BC" w:rsidRPr="0537B9E0">
        <w:rPr>
          <w:rFonts w:ascii="Arial" w:hAnsi="Arial"/>
          <w:sz w:val="22"/>
          <w:szCs w:val="22"/>
        </w:rPr>
        <w:t xml:space="preserve">Charges </w:t>
      </w:r>
      <w:r w:rsidRPr="0537B9E0">
        <w:rPr>
          <w:rFonts w:ascii="Arial" w:hAnsi="Arial"/>
          <w:sz w:val="22"/>
          <w:szCs w:val="22"/>
        </w:rPr>
        <w:t xml:space="preserve">in respect of any Settlement Day have not been notified to </w:t>
      </w:r>
      <w:r w:rsidR="58867969" w:rsidRPr="0537B9E0">
        <w:rPr>
          <w:rFonts w:ascii="Arial" w:hAnsi="Arial"/>
          <w:b/>
          <w:bCs/>
          <w:sz w:val="22"/>
          <w:szCs w:val="22"/>
        </w:rPr>
        <w:t>The Company</w:t>
      </w:r>
      <w:r w:rsidRPr="0537B9E0">
        <w:rPr>
          <w:rFonts w:ascii="Arial" w:hAnsi="Arial"/>
          <w:b/>
          <w:bCs/>
          <w:sz w:val="22"/>
          <w:szCs w:val="22"/>
        </w:rPr>
        <w:t xml:space="preserve"> </w:t>
      </w:r>
      <w:r w:rsidRPr="0537B9E0">
        <w:rPr>
          <w:rFonts w:ascii="Arial" w:hAnsi="Arial"/>
          <w:sz w:val="22"/>
          <w:szCs w:val="22"/>
        </w:rPr>
        <w:t xml:space="preserve">in time for it to do the calculations then </w:t>
      </w:r>
      <w:r w:rsidR="58867969" w:rsidRPr="0537B9E0">
        <w:rPr>
          <w:rFonts w:ascii="Arial" w:hAnsi="Arial"/>
          <w:b/>
          <w:bCs/>
          <w:sz w:val="22"/>
          <w:szCs w:val="22"/>
        </w:rPr>
        <w:t>The Company</w:t>
      </w:r>
      <w:r w:rsidRPr="0537B9E0">
        <w:rPr>
          <w:rFonts w:ascii="Arial" w:hAnsi="Arial"/>
          <w:sz w:val="22"/>
          <w:szCs w:val="22"/>
        </w:rPr>
        <w:t xml:space="preserve"> will use data for the corresponding </w:t>
      </w:r>
      <w:r w:rsidRPr="0537B9E0">
        <w:rPr>
          <w:rFonts w:ascii="Arial" w:hAnsi="Arial"/>
          <w:sz w:val="22"/>
          <w:szCs w:val="22"/>
        </w:rPr>
        <w:lastRenderedPageBreak/>
        <w:t>Settlement Day in the previous week</w:t>
      </w:r>
      <w:r w:rsidR="22C66764" w:rsidRPr="0537B9E0">
        <w:rPr>
          <w:rFonts w:ascii="Arial" w:hAnsi="Arial"/>
          <w:sz w:val="22"/>
          <w:szCs w:val="22"/>
        </w:rPr>
        <w:t xml:space="preserve">. </w:t>
      </w:r>
      <w:r w:rsidRPr="0537B9E0">
        <w:rPr>
          <w:rFonts w:ascii="Arial" w:hAnsi="Arial"/>
          <w:sz w:val="22"/>
          <w:szCs w:val="22"/>
        </w:rPr>
        <w:t xml:space="preserve">If no such values for the previous week are available to </w:t>
      </w:r>
      <w:r w:rsidR="58867969" w:rsidRPr="0537B9E0">
        <w:rPr>
          <w:rFonts w:ascii="Arial" w:hAnsi="Arial"/>
          <w:b/>
          <w:bCs/>
          <w:sz w:val="22"/>
          <w:szCs w:val="22"/>
        </w:rPr>
        <w:t>The Company</w:t>
      </w:r>
      <w:r w:rsidRPr="0537B9E0">
        <w:rPr>
          <w:rFonts w:ascii="Arial" w:hAnsi="Arial"/>
          <w:sz w:val="22"/>
          <w:szCs w:val="22"/>
        </w:rPr>
        <w:t xml:space="preserve"> then </w:t>
      </w:r>
      <w:r w:rsidR="58867969" w:rsidRPr="0537B9E0">
        <w:rPr>
          <w:rFonts w:ascii="Arial" w:hAnsi="Arial"/>
          <w:sz w:val="22"/>
          <w:szCs w:val="22"/>
        </w:rPr>
        <w:t>T</w:t>
      </w:r>
      <w:r w:rsidR="58867969" w:rsidRPr="0537B9E0">
        <w:rPr>
          <w:rFonts w:ascii="Arial" w:hAnsi="Arial"/>
          <w:b/>
          <w:bCs/>
          <w:sz w:val="22"/>
          <w:szCs w:val="22"/>
        </w:rPr>
        <w:t>he</w:t>
      </w:r>
      <w:r w:rsidRPr="0537B9E0">
        <w:rPr>
          <w:rFonts w:ascii="Arial" w:hAnsi="Arial"/>
          <w:b/>
          <w:bCs/>
          <w:sz w:val="22"/>
          <w:szCs w:val="22"/>
        </w:rPr>
        <w:t xml:space="preserve"> Company </w:t>
      </w:r>
      <w:r w:rsidRPr="0537B9E0">
        <w:rPr>
          <w:rFonts w:ascii="Arial" w:hAnsi="Arial"/>
          <w:sz w:val="22"/>
          <w:szCs w:val="22"/>
        </w:rPr>
        <w:t xml:space="preserve">will substitute such variables as it shall, at its reasonable discretion, think fit and calculate Balancing Services Use of System </w:t>
      </w:r>
      <w:r w:rsidR="30C38150" w:rsidRPr="0537B9E0">
        <w:rPr>
          <w:rFonts w:ascii="Arial" w:hAnsi="Arial"/>
          <w:sz w:val="22"/>
          <w:szCs w:val="22"/>
        </w:rPr>
        <w:t>C</w:t>
      </w:r>
      <w:r w:rsidRPr="0537B9E0">
        <w:rPr>
          <w:rFonts w:ascii="Arial" w:hAnsi="Arial"/>
          <w:sz w:val="22"/>
          <w:szCs w:val="22"/>
        </w:rPr>
        <w:t xml:space="preserve">harges </w:t>
      </w:r>
      <w:bookmarkStart w:id="624" w:name="_Int_gSKi5dMj"/>
      <w:r w:rsidRPr="0537B9E0">
        <w:rPr>
          <w:rFonts w:ascii="Arial" w:hAnsi="Arial"/>
          <w:sz w:val="22"/>
          <w:szCs w:val="22"/>
        </w:rPr>
        <w:t>on the basis of</w:t>
      </w:r>
      <w:bookmarkEnd w:id="624"/>
      <w:r w:rsidRPr="0537B9E0">
        <w:rPr>
          <w:rFonts w:ascii="Arial" w:hAnsi="Arial"/>
          <w:sz w:val="22"/>
          <w:szCs w:val="22"/>
        </w:rPr>
        <w:t xml:space="preserve"> these values. When the actual data becomes available a reconciliation run will be undertaken.</w:t>
      </w:r>
    </w:p>
    <w:p w14:paraId="6355918D" w14:textId="77777777" w:rsidR="00750515" w:rsidRDefault="00750515" w:rsidP="00750515">
      <w:pPr>
        <w:jc w:val="both"/>
        <w:rPr>
          <w:rFonts w:ascii="Arial" w:hAnsi="Arial"/>
          <w:sz w:val="22"/>
        </w:rPr>
      </w:pPr>
    </w:p>
    <w:p w14:paraId="64BDB027" w14:textId="77777777" w:rsidR="00750515" w:rsidRDefault="00750515" w:rsidP="00750515">
      <w:pPr>
        <w:pStyle w:val="Heading2"/>
      </w:pPr>
      <w:bookmarkStart w:id="625" w:name="_Toc488744924"/>
      <w:bookmarkStart w:id="626" w:name="_Toc497131289"/>
      <w:bookmarkStart w:id="627" w:name="_Toc500909413"/>
      <w:bookmarkStart w:id="628" w:name="_Toc3598591"/>
      <w:bookmarkStart w:id="629" w:name="_Toc35675450"/>
      <w:bookmarkStart w:id="630" w:name="_Toc274049777"/>
      <w:r>
        <w:t>Disputes</w:t>
      </w:r>
      <w:bookmarkEnd w:id="625"/>
      <w:bookmarkEnd w:id="626"/>
      <w:bookmarkEnd w:id="627"/>
      <w:bookmarkEnd w:id="628"/>
      <w:bookmarkEnd w:id="629"/>
      <w:bookmarkEnd w:id="630"/>
    </w:p>
    <w:p w14:paraId="5C1BB184" w14:textId="77777777" w:rsidR="00750515" w:rsidRDefault="00750515" w:rsidP="00750515">
      <w:pPr>
        <w:jc w:val="both"/>
      </w:pPr>
      <w:r>
        <w:rPr>
          <w:b/>
        </w:rPr>
        <w:fldChar w:fldCharType="begin"/>
      </w:r>
      <w:r>
        <w:rPr>
          <w:b/>
        </w:rPr>
        <w:instrText>tc \l2 "Disputes</w:instrText>
      </w:r>
      <w:r>
        <w:rPr>
          <w:b/>
        </w:rPr>
        <w:fldChar w:fldCharType="end"/>
      </w:r>
    </w:p>
    <w:p w14:paraId="2D75FDA1" w14:textId="53EBC196" w:rsidR="00750515" w:rsidRDefault="76DC4F11" w:rsidP="00533333">
      <w:pPr>
        <w:pStyle w:val="1"/>
        <w:numPr>
          <w:ilvl w:val="2"/>
          <w:numId w:val="105"/>
        </w:numPr>
        <w:ind w:left="1701" w:hanging="981"/>
        <w:jc w:val="both"/>
      </w:pPr>
      <w:r>
        <w:t xml:space="preserve">If </w:t>
      </w:r>
      <w:r w:rsidR="58867969" w:rsidRPr="0537B9E0">
        <w:rPr>
          <w:b/>
          <w:bCs/>
        </w:rPr>
        <w:t>The</w:t>
      </w:r>
      <w:r w:rsidRPr="0537B9E0">
        <w:rPr>
          <w:b/>
          <w:bCs/>
        </w:rPr>
        <w:t xml:space="preserve"> Company </w:t>
      </w:r>
      <w:r>
        <w:t xml:space="preserve">or any customer identifies any error which would affect the total Balancing Services Use of System </w:t>
      </w:r>
      <w:r w:rsidR="1D19235C" w:rsidRPr="0537B9E0">
        <w:rPr>
          <w:rFonts w:ascii="Arial" w:hAnsi="Arial"/>
        </w:rPr>
        <w:t>Charges</w:t>
      </w:r>
      <w:r>
        <w:t xml:space="preserve"> on a Settlement Day then </w:t>
      </w:r>
      <w:r w:rsidR="58867969" w:rsidRPr="0537B9E0">
        <w:rPr>
          <w:b/>
          <w:bCs/>
        </w:rPr>
        <w:t>The Company</w:t>
      </w:r>
      <w:r w:rsidRPr="0537B9E0">
        <w:rPr>
          <w:b/>
          <w:bCs/>
        </w:rPr>
        <w:t xml:space="preserve"> </w:t>
      </w:r>
      <w:r>
        <w:t>will recalculate the charges following resolution of the error</w:t>
      </w:r>
      <w:r w:rsidR="07F5F2B7">
        <w:t xml:space="preserve">. </w:t>
      </w:r>
      <w:r>
        <w:t>Revised invoices and/or credit notes will be issued for the change in charges, plus interest as set out in the CUSC</w:t>
      </w:r>
      <w:r w:rsidR="4F75524E">
        <w:t xml:space="preserve">. </w:t>
      </w:r>
      <w:r>
        <w:t xml:space="preserve">The charge recalculation and issuing of revised invoices and/or credit notes will not take place for any day where the total change in the Balancing Services </w:t>
      </w:r>
      <w:r w:rsidR="17571E8B">
        <w:t xml:space="preserve">Use of System </w:t>
      </w:r>
      <w:r w:rsidR="323A5682" w:rsidRPr="0537B9E0">
        <w:rPr>
          <w:rFonts w:ascii="Arial" w:hAnsi="Arial"/>
        </w:rPr>
        <w:t>Charges</w:t>
      </w:r>
      <w:r>
        <w:t xml:space="preserve"> </w:t>
      </w:r>
      <w:r w:rsidR="17571E8B">
        <w:t>are</w:t>
      </w:r>
      <w:r>
        <w:t xml:space="preserve"> less than £2000. </w:t>
      </w:r>
    </w:p>
    <w:p w14:paraId="228FD9D0" w14:textId="77777777" w:rsidR="00750515" w:rsidRDefault="00750515" w:rsidP="00750515">
      <w:pPr>
        <w:jc w:val="both"/>
      </w:pPr>
    </w:p>
    <w:p w14:paraId="03A3CF9E" w14:textId="77777777" w:rsidR="00750515" w:rsidRDefault="00750515" w:rsidP="00750515">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bookmarkStart w:id="631" w:name="_Toc488744926"/>
      <w:bookmarkStart w:id="632" w:name="_Toc500909414"/>
      <w:bookmarkStart w:id="633" w:name="_Toc3598592"/>
      <w:bookmarkStart w:id="634" w:name="_Toc35675451"/>
      <w:bookmarkStart w:id="635" w:name="_Toc274049778"/>
      <w:r>
        <w:br w:type="page"/>
      </w:r>
      <w:r>
        <w:lastRenderedPageBreak/>
        <w:t>Relationship between the Statement of the Use of System Charging Methodology and the Transmission Licence</w:t>
      </w:r>
      <w:bookmarkEnd w:id="631"/>
      <w:bookmarkEnd w:id="632"/>
      <w:bookmarkEnd w:id="633"/>
      <w:bookmarkEnd w:id="634"/>
      <w:bookmarkEnd w:id="635"/>
    </w:p>
    <w:p w14:paraId="3E6085B7"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17F6827E" w14:textId="29654B62" w:rsidR="00750515" w:rsidRDefault="55D9BAA6" w:rsidP="00C94D4B">
      <w:pPr>
        <w:pStyle w:val="1"/>
        <w:ind w:left="1701" w:hanging="992"/>
        <w:jc w:val="both"/>
      </w:pPr>
      <w:r>
        <w:t xml:space="preserve">14.32.6    </w:t>
      </w:r>
      <w:r w:rsidR="76DC4F11">
        <w:t xml:space="preserve">BSUoS </w:t>
      </w:r>
      <w:r w:rsidR="323A5682" w:rsidRPr="0537B9E0">
        <w:rPr>
          <w:rFonts w:ascii="Arial" w:hAnsi="Arial"/>
        </w:rPr>
        <w:t>Charges</w:t>
      </w:r>
      <w:r w:rsidR="76DC4F11">
        <w:t xml:space="preserve"> are made </w:t>
      </w:r>
      <w:bookmarkStart w:id="636" w:name="_Int_B051293U"/>
      <w:r w:rsidR="76DC4F11">
        <w:t>on a daily basis</w:t>
      </w:r>
      <w:bookmarkEnd w:id="636"/>
      <w:r w:rsidR="76DC4F11">
        <w:t xml:space="preserve"> and as such of this Statement sets out the details of the calculation of such charges </w:t>
      </w:r>
      <w:bookmarkStart w:id="637" w:name="_Int_lItY1PWm"/>
      <w:r w:rsidR="76DC4F11">
        <w:t>on a daily basis</w:t>
      </w:r>
      <w:bookmarkEnd w:id="637"/>
      <w:r w:rsidR="76DC4F11">
        <w:t xml:space="preserve">. Customers may, when verifying Balancing Services Use of System </w:t>
      </w:r>
      <w:r w:rsidR="74F2165E">
        <w:t xml:space="preserve">Charges </w:t>
      </w:r>
      <w:r w:rsidR="76DC4F11">
        <w:t xml:space="preserve">refer to the Transmission Licence which sets out the maximum allowed revenue that </w:t>
      </w:r>
      <w:r w:rsidR="58867969" w:rsidRPr="0537B9E0">
        <w:rPr>
          <w:b/>
          <w:bCs/>
        </w:rPr>
        <w:t>The Company</w:t>
      </w:r>
      <w:r w:rsidR="76DC4F11" w:rsidRPr="0537B9E0">
        <w:rPr>
          <w:b/>
          <w:bCs/>
        </w:rPr>
        <w:t xml:space="preserve"> </w:t>
      </w:r>
      <w:r w:rsidR="76DC4F11">
        <w:t>may recover in respect of the Balancing Services Activity.</w:t>
      </w:r>
    </w:p>
    <w:p w14:paraId="66F8DA6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3DFE8A6" w14:textId="2E09AE84" w:rsidR="00750515" w:rsidRDefault="00C94D4B" w:rsidP="00C94D4B">
      <w:pPr>
        <w:pStyle w:val="1"/>
        <w:ind w:left="1701" w:hanging="992"/>
        <w:jc w:val="both"/>
      </w:pPr>
      <w:bookmarkStart w:id="638" w:name="_Ref488555263"/>
      <w:r>
        <w:t xml:space="preserve">14.32.7    </w:t>
      </w:r>
      <w:r w:rsidR="1CE92958" w:rsidRPr="00C94D4B">
        <w:rPr>
          <w:b/>
        </w:rPr>
        <w:t>The</w:t>
      </w:r>
      <w:r w:rsidR="00750515" w:rsidRPr="00C94D4B">
        <w:rPr>
          <w:b/>
        </w:rPr>
        <w:t xml:space="preserve"> Company</w:t>
      </w:r>
      <w:r w:rsidR="00750515">
        <w:t xml:space="preserve"> has, where possible and appropriate, attempted to ensure that acronyms allocated to variables within the Balancing Services charging software, and associated reporting, match with the acronyms given to those variables used within this statement.</w:t>
      </w:r>
      <w:bookmarkEnd w:id="638"/>
    </w:p>
    <w:p w14:paraId="6FED27D4" w14:textId="77777777" w:rsidR="00750515" w:rsidRDefault="00750515" w:rsidP="00750515">
      <w:pPr>
        <w:pStyle w:val="1"/>
        <w:ind w:left="720"/>
        <w:jc w:val="both"/>
      </w:pPr>
    </w:p>
    <w:p w14:paraId="781DF636" w14:textId="77777777" w:rsidR="00750515" w:rsidRDefault="00750515" w:rsidP="00750515">
      <w:pPr>
        <w:pStyle w:val="Heading2"/>
        <w:keepNext w:val="0"/>
        <w:tabs>
          <w:tab w:val="left" w:pos="2160"/>
          <w:tab w:val="left" w:pos="3600"/>
          <w:tab w:val="left" w:pos="4680"/>
        </w:tabs>
        <w:jc w:val="both"/>
        <w:rPr>
          <w:b w:val="0"/>
        </w:rPr>
      </w:pPr>
    </w:p>
    <w:p w14:paraId="307B5BBF" w14:textId="77777777" w:rsidR="00750515" w:rsidRDefault="00750515" w:rsidP="00750515"/>
    <w:p w14:paraId="077B780C" w14:textId="77777777" w:rsidR="00750515" w:rsidRDefault="00750515" w:rsidP="00750515">
      <w:pPr>
        <w:pStyle w:val="1"/>
        <w:ind w:left="720"/>
        <w:jc w:val="both"/>
      </w:pPr>
    </w:p>
    <w:p w14:paraId="26B906AE" w14:textId="44E249EE" w:rsidR="00750515" w:rsidRDefault="00750515" w:rsidP="00DC30B1">
      <w:pPr>
        <w:pStyle w:val="Heading2"/>
        <w:keepNext w:val="0"/>
        <w:tabs>
          <w:tab w:val="left" w:pos="2160"/>
          <w:tab w:val="left" w:pos="3600"/>
          <w:tab w:val="left" w:pos="4680"/>
        </w:tabs>
        <w:ind w:left="720"/>
        <w:jc w:val="both"/>
      </w:pPr>
      <w:r>
        <w:br w:type="page"/>
      </w:r>
      <w:bookmarkStart w:id="639" w:name="_Toc35675452"/>
      <w:bookmarkStart w:id="640" w:name="_Toc274049779"/>
      <w:r w:rsidR="00E02C9D">
        <w:lastRenderedPageBreak/>
        <w:t xml:space="preserve">14.32.8 </w:t>
      </w:r>
      <w:r>
        <w:t>Balancing Services Use of System Acronym Definitions</w:t>
      </w:r>
      <w:bookmarkEnd w:id="639"/>
      <w:bookmarkEnd w:id="640"/>
    </w:p>
    <w:p w14:paraId="383B0D46" w14:textId="77777777" w:rsidR="00E02C9D" w:rsidRPr="00C011FA" w:rsidRDefault="00E02C9D" w:rsidP="0013157B"/>
    <w:p w14:paraId="2341FC08" w14:textId="77777777" w:rsidR="00750515" w:rsidRDefault="00750515" w:rsidP="00750515">
      <w:pPr>
        <w:tabs>
          <w:tab w:val="left" w:pos="2160"/>
          <w:tab w:val="left" w:pos="3600"/>
          <w:tab w:val="left" w:pos="4680"/>
        </w:tabs>
        <w:jc w:val="both"/>
        <w:rPr>
          <w:rFonts w:ascii="Arial" w:hAnsi="Arial"/>
          <w:sz w:val="22"/>
        </w:rPr>
      </w:pPr>
    </w:p>
    <w:p w14:paraId="356E88F0" w14:textId="77777777" w:rsidR="00750515" w:rsidRDefault="00750515" w:rsidP="00750515">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6C882458" w14:textId="77777777" w:rsidR="00750515" w:rsidRDefault="00750515" w:rsidP="00750515">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p w14:paraId="57B4FB4E" w14:textId="77777777" w:rsidR="00926335" w:rsidRDefault="00926335" w:rsidP="00750515">
      <w:pPr>
        <w:pStyle w:val="1"/>
        <w:sectPr w:rsidR="00926335" w:rsidSect="006C0C5B">
          <w:headerReference w:type="even" r:id="rId59"/>
          <w:headerReference w:type="default" r:id="rId60"/>
          <w:footerReference w:type="even" r:id="rId61"/>
          <w:footerReference w:type="default" r:id="rId62"/>
          <w:headerReference w:type="first" r:id="rId63"/>
          <w:footnotePr>
            <w:numStart w:val="3"/>
          </w:footnotePr>
          <w:pgSz w:w="11906" w:h="16838" w:code="9"/>
          <w:pgMar w:top="1140" w:right="1140" w:bottom="1140" w:left="1418" w:header="709" w:footer="709" w:gutter="0"/>
          <w:cols w:space="708"/>
          <w:docGrid w:linePitch="360"/>
        </w:sectPr>
      </w:pPr>
    </w:p>
    <w:p w14:paraId="57D33A28" w14:textId="77777777" w:rsidR="00926335" w:rsidRDefault="00926335" w:rsidP="00750515">
      <w:pPr>
        <w:pStyle w:val="1"/>
        <w:sectPr w:rsidR="00926335" w:rsidSect="00926335">
          <w:type w:val="continuous"/>
          <w:pgSz w:w="11906" w:h="16838" w:code="9"/>
          <w:pgMar w:top="1140" w:right="1140" w:bottom="1140" w:left="1412" w:header="709" w:footer="709" w:gutter="0"/>
          <w:cols w:space="708"/>
          <w:docGrid w:linePitch="360"/>
        </w:sectPr>
      </w:pPr>
    </w:p>
    <w:tbl>
      <w:tblPr>
        <w:tblpPr w:leftFromText="180" w:rightFromText="180" w:vertAnchor="text" w:tblpXSpec="right" w:tblpY="1"/>
        <w:tblOverlap w:val="neve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1119E7" w14:paraId="397BE0A4" w14:textId="77777777" w:rsidTr="0537B9E0">
        <w:trPr>
          <w:trHeight w:val="428"/>
          <w:tblHeader/>
        </w:trPr>
        <w:tc>
          <w:tcPr>
            <w:tcW w:w="2518" w:type="dxa"/>
            <w:vAlign w:val="center"/>
          </w:tcPr>
          <w:p w14:paraId="40503FD8" w14:textId="77777777" w:rsidR="001119E7" w:rsidRDefault="001119E7" w:rsidP="00C817AD">
            <w:pPr>
              <w:pStyle w:val="TOC1"/>
            </w:pPr>
            <w:r>
              <w:t>Expression</w:t>
            </w:r>
          </w:p>
        </w:tc>
        <w:tc>
          <w:tcPr>
            <w:tcW w:w="1731" w:type="dxa"/>
            <w:vAlign w:val="center"/>
          </w:tcPr>
          <w:p w14:paraId="61AE111E" w14:textId="77777777" w:rsidR="001119E7" w:rsidRDefault="001119E7" w:rsidP="00C817AD">
            <w:pPr>
              <w:pStyle w:val="TOC1"/>
            </w:pPr>
            <w:r>
              <w:t>Acronym</w:t>
            </w:r>
          </w:p>
        </w:tc>
        <w:tc>
          <w:tcPr>
            <w:tcW w:w="766" w:type="dxa"/>
            <w:vAlign w:val="center"/>
          </w:tcPr>
          <w:p w14:paraId="6DD388F5"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673A0FC5" w14:textId="77777777" w:rsidR="001119E7" w:rsidRDefault="001119E7" w:rsidP="00C817AD">
            <w:pPr>
              <w:tabs>
                <w:tab w:val="left" w:pos="2160"/>
                <w:tab w:val="left" w:pos="3600"/>
                <w:tab w:val="left" w:pos="4680"/>
              </w:tabs>
              <w:rPr>
                <w:rFonts w:ascii="Arial" w:hAnsi="Arial"/>
                <w:b/>
                <w:sz w:val="22"/>
              </w:rPr>
            </w:pPr>
            <w:r>
              <w:rPr>
                <w:rFonts w:ascii="Arial" w:hAnsi="Arial"/>
                <w:b/>
                <w:sz w:val="22"/>
              </w:rPr>
              <w:t>Definition</w:t>
            </w:r>
          </w:p>
        </w:tc>
      </w:tr>
      <w:tr w:rsidR="001119E7" w14:paraId="2A17C796" w14:textId="77777777" w:rsidTr="0537B9E0">
        <w:trPr>
          <w:trHeight w:val="428"/>
          <w:tblHeader/>
        </w:trPr>
        <w:tc>
          <w:tcPr>
            <w:tcW w:w="2518" w:type="dxa"/>
            <w:vAlign w:val="center"/>
          </w:tcPr>
          <w:p w14:paraId="6065D8E1" w14:textId="77777777" w:rsidR="001119E7" w:rsidRDefault="001119E7" w:rsidP="00C817AD">
            <w:pPr>
              <w:pStyle w:val="1"/>
            </w:pPr>
            <w:r>
              <w:t>Daily Adjusted Revenue</w:t>
            </w:r>
          </w:p>
        </w:tc>
        <w:tc>
          <w:tcPr>
            <w:tcW w:w="1731" w:type="dxa"/>
            <w:vAlign w:val="center"/>
          </w:tcPr>
          <w:p w14:paraId="3E3E1FC2" w14:textId="77777777" w:rsidR="001119E7" w:rsidRDefault="001119E7" w:rsidP="00C817AD">
            <w:pPr>
              <w:pStyle w:val="1"/>
            </w:pPr>
            <w:r w:rsidRPr="00D44385">
              <w:t>ADJR</w:t>
            </w:r>
            <w:r w:rsidRPr="00027962">
              <w:rPr>
                <w:vertAlign w:val="subscript"/>
              </w:rPr>
              <w:t>d</w:t>
            </w:r>
          </w:p>
        </w:tc>
        <w:tc>
          <w:tcPr>
            <w:tcW w:w="766" w:type="dxa"/>
            <w:vAlign w:val="center"/>
          </w:tcPr>
          <w:p w14:paraId="70551E28"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w:t>
            </w:r>
          </w:p>
        </w:tc>
        <w:tc>
          <w:tcPr>
            <w:tcW w:w="4401" w:type="dxa"/>
            <w:vAlign w:val="center"/>
          </w:tcPr>
          <w:p w14:paraId="0C72C5B7" w14:textId="77777777" w:rsidR="001119E7" w:rsidRPr="00226C2B" w:rsidRDefault="001119E7" w:rsidP="00C817AD">
            <w:pPr>
              <w:tabs>
                <w:tab w:val="left" w:pos="2160"/>
                <w:tab w:val="left" w:pos="3600"/>
                <w:tab w:val="left" w:pos="4680"/>
              </w:tabs>
              <w:rPr>
                <w:rFonts w:ascii="Arial" w:hAnsi="Arial" w:cs="Arial"/>
                <w:b/>
                <w:sz w:val="22"/>
                <w:szCs w:val="22"/>
              </w:rPr>
            </w:pPr>
            <w:r w:rsidRPr="00C741D0">
              <w:rPr>
                <w:rFonts w:ascii="Arial" w:hAnsi="Arial" w:cs="Arial"/>
                <w:sz w:val="22"/>
                <w:szCs w:val="22"/>
              </w:rPr>
              <w:t>Means adjusted revenue published by the Authority pursuant to Special Condition 5.2 (Annual Iteration Process for the ESO Price Control Financial Model) prior to the end of Regulatory Year t; as calculated for Settlement Day, d,</w:t>
            </w:r>
          </w:p>
        </w:tc>
      </w:tr>
      <w:tr w:rsidR="001119E7" w14:paraId="0DAE0B76" w14:textId="77777777" w:rsidTr="0537B9E0">
        <w:trPr>
          <w:trHeight w:val="702"/>
        </w:trPr>
        <w:tc>
          <w:tcPr>
            <w:tcW w:w="2518" w:type="dxa"/>
            <w:vAlign w:val="center"/>
          </w:tcPr>
          <w:p w14:paraId="6D50919E" w14:textId="77777777" w:rsidR="001119E7" w:rsidRDefault="001119E7" w:rsidP="00C817AD">
            <w:pPr>
              <w:pStyle w:val="1"/>
            </w:pPr>
            <w:r>
              <w:t>BETTA Preparation Costs</w:t>
            </w:r>
          </w:p>
        </w:tc>
        <w:tc>
          <w:tcPr>
            <w:tcW w:w="1731" w:type="dxa"/>
            <w:vAlign w:val="center"/>
          </w:tcPr>
          <w:p w14:paraId="46EF4938" w14:textId="77777777" w:rsidR="001119E7" w:rsidRDefault="001119E7" w:rsidP="00C817AD">
            <w:pPr>
              <w:pStyle w:val="1"/>
            </w:pPr>
            <w:r>
              <w:t>BI</w:t>
            </w:r>
          </w:p>
        </w:tc>
        <w:tc>
          <w:tcPr>
            <w:tcW w:w="766" w:type="dxa"/>
            <w:vAlign w:val="center"/>
          </w:tcPr>
          <w:p w14:paraId="64D8B5B2" w14:textId="77777777" w:rsidR="001119E7" w:rsidRDefault="001119E7" w:rsidP="00C817AD">
            <w:pPr>
              <w:pStyle w:val="1"/>
              <w:jc w:val="center"/>
            </w:pPr>
            <w:r>
              <w:t>£</w:t>
            </w:r>
          </w:p>
        </w:tc>
        <w:tc>
          <w:tcPr>
            <w:tcW w:w="4401" w:type="dxa"/>
            <w:vAlign w:val="center"/>
          </w:tcPr>
          <w:p w14:paraId="68BF4B06" w14:textId="77777777" w:rsidR="001119E7" w:rsidRDefault="001119E7" w:rsidP="00C817AD">
            <w:pPr>
              <w:pStyle w:val="1"/>
            </w:pPr>
            <w:r>
              <w:t>As defined in the Transmission Licence</w:t>
            </w:r>
          </w:p>
        </w:tc>
      </w:tr>
      <w:tr w:rsidR="001119E7" w14:paraId="5B6E1B1A" w14:textId="77777777" w:rsidTr="0537B9E0">
        <w:trPr>
          <w:trHeight w:val="702"/>
        </w:trPr>
        <w:tc>
          <w:tcPr>
            <w:tcW w:w="2518" w:type="dxa"/>
            <w:vAlign w:val="center"/>
          </w:tcPr>
          <w:p w14:paraId="68FA5F05" w14:textId="77777777" w:rsidR="001119E7" w:rsidRDefault="001119E7" w:rsidP="00C817AD">
            <w:pPr>
              <w:pStyle w:val="1"/>
            </w:pPr>
            <w:r>
              <w:t>Balancing Mechanism Unit</w:t>
            </w:r>
          </w:p>
        </w:tc>
        <w:tc>
          <w:tcPr>
            <w:tcW w:w="1731" w:type="dxa"/>
            <w:vAlign w:val="center"/>
          </w:tcPr>
          <w:p w14:paraId="681C22A6" w14:textId="77777777" w:rsidR="001119E7" w:rsidRDefault="001119E7" w:rsidP="00C817AD">
            <w:pPr>
              <w:pStyle w:val="1"/>
            </w:pPr>
            <w:r>
              <w:t>BM Unit or BMU</w:t>
            </w:r>
          </w:p>
        </w:tc>
        <w:tc>
          <w:tcPr>
            <w:tcW w:w="766" w:type="dxa"/>
            <w:vAlign w:val="center"/>
          </w:tcPr>
          <w:p w14:paraId="1A6A205C" w14:textId="77777777" w:rsidR="001119E7" w:rsidRDefault="001119E7" w:rsidP="00C817AD">
            <w:pPr>
              <w:pStyle w:val="1"/>
              <w:jc w:val="center"/>
            </w:pPr>
          </w:p>
        </w:tc>
        <w:tc>
          <w:tcPr>
            <w:tcW w:w="4401" w:type="dxa"/>
            <w:vAlign w:val="center"/>
          </w:tcPr>
          <w:p w14:paraId="74682C08" w14:textId="77777777" w:rsidR="001119E7" w:rsidRDefault="001119E7" w:rsidP="00C817AD">
            <w:pPr>
              <w:pStyle w:val="1"/>
            </w:pPr>
            <w:r>
              <w:t>As defined in the BSC</w:t>
            </w:r>
          </w:p>
        </w:tc>
      </w:tr>
      <w:tr w:rsidR="001119E7" w14:paraId="1B2A543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A129960" w14:textId="77777777" w:rsidR="001119E7" w:rsidRDefault="001119E7" w:rsidP="00C817AD">
            <w:pPr>
              <w:pStyle w:val="1"/>
            </w:pPr>
            <w:r>
              <w:t>Black Start Costs</w:t>
            </w:r>
          </w:p>
        </w:tc>
        <w:tc>
          <w:tcPr>
            <w:tcW w:w="1731" w:type="dxa"/>
            <w:tcBorders>
              <w:top w:val="single" w:sz="4" w:space="0" w:color="auto"/>
              <w:left w:val="single" w:sz="4" w:space="0" w:color="auto"/>
              <w:bottom w:val="single" w:sz="4" w:space="0" w:color="auto"/>
              <w:right w:val="single" w:sz="4" w:space="0" w:color="auto"/>
            </w:tcBorders>
            <w:vAlign w:val="center"/>
          </w:tcPr>
          <w:p w14:paraId="2692C50E" w14:textId="77777777" w:rsidR="001119E7" w:rsidRDefault="001119E7" w:rsidP="00C817AD">
            <w:pPr>
              <w:pStyle w:val="1"/>
            </w:pPr>
            <w:r>
              <w:t>BSC</w:t>
            </w:r>
          </w:p>
        </w:tc>
        <w:tc>
          <w:tcPr>
            <w:tcW w:w="766" w:type="dxa"/>
            <w:tcBorders>
              <w:top w:val="single" w:sz="4" w:space="0" w:color="auto"/>
              <w:left w:val="single" w:sz="4" w:space="0" w:color="auto"/>
              <w:bottom w:val="single" w:sz="4" w:space="0" w:color="auto"/>
              <w:right w:val="single" w:sz="4" w:space="0" w:color="auto"/>
            </w:tcBorders>
            <w:vAlign w:val="center"/>
          </w:tcPr>
          <w:p w14:paraId="679E6102"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1FC6909" w14:textId="77777777" w:rsidR="001119E7" w:rsidRDefault="001119E7" w:rsidP="00C817AD">
            <w:pPr>
              <w:pStyle w:val="1"/>
            </w:pPr>
            <w:r>
              <w:t>As defined in the Transmission Licence</w:t>
            </w:r>
            <w:r>
              <w:rPr>
                <w:rStyle w:val="FootnoteReference"/>
              </w:rPr>
              <w:footnoteReference w:id="9"/>
            </w:r>
          </w:p>
          <w:p w14:paraId="0B5659E9" w14:textId="77777777" w:rsidR="001119E7" w:rsidRDefault="001119E7" w:rsidP="00C817AD">
            <w:pPr>
              <w:pStyle w:val="1"/>
            </w:pPr>
          </w:p>
          <w:p w14:paraId="0AC3F8BE" w14:textId="77777777" w:rsidR="001119E7" w:rsidRDefault="001119E7" w:rsidP="00C817AD">
            <w:pPr>
              <w:pStyle w:val="1"/>
            </w:pPr>
          </w:p>
        </w:tc>
      </w:tr>
      <w:tr w:rsidR="001119E7" w14:paraId="00B4019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1EE5903" w14:textId="77777777" w:rsidR="001119E7" w:rsidRDefault="001119E7" w:rsidP="00C817AD">
            <w:pPr>
              <w:pStyle w:val="1"/>
            </w:pPr>
            <w:r>
              <w:t>Balancing service contract costs – non-Settlement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6FD9B269" w14:textId="77777777" w:rsidR="001119E7" w:rsidRDefault="001119E7" w:rsidP="00C817AD">
            <w:pPr>
              <w:pStyle w:val="1"/>
            </w:pPr>
            <w:r>
              <w:t>BSCCA</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0D9E5CA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F5666D7" w14:textId="57F74F0D" w:rsidR="001119E7" w:rsidRDefault="30F0CD37" w:rsidP="00C817AD">
            <w:pPr>
              <w:pStyle w:val="1"/>
            </w:pPr>
            <w:r>
              <w:t xml:space="preserve">Non Settlement Period </w:t>
            </w:r>
            <w:bookmarkStart w:id="645" w:name="_Int_mZbOnxn4"/>
            <w:r>
              <w:t>specific</w:t>
            </w:r>
            <w:bookmarkEnd w:id="645"/>
            <w:r>
              <w:t xml:space="preserve"> Balancing Contract Costs for </w:t>
            </w:r>
            <w:r w:rsidR="538C42E9">
              <w:t>Settlement Day</w:t>
            </w:r>
            <w:r>
              <w:t xml:space="preserve"> d less any costs incurred within these values relating to Supplementary Balancing Reserve and Demand Side Balancing Reserve</w:t>
            </w:r>
          </w:p>
        </w:tc>
      </w:tr>
      <w:tr w:rsidR="001119E7" w14:paraId="098434F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AE2CF7" w14:textId="77777777" w:rsidR="001119E7" w:rsidRDefault="001119E7" w:rsidP="00C817AD">
            <w:pPr>
              <w:pStyle w:val="1"/>
            </w:pPr>
            <w:r>
              <w:t>Balancing Service Contract Cost</w:t>
            </w:r>
          </w:p>
        </w:tc>
        <w:tc>
          <w:tcPr>
            <w:tcW w:w="1731" w:type="dxa"/>
            <w:tcBorders>
              <w:top w:val="single" w:sz="4" w:space="0" w:color="auto"/>
              <w:left w:val="single" w:sz="4" w:space="0" w:color="auto"/>
              <w:bottom w:val="single" w:sz="4" w:space="0" w:color="auto"/>
              <w:right w:val="single" w:sz="4" w:space="0" w:color="auto"/>
            </w:tcBorders>
            <w:vAlign w:val="center"/>
          </w:tcPr>
          <w:p w14:paraId="78FFC629" w14:textId="77777777" w:rsidR="001119E7" w:rsidRDefault="001119E7" w:rsidP="00C817AD">
            <w:pPr>
              <w:pStyle w:val="1"/>
            </w:pPr>
            <w:r>
              <w:t>BSCC</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076214B6"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C14516" w14:textId="77777777" w:rsidR="001119E7" w:rsidRDefault="001119E7" w:rsidP="00C817AD">
            <w:pPr>
              <w:pStyle w:val="1"/>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1119E7" w14:paraId="0CD09B8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FF07E49" w14:textId="77777777" w:rsidR="001119E7" w:rsidRDefault="001119E7" w:rsidP="00C817AD">
            <w:pPr>
              <w:pStyle w:val="1"/>
            </w:pPr>
            <w:r>
              <w:t>Balancing service contract costs – 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382983D9" w14:textId="77777777" w:rsidR="001119E7" w:rsidRDefault="001119E7" w:rsidP="00C817AD">
            <w:pPr>
              <w:pStyle w:val="1"/>
            </w:pPr>
            <w:r>
              <w:t>BSCCV</w:t>
            </w:r>
            <w:r w:rsidRPr="003367D0">
              <w:t>jd</w:t>
            </w:r>
          </w:p>
        </w:tc>
        <w:tc>
          <w:tcPr>
            <w:tcW w:w="766" w:type="dxa"/>
            <w:tcBorders>
              <w:top w:val="single" w:sz="4" w:space="0" w:color="auto"/>
              <w:left w:val="single" w:sz="4" w:space="0" w:color="auto"/>
              <w:bottom w:val="single" w:sz="4" w:space="0" w:color="auto"/>
              <w:right w:val="single" w:sz="4" w:space="0" w:color="auto"/>
            </w:tcBorders>
            <w:vAlign w:val="center"/>
          </w:tcPr>
          <w:p w14:paraId="2BB3E0B1"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BFBD5E" w14:textId="3CB7418A" w:rsidR="001119E7" w:rsidRDefault="001119E7" w:rsidP="00C817AD">
            <w:pPr>
              <w:pStyle w:val="1"/>
            </w:pPr>
            <w:r>
              <w:t xml:space="preserve">Settlement Period j specific Balancing Contract Costs for </w:t>
            </w:r>
            <w:r w:rsidR="0076649B">
              <w:t>Set</w:t>
            </w:r>
            <w:r w:rsidR="007B0A41">
              <w:t xml:space="preserve">tlement Day </w:t>
            </w:r>
            <w:r>
              <w:t>d</w:t>
            </w:r>
            <w:r w:rsidRPr="00DA19F8">
              <w:t xml:space="preserve"> </w:t>
            </w:r>
          </w:p>
        </w:tc>
      </w:tr>
      <w:tr w:rsidR="001119E7" w14:paraId="301E2E70"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39EBAF30" w14:textId="77777777" w:rsidR="001119E7" w:rsidRDefault="001119E7" w:rsidP="00C817AD">
            <w:pPr>
              <w:pStyle w:val="1"/>
            </w:pPr>
            <w:r>
              <w:t xml:space="preserve">Cost of the Covid </w:t>
            </w:r>
          </w:p>
          <w:p w14:paraId="21AC84CE" w14:textId="77777777" w:rsidR="001119E7" w:rsidRDefault="001119E7" w:rsidP="00C817AD">
            <w:pPr>
              <w:pStyle w:val="1"/>
            </w:pPr>
            <w:r>
              <w:t xml:space="preserve">Support Scheme </w:t>
            </w:r>
          </w:p>
          <w:p w14:paraId="726F876F" w14:textId="77777777" w:rsidR="001119E7" w:rsidRDefault="001119E7" w:rsidP="00C817AD">
            <w:pPr>
              <w:pStyle w:val="1"/>
            </w:pPr>
            <w:r>
              <w:t>incurred in 2020/21</w:t>
            </w:r>
          </w:p>
        </w:tc>
        <w:tc>
          <w:tcPr>
            <w:tcW w:w="1731" w:type="dxa"/>
            <w:tcBorders>
              <w:top w:val="single" w:sz="4" w:space="0" w:color="auto"/>
              <w:left w:val="single" w:sz="4" w:space="0" w:color="auto"/>
              <w:bottom w:val="single" w:sz="4" w:space="0" w:color="auto"/>
              <w:right w:val="single" w:sz="4" w:space="0" w:color="auto"/>
            </w:tcBorders>
            <w:vAlign w:val="center"/>
          </w:tcPr>
          <w:p w14:paraId="3BAB9ACC" w14:textId="77777777" w:rsidR="001119E7" w:rsidRDefault="001119E7" w:rsidP="00C817AD">
            <w:pPr>
              <w:pStyle w:val="1"/>
            </w:pPr>
            <w:r w:rsidRPr="00724E70">
              <w:t>BSUoSCOVID</w:t>
            </w:r>
            <w:r w:rsidRPr="00310007">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415E461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B4EE13" w14:textId="77777777" w:rsidR="001119E7" w:rsidRDefault="001119E7" w:rsidP="00C817AD">
            <w:pPr>
              <w:pStyle w:val="1"/>
            </w:pPr>
            <w:r>
              <w:t>As defined in the Transmission Licence calculated for Settlement Day, d</w:t>
            </w:r>
          </w:p>
        </w:tc>
      </w:tr>
      <w:tr w:rsidR="001119E7" w14:paraId="7CB311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848DF" w14:textId="4478D578" w:rsidR="001119E7" w:rsidRDefault="001119E7" w:rsidP="00C817AD">
            <w:pPr>
              <w:pStyle w:val="1"/>
            </w:pPr>
            <w:r>
              <w:t xml:space="preserve">External Balancing Services Use of System </w:t>
            </w:r>
            <w:r w:rsidR="005555C1">
              <w:t>Costs</w:t>
            </w:r>
          </w:p>
        </w:tc>
        <w:tc>
          <w:tcPr>
            <w:tcW w:w="1731" w:type="dxa"/>
            <w:tcBorders>
              <w:top w:val="single" w:sz="4" w:space="0" w:color="auto"/>
              <w:left w:val="single" w:sz="4" w:space="0" w:color="auto"/>
              <w:bottom w:val="single" w:sz="4" w:space="0" w:color="auto"/>
              <w:right w:val="single" w:sz="4" w:space="0" w:color="auto"/>
            </w:tcBorders>
            <w:vAlign w:val="center"/>
          </w:tcPr>
          <w:p w14:paraId="3A403FBF" w14:textId="6AA23C6D" w:rsidR="001119E7" w:rsidRDefault="001119E7" w:rsidP="00C817AD">
            <w:pPr>
              <w:pStyle w:val="1"/>
            </w:pPr>
            <w:r>
              <w:t>BSUoSEXT</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4DDA46B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9D7F3DC" w14:textId="3F351411" w:rsidR="001119E7" w:rsidRDefault="001119E7" w:rsidP="00C817AD">
            <w:pPr>
              <w:pStyle w:val="1"/>
            </w:pPr>
            <w:r>
              <w:t xml:space="preserve">External System Operator (SO) Balancing Services Use of System </w:t>
            </w:r>
            <w:r w:rsidR="000252C8">
              <w:rPr>
                <w:rFonts w:ascii="Arial" w:hAnsi="Arial"/>
              </w:rPr>
              <w:t xml:space="preserve"> </w:t>
            </w:r>
            <w:r w:rsidR="005555C1">
              <w:rPr>
                <w:rFonts w:ascii="Arial" w:hAnsi="Arial"/>
              </w:rPr>
              <w:t>Costs</w:t>
            </w:r>
            <w:r w:rsidR="005555C1" w:rsidDel="000252C8">
              <w:t xml:space="preserve"> </w:t>
            </w:r>
            <w:r w:rsidR="005555C1">
              <w:t xml:space="preserve"> </w:t>
            </w:r>
            <w:r>
              <w:t xml:space="preserve">applicable to Settlement Period j for </w:t>
            </w:r>
            <w:r w:rsidR="000252C8">
              <w:t>Settlement Day</w:t>
            </w:r>
            <w:r>
              <w:t xml:space="preserve"> d</w:t>
            </w:r>
          </w:p>
        </w:tc>
      </w:tr>
      <w:tr w:rsidR="001119E7" w14:paraId="514F815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CBE6E89" w14:textId="724F95B5" w:rsidR="001119E7" w:rsidRDefault="001119E7" w:rsidP="00C817AD">
            <w:pPr>
              <w:pStyle w:val="1"/>
            </w:pPr>
            <w:r>
              <w:t xml:space="preserve">Internal Balancing Services Use of System </w:t>
            </w:r>
            <w:r w:rsidR="00AE5FE6">
              <w:t>Costs</w:t>
            </w:r>
          </w:p>
        </w:tc>
        <w:tc>
          <w:tcPr>
            <w:tcW w:w="1731" w:type="dxa"/>
            <w:tcBorders>
              <w:top w:val="single" w:sz="4" w:space="0" w:color="auto"/>
              <w:left w:val="single" w:sz="4" w:space="0" w:color="auto"/>
              <w:bottom w:val="single" w:sz="4" w:space="0" w:color="auto"/>
              <w:right w:val="single" w:sz="4" w:space="0" w:color="auto"/>
            </w:tcBorders>
            <w:vAlign w:val="center"/>
          </w:tcPr>
          <w:p w14:paraId="30A37D39" w14:textId="1757E5B9" w:rsidR="001119E7" w:rsidRDefault="00AE5FE6" w:rsidP="00C817AD">
            <w:pPr>
              <w:pStyle w:val="1"/>
            </w:pPr>
            <w:r>
              <w:t>BSUoSINT</w:t>
            </w:r>
            <w:r w:rsidRPr="00E04F52">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0B07CC80"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53D0757" w14:textId="12013129" w:rsidR="001119E7" w:rsidRDefault="001119E7" w:rsidP="00C817AD">
            <w:pPr>
              <w:pStyle w:val="1"/>
            </w:pPr>
            <w:r>
              <w:t xml:space="preserve">Internal System Operator (SO) Balancing Services Use of System </w:t>
            </w:r>
            <w:r w:rsidR="000252C8">
              <w:rPr>
                <w:rFonts w:ascii="Arial" w:hAnsi="Arial"/>
              </w:rPr>
              <w:t xml:space="preserve"> </w:t>
            </w:r>
            <w:r w:rsidR="00AE5FE6">
              <w:rPr>
                <w:rFonts w:ascii="Arial" w:hAnsi="Arial"/>
              </w:rPr>
              <w:t>Costs</w:t>
            </w:r>
            <w:r w:rsidR="00AE5FE6" w:rsidDel="000252C8">
              <w:t xml:space="preserve"> </w:t>
            </w:r>
            <w:r w:rsidR="00AE5FE6">
              <w:t xml:space="preserve"> </w:t>
            </w:r>
            <w:r>
              <w:t xml:space="preserve">applicable to Settlement Period j for </w:t>
            </w:r>
            <w:r w:rsidR="00870BCE">
              <w:t>Settlement Day</w:t>
            </w:r>
            <w:r>
              <w:t xml:space="preserve"> d</w:t>
            </w:r>
          </w:p>
        </w:tc>
      </w:tr>
      <w:tr w:rsidR="001119E7" w14:paraId="2F6D413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2213C7E" w14:textId="77777777" w:rsidR="001119E7" w:rsidRDefault="001119E7" w:rsidP="00C817AD">
            <w:pPr>
              <w:pStyle w:val="1"/>
            </w:pPr>
            <w:r>
              <w:t>Balancing Services Use of System tariff</w:t>
            </w:r>
          </w:p>
        </w:tc>
        <w:tc>
          <w:tcPr>
            <w:tcW w:w="1731" w:type="dxa"/>
            <w:tcBorders>
              <w:top w:val="single" w:sz="4" w:space="0" w:color="auto"/>
              <w:left w:val="single" w:sz="4" w:space="0" w:color="auto"/>
              <w:bottom w:val="single" w:sz="4" w:space="0" w:color="auto"/>
              <w:right w:val="single" w:sz="4" w:space="0" w:color="auto"/>
            </w:tcBorders>
            <w:vAlign w:val="center"/>
          </w:tcPr>
          <w:p w14:paraId="001AAAD5" w14:textId="77777777" w:rsidR="001119E7" w:rsidRDefault="001119E7" w:rsidP="00C817AD">
            <w:pPr>
              <w:pStyle w:val="1"/>
            </w:pPr>
            <w:r>
              <w:t>BSUoStariff</w:t>
            </w:r>
            <w:r w:rsidRPr="00027962">
              <w:rPr>
                <w:vertAlign w:val="subscript"/>
              </w:rPr>
              <w:t>j</w:t>
            </w:r>
          </w:p>
        </w:tc>
        <w:tc>
          <w:tcPr>
            <w:tcW w:w="766" w:type="dxa"/>
            <w:tcBorders>
              <w:top w:val="single" w:sz="4" w:space="0" w:color="auto"/>
              <w:left w:val="single" w:sz="4" w:space="0" w:color="auto"/>
              <w:bottom w:val="single" w:sz="4" w:space="0" w:color="auto"/>
              <w:right w:val="single" w:sz="4" w:space="0" w:color="auto"/>
            </w:tcBorders>
            <w:vAlign w:val="center"/>
          </w:tcPr>
          <w:p w14:paraId="1A186700"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53438A1" w14:textId="09AD6C6C" w:rsidR="001119E7" w:rsidRDefault="001119E7" w:rsidP="00C817AD">
            <w:pPr>
              <w:pStyle w:val="1"/>
            </w:pPr>
            <w:r>
              <w:t xml:space="preserve">Tariff for the Balancing Services Use of System </w:t>
            </w:r>
            <w:r w:rsidR="00206D15">
              <w:rPr>
                <w:rFonts w:ascii="Arial" w:hAnsi="Arial"/>
              </w:rPr>
              <w:t xml:space="preserve"> Charges</w:t>
            </w:r>
            <w:r w:rsidR="00206D15" w:rsidDel="00206D15">
              <w:t xml:space="preserve"> </w:t>
            </w:r>
            <w:r>
              <w:t xml:space="preserve"> applicable to Settlement Period j</w:t>
            </w:r>
          </w:p>
        </w:tc>
      </w:tr>
      <w:tr w:rsidR="001119E7" w14:paraId="70BC7DA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AE19B6B" w14:textId="52C7A059" w:rsidR="001119E7" w:rsidRDefault="001119E7" w:rsidP="00C817AD">
            <w:pPr>
              <w:pStyle w:val="1"/>
            </w:pPr>
            <w:r>
              <w:t xml:space="preserve">Total Balancing Services Use of System </w:t>
            </w:r>
            <w:r w:rsidR="006C799A">
              <w:rPr>
                <w:rFonts w:ascii="Arial" w:hAnsi="Arial"/>
              </w:rPr>
              <w:t xml:space="preserve"> </w:t>
            </w:r>
            <w:r w:rsidR="00AE5FE6">
              <w:rPr>
                <w:rFonts w:ascii="Arial" w:hAnsi="Arial"/>
              </w:rPr>
              <w:t>Costs</w:t>
            </w:r>
          </w:p>
        </w:tc>
        <w:tc>
          <w:tcPr>
            <w:tcW w:w="1731" w:type="dxa"/>
            <w:tcBorders>
              <w:top w:val="single" w:sz="4" w:space="0" w:color="auto"/>
              <w:left w:val="single" w:sz="4" w:space="0" w:color="auto"/>
              <w:bottom w:val="single" w:sz="4" w:space="0" w:color="auto"/>
              <w:right w:val="single" w:sz="4" w:space="0" w:color="auto"/>
            </w:tcBorders>
            <w:vAlign w:val="center"/>
          </w:tcPr>
          <w:p w14:paraId="6C1458BF" w14:textId="5BF065F2" w:rsidR="001119E7" w:rsidRDefault="001858A4" w:rsidP="00C817AD">
            <w:pPr>
              <w:pStyle w:val="1"/>
            </w:pPr>
            <w:r>
              <w:t>BSUoSTOT</w:t>
            </w:r>
            <w:r w:rsidRPr="003367D0">
              <w:t>cd</w:t>
            </w:r>
          </w:p>
        </w:tc>
        <w:tc>
          <w:tcPr>
            <w:tcW w:w="766" w:type="dxa"/>
            <w:tcBorders>
              <w:top w:val="single" w:sz="4" w:space="0" w:color="auto"/>
              <w:left w:val="single" w:sz="4" w:space="0" w:color="auto"/>
              <w:bottom w:val="single" w:sz="4" w:space="0" w:color="auto"/>
              <w:right w:val="single" w:sz="4" w:space="0" w:color="auto"/>
            </w:tcBorders>
            <w:vAlign w:val="center"/>
          </w:tcPr>
          <w:p w14:paraId="639D816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C7A73E2" w14:textId="77F172EE" w:rsidR="001119E7" w:rsidRDefault="001858A4" w:rsidP="00C817AD">
            <w:pPr>
              <w:pStyle w:val="1"/>
            </w:pPr>
            <w:bookmarkStart w:id="646" w:name="OLE_LINK6"/>
            <w:bookmarkStart w:id="647" w:name="OLE_LINK7"/>
            <w:r>
              <w:t xml:space="preserve">The sum determined for each customer, c, in accordance with this Statement and payable by that customer in respect of </w:t>
            </w:r>
            <w:r>
              <w:lastRenderedPageBreak/>
              <w:t xml:space="preserve">each Settlement Day d, in accordance with the terms of the Supplemental </w:t>
            </w:r>
            <w:bookmarkEnd w:id="646"/>
            <w:bookmarkEnd w:id="647"/>
            <w:r>
              <w:t>Agreement</w:t>
            </w:r>
          </w:p>
        </w:tc>
      </w:tr>
      <w:tr w:rsidR="00533B80" w14:paraId="668DEA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6F2E0E5" w14:textId="59945494" w:rsidR="00533B80" w:rsidRDefault="000443FA" w:rsidP="00C817AD">
            <w:pPr>
              <w:pStyle w:val="1"/>
            </w:pPr>
            <w:r>
              <w:lastRenderedPageBreak/>
              <w:t xml:space="preserve">Total Balancing Services Use of System </w:t>
            </w:r>
            <w:r>
              <w:rPr>
                <w:rFonts w:ascii="Arial" w:hAnsi="Arial"/>
              </w:rPr>
              <w:t xml:space="preserve"> Costs</w:t>
            </w:r>
          </w:p>
        </w:tc>
        <w:tc>
          <w:tcPr>
            <w:tcW w:w="1731" w:type="dxa"/>
            <w:tcBorders>
              <w:top w:val="single" w:sz="4" w:space="0" w:color="auto"/>
              <w:left w:val="single" w:sz="4" w:space="0" w:color="auto"/>
              <w:bottom w:val="single" w:sz="4" w:space="0" w:color="auto"/>
              <w:right w:val="single" w:sz="4" w:space="0" w:color="auto"/>
            </w:tcBorders>
            <w:vAlign w:val="center"/>
          </w:tcPr>
          <w:p w14:paraId="7EAA5EBF" w14:textId="4E0E5473" w:rsidR="00533B80" w:rsidRDefault="00BA1DA9" w:rsidP="00C817AD">
            <w:pPr>
              <w:pStyle w:val="1"/>
              <w:rPr>
                <w:rFonts w:ascii="Arial" w:hAnsi="Arial" w:cs="Arial"/>
                <w:szCs w:val="22"/>
              </w:rPr>
            </w:pPr>
            <w:r>
              <w:t>BSUoSTOT</w:t>
            </w:r>
            <w:r w:rsidRPr="00935E9D">
              <w:rPr>
                <w:vertAlign w:val="subscript"/>
              </w:rPr>
              <w:t>j</w:t>
            </w:r>
          </w:p>
        </w:tc>
        <w:tc>
          <w:tcPr>
            <w:tcW w:w="766" w:type="dxa"/>
            <w:tcBorders>
              <w:top w:val="single" w:sz="4" w:space="0" w:color="auto"/>
              <w:left w:val="single" w:sz="4" w:space="0" w:color="auto"/>
              <w:bottom w:val="single" w:sz="4" w:space="0" w:color="auto"/>
              <w:right w:val="single" w:sz="4" w:space="0" w:color="auto"/>
            </w:tcBorders>
            <w:vAlign w:val="center"/>
          </w:tcPr>
          <w:p w14:paraId="6901B002" w14:textId="65AD8640" w:rsidR="00533B80" w:rsidRDefault="00BA1DA9"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0CA28DA" w14:textId="45AB7842" w:rsidR="00533B80" w:rsidRDefault="00BA1DA9" w:rsidP="00C817AD">
            <w:pPr>
              <w:pStyle w:val="1"/>
            </w:pPr>
            <w:r>
              <w:t>Total Balancing Services Use of System Charge</w:t>
            </w:r>
            <w:r w:rsidR="00624603">
              <w:t xml:space="preserve"> Applicable for Settlement Period j</w:t>
            </w:r>
            <w:r>
              <w:t xml:space="preserve"> </w:t>
            </w:r>
          </w:p>
        </w:tc>
      </w:tr>
      <w:tr w:rsidR="00FC6F70" w14:paraId="24F4251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5E84F00" w14:textId="1FE65D50" w:rsidR="00FC6F70" w:rsidRDefault="00CB02C9" w:rsidP="00C817AD">
            <w:pPr>
              <w:pStyle w:val="1"/>
            </w:pPr>
            <w:bookmarkStart w:id="648" w:name="_Hlk70423657"/>
            <w:r>
              <w:t xml:space="preserve">BSUoS 2020/21 </w:t>
            </w:r>
            <w:bookmarkEnd w:id="648"/>
            <w:r>
              <w:t>Under Recovered Costs</w:t>
            </w:r>
          </w:p>
        </w:tc>
        <w:tc>
          <w:tcPr>
            <w:tcW w:w="1731" w:type="dxa"/>
            <w:tcBorders>
              <w:top w:val="single" w:sz="4" w:space="0" w:color="auto"/>
              <w:left w:val="single" w:sz="4" w:space="0" w:color="auto"/>
              <w:bottom w:val="single" w:sz="4" w:space="0" w:color="auto"/>
              <w:right w:val="single" w:sz="4" w:space="0" w:color="auto"/>
            </w:tcBorders>
            <w:vAlign w:val="center"/>
          </w:tcPr>
          <w:p w14:paraId="3C2B5E02" w14:textId="323F9AB1" w:rsidR="00FC6F70" w:rsidRDefault="00F36CC6" w:rsidP="00C817AD">
            <w:pPr>
              <w:pStyle w:val="1"/>
            </w:pPr>
            <w:r>
              <w:rPr>
                <w:rFonts w:ascii="Arial" w:hAnsi="Arial" w:cs="Arial"/>
                <w:szCs w:val="22"/>
              </w:rPr>
              <w:t>BSUoSUR20</w:t>
            </w:r>
            <w:r w:rsidRPr="00FD3A75">
              <w:rPr>
                <w:rFonts w:ascii="Arial" w:hAnsi="Arial" w:cs="Arial"/>
                <w:szCs w:val="22"/>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6C2569B" w14:textId="626BAB47" w:rsidR="00FC6F70" w:rsidRDefault="00134F53"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8815705" w14:textId="46155379" w:rsidR="00FC6F70" w:rsidRDefault="005B009B" w:rsidP="00C817AD">
            <w:pPr>
              <w:pStyle w:val="1"/>
            </w:pPr>
            <w:r>
              <w:t xml:space="preserve">The  External System Operator (SO) Balancing Services Use of System </w:t>
            </w:r>
            <w:r w:rsidR="006C799A">
              <w:rPr>
                <w:rFonts w:ascii="Arial" w:hAnsi="Arial"/>
              </w:rPr>
              <w:t xml:space="preserve"> Charges</w:t>
            </w:r>
            <w:r w:rsidR="006C799A" w:rsidDel="006C799A">
              <w:t xml:space="preserve"> </w:t>
            </w:r>
            <w:r>
              <w:t xml:space="preserve"> in the sum of </w:t>
            </w:r>
            <w:r w:rsidRPr="00773AC9">
              <w:t>£33,163,790.21</w:t>
            </w:r>
            <w:r w:rsidR="000107A5">
              <w:t xml:space="preserve"> payable</w:t>
            </w:r>
            <w:r>
              <w:t xml:space="preserve"> in </w:t>
            </w:r>
            <w:r w:rsidR="00763F33" w:rsidRPr="00763F33">
              <w:rPr>
                <w:b/>
                <w:bCs/>
              </w:rPr>
              <w:t>Financial Year</w:t>
            </w:r>
            <w:r>
              <w:t xml:space="preserve"> 2020 / 2021 divided equally over the  </w:t>
            </w:r>
            <w:r w:rsidR="00A50F0E">
              <w:t>Settlement Days</w:t>
            </w:r>
            <w:r>
              <w:t xml:space="preserve"> between</w:t>
            </w:r>
            <w:r w:rsidRPr="00B5028C">
              <w:t xml:space="preserve"> 1st October 2021 to 31st March 2022 inclusive. </w:t>
            </w:r>
            <w:r>
              <w:t>This is separate, and in addition to, the Covid Support Scheme.</w:t>
            </w:r>
          </w:p>
        </w:tc>
      </w:tr>
      <w:tr w:rsidR="00F33149" w14:paraId="0DBBFE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368BFAE" w14:textId="3B464DB1" w:rsidR="00F33149" w:rsidRDefault="00F33149" w:rsidP="00F33149">
            <w:pPr>
              <w:pStyle w:val="1"/>
            </w:pPr>
            <w:r>
              <w:t>BSUoS Working Capital Facility</w:t>
            </w:r>
          </w:p>
        </w:tc>
        <w:tc>
          <w:tcPr>
            <w:tcW w:w="1731" w:type="dxa"/>
            <w:tcBorders>
              <w:top w:val="single" w:sz="4" w:space="0" w:color="auto"/>
              <w:left w:val="single" w:sz="4" w:space="0" w:color="auto"/>
              <w:bottom w:val="single" w:sz="4" w:space="0" w:color="auto"/>
              <w:right w:val="single" w:sz="4" w:space="0" w:color="auto"/>
            </w:tcBorders>
            <w:vAlign w:val="center"/>
          </w:tcPr>
          <w:p w14:paraId="748E53F1" w14:textId="3518C6D6" w:rsidR="00F33149" w:rsidRDefault="00F33149" w:rsidP="00F33149">
            <w:pPr>
              <w:pStyle w:val="1"/>
              <w:rPr>
                <w:rFonts w:ascii="Arial" w:hAnsi="Arial" w:cs="Arial"/>
                <w:szCs w:val="22"/>
              </w:rPr>
            </w:pPr>
            <w:r>
              <w:t>BWCF</w:t>
            </w:r>
          </w:p>
        </w:tc>
        <w:tc>
          <w:tcPr>
            <w:tcW w:w="766" w:type="dxa"/>
            <w:tcBorders>
              <w:top w:val="single" w:sz="4" w:space="0" w:color="auto"/>
              <w:left w:val="single" w:sz="4" w:space="0" w:color="auto"/>
              <w:bottom w:val="single" w:sz="4" w:space="0" w:color="auto"/>
              <w:right w:val="single" w:sz="4" w:space="0" w:color="auto"/>
            </w:tcBorders>
            <w:vAlign w:val="center"/>
          </w:tcPr>
          <w:p w14:paraId="13374DAC" w14:textId="1290D5FD" w:rsidR="00F33149" w:rsidRDefault="00F33149" w:rsidP="00F33149">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BAB828B" w14:textId="596E0102" w:rsidR="00F33149" w:rsidRDefault="00F33149" w:rsidP="00F33149">
            <w:pPr>
              <w:pStyle w:val="1"/>
            </w:pPr>
            <w:r>
              <w:t>As defined in Section 11</w:t>
            </w:r>
          </w:p>
        </w:tc>
      </w:tr>
      <w:tr w:rsidR="001119E7" w14:paraId="566654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A2DD76D" w14:textId="77777777" w:rsidR="001119E7" w:rsidRDefault="001119E7" w:rsidP="00C817AD">
            <w:pPr>
              <w:pStyle w:val="1"/>
            </w:pPr>
            <w:r>
              <w:t>System Operator BM Cash Flow</w:t>
            </w:r>
          </w:p>
        </w:tc>
        <w:tc>
          <w:tcPr>
            <w:tcW w:w="1731" w:type="dxa"/>
            <w:tcBorders>
              <w:top w:val="single" w:sz="4" w:space="0" w:color="auto"/>
              <w:left w:val="single" w:sz="4" w:space="0" w:color="auto"/>
              <w:bottom w:val="single" w:sz="4" w:space="0" w:color="auto"/>
              <w:right w:val="single" w:sz="4" w:space="0" w:color="auto"/>
            </w:tcBorders>
            <w:vAlign w:val="center"/>
          </w:tcPr>
          <w:p w14:paraId="1BAE1D08" w14:textId="77777777" w:rsidR="001119E7" w:rsidRDefault="001119E7" w:rsidP="00C817AD">
            <w:pPr>
              <w:pStyle w:val="1"/>
            </w:pPr>
            <w:r>
              <w:t>CSOBM</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019C8ABC"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D830511" w14:textId="77777777" w:rsidR="001119E7" w:rsidRDefault="001119E7" w:rsidP="00C817AD">
            <w:pPr>
              <w:pStyle w:val="1"/>
            </w:pPr>
            <w:r>
              <w:t>As defined in the Balancing and Settlement Code in force immediately prior to 1 April 2001 less any costs incurred within these values relating to Supplementary Balancing Reserve and Demand Side Balancing Reserve</w:t>
            </w:r>
          </w:p>
        </w:tc>
      </w:tr>
      <w:tr w:rsidR="001119E7" w14:paraId="273FAA3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ED45E10" w14:textId="77777777" w:rsidR="001119E7" w:rsidRDefault="001119E7" w:rsidP="00C817AD">
            <w:pPr>
              <w:pStyle w:val="1"/>
            </w:pPr>
            <w:r>
              <w:t>Daily balancing services adjustment</w:t>
            </w:r>
          </w:p>
        </w:tc>
        <w:tc>
          <w:tcPr>
            <w:tcW w:w="1731" w:type="dxa"/>
            <w:tcBorders>
              <w:top w:val="single" w:sz="4" w:space="0" w:color="auto"/>
              <w:left w:val="single" w:sz="4" w:space="0" w:color="auto"/>
              <w:bottom w:val="single" w:sz="4" w:space="0" w:color="auto"/>
              <w:right w:val="single" w:sz="4" w:space="0" w:color="auto"/>
            </w:tcBorders>
            <w:vAlign w:val="center"/>
          </w:tcPr>
          <w:p w14:paraId="2429697A" w14:textId="77777777" w:rsidR="001119E7" w:rsidRPr="00F862F2" w:rsidRDefault="001119E7" w:rsidP="00C817AD">
            <w:pPr>
              <w:pStyle w:val="1"/>
            </w:pPr>
            <w:r>
              <w:t>TotAdj</w:t>
            </w:r>
            <w:r w:rsidRPr="00F862F2">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3C022BE"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D01C06B" w14:textId="7AFE3A22" w:rsidR="001119E7" w:rsidRDefault="30F0CD37" w:rsidP="00C817AD">
            <w:pPr>
              <w:pStyle w:val="1"/>
            </w:pPr>
            <w:r>
              <w:t>Is the contribution on Settlement Day, d, to the value of   TotAdj</w:t>
            </w:r>
            <w:r w:rsidRPr="0537B9E0">
              <w:rPr>
                <w:vertAlign w:val="subscript"/>
              </w:rPr>
              <w:t>t</w:t>
            </w:r>
            <w:r>
              <w:t xml:space="preserve">  where TotAdj</w:t>
            </w:r>
            <w:r w:rsidRPr="0537B9E0">
              <w:rPr>
                <w:vertAlign w:val="subscript"/>
              </w:rPr>
              <w:t>t</w:t>
            </w:r>
            <w:r>
              <w:t xml:space="preserve"> is determined pursuant to part B of Special Condition </w:t>
            </w:r>
            <w:r w:rsidR="13302700">
              <w:t>4.2 of</w:t>
            </w:r>
            <w:r>
              <w:t xml:space="preserve"> the Transmission Licence</w:t>
            </w:r>
          </w:p>
        </w:tc>
      </w:tr>
      <w:tr w:rsidR="001119E7" w14:paraId="046962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07164DB" w14:textId="77777777" w:rsidR="001119E7" w:rsidRDefault="001119E7" w:rsidP="00C817AD">
            <w:pPr>
              <w:pStyle w:val="1"/>
            </w:pPr>
            <w:r>
              <w:t>Forecast incentivised Balancing Cost</w:t>
            </w:r>
          </w:p>
        </w:tc>
        <w:tc>
          <w:tcPr>
            <w:tcW w:w="1731" w:type="dxa"/>
            <w:tcBorders>
              <w:top w:val="single" w:sz="4" w:space="0" w:color="auto"/>
              <w:left w:val="single" w:sz="4" w:space="0" w:color="auto"/>
              <w:bottom w:val="single" w:sz="4" w:space="0" w:color="auto"/>
              <w:right w:val="single" w:sz="4" w:space="0" w:color="auto"/>
            </w:tcBorders>
            <w:vAlign w:val="center"/>
          </w:tcPr>
          <w:p w14:paraId="293708D7" w14:textId="77777777" w:rsidR="001119E7" w:rsidRDefault="001119E7" w:rsidP="00C817AD">
            <w:pPr>
              <w:pStyle w:val="1"/>
            </w:pPr>
            <w:r>
              <w:t>FBC</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3F5AED6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E538030" w14:textId="451C5A90" w:rsidR="001119E7" w:rsidRDefault="001119E7" w:rsidP="00C817AD">
            <w:pPr>
              <w:pStyle w:val="1"/>
            </w:pPr>
            <w:r>
              <w:t xml:space="preserve">Forecast incentivised Balancing Cost for duration of the Incentive Scheme as at </w:t>
            </w:r>
            <w:r w:rsidR="000107A5">
              <w:t>S</w:t>
            </w:r>
            <w:r>
              <w:t xml:space="preserve">ettlement </w:t>
            </w:r>
            <w:r w:rsidR="000107A5">
              <w:t>D</w:t>
            </w:r>
            <w:r>
              <w:t>ay d</w:t>
            </w:r>
          </w:p>
        </w:tc>
      </w:tr>
      <w:tr w:rsidR="00555DDA" w14:paraId="72D8643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09262E" w14:textId="5C2D8981" w:rsidR="00555DDA" w:rsidRDefault="007E6121" w:rsidP="00C817AD">
            <w:pPr>
              <w:pStyle w:val="1"/>
            </w:pPr>
            <w:r>
              <w:t>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760A8760" w14:textId="5A00FEF1" w:rsidR="00555DDA" w:rsidRDefault="007E6121" w:rsidP="00C817AD">
            <w:pPr>
              <w:pStyle w:val="1"/>
            </w:pPr>
            <w:r>
              <w:t>FixedBSUoSP</w:t>
            </w:r>
            <w:r w:rsidRPr="00E04F52">
              <w:rPr>
                <w:vertAlign w:val="subscript"/>
              </w:rPr>
              <w:t>t</w:t>
            </w:r>
          </w:p>
        </w:tc>
        <w:tc>
          <w:tcPr>
            <w:tcW w:w="766" w:type="dxa"/>
            <w:tcBorders>
              <w:top w:val="single" w:sz="4" w:space="0" w:color="auto"/>
              <w:left w:val="single" w:sz="4" w:space="0" w:color="auto"/>
              <w:bottom w:val="single" w:sz="4" w:space="0" w:color="auto"/>
              <w:right w:val="single" w:sz="4" w:space="0" w:color="auto"/>
            </w:tcBorders>
            <w:vAlign w:val="center"/>
          </w:tcPr>
          <w:p w14:paraId="0CF877D2" w14:textId="73413EA9"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3197633" w14:textId="290DD4CE" w:rsidR="00555DDA" w:rsidRDefault="007E6121" w:rsidP="00C817AD">
            <w:pPr>
              <w:pStyle w:val="1"/>
            </w:pPr>
            <w:r>
              <w:t>The Fixed BSUoS Price for the Fixed Price Period t, as defined in Section 11</w:t>
            </w:r>
          </w:p>
        </w:tc>
      </w:tr>
      <w:tr w:rsidR="00555DDA" w14:paraId="411118D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138C265" w14:textId="12A99C9C" w:rsidR="00555DDA" w:rsidRDefault="007E6121" w:rsidP="00C817AD">
            <w:pPr>
              <w:pStyle w:val="1"/>
            </w:pPr>
            <w:r>
              <w:t>Revised 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2986916E" w14:textId="0FE9C1E0" w:rsidR="00555DDA" w:rsidRDefault="007E6121" w:rsidP="00C817AD">
            <w:pPr>
              <w:pStyle w:val="1"/>
            </w:pPr>
            <w:r>
              <w:t>FixedBSUoSPrev</w:t>
            </w:r>
            <w:r w:rsidRPr="00E04F52">
              <w:rPr>
                <w:vertAlign w:val="subscript"/>
              </w:rPr>
              <w:t>s</w:t>
            </w:r>
          </w:p>
        </w:tc>
        <w:tc>
          <w:tcPr>
            <w:tcW w:w="766" w:type="dxa"/>
            <w:tcBorders>
              <w:top w:val="single" w:sz="4" w:space="0" w:color="auto"/>
              <w:left w:val="single" w:sz="4" w:space="0" w:color="auto"/>
              <w:bottom w:val="single" w:sz="4" w:space="0" w:color="auto"/>
              <w:right w:val="single" w:sz="4" w:space="0" w:color="auto"/>
            </w:tcBorders>
            <w:vAlign w:val="center"/>
          </w:tcPr>
          <w:p w14:paraId="2A8602CD" w14:textId="15BF6081"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72264424" w14:textId="3708E102" w:rsidR="00555DDA" w:rsidRDefault="72E145EB" w:rsidP="00C817AD">
            <w:pPr>
              <w:pStyle w:val="1"/>
            </w:pPr>
            <w:r>
              <w:t xml:space="preserve">The revised Fixed BSUoS Price which applies for </w:t>
            </w:r>
            <w:bookmarkStart w:id="649" w:name="_Int_pCX5BelO"/>
            <w:r>
              <w:t>a number of</w:t>
            </w:r>
            <w:bookmarkEnd w:id="649"/>
            <w:r>
              <w:t xml:space="preserve"> Settlement Days s within a Fixed Price Period, as described in Paragraph 14.30.18</w:t>
            </w:r>
          </w:p>
        </w:tc>
      </w:tr>
      <w:tr w:rsidR="001119E7" w14:paraId="634E8E3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9E6DB77" w14:textId="77777777" w:rsidR="001119E7" w:rsidRDefault="001119E7" w:rsidP="00C817AD">
            <w:pPr>
              <w:pStyle w:val="1"/>
            </w:pPr>
            <w:r>
              <w:t>Allowed Income Adjustment relating to the SO-TO Code</w:t>
            </w:r>
          </w:p>
        </w:tc>
        <w:tc>
          <w:tcPr>
            <w:tcW w:w="1731" w:type="dxa"/>
            <w:tcBorders>
              <w:top w:val="single" w:sz="4" w:space="0" w:color="auto"/>
              <w:left w:val="single" w:sz="4" w:space="0" w:color="auto"/>
              <w:bottom w:val="single" w:sz="4" w:space="0" w:color="auto"/>
              <w:right w:val="single" w:sz="4" w:space="0" w:color="auto"/>
            </w:tcBorders>
            <w:vAlign w:val="center"/>
          </w:tcPr>
          <w:p w14:paraId="087E3CA6" w14:textId="77777777" w:rsidR="001119E7" w:rsidRDefault="001119E7" w:rsidP="00C817AD">
            <w:pPr>
              <w:pStyle w:val="1"/>
            </w:pPr>
            <w:r>
              <w:t>IAT</w:t>
            </w:r>
          </w:p>
        </w:tc>
        <w:tc>
          <w:tcPr>
            <w:tcW w:w="766" w:type="dxa"/>
            <w:tcBorders>
              <w:top w:val="single" w:sz="4" w:space="0" w:color="auto"/>
              <w:left w:val="single" w:sz="4" w:space="0" w:color="auto"/>
              <w:bottom w:val="single" w:sz="4" w:space="0" w:color="auto"/>
              <w:right w:val="single" w:sz="4" w:space="0" w:color="auto"/>
            </w:tcBorders>
            <w:vAlign w:val="center"/>
          </w:tcPr>
          <w:p w14:paraId="6DE96CA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FAB716" w14:textId="77777777" w:rsidR="001119E7" w:rsidRDefault="001119E7" w:rsidP="00C817AD">
            <w:pPr>
              <w:pStyle w:val="1"/>
            </w:pPr>
            <w:r>
              <w:t>As defined in the Transmission Licence</w:t>
            </w:r>
          </w:p>
        </w:tc>
      </w:tr>
      <w:tr w:rsidR="008B6E27" w14:paraId="45ADD0B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8DD226C" w14:textId="62B69ADE" w:rsidR="008B6E27" w:rsidRDefault="008B6E27" w:rsidP="008B6E27">
            <w:pPr>
              <w:pStyle w:val="1"/>
            </w:pPr>
            <w:r>
              <w:t>Over/under recovery factor</w:t>
            </w:r>
          </w:p>
        </w:tc>
        <w:tc>
          <w:tcPr>
            <w:tcW w:w="1731" w:type="dxa"/>
            <w:tcBorders>
              <w:top w:val="single" w:sz="4" w:space="0" w:color="auto"/>
              <w:left w:val="single" w:sz="4" w:space="0" w:color="auto"/>
              <w:bottom w:val="single" w:sz="4" w:space="0" w:color="auto"/>
              <w:right w:val="single" w:sz="4" w:space="0" w:color="auto"/>
            </w:tcBorders>
            <w:vAlign w:val="center"/>
          </w:tcPr>
          <w:p w14:paraId="467E44A7" w14:textId="126028B1" w:rsidR="008B6E27" w:rsidRDefault="008B6E27" w:rsidP="008B6E27">
            <w:pPr>
              <w:pStyle w:val="1"/>
            </w:pPr>
            <w:r>
              <w:t>kb</w:t>
            </w:r>
            <w:r>
              <w:rPr>
                <w:vertAlign w:val="subscript"/>
              </w:rPr>
              <w:t>t</w:t>
            </w:r>
          </w:p>
        </w:tc>
        <w:tc>
          <w:tcPr>
            <w:tcW w:w="766" w:type="dxa"/>
            <w:tcBorders>
              <w:top w:val="single" w:sz="4" w:space="0" w:color="auto"/>
              <w:left w:val="single" w:sz="4" w:space="0" w:color="auto"/>
              <w:bottom w:val="single" w:sz="4" w:space="0" w:color="auto"/>
              <w:right w:val="single" w:sz="4" w:space="0" w:color="auto"/>
            </w:tcBorders>
            <w:vAlign w:val="center"/>
          </w:tcPr>
          <w:p w14:paraId="751C9614" w14:textId="0E05D350" w:rsidR="008B6E27" w:rsidRDefault="008B6E27" w:rsidP="008B6E27">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4B66E2E" w14:textId="108862B5" w:rsidR="008B6E27" w:rsidRDefault="008B6E27" w:rsidP="008B6E27">
            <w:pPr>
              <w:pStyle w:val="1"/>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1119E7" w14:paraId="4DF8756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7B3FD1F" w14:textId="77777777" w:rsidR="001119E7" w:rsidRDefault="001119E7" w:rsidP="00C817AD">
            <w:pPr>
              <w:pStyle w:val="1"/>
            </w:pPr>
            <w:r>
              <w:t>Legacy adjustment with respect to actual and assumed RPI values</w:t>
            </w:r>
          </w:p>
        </w:tc>
        <w:tc>
          <w:tcPr>
            <w:tcW w:w="1731" w:type="dxa"/>
            <w:tcBorders>
              <w:top w:val="single" w:sz="4" w:space="0" w:color="auto"/>
              <w:left w:val="single" w:sz="4" w:space="0" w:color="auto"/>
              <w:bottom w:val="single" w:sz="4" w:space="0" w:color="auto"/>
              <w:right w:val="single" w:sz="4" w:space="0" w:color="auto"/>
            </w:tcBorders>
            <w:vAlign w:val="center"/>
          </w:tcPr>
          <w:p w14:paraId="2F02803B" w14:textId="77777777" w:rsidR="001119E7" w:rsidRDefault="001119E7" w:rsidP="00C817AD">
            <w:pPr>
              <w:pStyle w:val="1"/>
            </w:pPr>
            <w:r>
              <w:t>LOCTRUd</w:t>
            </w:r>
          </w:p>
        </w:tc>
        <w:tc>
          <w:tcPr>
            <w:tcW w:w="766" w:type="dxa"/>
            <w:tcBorders>
              <w:top w:val="single" w:sz="4" w:space="0" w:color="auto"/>
              <w:left w:val="single" w:sz="4" w:space="0" w:color="auto"/>
              <w:bottom w:val="single" w:sz="4" w:space="0" w:color="auto"/>
              <w:right w:val="single" w:sz="4" w:space="0" w:color="auto"/>
            </w:tcBorders>
            <w:vAlign w:val="center"/>
          </w:tcPr>
          <w:p w14:paraId="0DFE157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78AAC14" w14:textId="77777777" w:rsidR="001119E7" w:rsidRDefault="001119E7" w:rsidP="00C817AD">
            <w:pPr>
              <w:pStyle w:val="1"/>
            </w:pPr>
            <w:r>
              <w:t>As defined in the Transmission Licence, calculated for Settlement Day,d.</w:t>
            </w:r>
          </w:p>
        </w:tc>
      </w:tr>
      <w:tr w:rsidR="001119E7" w14:paraId="024737AE"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FBCA6BE" w14:textId="77777777" w:rsidR="001119E7" w:rsidRDefault="001119E7" w:rsidP="00C817AD">
            <w:pPr>
              <w:pStyle w:val="1"/>
            </w:pPr>
            <w:r>
              <w:lastRenderedPageBreak/>
              <w:t>Cost associated with the Provision of Balancing Services to others</w:t>
            </w:r>
          </w:p>
        </w:tc>
        <w:tc>
          <w:tcPr>
            <w:tcW w:w="1731" w:type="dxa"/>
            <w:tcBorders>
              <w:top w:val="single" w:sz="4" w:space="0" w:color="auto"/>
              <w:left w:val="single" w:sz="4" w:space="0" w:color="auto"/>
              <w:bottom w:val="single" w:sz="4" w:space="0" w:color="auto"/>
              <w:right w:val="single" w:sz="4" w:space="0" w:color="auto"/>
            </w:tcBorders>
            <w:vAlign w:val="center"/>
          </w:tcPr>
          <w:p w14:paraId="135594F4" w14:textId="77777777" w:rsidR="001119E7" w:rsidRDefault="001119E7" w:rsidP="00C817AD">
            <w:pPr>
              <w:pStyle w:val="1"/>
            </w:pPr>
            <w:r>
              <w:t>OM</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55400485"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3FA3EC8" w14:textId="77777777" w:rsidR="001119E7" w:rsidRDefault="001119E7" w:rsidP="00C817AD">
            <w:pPr>
              <w:pStyle w:val="1"/>
            </w:pPr>
            <w:r>
              <w:t>Is the contribution on Settlement Day, d, to the value of OM</w:t>
            </w:r>
            <w:r w:rsidRPr="003367D0">
              <w:t>t</w:t>
            </w:r>
            <w:r>
              <w:t xml:space="preserve"> where OM</w:t>
            </w:r>
            <w:r w:rsidRPr="003367D0">
              <w:t>t</w:t>
            </w:r>
            <w:r>
              <w:t xml:space="preserve"> is determined pursuant to part C of special Condition   4.2 of the Transmission Licence</w:t>
            </w:r>
          </w:p>
        </w:tc>
      </w:tr>
      <w:tr w:rsidR="001119E7" w14:paraId="1A947D4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12FCA75" w14:textId="77777777" w:rsidR="001119E7" w:rsidRDefault="001119E7" w:rsidP="00C817AD">
            <w:pPr>
              <w:pStyle w:val="1"/>
            </w:pPr>
            <w:r>
              <w:t>Outage change allowance amount</w:t>
            </w:r>
          </w:p>
        </w:tc>
        <w:tc>
          <w:tcPr>
            <w:tcW w:w="1731" w:type="dxa"/>
            <w:tcBorders>
              <w:top w:val="single" w:sz="4" w:space="0" w:color="auto"/>
              <w:left w:val="single" w:sz="4" w:space="0" w:color="auto"/>
              <w:bottom w:val="single" w:sz="4" w:space="0" w:color="auto"/>
              <w:right w:val="single" w:sz="4" w:space="0" w:color="auto"/>
            </w:tcBorders>
            <w:vAlign w:val="center"/>
          </w:tcPr>
          <w:p w14:paraId="21769F7C" w14:textId="77777777" w:rsidR="001119E7" w:rsidRDefault="001119E7" w:rsidP="00C817AD">
            <w:pPr>
              <w:pStyle w:val="1"/>
            </w:pPr>
            <w:r>
              <w:t>ON</w:t>
            </w:r>
          </w:p>
        </w:tc>
        <w:tc>
          <w:tcPr>
            <w:tcW w:w="766" w:type="dxa"/>
            <w:tcBorders>
              <w:top w:val="single" w:sz="4" w:space="0" w:color="auto"/>
              <w:left w:val="single" w:sz="4" w:space="0" w:color="auto"/>
              <w:bottom w:val="single" w:sz="4" w:space="0" w:color="auto"/>
              <w:right w:val="single" w:sz="4" w:space="0" w:color="auto"/>
            </w:tcBorders>
            <w:vAlign w:val="center"/>
          </w:tcPr>
          <w:p w14:paraId="5ED10C44"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4D06A8E" w14:textId="77777777" w:rsidR="001119E7" w:rsidRDefault="001119E7" w:rsidP="00C817AD">
            <w:pPr>
              <w:pStyle w:val="1"/>
            </w:pPr>
            <w:r>
              <w:t>As defined in the Transmission Licence</w:t>
            </w:r>
          </w:p>
        </w:tc>
      </w:tr>
      <w:tr w:rsidR="001119E7" w14:paraId="6EBE458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974019" w14:textId="77777777" w:rsidR="001119E7" w:rsidRDefault="001119E7" w:rsidP="00C817AD">
            <w:pPr>
              <w:pStyle w:val="1"/>
            </w:pP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E82CC1C" w14:textId="77777777" w:rsidR="001119E7" w:rsidRDefault="001119E7" w:rsidP="00C817AD">
            <w:pPr>
              <w:pStyle w:val="1"/>
            </w:pPr>
            <w:r>
              <w:t>QM</w:t>
            </w:r>
            <w:r w:rsidRPr="003367D0">
              <w:t>ij</w:t>
            </w:r>
          </w:p>
        </w:tc>
        <w:tc>
          <w:tcPr>
            <w:tcW w:w="766" w:type="dxa"/>
            <w:tcBorders>
              <w:top w:val="single" w:sz="4" w:space="0" w:color="auto"/>
              <w:left w:val="single" w:sz="4" w:space="0" w:color="auto"/>
              <w:bottom w:val="single" w:sz="4" w:space="0" w:color="auto"/>
              <w:right w:val="single" w:sz="4" w:space="0" w:color="auto"/>
            </w:tcBorders>
            <w:vAlign w:val="center"/>
          </w:tcPr>
          <w:p w14:paraId="3ADD1D86"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4FC25EDE" w14:textId="77777777" w:rsidR="001119E7" w:rsidRDefault="001119E7" w:rsidP="00C817AD">
            <w:pPr>
              <w:pStyle w:val="1"/>
            </w:pPr>
            <w:r w:rsidRPr="003367D0">
              <w:t xml:space="preserve">As defined in the BSC </w:t>
            </w:r>
          </w:p>
        </w:tc>
      </w:tr>
      <w:tr w:rsidR="001119E7" w14:paraId="5D5AD16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7E7F46" w14:textId="32E0AE47" w:rsidR="001119E7" w:rsidDel="007B6107" w:rsidRDefault="001119E7" w:rsidP="00C817AD">
            <w:pPr>
              <w:pStyle w:val="1"/>
            </w:pPr>
            <w:r w:rsidRPr="00EE0BD9">
              <w:t xml:space="preserve">Gross </w:t>
            </w:r>
            <w:r w:rsidR="00E47442">
              <w:t xml:space="preserve">Final </w:t>
            </w:r>
            <w:r w:rsidRPr="00EE0BD9">
              <w:t>Demand BM Unit Volume</w:t>
            </w:r>
          </w:p>
        </w:tc>
        <w:tc>
          <w:tcPr>
            <w:tcW w:w="1731" w:type="dxa"/>
            <w:tcBorders>
              <w:top w:val="single" w:sz="4" w:space="0" w:color="auto"/>
              <w:left w:val="single" w:sz="4" w:space="0" w:color="auto"/>
              <w:bottom w:val="single" w:sz="4" w:space="0" w:color="auto"/>
              <w:right w:val="single" w:sz="4" w:space="0" w:color="auto"/>
            </w:tcBorders>
            <w:vAlign w:val="center"/>
          </w:tcPr>
          <w:p w14:paraId="53E5667D" w14:textId="77777777" w:rsidR="001119E7" w:rsidDel="007B6107" w:rsidRDefault="001119E7" w:rsidP="00C817AD">
            <w:pPr>
              <w:pStyle w:val="1"/>
            </w:pPr>
            <w:r w:rsidRPr="00EE0BD9">
              <w:t>SGQM</w:t>
            </w:r>
          </w:p>
        </w:tc>
        <w:tc>
          <w:tcPr>
            <w:tcW w:w="766" w:type="dxa"/>
            <w:tcBorders>
              <w:top w:val="single" w:sz="4" w:space="0" w:color="auto"/>
              <w:left w:val="single" w:sz="4" w:space="0" w:color="auto"/>
              <w:bottom w:val="single" w:sz="4" w:space="0" w:color="auto"/>
              <w:right w:val="single" w:sz="4" w:space="0" w:color="auto"/>
            </w:tcBorders>
            <w:vAlign w:val="center"/>
          </w:tcPr>
          <w:p w14:paraId="22999CE2" w14:textId="77777777" w:rsidR="001119E7" w:rsidDel="007B6107" w:rsidRDefault="001119E7" w:rsidP="00C817AD">
            <w:pPr>
              <w:pStyle w:val="1"/>
              <w:jc w:val="center"/>
            </w:pPr>
            <w:r w:rsidRPr="00EE0BD9">
              <w:t>MWh</w:t>
            </w:r>
          </w:p>
        </w:tc>
        <w:tc>
          <w:tcPr>
            <w:tcW w:w="4401" w:type="dxa"/>
            <w:tcBorders>
              <w:top w:val="single" w:sz="4" w:space="0" w:color="auto"/>
              <w:left w:val="single" w:sz="4" w:space="0" w:color="auto"/>
              <w:bottom w:val="single" w:sz="4" w:space="0" w:color="auto"/>
              <w:right w:val="single" w:sz="4" w:space="0" w:color="auto"/>
            </w:tcBorders>
            <w:vAlign w:val="center"/>
          </w:tcPr>
          <w:p w14:paraId="7A244AE9" w14:textId="60E5A254" w:rsidR="001119E7" w:rsidDel="007B6107" w:rsidRDefault="30F0CD37" w:rsidP="00C817AD">
            <w:pPr>
              <w:pStyle w:val="1"/>
            </w:pPr>
            <w:r>
              <w:t>The Import data as at the Transmission System Boundary by Settlement Period for Supplier BM</w:t>
            </w:r>
            <w:r w:rsidR="42126257">
              <w:t xml:space="preserve"> </w:t>
            </w:r>
            <w:r w:rsidR="79D22E03">
              <w:t>Units in</w:t>
            </w:r>
            <w:r w:rsidR="3F73077A">
              <w:t xml:space="preserve"> respect to gross Final Demand volume (exclusive of all export volumes and import volumes from BM Units or Single Sites with a valid Declaration</w:t>
            </w:r>
            <w:r w:rsidR="35B9C510">
              <w:t>)</w:t>
            </w:r>
            <w:r w:rsidR="3F73077A">
              <w:t xml:space="preserve"> </w:t>
            </w:r>
            <w:r>
              <w:t>, multiplied by the applicable TLM</w:t>
            </w:r>
          </w:p>
        </w:tc>
      </w:tr>
      <w:tr w:rsidR="001119E7" w14:paraId="5CF39BF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020CA9F" w14:textId="77777777" w:rsidR="001119E7" w:rsidRPr="00D25F09" w:rsidRDefault="001119E7" w:rsidP="00C817AD">
            <w:pPr>
              <w:pStyle w:val="1"/>
            </w:pPr>
            <w:r>
              <w:t>SO-TO funding allowance</w:t>
            </w:r>
          </w:p>
        </w:tc>
        <w:tc>
          <w:tcPr>
            <w:tcW w:w="1731" w:type="dxa"/>
            <w:tcBorders>
              <w:top w:val="single" w:sz="4" w:space="0" w:color="auto"/>
              <w:left w:val="single" w:sz="4" w:space="0" w:color="auto"/>
              <w:bottom w:val="single" w:sz="4" w:space="0" w:color="auto"/>
              <w:right w:val="single" w:sz="4" w:space="0" w:color="auto"/>
            </w:tcBorders>
            <w:vAlign w:val="center"/>
          </w:tcPr>
          <w:p w14:paraId="0509D396" w14:textId="77777777" w:rsidR="001119E7" w:rsidRPr="00D25F09" w:rsidRDefault="001119E7" w:rsidP="00C817AD">
            <w:pPr>
              <w:pStyle w:val="1"/>
            </w:pPr>
            <w:r>
              <w:t>SOTOC</w:t>
            </w:r>
          </w:p>
        </w:tc>
        <w:tc>
          <w:tcPr>
            <w:tcW w:w="766" w:type="dxa"/>
            <w:tcBorders>
              <w:top w:val="single" w:sz="4" w:space="0" w:color="auto"/>
              <w:left w:val="single" w:sz="4" w:space="0" w:color="auto"/>
              <w:bottom w:val="single" w:sz="4" w:space="0" w:color="auto"/>
              <w:right w:val="single" w:sz="4" w:space="0" w:color="auto"/>
            </w:tcBorders>
            <w:vAlign w:val="center"/>
          </w:tcPr>
          <w:p w14:paraId="6506E035" w14:textId="77777777" w:rsidR="001119E7" w:rsidRPr="00D25F09"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3D43ABD" w14:textId="77777777" w:rsidR="001119E7" w:rsidRDefault="001119E7" w:rsidP="00C817AD">
            <w:pPr>
              <w:pStyle w:val="1"/>
              <w:jc w:val="both"/>
              <w:rPr>
                <w:rFonts w:ascii="Arial" w:hAnsi="Arial"/>
                <w:szCs w:val="22"/>
              </w:rPr>
            </w:pPr>
            <w:r>
              <w:rPr>
                <w:rFonts w:ascii="Arial" w:hAnsi="Arial"/>
                <w:szCs w:val="22"/>
              </w:rPr>
              <w:t>As defined in the Transmission Licence means the SO-TO cost allowance term, calculated in accordance with Special Condition 4.4 (SO-TO Mechanism)</w:t>
            </w:r>
          </w:p>
          <w:p w14:paraId="0FDE446C" w14:textId="77777777" w:rsidR="001119E7" w:rsidRPr="003367D0" w:rsidRDefault="001119E7" w:rsidP="00C817AD">
            <w:pPr>
              <w:pStyle w:val="1"/>
            </w:pPr>
          </w:p>
        </w:tc>
      </w:tr>
      <w:tr w:rsidR="001119E7" w14:paraId="3F366EF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8B2CCBD" w14:textId="77777777" w:rsidR="001119E7" w:rsidRDefault="001119E7" w:rsidP="00C817AD">
            <w:pPr>
              <w:pStyle w:val="1"/>
            </w:pPr>
            <w:r>
              <w:t xml:space="preserve">Supplier BM Unit </w:t>
            </w:r>
          </w:p>
        </w:tc>
        <w:tc>
          <w:tcPr>
            <w:tcW w:w="1731" w:type="dxa"/>
            <w:tcBorders>
              <w:top w:val="single" w:sz="4" w:space="0" w:color="auto"/>
              <w:left w:val="single" w:sz="4" w:space="0" w:color="auto"/>
              <w:bottom w:val="single" w:sz="4" w:space="0" w:color="auto"/>
              <w:right w:val="single" w:sz="4" w:space="0" w:color="auto"/>
            </w:tcBorders>
            <w:vAlign w:val="center"/>
          </w:tcPr>
          <w:p w14:paraId="4E65341E"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B8D4B5A"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690771E" w14:textId="77777777" w:rsidR="001119E7" w:rsidRPr="003367D0" w:rsidRDefault="001119E7" w:rsidP="00C817AD">
            <w:pPr>
              <w:pStyle w:val="1"/>
            </w:pPr>
            <w:r>
              <w:t>As defined in the BSC</w:t>
            </w:r>
          </w:p>
        </w:tc>
      </w:tr>
      <w:tr w:rsidR="001119E7" w14:paraId="7C9590D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64B2AD5" w14:textId="77777777" w:rsidR="001119E7" w:rsidDel="007B6107" w:rsidRDefault="001119E7" w:rsidP="00C817AD">
            <w:pPr>
              <w:pStyle w:val="1"/>
            </w:pPr>
            <w:r>
              <w:t>System Operator Legacy Adjustments</w:t>
            </w:r>
          </w:p>
        </w:tc>
        <w:tc>
          <w:tcPr>
            <w:tcW w:w="1731" w:type="dxa"/>
            <w:tcBorders>
              <w:top w:val="single" w:sz="4" w:space="0" w:color="auto"/>
              <w:left w:val="single" w:sz="4" w:space="0" w:color="auto"/>
              <w:bottom w:val="single" w:sz="4" w:space="0" w:color="auto"/>
              <w:right w:val="single" w:sz="4" w:space="0" w:color="auto"/>
            </w:tcBorders>
            <w:vAlign w:val="center"/>
          </w:tcPr>
          <w:p w14:paraId="2CB6FCF4" w14:textId="77777777" w:rsidR="001119E7" w:rsidDel="007B6107" w:rsidRDefault="001119E7" w:rsidP="00C817AD">
            <w:pPr>
              <w:pStyle w:val="1"/>
            </w:pPr>
            <w:r>
              <w:t>SOLAR</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0312F2BD" w14:textId="77777777" w:rsidR="001119E7" w:rsidDel="007B610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8F6E4D3" w14:textId="77777777" w:rsidR="001119E7" w:rsidRDefault="001119E7" w:rsidP="00C817AD">
            <w:pPr>
              <w:pStyle w:val="1"/>
            </w:pPr>
          </w:p>
          <w:p w14:paraId="02B533EC" w14:textId="77777777" w:rsidR="001119E7" w:rsidRPr="003367D0" w:rsidDel="007B6107" w:rsidRDefault="001119E7" w:rsidP="00C817AD">
            <w:pPr>
              <w:pStyle w:val="1"/>
            </w:pPr>
            <w:r w:rsidRPr="003367D0">
              <w:t>As defined in the Transmission Licence calculated for Settlement Day, d</w:t>
            </w:r>
          </w:p>
        </w:tc>
      </w:tr>
      <w:tr w:rsidR="001119E7" w14:paraId="1F10DA1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311FC" w14:textId="02FEA168" w:rsidR="001119E7" w:rsidRPr="00D25F09" w:rsidRDefault="001119E7"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7235ADC3" w14:textId="77777777" w:rsidR="001119E7" w:rsidRPr="00D25F09"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057FB0B"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A468960" w14:textId="1A0E6568" w:rsidR="001119E7" w:rsidRPr="00D25F09" w:rsidRDefault="001119E7" w:rsidP="00C817AD">
            <w:pPr>
              <w:pStyle w:val="1"/>
            </w:pPr>
          </w:p>
        </w:tc>
      </w:tr>
      <w:tr w:rsidR="001119E7" w14:paraId="236EADE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48AFF90" w14:textId="77777777" w:rsidR="001119E7" w:rsidRPr="00D25F09" w:rsidRDefault="001119E7" w:rsidP="00C817AD">
            <w:pPr>
              <w:pStyle w:val="1"/>
            </w:pPr>
            <w:r w:rsidRPr="00D25F09">
              <w:t>Transmission Loss Multiplier</w:t>
            </w:r>
          </w:p>
        </w:tc>
        <w:tc>
          <w:tcPr>
            <w:tcW w:w="1731" w:type="dxa"/>
            <w:tcBorders>
              <w:top w:val="single" w:sz="4" w:space="0" w:color="auto"/>
              <w:left w:val="single" w:sz="4" w:space="0" w:color="auto"/>
              <w:bottom w:val="single" w:sz="4" w:space="0" w:color="auto"/>
              <w:right w:val="single" w:sz="4" w:space="0" w:color="auto"/>
            </w:tcBorders>
            <w:vAlign w:val="center"/>
          </w:tcPr>
          <w:p w14:paraId="437B3066" w14:textId="77777777" w:rsidR="001119E7" w:rsidRPr="00D25F09" w:rsidRDefault="001119E7" w:rsidP="00C817AD">
            <w:pPr>
              <w:pStyle w:val="1"/>
            </w:pPr>
            <w:r w:rsidRPr="00D25F09">
              <w:t>TLM</w:t>
            </w:r>
            <w:r w:rsidRPr="003367D0">
              <w:t>ij</w:t>
            </w:r>
          </w:p>
        </w:tc>
        <w:tc>
          <w:tcPr>
            <w:tcW w:w="766" w:type="dxa"/>
            <w:tcBorders>
              <w:top w:val="single" w:sz="4" w:space="0" w:color="auto"/>
              <w:left w:val="single" w:sz="4" w:space="0" w:color="auto"/>
              <w:bottom w:val="single" w:sz="4" w:space="0" w:color="auto"/>
              <w:right w:val="single" w:sz="4" w:space="0" w:color="auto"/>
            </w:tcBorders>
            <w:vAlign w:val="center"/>
          </w:tcPr>
          <w:p w14:paraId="67FC80E9"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CEA4BE6" w14:textId="77777777" w:rsidR="001119E7" w:rsidRPr="00D25F09" w:rsidRDefault="001119E7" w:rsidP="00C817AD">
            <w:pPr>
              <w:pStyle w:val="1"/>
            </w:pPr>
            <w:r w:rsidRPr="00D25F09">
              <w:t>As defined in the BSC</w:t>
            </w:r>
          </w:p>
        </w:tc>
      </w:tr>
      <w:tr w:rsidR="001119E7" w14:paraId="13CAC7A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812D168" w14:textId="3555123C" w:rsidR="001119E7" w:rsidRPr="00D25F09" w:rsidRDefault="001119E7" w:rsidP="00C817AD">
            <w:pPr>
              <w:pStyle w:val="1"/>
            </w:pPr>
            <w:r>
              <w:t xml:space="preserve">Transmission Connected </w:t>
            </w:r>
            <w:r w:rsidR="00E71BE3">
              <w:t xml:space="preserve">Final Demand </w:t>
            </w: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4F87619" w14:textId="77777777" w:rsidR="001119E7" w:rsidRPr="00D25F09" w:rsidRDefault="001119E7" w:rsidP="00C817AD">
            <w:pPr>
              <w:pStyle w:val="1"/>
            </w:pPr>
            <w:r>
              <w:t>TQM</w:t>
            </w:r>
          </w:p>
        </w:tc>
        <w:tc>
          <w:tcPr>
            <w:tcW w:w="766" w:type="dxa"/>
            <w:tcBorders>
              <w:top w:val="single" w:sz="4" w:space="0" w:color="auto"/>
              <w:left w:val="single" w:sz="4" w:space="0" w:color="auto"/>
              <w:bottom w:val="single" w:sz="4" w:space="0" w:color="auto"/>
              <w:right w:val="single" w:sz="4" w:space="0" w:color="auto"/>
            </w:tcBorders>
            <w:vAlign w:val="center"/>
          </w:tcPr>
          <w:p w14:paraId="3AD76577" w14:textId="77777777" w:rsidR="001119E7" w:rsidRPr="00D25F09"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068EE0EE" w14:textId="79BB3A49" w:rsidR="001119E7" w:rsidRDefault="001119E7" w:rsidP="00C817AD">
            <w:pPr>
              <w:pStyle w:val="1"/>
            </w:pPr>
            <w:r>
              <w:t xml:space="preserve">The BM Unit Metered Volume for </w:t>
            </w:r>
            <w:r w:rsidR="008B091A">
              <w:t xml:space="preserve"> Final Demand with a Bilateral Agreement with The Company exclusive of export volumes, which is multiplied by the TLM</w:t>
            </w:r>
            <w:r w:rsidR="0098023B">
              <w:t xml:space="preserve"> </w:t>
            </w:r>
          </w:p>
          <w:p w14:paraId="745C4B89" w14:textId="72DF961E" w:rsidR="001119E7" w:rsidRPr="00D25F09" w:rsidRDefault="001119E7" w:rsidP="00C817AD">
            <w:pPr>
              <w:pStyle w:val="1"/>
            </w:pPr>
          </w:p>
        </w:tc>
      </w:tr>
      <w:tr w:rsidR="00823C0C" w14:paraId="6838A6A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F6FDCFA" w14:textId="77777777" w:rsidR="00823C0C" w:rsidRDefault="00823C0C"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217D207D" w14:textId="77777777" w:rsidR="00823C0C" w:rsidRDefault="00823C0C"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585421B1" w14:textId="77777777" w:rsidR="00823C0C" w:rsidRDefault="00823C0C"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E9D6BAD" w14:textId="77777777" w:rsidR="00823C0C" w:rsidRDefault="00823C0C" w:rsidP="00C817AD">
            <w:pPr>
              <w:pStyle w:val="1"/>
            </w:pPr>
          </w:p>
        </w:tc>
      </w:tr>
      <w:tr w:rsidR="001119E7" w14:paraId="1C0B5F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559EEF7" w14:textId="77777777" w:rsidR="001119E7" w:rsidRDefault="001119E7" w:rsidP="00C817AD">
            <w:pPr>
              <w:pStyle w:val="1"/>
            </w:pPr>
            <w:r>
              <w:t>Transmission System Boundary</w:t>
            </w:r>
          </w:p>
        </w:tc>
        <w:tc>
          <w:tcPr>
            <w:tcW w:w="1731" w:type="dxa"/>
            <w:tcBorders>
              <w:top w:val="single" w:sz="4" w:space="0" w:color="auto"/>
              <w:left w:val="single" w:sz="4" w:space="0" w:color="auto"/>
              <w:bottom w:val="single" w:sz="4" w:space="0" w:color="auto"/>
              <w:right w:val="single" w:sz="4" w:space="0" w:color="auto"/>
            </w:tcBorders>
            <w:vAlign w:val="center"/>
          </w:tcPr>
          <w:p w14:paraId="46315465"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6D7F784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E36814E" w14:textId="77777777" w:rsidR="001119E7" w:rsidRDefault="001119E7" w:rsidP="00C817AD">
            <w:pPr>
              <w:pStyle w:val="1"/>
            </w:pPr>
            <w:r>
              <w:t>As defined in the Balancing and Settlement Code</w:t>
            </w:r>
          </w:p>
        </w:tc>
      </w:tr>
      <w:tr w:rsidR="001119E7" w14:paraId="6799CC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B6287F3" w14:textId="77777777" w:rsidR="001119E7" w:rsidRDefault="001119E7" w:rsidP="00C817AD">
            <w:pPr>
              <w:pStyle w:val="1"/>
            </w:pPr>
            <w:r>
              <w:t>Total System Energy Imbalance Volume</w:t>
            </w:r>
          </w:p>
        </w:tc>
        <w:tc>
          <w:tcPr>
            <w:tcW w:w="1731" w:type="dxa"/>
            <w:tcBorders>
              <w:top w:val="single" w:sz="4" w:space="0" w:color="auto"/>
              <w:left w:val="single" w:sz="4" w:space="0" w:color="auto"/>
              <w:bottom w:val="single" w:sz="4" w:space="0" w:color="auto"/>
              <w:right w:val="single" w:sz="4" w:space="0" w:color="auto"/>
            </w:tcBorders>
            <w:vAlign w:val="center"/>
          </w:tcPr>
          <w:p w14:paraId="0E066B25" w14:textId="77777777" w:rsidR="001119E7" w:rsidRDefault="001119E7" w:rsidP="00C817AD">
            <w:pPr>
              <w:pStyle w:val="1"/>
            </w:pPr>
            <w:r>
              <w:t>TQEI</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27491347"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9756468" w14:textId="77777777" w:rsidR="001119E7" w:rsidRDefault="001119E7" w:rsidP="00C817AD">
            <w:pPr>
              <w:pStyle w:val="1"/>
            </w:pPr>
            <w:r>
              <w:t>As defined in the Balancing and Settlement Code in force immediately prior to 1 April 2001</w:t>
            </w:r>
          </w:p>
        </w:tc>
      </w:tr>
      <w:tr w:rsidR="001119E7" w14:paraId="18F93B9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256EC66" w14:textId="77777777" w:rsidR="001119E7" w:rsidRDefault="001119E7" w:rsidP="00C817AD">
            <w:pPr>
              <w:pStyle w:val="1"/>
            </w:pPr>
            <w:r>
              <w:lastRenderedPageBreak/>
              <w:t>Final Reconciliation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2BB7D228"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46061ED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3DA4E42" w14:textId="77777777" w:rsidR="001119E7" w:rsidRDefault="001119E7" w:rsidP="00C817AD">
            <w:pPr>
              <w:pStyle w:val="1"/>
            </w:pPr>
            <w:r>
              <w:t>As defined in the BSC</w:t>
            </w:r>
          </w:p>
        </w:tc>
      </w:tr>
      <w:tr w:rsidR="001119E7" w14:paraId="28F01F6C"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706614" w14:textId="77777777" w:rsidR="001119E7" w:rsidRDefault="001119E7" w:rsidP="00C817AD">
            <w:pPr>
              <w:pStyle w:val="1"/>
            </w:pPr>
            <w:r>
              <w:t>Final Reconciliation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F08CCA7"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3FA01622"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B7DECBE" w14:textId="77777777" w:rsidR="001119E7" w:rsidRDefault="001119E7" w:rsidP="00C817AD">
            <w:pPr>
              <w:pStyle w:val="1"/>
            </w:pPr>
            <w:r>
              <w:t>As defined in the BSC</w:t>
            </w:r>
          </w:p>
        </w:tc>
      </w:tr>
      <w:tr w:rsidR="001119E7" w14:paraId="4601C5E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EF24961" w14:textId="77777777" w:rsidR="001119E7" w:rsidRDefault="001119E7" w:rsidP="00C817AD">
            <w:pPr>
              <w:pStyle w:val="1"/>
            </w:pPr>
            <w:r>
              <w:t>Initial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4FF5CB3B"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3826ABB"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D4548AC" w14:textId="77777777" w:rsidR="001119E7" w:rsidRDefault="001119E7" w:rsidP="00C817AD">
            <w:pPr>
              <w:pStyle w:val="1"/>
            </w:pPr>
            <w:r>
              <w:t>As defined in the BSC</w:t>
            </w:r>
          </w:p>
        </w:tc>
      </w:tr>
      <w:tr w:rsidR="001119E7" w14:paraId="2AC100D7"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12EDF6" w14:textId="77777777" w:rsidR="001119E7" w:rsidRDefault="001119E7" w:rsidP="00C817AD">
            <w:pPr>
              <w:pStyle w:val="1"/>
            </w:pPr>
            <w:r>
              <w:t>Initial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A3FE08A"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F95F6BC"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72753A7" w14:textId="77777777" w:rsidR="001119E7" w:rsidRDefault="001119E7" w:rsidP="00C817AD">
            <w:pPr>
              <w:pStyle w:val="1"/>
            </w:pPr>
            <w:r>
              <w:t>As defined in the BSC</w:t>
            </w:r>
          </w:p>
        </w:tc>
      </w:tr>
      <w:tr w:rsidR="001119E7" w14:paraId="24621D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94A0368" w14:textId="77777777" w:rsidR="001119E7" w:rsidRDefault="001119E7" w:rsidP="00C817AD">
            <w:pPr>
              <w:pStyle w:val="1"/>
            </w:pPr>
            <w:r>
              <w:t>Lead Party</w:t>
            </w:r>
          </w:p>
        </w:tc>
        <w:tc>
          <w:tcPr>
            <w:tcW w:w="1731" w:type="dxa"/>
            <w:tcBorders>
              <w:top w:val="single" w:sz="4" w:space="0" w:color="auto"/>
              <w:left w:val="single" w:sz="4" w:space="0" w:color="auto"/>
              <w:bottom w:val="single" w:sz="4" w:space="0" w:color="auto"/>
              <w:right w:val="single" w:sz="4" w:space="0" w:color="auto"/>
            </w:tcBorders>
            <w:vAlign w:val="center"/>
          </w:tcPr>
          <w:p w14:paraId="37719BAD"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C6E0F18"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545DDFD" w14:textId="77777777" w:rsidR="001119E7" w:rsidRDefault="001119E7" w:rsidP="00C817AD">
            <w:pPr>
              <w:pStyle w:val="1"/>
            </w:pPr>
            <w:r>
              <w:t>As defined in the BSC</w:t>
            </w:r>
          </w:p>
        </w:tc>
      </w:tr>
    </w:tbl>
    <w:p w14:paraId="3AED28C4" w14:textId="77777777" w:rsidR="006A4386" w:rsidRPr="00FC681D" w:rsidRDefault="00750515" w:rsidP="0042125C">
      <w:pPr>
        <w:pStyle w:val="Heading2"/>
        <w:rPr>
          <w:strike/>
        </w:rPr>
      </w:pPr>
      <w:r>
        <w:br w:type="page"/>
      </w:r>
      <w:bookmarkStart w:id="650" w:name="BSUoSend"/>
      <w:bookmarkEnd w:id="650"/>
    </w:p>
    <w:sectPr w:rsidR="006A4386" w:rsidRPr="00FC681D" w:rsidSect="00926335">
      <w:footnotePr>
        <w:numRestart w:val="eachSect"/>
      </w:footnotePr>
      <w:type w:val="continuous"/>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E3B5C" w14:textId="77777777" w:rsidR="0018153F" w:rsidRDefault="0018153F" w:rsidP="001046D7">
      <w:pPr>
        <w:pStyle w:val="LogoCaption"/>
      </w:pPr>
      <w:r>
        <w:separator/>
      </w:r>
    </w:p>
  </w:endnote>
  <w:endnote w:type="continuationSeparator" w:id="0">
    <w:p w14:paraId="66A37CE2" w14:textId="77777777" w:rsidR="0018153F" w:rsidRDefault="0018153F" w:rsidP="001046D7">
      <w:pPr>
        <w:pStyle w:val="LogoCaption"/>
      </w:pPr>
      <w:r>
        <w:continuationSeparator/>
      </w:r>
    </w:p>
  </w:endnote>
  <w:endnote w:type="continuationNotice" w:id="1">
    <w:p w14:paraId="3BFE8F64" w14:textId="77777777" w:rsidR="0018153F" w:rsidRDefault="001815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AC88" w14:textId="77777777" w:rsidR="002A2617" w:rsidRDefault="002A2617">
    <w:pPr>
      <w:pStyle w:val="Footer"/>
      <w:jc w:val="center"/>
    </w:pPr>
    <w:r>
      <w:fldChar w:fldCharType="begin"/>
    </w:r>
    <w:r>
      <w:instrText xml:space="preserve"> PAGE  \* MERGEFORMAT </w:instrText>
    </w:r>
    <w:r>
      <w:fldChar w:fldCharType="separate"/>
    </w:r>
    <w:r>
      <w:rPr>
        <w:noProof/>
      </w:rPr>
      <w:t>1</w:t>
    </w:r>
    <w:r>
      <w:fldChar w:fldCharType="end"/>
    </w:r>
  </w:p>
  <w:p w14:paraId="193CBA18" w14:textId="4762E9C8" w:rsidR="002A2617" w:rsidRDefault="002A2617">
    <w:pPr>
      <w:pStyle w:val="Footer"/>
    </w:pPr>
    <w:r>
      <w:fldChar w:fldCharType="begin"/>
    </w:r>
    <w:r>
      <w:instrText xml:space="preserve"> DOCPROPERTY "DocID" \* MERGEFORMAT </w:instrText>
    </w:r>
    <w:r>
      <w:fldChar w:fldCharType="separate"/>
    </w:r>
    <w:r w:rsidR="004B2E96">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A82F" w14:textId="0E53CEFC" w:rsidR="002A2617" w:rsidRPr="004D2C72" w:rsidRDefault="002A2617"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Pr>
        <w:rStyle w:val="PageNumber"/>
        <w:rFonts w:ascii="Arial" w:hAnsi="Arial" w:cs="Arial"/>
        <w:noProof/>
        <w:sz w:val="18"/>
        <w:szCs w:val="18"/>
      </w:rPr>
      <w:t>51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Pr>
        <w:rStyle w:val="PageNumber"/>
        <w:rFonts w:ascii="Arial" w:hAnsi="Arial" w:cs="Arial"/>
        <w:noProof/>
        <w:sz w:val="18"/>
        <w:szCs w:val="18"/>
      </w:rPr>
      <w:t>111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Pr>
        <w:rFonts w:ascii="Arial" w:hAnsi="Arial" w:cs="Arial"/>
        <w:sz w:val="18"/>
        <w:szCs w:val="18"/>
      </w:rPr>
      <w:t>1.3</w:t>
    </w:r>
    <w:r w:rsidR="00447FCA">
      <w:rPr>
        <w:rFonts w:ascii="Arial" w:hAnsi="Arial" w:cs="Arial"/>
        <w:sz w:val="18"/>
        <w:szCs w:val="18"/>
      </w:rPr>
      <w:t>8</w:t>
    </w:r>
    <w:r>
      <w:rPr>
        <w:rFonts w:ascii="Arial" w:hAnsi="Arial" w:cs="Arial"/>
        <w:sz w:val="18"/>
        <w:szCs w:val="18"/>
      </w:rPr>
      <w:t xml:space="preserve"> – </w:t>
    </w:r>
    <w:r w:rsidR="00EC52BD">
      <w:rPr>
        <w:rFonts w:ascii="Arial" w:hAnsi="Arial" w:cs="Arial"/>
        <w:sz w:val="18"/>
        <w:szCs w:val="18"/>
      </w:rPr>
      <w:t>0</w:t>
    </w:r>
    <w:r w:rsidR="00447FCA">
      <w:rPr>
        <w:rFonts w:ascii="Arial" w:hAnsi="Arial" w:cs="Arial"/>
        <w:sz w:val="18"/>
        <w:szCs w:val="18"/>
      </w:rPr>
      <w:t>1</w:t>
    </w:r>
    <w:r w:rsidR="00EC52BD">
      <w:rPr>
        <w:rFonts w:ascii="Arial" w:hAnsi="Arial" w:cs="Arial"/>
        <w:sz w:val="18"/>
        <w:szCs w:val="18"/>
      </w:rPr>
      <w:t xml:space="preserve"> </w:t>
    </w:r>
    <w:r w:rsidR="00447FCA">
      <w:rPr>
        <w:rFonts w:ascii="Arial" w:hAnsi="Arial" w:cs="Arial"/>
        <w:sz w:val="18"/>
        <w:szCs w:val="18"/>
      </w:rPr>
      <w:t>April</w:t>
    </w:r>
    <w:r w:rsidR="00EC52BD">
      <w:rPr>
        <w:rFonts w:ascii="Arial" w:hAnsi="Arial" w:cs="Arial"/>
        <w:sz w:val="18"/>
        <w:szCs w:val="18"/>
      </w:rPr>
      <w:t xml:space="preserve"> 202</w:t>
    </w:r>
    <w:r w:rsidR="00447FCA">
      <w:rPr>
        <w:rFonts w:ascii="Arial" w:hAnsi="Arial" w:cs="Arial"/>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57B5A" w14:textId="77777777" w:rsidR="0018153F" w:rsidRDefault="0018153F" w:rsidP="001046D7">
      <w:pPr>
        <w:pStyle w:val="LogoCaption"/>
      </w:pPr>
      <w:r>
        <w:separator/>
      </w:r>
    </w:p>
  </w:footnote>
  <w:footnote w:type="continuationSeparator" w:id="0">
    <w:p w14:paraId="1BB588C6" w14:textId="77777777" w:rsidR="0018153F" w:rsidRDefault="0018153F" w:rsidP="001046D7">
      <w:pPr>
        <w:pStyle w:val="LogoCaption"/>
      </w:pPr>
      <w:r>
        <w:continuationSeparator/>
      </w:r>
    </w:p>
  </w:footnote>
  <w:footnote w:type="continuationNotice" w:id="1">
    <w:p w14:paraId="023FF5D2" w14:textId="77777777" w:rsidR="0018153F" w:rsidRDefault="0018153F"/>
  </w:footnote>
  <w:footnote w:id="2">
    <w:p w14:paraId="761008A4" w14:textId="36DFC187" w:rsidR="002A2617" w:rsidRDefault="002A2617">
      <w:pPr>
        <w:pStyle w:val="FootnoteText"/>
      </w:pPr>
      <w:r>
        <w:rPr>
          <w:rStyle w:val="FootnoteReference"/>
        </w:rPr>
        <w:footnoteRef/>
      </w:r>
      <w:r>
        <w:t xml:space="preserve"> </w:t>
      </w:r>
      <w:r w:rsidRPr="00D85570">
        <w:t>https://www.nationalgrideso.com/industry-information/charging</w:t>
      </w:r>
    </w:p>
  </w:footnote>
  <w:footnote w:id="3">
    <w:p w14:paraId="2B8DF6AE" w14:textId="2454A01A" w:rsidR="002A2617" w:rsidDel="00095668" w:rsidRDefault="002A2617">
      <w:pPr>
        <w:pStyle w:val="FootnoteText"/>
        <w:rPr>
          <w:del w:id="295" w:author="Author" w:date="2021-03-10T17:34:00Z"/>
        </w:rPr>
      </w:pPr>
      <w:r>
        <w:rPr>
          <w:rStyle w:val="FootnoteReference"/>
        </w:rPr>
        <w:footnoteRef/>
      </w:r>
      <w:r>
        <w:t xml:space="preserve"> </w:t>
      </w:r>
      <w:r w:rsidRPr="00E9465B">
        <w:t>https://www.nationalgrideso.com/industry-information/charging</w:t>
      </w:r>
    </w:p>
  </w:footnote>
  <w:footnote w:id="4">
    <w:p w14:paraId="003D4DE7" w14:textId="77777777" w:rsidR="002A2617" w:rsidRPr="00222B22" w:rsidRDefault="002A2617"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4AE249FB" w14:textId="77777777" w:rsidR="002A2617" w:rsidRPr="008C4F65" w:rsidRDefault="002A2617"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471" w:name="OLE_LINK4"/>
      <w:bookmarkStart w:id="472" w:name="OLE_LINK5"/>
      <w:r w:rsidRPr="00222B22">
        <w:rPr>
          <w:rFonts w:cs="Arial"/>
          <w:sz w:val="18"/>
          <w:szCs w:val="18"/>
        </w:rPr>
        <w:t xml:space="preserve">LDTEC Indicative Block Offer </w:t>
      </w:r>
      <w:bookmarkEnd w:id="471"/>
      <w:bookmarkEnd w:id="472"/>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70AB45CB" w14:textId="77777777" w:rsidR="00533333" w:rsidRDefault="00533333" w:rsidP="00533333">
      <w:pPr>
        <w:pStyle w:val="FootnoteText"/>
      </w:pPr>
      <w:r>
        <w:rPr>
          <w:rStyle w:val="FootnoteReference"/>
        </w:rPr>
        <w:t>†</w:t>
      </w:r>
      <w:r>
        <w:t xml:space="preserve"> For simplicity, fixed reference node has been used instead of a distributed reference node.</w:t>
      </w:r>
    </w:p>
  </w:footnote>
  <w:footnote w:id="7">
    <w:p w14:paraId="4E454F20" w14:textId="77777777" w:rsidR="002A2617" w:rsidRPr="00E616B3" w:rsidRDefault="002A2617"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 w:id="8">
    <w:p w14:paraId="0D8D6E83" w14:textId="77777777" w:rsidR="00A72BDD" w:rsidRPr="005C28A6" w:rsidRDefault="00A72BDD" w:rsidP="00A72BDD">
      <w:pPr>
        <w:pStyle w:val="FootnoteText"/>
        <w:rPr>
          <w:sz w:val="16"/>
          <w:szCs w:val="16"/>
        </w:rPr>
      </w:pPr>
      <w:r>
        <w:rPr>
          <w:rStyle w:val="FootnoteReference"/>
          <w:rFonts w:ascii="Symbol" w:eastAsia="Symbol" w:hAnsi="Symbol" w:cs="Symbol"/>
        </w:rPr>
        <w:t></w:t>
      </w:r>
      <w:r>
        <w:t xml:space="preserve"> </w:t>
      </w:r>
      <w:r w:rsidRPr="005C28A6">
        <w:rPr>
          <w:sz w:val="16"/>
          <w:szCs w:val="16"/>
        </w:rPr>
        <w:t xml:space="preserve">or CUSC party  associated with  the BMUnits (listed in  Appendix  C of the BEGA) who is exempt from also being a BSC Party </w:t>
      </w:r>
    </w:p>
    <w:p w14:paraId="05D554BC" w14:textId="77777777" w:rsidR="00A72BDD" w:rsidRDefault="00A72BDD" w:rsidP="00A72BDD">
      <w:pPr>
        <w:pStyle w:val="FootnoteText"/>
      </w:pPr>
    </w:p>
  </w:footnote>
  <w:footnote w:id="9">
    <w:p w14:paraId="63199631" w14:textId="77777777" w:rsidR="001119E7" w:rsidRDefault="001119E7" w:rsidP="001119E7">
      <w:pPr>
        <w:pStyle w:val="FootnoteText"/>
      </w:pPr>
      <w:r>
        <w:rPr>
          <w:rStyle w:val="FootnoteReference"/>
        </w:rPr>
        <w:footnoteRef/>
      </w:r>
      <w:r>
        <w:t xml:space="preserve">  Current el</w:t>
      </w:r>
      <w:r w:rsidRPr="004E7EDB">
        <w:t>ectricity transmission network price control starting 2021 (RIIO-T2</w:t>
      </w:r>
      <w:r>
        <w:t>) licence drafting being updated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3948" w14:textId="77777777" w:rsidR="002A2617" w:rsidRDefault="002A2617">
    <w:pPr>
      <w:pStyle w:val="HeadMinimalSpacer"/>
    </w:pPr>
  </w:p>
  <w:tbl>
    <w:tblPr>
      <w:tblW w:w="0" w:type="auto"/>
      <w:tblCellMar>
        <w:left w:w="0" w:type="dxa"/>
        <w:right w:w="0" w:type="dxa"/>
      </w:tblCellMar>
      <w:tblLook w:val="0000" w:firstRow="0" w:lastRow="0" w:firstColumn="0" w:lastColumn="0" w:noHBand="0" w:noVBand="0"/>
    </w:tblPr>
    <w:tblGrid>
      <w:gridCol w:w="9348"/>
    </w:tblGrid>
    <w:tr w:rsidR="002A2617" w14:paraId="3005B174" w14:textId="77777777">
      <w:trPr>
        <w:trHeight w:hRule="exact" w:val="680"/>
      </w:trPr>
      <w:tc>
        <w:tcPr>
          <w:tcW w:w="9368" w:type="dxa"/>
          <w:vAlign w:val="bottom"/>
        </w:tcPr>
        <w:p w14:paraId="4F133C86" w14:textId="77777777" w:rsidR="002A2617" w:rsidRDefault="002A2617">
          <w:pPr>
            <w:pStyle w:val="Header"/>
          </w:pPr>
          <w:bookmarkStart w:id="641" w:name="bmkLogoEven" w:colFirst="0" w:colLast="0"/>
        </w:p>
      </w:tc>
    </w:tr>
    <w:tr w:rsidR="002A2617" w14:paraId="67FB2387" w14:textId="77777777">
      <w:trPr>
        <w:trHeight w:hRule="exact" w:val="340"/>
      </w:trPr>
      <w:tc>
        <w:tcPr>
          <w:tcW w:w="9368" w:type="dxa"/>
          <w:vAlign w:val="bottom"/>
        </w:tcPr>
        <w:p w14:paraId="657581A2" w14:textId="77777777" w:rsidR="002A2617" w:rsidRDefault="002A2617">
          <w:pPr>
            <w:pStyle w:val="LogoCaption"/>
          </w:pPr>
          <w:bookmarkStart w:id="642" w:name="bmkLogoCaptionEven" w:colFirst="0" w:colLast="0"/>
          <w:bookmarkEnd w:id="641"/>
        </w:p>
      </w:tc>
    </w:tr>
    <w:bookmarkEnd w:id="642"/>
  </w:tbl>
  <w:p w14:paraId="288EDFAA" w14:textId="77777777" w:rsidR="002A2617" w:rsidRDefault="002A2617">
    <w:pPr>
      <w:pStyle w:val="HeadMinimalSpacer"/>
    </w:pPr>
  </w:p>
  <w:p w14:paraId="0C274CA3" w14:textId="77777777" w:rsidR="002A2617" w:rsidRDefault="002A2617">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7C8C" w14:textId="69CEDCCA" w:rsidR="002A2617" w:rsidRPr="00F22EB8" w:rsidRDefault="002A2617">
    <w:pPr>
      <w:pStyle w:val="Header"/>
      <w:rPr>
        <w:rFonts w:ascii="Arial" w:hAnsi="Arial" w:cs="Arial"/>
        <w:sz w:val="18"/>
        <w:szCs w:val="18"/>
      </w:rPr>
    </w:pPr>
    <w:r w:rsidRPr="00F22EB8">
      <w:rPr>
        <w:rFonts w:ascii="Arial" w:hAnsi="Arial" w:cs="Arial"/>
        <w:sz w:val="18"/>
        <w:szCs w:val="18"/>
      </w:rPr>
      <w:t>CUSC v1.</w:t>
    </w:r>
    <w:r>
      <w:rPr>
        <w:rFonts w:ascii="Arial" w:hAnsi="Arial" w:cs="Arial"/>
        <w:sz w:val="18"/>
        <w:szCs w:val="18"/>
      </w:rPr>
      <w:t>3</w:t>
    </w:r>
    <w:r w:rsidR="005026CE">
      <w:rPr>
        <w:rFonts w:ascii="Arial" w:hAnsi="Arial" w:cs="Arial"/>
        <w:sz w:val="18"/>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48"/>
    </w:tblGrid>
    <w:tr w:rsidR="002A2617" w14:paraId="1C23CCC7" w14:textId="77777777">
      <w:trPr>
        <w:trHeight w:hRule="exact" w:val="680"/>
      </w:trPr>
      <w:tc>
        <w:tcPr>
          <w:tcW w:w="9368" w:type="dxa"/>
          <w:vAlign w:val="bottom"/>
        </w:tcPr>
        <w:p w14:paraId="13E03A28" w14:textId="77777777" w:rsidR="002A2617" w:rsidRDefault="002A2617">
          <w:pPr>
            <w:pStyle w:val="Header"/>
          </w:pPr>
          <w:bookmarkStart w:id="643" w:name="bmkLogo" w:colFirst="0" w:colLast="0"/>
        </w:p>
      </w:tc>
    </w:tr>
    <w:tr w:rsidR="002A2617" w14:paraId="034B51A8" w14:textId="77777777">
      <w:trPr>
        <w:trHeight w:hRule="exact" w:val="340"/>
      </w:trPr>
      <w:tc>
        <w:tcPr>
          <w:tcW w:w="9368" w:type="dxa"/>
          <w:vAlign w:val="bottom"/>
        </w:tcPr>
        <w:p w14:paraId="2473A345" w14:textId="77777777" w:rsidR="002A2617" w:rsidRDefault="002A2617">
          <w:pPr>
            <w:pStyle w:val="LogoCaption"/>
          </w:pPr>
          <w:bookmarkStart w:id="644" w:name="bmkLogoCaption" w:colFirst="0" w:colLast="0"/>
          <w:bookmarkEnd w:id="643"/>
        </w:p>
      </w:tc>
    </w:tr>
    <w:bookmarkEnd w:id="644"/>
  </w:tbl>
  <w:p w14:paraId="7B88475C" w14:textId="77777777" w:rsidR="002A2617" w:rsidRDefault="002A2617">
    <w:pPr>
      <w:pStyle w:val="HeadMinimalSpacer"/>
    </w:pPr>
  </w:p>
</w:hdr>
</file>

<file path=word/intelligence2.xml><?xml version="1.0" encoding="utf-8"?>
<int2:intelligence xmlns:int2="http://schemas.microsoft.com/office/intelligence/2020/intelligence" xmlns:oel="http://schemas.microsoft.com/office/2019/extlst">
  <int2:observations>
    <int2:textHash int2:hashCode="VhgfYzrv16rSM+" int2:id="6DakqHpm">
      <int2:state int2:value="Rejected" int2:type="AugLoop_Text_Critique"/>
    </int2:textHash>
    <int2:textHash int2:hashCode="k5CyQ4YKClm7V6" int2:id="DZkCTXtX">
      <int2:state int2:value="Rejected" int2:type="AugLoop_Text_Critique"/>
    </int2:textHash>
    <int2:textHash int2:hashCode="65X455bVacJfpK" int2:id="EHu6pXcV">
      <int2:state int2:value="Rejected" int2:type="AugLoop_Text_Critique"/>
    </int2:textHash>
    <int2:textHash int2:hashCode="S6xbWha/Wb7cuf" int2:id="Fe2sXURQ">
      <int2:state int2:value="Rejected" int2:type="AugLoop_Text_Critique"/>
    </int2:textHash>
    <int2:textHash int2:hashCode="nA+q2QidwSKNMh" int2:id="IziMU0xb">
      <int2:state int2:value="Rejected" int2:type="AugLoop_Text_Critique"/>
    </int2:textHash>
    <int2:textHash int2:hashCode="fA0d+mLGB1hb5b" int2:id="IzyfRSPg">
      <int2:state int2:value="Rejected" int2:type="AugLoop_Text_Critique"/>
    </int2:textHash>
    <int2:textHash int2:hashCode="znLKo98rJA15mx" int2:id="KjFXwj7Q">
      <int2:state int2:value="Rejected" int2:type="AugLoop_Text_Critique"/>
    </int2:textHash>
    <int2:textHash int2:hashCode="hqVibn5ak8aHuU" int2:id="MSJaIu6M">
      <int2:state int2:value="Rejected" int2:type="AugLoop_Text_Critique"/>
    </int2:textHash>
    <int2:textHash int2:hashCode="0rGaJffKk+e8YB" int2:id="UCtJ3lKz">
      <int2:state int2:value="Rejected" int2:type="AugLoop_Text_Critique"/>
    </int2:textHash>
    <int2:textHash int2:hashCode="8WOBuXggAUu+wb" int2:id="Y12RiEzV">
      <int2:state int2:value="Rejected" int2:type="AugLoop_Text_Critique"/>
    </int2:textHash>
    <int2:textHash int2:hashCode="fel0ifk5t51+nN" int2:id="bE4XV1V3">
      <int2:state int2:value="Rejected" int2:type="AugLoop_Text_Critique"/>
    </int2:textHash>
    <int2:textHash int2:hashCode="SGtW7OSjjaBKl0" int2:id="ekrpQrDU">
      <int2:state int2:value="Rejected" int2:type="AugLoop_Text_Critique"/>
    </int2:textHash>
    <int2:textHash int2:hashCode="c7yMIZuEsp6C1D" int2:id="k1BMudlR">
      <int2:state int2:value="Rejected" int2:type="AugLoop_Text_Critique"/>
    </int2:textHash>
    <int2:textHash int2:hashCode="zQ+l7OLG6VKMgV" int2:id="k7Gs5sdY">
      <int2:state int2:value="Rejected" int2:type="AugLoop_Text_Critique"/>
    </int2:textHash>
    <int2:textHash int2:hashCode="QR497aVuAgqJGp" int2:id="mKHN8N3k">
      <int2:state int2:value="Rejected" int2:type="AugLoop_Text_Critique"/>
    </int2:textHash>
    <int2:textHash int2:hashCode="gPXvNjCrcnOqX5" int2:id="n1ky4Fqj">
      <int2:state int2:value="Rejected" int2:type="AugLoop_Text_Critique"/>
    </int2:textHash>
    <int2:textHash int2:hashCode="8zT1aWmFhCoLhV" int2:id="sEGqISsK">
      <int2:state int2:value="Rejected" int2:type="AugLoop_Text_Critique"/>
    </int2:textHash>
    <int2:textHash int2:hashCode="sLyavZDi97O/1p" int2:id="unQ5tTK4">
      <int2:state int2:value="Rejected" int2:type="AugLoop_Text_Critique"/>
    </int2:textHash>
    <int2:textHash int2:hashCode="Xs2bZHQuH9N0V7" int2:id="xWOgtkXQ">
      <int2:state int2:value="Rejected" int2:type="AugLoop_Text_Critique"/>
    </int2:textHash>
    <int2:textHash int2:hashCode="Ds97rUEf1ZjXyG" int2:id="ztXV8ayO">
      <int2:state int2:value="Rejected" int2:type="AugLoop_Text_Critique"/>
    </int2:textHash>
    <int2:bookmark int2:bookmarkName="_Int_fSc2ZTnz" int2:invalidationBookmarkName="" int2:hashCode="r9JD0N+L3yj3g/" int2:id="08fTiwAu">
      <int2:state int2:value="Rejected" int2:type="AugLoop_Text_Critique"/>
    </int2:bookmark>
    <int2:bookmark int2:bookmarkName="_Int_fkxcJiz8" int2:invalidationBookmarkName="" int2:hashCode="e0dMsLOcF3PXGS" int2:id="0Fv9mROa">
      <int2:state int2:value="Rejected" int2:type="AugLoop_Text_Critique"/>
    </int2:bookmark>
    <int2:bookmark int2:bookmarkName="_Int_gKv4Z4Kc" int2:invalidationBookmarkName="" int2:hashCode="Q6dO5okhfYDIxB" int2:id="0MlKEx7p">
      <int2:state int2:value="Rejected" int2:type="AugLoop_Text_Critique"/>
    </int2:bookmark>
    <int2:bookmark int2:bookmarkName="_Int_reAdpqgA" int2:invalidationBookmarkName="" int2:hashCode="Ul9htnKSKbGohU" int2:id="0dpfJCnq">
      <int2:state int2:value="Rejected" int2:type="AugLoop_Text_Critique"/>
    </int2:bookmark>
    <int2:bookmark int2:bookmarkName="_Int_KjmaLCfP" int2:invalidationBookmarkName="" int2:hashCode="oxWXfopPpZGNjK" int2:id="11qe5PBQ">
      <int2:state int2:value="Rejected" int2:type="AugLoop_Text_Critique"/>
    </int2:bookmark>
    <int2:bookmark int2:bookmarkName="_Int_Sz9Q4bof" int2:invalidationBookmarkName="" int2:hashCode="W5Z4vmu9anL2GF" int2:id="12kJDe4C">
      <int2:state int2:value="Rejected" int2:type="AugLoop_Text_Critique"/>
    </int2:bookmark>
    <int2:bookmark int2:bookmarkName="_Int_4dpoWLWC" int2:invalidationBookmarkName="" int2:hashCode="e0dMsLOcF3PXGS" int2:id="1bEstxIN">
      <int2:state int2:value="Rejected" int2:type="AugLoop_Text_Critique"/>
    </int2:bookmark>
    <int2:bookmark int2:bookmarkName="_Int_zKRjQ32D" int2:invalidationBookmarkName="" int2:hashCode="7r9kiAA4Af2vRb" int2:id="2KdWSoXd">
      <int2:state int2:value="Rejected" int2:type="AugLoop_Text_Critique"/>
    </int2:bookmark>
    <int2:bookmark int2:bookmarkName="_Int_JJtRjYC1" int2:invalidationBookmarkName="" int2:hashCode="RoHRJMxsS3O6q/" int2:id="2TQ8Ub84">
      <int2:state int2:value="Rejected" int2:type="AugLoop_Text_Critique"/>
    </int2:bookmark>
    <int2:bookmark int2:bookmarkName="_Int_VYIlqAM5" int2:invalidationBookmarkName="" int2:hashCode="VRd/LyDcPFdCnc" int2:id="2VAe2l0g">
      <int2:state int2:value="Rejected" int2:type="AugLoop_Text_Critique"/>
    </int2:bookmark>
    <int2:bookmark int2:bookmarkName="_Int_Cr5k7scj" int2:invalidationBookmarkName="" int2:hashCode="0lXQ0GySJQ8tJA" int2:id="35t8v7Uz">
      <int2:state int2:value="Rejected" int2:type="AugLoop_Text_Critique"/>
    </int2:bookmark>
    <int2:bookmark int2:bookmarkName="_Int_nHtJyKqR" int2:invalidationBookmarkName="" int2:hashCode="LDoO9u9DFubl0c" int2:id="3Gc1YS7g">
      <int2:state int2:value="Rejected" int2:type="AugLoop_Text_Critique"/>
    </int2:bookmark>
    <int2:bookmark int2:bookmarkName="_Int_r7R2ntED" int2:invalidationBookmarkName="" int2:hashCode="NHbw2mF0K8QU/q" int2:id="3e0C4m68">
      <int2:state int2:value="Rejected" int2:type="AugLoop_Text_Critique"/>
    </int2:bookmark>
    <int2:bookmark int2:bookmarkName="_Int_xYW0Z6w1" int2:invalidationBookmarkName="" int2:hashCode="rvNlAtZ7BSBlTe" int2:id="49qAHhdj">
      <int2:state int2:value="Rejected" int2:type="AugLoop_Text_Critique"/>
    </int2:bookmark>
    <int2:bookmark int2:bookmarkName="_Int_7vaYWgEo" int2:invalidationBookmarkName="" int2:hashCode="yIxiwsoLtgKuGw" int2:id="4XveKyLL">
      <int2:state int2:value="Rejected" int2:type="AugLoop_Text_Critique"/>
    </int2:bookmark>
    <int2:bookmark int2:bookmarkName="_Int_SelQmNiS" int2:invalidationBookmarkName="" int2:hashCode="s4S96Zk6rq7g8o" int2:id="4mTPNNt0">
      <int2:state int2:value="Rejected" int2:type="AugLoop_Text_Critique"/>
    </int2:bookmark>
    <int2:bookmark int2:bookmarkName="_Int_wbv3ngMN" int2:invalidationBookmarkName="" int2:hashCode="w4BRdTcNGcM0tZ" int2:id="5sdmE4td">
      <int2:state int2:value="Rejected" int2:type="AugLoop_Text_Critique"/>
    </int2:bookmark>
    <int2:bookmark int2:bookmarkName="_Int_oyDwGxAv" int2:invalidationBookmarkName="" int2:hashCode="0lXQ0GySJQ8tJA" int2:id="6YLOgcve">
      <int2:state int2:value="Rejected" int2:type="AugLoop_Text_Critique"/>
    </int2:bookmark>
    <int2:bookmark int2:bookmarkName="_Int_lnFqrg5c" int2:invalidationBookmarkName="" int2:hashCode="6SkXIPrdvR6+zU" int2:id="6zJ9BWaN">
      <int2:state int2:value="Rejected" int2:type="AugLoop_Text_Critique"/>
    </int2:bookmark>
    <int2:bookmark int2:bookmarkName="_Int_8NZgU8u1" int2:invalidationBookmarkName="" int2:hashCode="Fz2RaEZ+bDYuuQ" int2:id="73F2PpSf">
      <int2:state int2:value="Rejected" int2:type="AugLoop_Text_Critique"/>
    </int2:bookmark>
    <int2:bookmark int2:bookmarkName="_Int_g3bx84gf" int2:invalidationBookmarkName="" int2:hashCode="s4S96Zk6rq7g8o" int2:id="7cK2LFPO">
      <int2:state int2:value="Rejected" int2:type="AugLoop_Text_Critique"/>
    </int2:bookmark>
    <int2:bookmark int2:bookmarkName="_Int_7DEsm87N" int2:invalidationBookmarkName="" int2:hashCode="ZmYGfWHwx59OcR" int2:id="80FuPoNx">
      <int2:state int2:value="Rejected" int2:type="AugLoop_Text_Critique"/>
    </int2:bookmark>
    <int2:bookmark int2:bookmarkName="_Int_TxSYtWhU" int2:invalidationBookmarkName="" int2:hashCode="xgDzA50uAYUN6A" int2:id="83w4bQEp">
      <int2:state int2:value="Rejected" int2:type="AugLoop_Text_Critique"/>
    </int2:bookmark>
    <int2:bookmark int2:bookmarkName="_Int_dy5hICxK" int2:invalidationBookmarkName="" int2:hashCode="1iQAnQrs3o1YF+" int2:id="8RvVxZus">
      <int2:state int2:value="Rejected" int2:type="AugLoop_Text_Critique"/>
    </int2:bookmark>
    <int2:bookmark int2:bookmarkName="_Int_UcL83BX1" int2:invalidationBookmarkName="" int2:hashCode="VRd/LyDcPFdCnc" int2:id="8S1K3WE3">
      <int2:state int2:value="Rejected" int2:type="AugLoop_Text_Critique"/>
    </int2:bookmark>
    <int2:bookmark int2:bookmarkName="_Int_KZL5Xcme" int2:invalidationBookmarkName="" int2:hashCode="hPnRm2HuZsf69b" int2:id="8YRTELwY">
      <int2:state int2:value="Rejected" int2:type="AugLoop_Text_Critique"/>
    </int2:bookmark>
    <int2:bookmark int2:bookmarkName="_Int_FzOG3kO3" int2:invalidationBookmarkName="" int2:hashCode="NHbw2mF0K8QU/q" int2:id="9ACVA1XX">
      <int2:state int2:value="Rejected" int2:type="AugLoop_Text_Critique"/>
    </int2:bookmark>
    <int2:bookmark int2:bookmarkName="_Int_XcS4KcVs" int2:invalidationBookmarkName="" int2:hashCode="0GYf/LRGEYcRtn" int2:id="9Hz0rjJc">
      <int2:state int2:value="Rejected" int2:type="AugLoop_Text_Critique"/>
    </int2:bookmark>
    <int2:bookmark int2:bookmarkName="_Int_Px7xbdQF" int2:invalidationBookmarkName="" int2:hashCode="0lXQ0GySJQ8tJA" int2:id="9VsN8zqc">
      <int2:state int2:value="Rejected" int2:type="AugLoop_Text_Critique"/>
    </int2:bookmark>
    <int2:bookmark int2:bookmarkName="_Int_JIbR17bL" int2:invalidationBookmarkName="" int2:hashCode="N/p4BTubAqm4Le" int2:id="9bVCWc8y">
      <int2:state int2:value="Rejected" int2:type="AugLoop_Text_Critique"/>
    </int2:bookmark>
    <int2:bookmark int2:bookmarkName="_Int_Y5S7dwoS" int2:invalidationBookmarkName="" int2:hashCode="0lXQ0GySJQ8tJA" int2:id="A6W5oj5d">
      <int2:state int2:value="Rejected" int2:type="AugLoop_Text_Critique"/>
    </int2:bookmark>
    <int2:bookmark int2:bookmarkName="_Int_bcaVMCRc" int2:invalidationBookmarkName="" int2:hashCode="7B/eimeyXJXHTm" int2:id="B2hkakLo">
      <int2:state int2:value="Rejected" int2:type="AugLoop_Text_Critique"/>
    </int2:bookmark>
    <int2:bookmark int2:bookmarkName="_Int_1fSEnc34" int2:invalidationBookmarkName="" int2:hashCode="dfkm5vADWmetXD" int2:id="BC4Z124w">
      <int2:state int2:value="Rejected" int2:type="AugLoop_Text_Critique"/>
    </int2:bookmark>
    <int2:bookmark int2:bookmarkName="_Int_tUQubkrq" int2:invalidationBookmarkName="" int2:hashCode="KyEP6igjHMIsSB" int2:id="BEcP8XOK">
      <int2:state int2:value="Rejected" int2:type="AugLoop_Text_Critique"/>
    </int2:bookmark>
    <int2:bookmark int2:bookmarkName="_Int_Yq2KmU2U" int2:invalidationBookmarkName="" int2:hashCode="CTnD/lwNXSv/QN" int2:id="BGNvftU6">
      <int2:state int2:value="Rejected" int2:type="AugLoop_Text_Critique"/>
    </int2:bookmark>
    <int2:bookmark int2:bookmarkName="_Int_uzo9Yqr1" int2:invalidationBookmarkName="" int2:hashCode="0lXQ0GySJQ8tJA" int2:id="BwdnUJ5X">
      <int2:state int2:value="Rejected" int2:type="AugLoop_Text_Critique"/>
    </int2:bookmark>
    <int2:bookmark int2:bookmarkName="_Int_EKegFb2M" int2:invalidationBookmarkName="" int2:hashCode="6H6Eaistpd+tuC" int2:id="C37TVXou">
      <int2:state int2:value="Rejected" int2:type="AugLoop_Text_Critique"/>
    </int2:bookmark>
    <int2:bookmark int2:bookmarkName="_Int_CVDgJJMI" int2:invalidationBookmarkName="" int2:hashCode="f1OmjTJDRvyEV6" int2:id="CNc0MHih">
      <int2:state int2:value="Rejected" int2:type="AugLoop_Text_Critique"/>
    </int2:bookmark>
    <int2:bookmark int2:bookmarkName="_Int_7u62nsg4" int2:invalidationBookmarkName="" int2:hashCode="yIxiwsoLtgKuGw" int2:id="ConmboyD">
      <int2:state int2:value="Rejected" int2:type="AugLoop_Text_Critique"/>
    </int2:bookmark>
    <int2:bookmark int2:bookmarkName="_Int_QJyBx4QP" int2:invalidationBookmarkName="" int2:hashCode="VRd/LyDcPFdCnc" int2:id="DKh5gdKM">
      <int2:state int2:value="Rejected" int2:type="AugLoop_Text_Critique"/>
    </int2:bookmark>
    <int2:bookmark int2:bookmarkName="_Int_7z0Nocfs" int2:invalidationBookmarkName="" int2:hashCode="VSht+t7BWvDA00" int2:id="DNEToJc8">
      <int2:state int2:value="Rejected" int2:type="AugLoop_Text_Critique"/>
    </int2:bookmark>
    <int2:bookmark int2:bookmarkName="_Int_CYFr6udg" int2:invalidationBookmarkName="" int2:hashCode="O30PzcGzgilo0B" int2:id="DSZ8cMt4">
      <int2:state int2:value="Rejected" int2:type="AugLoop_Text_Critique"/>
    </int2:bookmark>
    <int2:bookmark int2:bookmarkName="_Int_OZ9SdXkh" int2:invalidationBookmarkName="" int2:hashCode="fY/lFxdUqCiE6u" int2:id="Dux8WLra">
      <int2:state int2:value="Rejected" int2:type="AugLoop_Text_Critique"/>
    </int2:bookmark>
    <int2:bookmark int2:bookmarkName="_Int_W7JH7fwt" int2:invalidationBookmarkName="" int2:hashCode="NHbw2mF0K8QU/q" int2:id="EdsKNo3A">
      <int2:state int2:value="Rejected" int2:type="AugLoop_Text_Critique"/>
    </int2:bookmark>
    <int2:bookmark int2:bookmarkName="_Int_HDqHKKdx" int2:invalidationBookmarkName="" int2:hashCode="i9EZG8fYNxkaQF" int2:id="zrQmnCB7">
      <int2:state int2:value="Rejected" int2:type="AugLoop_Text_Critique"/>
    </int2:bookmark>
    <int2:bookmark int2:bookmarkName="_Int_caoupXbc" int2:invalidationBookmarkName="" int2:hashCode="NHbw2mF0K8QU/q" int2:id="F6rXLF7G">
      <int2:state int2:value="Rejected" int2:type="AugLoop_Text_Critique"/>
    </int2:bookmark>
    <int2:bookmark int2:bookmarkName="_Int_2QnK3fDd" int2:invalidationBookmarkName="" int2:hashCode="NHbw2mF0K8QU/q" int2:id="FFpHgkWF">
      <int2:state int2:value="Rejected" int2:type="AugLoop_Text_Critique"/>
    </int2:bookmark>
    <int2:bookmark int2:bookmarkName="_Int_5kbcJKmD" int2:invalidationBookmarkName="" int2:hashCode="e0dMsLOcF3PXGS" int2:id="FGbGj1zv">
      <int2:state int2:value="Rejected" int2:type="AugLoop_Text_Critique"/>
    </int2:bookmark>
    <int2:bookmark int2:bookmarkName="_Int_48pjymsz" int2:invalidationBookmarkName="" int2:hashCode="NkPdJ9i9g1wpGP" int2:id="FHYCeKiv">
      <int2:state int2:value="Rejected" int2:type="AugLoop_Text_Critique"/>
    </int2:bookmark>
    <int2:bookmark int2:bookmarkName="_Int_HrymkxGd" int2:invalidationBookmarkName="" int2:hashCode="NHbw2mF0K8QU/q" int2:id="FZM68Xy5">
      <int2:state int2:value="Rejected" int2:type="AugLoop_Text_Critique"/>
    </int2:bookmark>
    <int2:bookmark int2:bookmarkName="_Int_zfdA2ilm" int2:invalidationBookmarkName="" int2:hashCode="YJdWN1Gg3eB6Cu" int2:id="Fu2IXYfO">
      <int2:state int2:value="Rejected" int2:type="AugLoop_Text_Critique"/>
    </int2:bookmark>
    <int2:bookmark int2:bookmarkName="_Int_A9SPAWQx" int2:invalidationBookmarkName="" int2:hashCode="3KKjJeR/dxf+gy" int2:id="FxbMtAww">
      <int2:state int2:value="Rejected" int2:type="AugLoop_Text_Critique"/>
    </int2:bookmark>
    <int2:bookmark int2:bookmarkName="_Int_gYgLjrwt" int2:invalidationBookmarkName="" int2:hashCode="NHbw2mF0K8QU/q" int2:id="GN17CuLD">
      <int2:state int2:value="Rejected" int2:type="AugLoop_Text_Critique"/>
    </int2:bookmark>
    <int2:bookmark int2:bookmarkName="_Int_I8vQ0FjM" int2:invalidationBookmarkName="" int2:hashCode="rKuX7wOOB/+5fG" int2:id="GSfdE83B">
      <int2:state int2:value="Rejected" int2:type="AugLoop_Text_Critique"/>
    </int2:bookmark>
    <int2:bookmark int2:bookmarkName="_Int_kwYYKJjB" int2:invalidationBookmarkName="" int2:hashCode="VRd/LyDcPFdCnc" int2:id="GqfIdIjS">
      <int2:state int2:value="Rejected" int2:type="AugLoop_Text_Critique"/>
    </int2:bookmark>
    <int2:bookmark int2:bookmarkName="_Int_dSSRqJlS" int2:invalidationBookmarkName="" int2:hashCode="LDoO9u9DFubl0c" int2:id="H0GQbz0e">
      <int2:state int2:value="Rejected" int2:type="AugLoop_Text_Critique"/>
    </int2:bookmark>
    <int2:bookmark int2:bookmarkName="_Int_kMBpwaXx" int2:invalidationBookmarkName="" int2:hashCode="3aKsP3YcWmO9eC" int2:id="HB8MjzgS">
      <int2:state int2:value="Rejected" int2:type="AugLoop_Text_Critique"/>
    </int2:bookmark>
    <int2:bookmark int2:bookmarkName="_Int_pdGbhQuq" int2:invalidationBookmarkName="" int2:hashCode="oxWXfopPpZGNjK" int2:id="HH7thayy">
      <int2:state int2:value="Rejected" int2:type="AugLoop_Text_Critique"/>
    </int2:bookmark>
    <int2:bookmark int2:bookmarkName="_Int_Rxib9DkB" int2:invalidationBookmarkName="" int2:hashCode="KyEP6igjHMIsSB" int2:id="Hkc1SgMY">
      <int2:state int2:value="Rejected" int2:type="AugLoop_Text_Critique"/>
    </int2:bookmark>
    <int2:bookmark int2:bookmarkName="_Int_j4mtAVcl" int2:invalidationBookmarkName="" int2:hashCode="0GYf/LRGEYcRtn" int2:id="HqnZNqme">
      <int2:state int2:value="Rejected" int2:type="AugLoop_Text_Critique"/>
    </int2:bookmark>
    <int2:bookmark int2:bookmarkName="_Int_sgro87Fp" int2:invalidationBookmarkName="" int2:hashCode="W5Z4vmu9anL2GF" int2:id="IQr2AGCY">
      <int2:state int2:value="Rejected" int2:type="AugLoop_Text_Critique"/>
    </int2:bookmark>
    <int2:bookmark int2:bookmarkName="_Int_VVjbrjoj" int2:invalidationBookmarkName="" int2:hashCode="VRd/LyDcPFdCnc" int2:id="IROUTKHt">
      <int2:state int2:value="Rejected" int2:type="AugLoop_Text_Critique"/>
    </int2:bookmark>
    <int2:bookmark int2:bookmarkName="_Int_lItY1PWm" int2:invalidationBookmarkName="" int2:hashCode="R0SdZSrFOF/fg1" int2:id="J3Wl7hRV">
      <int2:state int2:value="Rejected" int2:type="AugLoop_Text_Critique"/>
    </int2:bookmark>
    <int2:bookmark int2:bookmarkName="_Int_sLMVxweX" int2:invalidationBookmarkName="" int2:hashCode="fLH1bT++CegJJE" int2:id="JBiFXM1N">
      <int2:state int2:value="Rejected" int2:type="AugLoop_Text_Critique"/>
    </int2:bookmark>
    <int2:bookmark int2:bookmarkName="_Int_240qzldk" int2:invalidationBookmarkName="" int2:hashCode="NHbw2mF0K8QU/q" int2:id="KHD2oHT0">
      <int2:state int2:value="Rejected" int2:type="AugLoop_Text_Critique"/>
    </int2:bookmark>
    <int2:bookmark int2:bookmarkName="_Int_2vlleuI4" int2:invalidationBookmarkName="" int2:hashCode="e0dMsLOcF3PXGS" int2:id="KJyvQuFC">
      <int2:state int2:value="Rejected" int2:type="AugLoop_Text_Critique"/>
    </int2:bookmark>
    <int2:bookmark int2:bookmarkName="_Int_HiQP6kuC" int2:invalidationBookmarkName="" int2:hashCode="e0dMsLOcF3PXGS" int2:id="KQN89wIj">
      <int2:state int2:value="Rejected" int2:type="AugLoop_Text_Critique"/>
    </int2:bookmark>
    <int2:bookmark int2:bookmarkName="_Int_hpRkVrXC" int2:invalidationBookmarkName="" int2:hashCode="HDYM3Ea643J2Qh" int2:id="L4a9QVXe">
      <int2:state int2:value="Rejected" int2:type="AugLoop_Text_Critique"/>
    </int2:bookmark>
    <int2:bookmark int2:bookmarkName="_Int_CV9cDdyP" int2:invalidationBookmarkName="" int2:hashCode="n1MWLRd07Xysr7" int2:id="LTYDOVtE">
      <int2:state int2:value="Rejected" int2:type="AugLoop_Text_Critique"/>
    </int2:bookmark>
    <int2:bookmark int2:bookmarkName="_Int_2K9jtLxn" int2:invalidationBookmarkName="" int2:hashCode="e0dMsLOcF3PXGS" int2:id="LU8TMNhu">
      <int2:state int2:value="Rejected" int2:type="AugLoop_Text_Critique"/>
    </int2:bookmark>
    <int2:bookmark int2:bookmarkName="_Int_LC7vflZw" int2:invalidationBookmarkName="" int2:hashCode="VRd/LyDcPFdCnc" int2:id="LVwQ6QWR">
      <int2:state int2:value="Rejected" int2:type="AugLoop_Text_Critique"/>
    </int2:bookmark>
    <int2:bookmark int2:bookmarkName="_Int_4cQ51Zy0" int2:invalidationBookmarkName="" int2:hashCode="0lXQ0GySJQ8tJA" int2:id="LrL27aAB">
      <int2:state int2:value="Rejected" int2:type="AugLoop_Text_Critique"/>
    </int2:bookmark>
    <int2:bookmark int2:bookmarkName="_Int_Gr5YkeqC" int2:invalidationBookmarkName="" int2:hashCode="eiLXPTNqvWKB1N" int2:id="M7U25eq6">
      <int2:state int2:value="Rejected" int2:type="AugLoop_Text_Critique"/>
    </int2:bookmark>
    <int2:bookmark int2:bookmarkName="_Int_fuFWXSg0" int2:invalidationBookmarkName="" int2:hashCode="fLH1bT++CegJJE" int2:id="MHwkq94m">
      <int2:state int2:value="Rejected" int2:type="AugLoop_Text_Critique"/>
    </int2:bookmark>
    <int2:bookmark int2:bookmarkName="_Int_4If3jWpa" int2:invalidationBookmarkName="" int2:hashCode="Dvj+hORBXaM3mO" int2:id="MJc9ZAzE">
      <int2:state int2:value="Rejected" int2:type="AugLoop_Text_Critique"/>
    </int2:bookmark>
    <int2:bookmark int2:bookmarkName="_Int_vqxodb1U" int2:invalidationBookmarkName="" int2:hashCode="wYBAQbIVzVCihN" int2:id="MSO7c8d8">
      <int2:state int2:value="Rejected" int2:type="AugLoop_Text_Critique"/>
    </int2:bookmark>
    <int2:bookmark int2:bookmarkName="_Int_8cs6GW2K" int2:invalidationBookmarkName="" int2:hashCode="NHbw2mF0K8QU/q" int2:id="NUBjjkIQ">
      <int2:state int2:value="Rejected" int2:type="AugLoop_Text_Critique"/>
    </int2:bookmark>
    <int2:bookmark int2:bookmarkName="_Int_kZ7Tly89" int2:invalidationBookmarkName="" int2:hashCode="jux7xGGAjguKKH" int2:id="NWoSGJip">
      <int2:state int2:value="Rejected" int2:type="AugLoop_Text_Critique"/>
    </int2:bookmark>
    <int2:bookmark int2:bookmarkName="_Int_UK3QItuu" int2:invalidationBookmarkName="" int2:hashCode="FhxCN58vOqq4SL" int2:id="NYtRMCyx">
      <int2:state int2:value="Rejected" int2:type="AugLoop_Text_Critique"/>
    </int2:bookmark>
    <int2:bookmark int2:bookmarkName="_Int_tclbppdD" int2:invalidationBookmarkName="" int2:hashCode="ha9ZcmcrBkOaaq" int2:id="OEUI7Akg">
      <int2:state int2:value="Rejected" int2:type="AugLoop_Text_Critique"/>
    </int2:bookmark>
    <int2:bookmark int2:bookmarkName="_Int_xJZhrpMS" int2:invalidationBookmarkName="" int2:hashCode="VCNbiw6YDrszVR" int2:id="OGsXCqiS">
      <int2:state int2:value="Rejected" int2:type="AugLoop_Text_Critique"/>
    </int2:bookmark>
    <int2:bookmark int2:bookmarkName="_Int_lX2uX5sm" int2:invalidationBookmarkName="" int2:hashCode="jK+hk+Af0A6qfG" int2:id="OYvcQgU9">
      <int2:state int2:value="Rejected" int2:type="AugLoop_Text_Critique"/>
    </int2:bookmark>
    <int2:bookmark int2:bookmarkName="_Int_92g3EQw1" int2:invalidationBookmarkName="" int2:hashCode="Dvj+hORBXaM3mO" int2:id="ObUQLa1g">
      <int2:state int2:value="Rejected" int2:type="AugLoop_Text_Critique"/>
    </int2:bookmark>
    <int2:bookmark int2:bookmarkName="_Int_h0oQ8U6P" int2:invalidationBookmarkName="" int2:hashCode="LDoO9u9DFubl0c" int2:id="Olt1Pm31">
      <int2:state int2:value="Rejected" int2:type="AugLoop_Text_Critique"/>
    </int2:bookmark>
    <int2:bookmark int2:bookmarkName="_Int_8hGJWSB4" int2:invalidationBookmarkName="" int2:hashCode="A29X/qpEH3wOgg" int2:id="PXHWJE5K">
      <int2:state int2:value="Rejected" int2:type="AugLoop_Text_Critique"/>
    </int2:bookmark>
    <int2:bookmark int2:bookmarkName="_Int_xAjLx2ng" int2:invalidationBookmarkName="" int2:hashCode="+hy8M85sF9u9T4" int2:id="PY34hP8X">
      <int2:state int2:value="Rejected" int2:type="AugLoop_Text_Critique"/>
    </int2:bookmark>
    <int2:bookmark int2:bookmarkName="_Int_96RtqgYX" int2:invalidationBookmarkName="" int2:hashCode="NHbw2mF0K8QU/q" int2:id="PalNAiFo">
      <int2:state int2:value="Rejected" int2:type="AugLoop_Text_Critique"/>
    </int2:bookmark>
    <int2:bookmark int2:bookmarkName="_Int_Mi0Wm7HA" int2:invalidationBookmarkName="" int2:hashCode="lPney9cBGHupDE" int2:id="Q5C58Oy5">
      <int2:state int2:value="Rejected" int2:type="AugLoop_Text_Critique"/>
    </int2:bookmark>
    <int2:bookmark int2:bookmarkName="_Int_WxyNOzUg" int2:invalidationBookmarkName="" int2:hashCode="NHbw2mF0K8QU/q" int2:id="QJhhwYHk">
      <int2:state int2:value="Rejected" int2:type="AugLoop_Text_Critique"/>
    </int2:bookmark>
    <int2:bookmark int2:bookmarkName="_Int_coi9uKCi" int2:invalidationBookmarkName="" int2:hashCode="pKG9pso3vPS1pY" int2:id="QLutsnDO">
      <int2:state int2:value="Rejected" int2:type="AugLoop_Text_Critique"/>
    </int2:bookmark>
    <int2:bookmark int2:bookmarkName="_Int_Uf3O70sa" int2:invalidationBookmarkName="" int2:hashCode="X55YArurxx+Sdf" int2:id="QdI249De">
      <int2:state int2:value="Rejected" int2:type="AugLoop_Text_Critique"/>
    </int2:bookmark>
    <int2:bookmark int2:bookmarkName="_Int_kqV5a8uD" int2:invalidationBookmarkName="" int2:hashCode="UzbXSJW5yRsuvt" int2:id="R2NOa9uE">
      <int2:state int2:value="Rejected" int2:type="AugLoop_Text_Critique"/>
    </int2:bookmark>
    <int2:bookmark int2:bookmarkName="_Int_TkW2C1ZI" int2:invalidationBookmarkName="" int2:hashCode="NHbw2mF0K8QU/q" int2:id="R9cq0QIu">
      <int2:state int2:value="Rejected" int2:type="AugLoop_Text_Critique"/>
    </int2:bookmark>
    <int2:bookmark int2:bookmarkName="_Int_9kar1WQ7" int2:invalidationBookmarkName="" int2:hashCode="O8BbilJxOKu0h/" int2:id="RlfMVJGJ">
      <int2:state int2:value="Rejected" int2:type="AugLoop_Text_Critique"/>
    </int2:bookmark>
    <int2:bookmark int2:bookmarkName="_Int_MvdUFyvq" int2:invalidationBookmarkName="" int2:hashCode="JGqSOI90XjmLi0" int2:id="RtmPOI3R">
      <int2:state int2:value="Rejected" int2:type="AugLoop_Text_Critique"/>
    </int2:bookmark>
    <int2:bookmark int2:bookmarkName="_Int_CutWwLnF" int2:invalidationBookmarkName="" int2:hashCode="W5Z4vmu9anL2GF" int2:id="S3VZobXP">
      <int2:state int2:value="Rejected" int2:type="AugLoop_Text_Critique"/>
    </int2:bookmark>
    <int2:bookmark int2:bookmarkName="_Int_O0890m2v" int2:invalidationBookmarkName="" int2:hashCode="e0dMsLOcF3PXGS" int2:id="Ttuw9pzh">
      <int2:state int2:value="Rejected" int2:type="AugLoop_Text_Critique"/>
    </int2:bookmark>
    <int2:bookmark int2:bookmarkName="_Int_DVHoRYRC" int2:invalidationBookmarkName="" int2:hashCode="1iQAnQrs3o1YF+" int2:id="U9WESiE3">
      <int2:state int2:value="Rejected" int2:type="AugLoop_Text_Critique"/>
    </int2:bookmark>
    <int2:bookmark int2:bookmarkName="_Int_dXoviqKF" int2:invalidationBookmarkName="" int2:hashCode="0lXQ0GySJQ8tJA" int2:id="UCGLSTBB">
      <int2:state int2:value="Rejected" int2:type="AugLoop_Text_Critique"/>
    </int2:bookmark>
    <int2:bookmark int2:bookmarkName="_Int_g0oVoDrF" int2:invalidationBookmarkName="" int2:hashCode="yIxiwsoLtgKuGw" int2:id="UHnMYtH9">
      <int2:state int2:value="Rejected" int2:type="AugLoop_Text_Critique"/>
    </int2:bookmark>
    <int2:bookmark int2:bookmarkName="_Int_i0d8B0dg" int2:invalidationBookmarkName="" int2:hashCode="NHbw2mF0K8QU/q" int2:id="UgVAeIIi">
      <int2:state int2:value="Rejected" int2:type="AugLoop_Text_Critique"/>
    </int2:bookmark>
    <int2:bookmark int2:bookmarkName="_Int_wC5tX78w" int2:invalidationBookmarkName="" int2:hashCode="0GYf/LRGEYcRtn" int2:id="UhkpqGhQ">
      <int2:state int2:value="Rejected" int2:type="AugLoop_Text_Critique"/>
    </int2:bookmark>
    <int2:bookmark int2:bookmarkName="_Int_9LMRPljW" int2:invalidationBookmarkName="" int2:hashCode="GSpWdZ02RUzAuM" int2:id="UnhHd8dQ">
      <int2:state int2:value="Rejected" int2:type="AugLoop_Text_Critique"/>
    </int2:bookmark>
    <int2:bookmark int2:bookmarkName="_Int_WyeoAQ2L" int2:invalidationBookmarkName="" int2:hashCode="0lXQ0GySJQ8tJA" int2:id="V99ls8hv">
      <int2:state int2:value="Rejected" int2:type="AugLoop_Text_Critique"/>
    </int2:bookmark>
    <int2:bookmark int2:bookmarkName="_Int_LEj1ZaZ7" int2:invalidationBookmarkName="" int2:hashCode="ScLCCf+HTdWuIx" int2:id="VbVmKuBX">
      <int2:state int2:value="Rejected" int2:type="AugLoop_Text_Critique"/>
    </int2:bookmark>
    <int2:bookmark int2:bookmarkName="_Int_Br7BPDb9" int2:invalidationBookmarkName="" int2:hashCode="0GYf/LRGEYcRtn" int2:id="ViggzPwR">
      <int2:state int2:value="Rejected" int2:type="AugLoop_Text_Critique"/>
    </int2:bookmark>
    <int2:bookmark int2:bookmarkName="_Int_VjD8R443" int2:invalidationBookmarkName="" int2:hashCode="oDKeFME1Nby2NZ" int2:id="Vivp5psl">
      <int2:state int2:value="Rejected" int2:type="AugLoop_Text_Critique"/>
    </int2:bookmark>
    <int2:bookmark int2:bookmarkName="_Int_QnRndOFl" int2:invalidationBookmarkName="" int2:hashCode="VRd/LyDcPFdCnc" int2:id="VoWtWwYf">
      <int2:state int2:value="Rejected" int2:type="AugLoop_Text_Critique"/>
    </int2:bookmark>
    <int2:bookmark int2:bookmarkName="_Int_CeW6Abkv" int2:invalidationBookmarkName="" int2:hashCode="NHbw2mF0K8QU/q" int2:id="W0myGstu">
      <int2:state int2:value="Rejected" int2:type="AugLoop_Text_Critique"/>
    </int2:bookmark>
    <int2:bookmark int2:bookmarkName="_Int_7stUSqP4" int2:invalidationBookmarkName="" int2:hashCode="UXE0CZNVdtY9Bm" int2:id="W2LZb18Y">
      <int2:state int2:value="Rejected" int2:type="AugLoop_Text_Critique"/>
    </int2:bookmark>
    <int2:bookmark int2:bookmarkName="_Int_UubqlScS" int2:invalidationBookmarkName="" int2:hashCode="NHbw2mF0K8QU/q" int2:id="W4eehP2u">
      <int2:state int2:value="Rejected" int2:type="AugLoop_Text_Critique"/>
    </int2:bookmark>
    <int2:bookmark int2:bookmarkName="_Int_sUlNnocS" int2:invalidationBookmarkName="" int2:hashCode="wYBAQbIVzVCihN" int2:id="WEgaQD6z">
      <int2:state int2:value="Rejected" int2:type="AugLoop_Text_Critique"/>
    </int2:bookmark>
    <int2:bookmark int2:bookmarkName="_Int_6etKE1eg" int2:invalidationBookmarkName="" int2:hashCode="n1MWLRd07Xysr7" int2:id="WFS7LqHl">
      <int2:state int2:value="Rejected" int2:type="AugLoop_Text_Critique"/>
    </int2:bookmark>
    <int2:bookmark int2:bookmarkName="_Int_pCX5BelO" int2:invalidationBookmarkName="" int2:hashCode="0lXQ0GySJQ8tJA" int2:id="WNbUaVCs">
      <int2:state int2:value="Rejected" int2:type="AugLoop_Text_Critique"/>
    </int2:bookmark>
    <int2:bookmark int2:bookmarkName="_Int_B2K1ZxG9" int2:invalidationBookmarkName="" int2:hashCode="9Z4fMYtxuzy6qk" int2:id="WZt5WJiH">
      <int2:state int2:value="Rejected" int2:type="AugLoop_Text_Critique"/>
    </int2:bookmark>
    <int2:bookmark int2:bookmarkName="_Int_vVBjww52" int2:invalidationBookmarkName="" int2:hashCode="LDoO9u9DFubl0c" int2:id="WdNJSduI">
      <int2:state int2:value="Rejected" int2:type="AugLoop_Text_Critique"/>
    </int2:bookmark>
    <int2:bookmark int2:bookmarkName="_Int_Patcmq2R" int2:invalidationBookmarkName="" int2:hashCode="k+8N2CcQNoH87k" int2:id="WynIcSCC">
      <int2:state int2:value="Rejected" int2:type="AugLoop_Text_Critique"/>
    </int2:bookmark>
    <int2:bookmark int2:bookmarkName="_Int_oYDw9wgR" int2:invalidationBookmarkName="" int2:hashCode="s4S96Zk6rq7g8o" int2:id="XDodVFCZ">
      <int2:state int2:value="Rejected" int2:type="AugLoop_Text_Critique"/>
    </int2:bookmark>
    <int2:bookmark int2:bookmarkName="_Int_s5PNjqqA" int2:invalidationBookmarkName="" int2:hashCode="X55YArurxx+Sdf" int2:id="XSbSb4TT">
      <int2:state int2:value="Rejected" int2:type="AugLoop_Text_Critique"/>
    </int2:bookmark>
    <int2:bookmark int2:bookmarkName="_Int_gSKi5dMj" int2:invalidationBookmarkName="" int2:hashCode="W5Z4vmu9anL2GF" int2:id="XmV3EMIa">
      <int2:state int2:value="Rejected" int2:type="AugLoop_Text_Critique"/>
    </int2:bookmark>
    <int2:bookmark int2:bookmarkName="_Int_RX8r3RnS" int2:invalidationBookmarkName="" int2:hashCode="y70tfsxpl2uIbS" int2:id="Y6iSUxdH">
      <int2:state int2:value="Rejected" int2:type="AugLoop_Text_Critique"/>
    </int2:bookmark>
    <int2:bookmark int2:bookmarkName="_Int_fmzThBeZ" int2:invalidationBookmarkName="" int2:hashCode="3KKjJeR/dxf+gy" int2:id="Y9sDQnLE">
      <int2:state int2:value="Rejected" int2:type="AugLoop_Text_Critique"/>
    </int2:bookmark>
    <int2:bookmark int2:bookmarkName="_Int_8GKU1nzq" int2:invalidationBookmarkName="" int2:hashCode="0lXQ0GySJQ8tJA" int2:id="YFY3oVbC">
      <int2:state int2:value="Rejected" int2:type="AugLoop_Text_Critique"/>
    </int2:bookmark>
    <int2:bookmark int2:bookmarkName="_Int_Ow93oxCn" int2:invalidationBookmarkName="" int2:hashCode="VRd/LyDcPFdCnc" int2:id="YHtZu8cK">
      <int2:state int2:value="Rejected" int2:type="AugLoop_Text_Critique"/>
    </int2:bookmark>
    <int2:bookmark int2:bookmarkName="_Int_lXDFmzNx" int2:invalidationBookmarkName="" int2:hashCode="0lXQ0GySJQ8tJA" int2:id="Yerb2MJc">
      <int2:state int2:value="Rejected" int2:type="AugLoop_Text_Critique"/>
    </int2:bookmark>
    <int2:bookmark int2:bookmarkName="_Int_ngggBxDu" int2:invalidationBookmarkName="" int2:hashCode="LDoO9u9DFubl0c" int2:id="YjkixQam">
      <int2:state int2:value="Rejected" int2:type="AugLoop_Text_Critique"/>
    </int2:bookmark>
    <int2:bookmark int2:bookmarkName="_Int_6MK7GBHw" int2:invalidationBookmarkName="" int2:hashCode="+8EdaGNF1Z5y6u" int2:id="ymLb7C2x">
      <int2:state int2:value="Rejected" int2:type="AugLoop_Text_Critique"/>
    </int2:bookmark>
    <int2:bookmark int2:bookmarkName="_Int_fMRWJncc" int2:invalidationBookmarkName="" int2:hashCode="s4S96Zk6rq7g8o" int2:id="aObK4gt4">
      <int2:state int2:value="Rejected" int2:type="AugLoop_Text_Critique"/>
    </int2:bookmark>
    <int2:bookmark int2:bookmarkName="_Int_7WJFOc0N" int2:invalidationBookmarkName="" int2:hashCode="FhxCN58vOqq4SL" int2:id="aykVfftS">
      <int2:state int2:value="Rejected" int2:type="AugLoop_Text_Critique"/>
    </int2:bookmark>
    <int2:bookmark int2:bookmarkName="_Int_j4ivt4hG" int2:invalidationBookmarkName="" int2:hashCode="CiW6WZExa92kqb" int2:id="b7khekhY">
      <int2:state int2:value="Rejected" int2:type="AugLoop_Text_Critique"/>
    </int2:bookmark>
    <int2:bookmark int2:bookmarkName="_Int_ykhPNOty" int2:invalidationBookmarkName="" int2:hashCode="W5Z4vmu9anL2GF" int2:id="bFdyGVVc">
      <int2:state int2:value="Rejected" int2:type="AugLoop_Text_Critique"/>
    </int2:bookmark>
    <int2:bookmark int2:bookmarkName="_Int_tamLVqJh" int2:invalidationBookmarkName="" int2:hashCode="NHbw2mF0K8QU/q" int2:id="bS7T93sX">
      <int2:state int2:value="Rejected" int2:type="AugLoop_Text_Critique"/>
    </int2:bookmark>
    <int2:bookmark int2:bookmarkName="_Int_RYkjr2eV" int2:invalidationBookmarkName="" int2:hashCode="RoHRJMxsS3O6q/" int2:id="cN7Mtv3M">
      <int2:state int2:value="Rejected" int2:type="AugLoop_Text_Critique"/>
    </int2:bookmark>
    <int2:bookmark int2:bookmarkName="_Int_ViXwuHMn" int2:invalidationBookmarkName="" int2:hashCode="HJ2a+IP0XYD27/" int2:id="dDVdnT9k">
      <int2:state int2:value="Rejected" int2:type="AugLoop_Text_Critique"/>
    </int2:bookmark>
    <int2:bookmark int2:bookmarkName="_Int_AhFPs34W" int2:invalidationBookmarkName="" int2:hashCode="s4S96Zk6rq7g8o" int2:id="ds9npMI2">
      <int2:state int2:value="Rejected" int2:type="AugLoop_Text_Critique"/>
    </int2:bookmark>
    <int2:bookmark int2:bookmarkName="_Int_D9GjBCm6" int2:invalidationBookmarkName="" int2:hashCode="FhxCN58vOqq4SL" int2:id="e4n1ioVS">
      <int2:state int2:value="Rejected" int2:type="AugLoop_Text_Critique"/>
    </int2:bookmark>
    <int2:bookmark int2:bookmarkName="_Int_NSWWP4Zn" int2:invalidationBookmarkName="" int2:hashCode="FwooqdttJ9chL8" int2:id="ej0xuyk4">
      <int2:state int2:value="Rejected" int2:type="AugLoop_Text_Critique"/>
    </int2:bookmark>
    <int2:bookmark int2:bookmarkName="_Int_5zw2ajBL" int2:invalidationBookmarkName="" int2:hashCode="+QY8NZ8w0wjpTp" int2:id="ekN8Uf2e">
      <int2:state int2:value="Rejected" int2:type="AugLoop_Text_Critique"/>
    </int2:bookmark>
    <int2:bookmark int2:bookmarkName="_Int_3qtJW4u3" int2:invalidationBookmarkName="" int2:hashCode="k+8N2CcQNoH87k" int2:id="esVLVQ71">
      <int2:state int2:value="Rejected" int2:type="AugLoop_Text_Critique"/>
    </int2:bookmark>
    <int2:bookmark int2:bookmarkName="_Int_FQxo6NvX" int2:invalidationBookmarkName="" int2:hashCode="35ekJUnlwOF1O5" int2:id="f7q2BCqb">
      <int2:state int2:value="Rejected" int2:type="AugLoop_Text_Critique"/>
    </int2:bookmark>
    <int2:bookmark int2:bookmarkName="_Int_9yE8yapL" int2:invalidationBookmarkName="" int2:hashCode="x0koNtF+mSTEC/" int2:id="g8QNiblP">
      <int2:state int2:value="Rejected" int2:type="AugLoop_Text_Critique"/>
    </int2:bookmark>
    <int2:bookmark int2:bookmarkName="_Int_mZbOnxn4" int2:invalidationBookmarkName="" int2:hashCode="Zgz/whtmHkx5hL" int2:id="ggr94tPB">
      <int2:state int2:value="Rejected" int2:type="AugLoop_Text_Critique"/>
    </int2:bookmark>
    <int2:bookmark int2:bookmarkName="_Int_foyDL8SO" int2:invalidationBookmarkName="" int2:hashCode="W5Z4vmu9anL2GF" int2:id="ggxJ2hfJ">
      <int2:state int2:value="Rejected" int2:type="AugLoop_Text_Critique"/>
    </int2:bookmark>
    <int2:bookmark int2:bookmarkName="_Int_BhtEsbea" int2:invalidationBookmarkName="" int2:hashCode="X55YArurxx+Sdf" int2:id="hOPVpYcK">
      <int2:state int2:value="Rejected" int2:type="AugLoop_Text_Critique"/>
    </int2:bookmark>
    <int2:bookmark int2:bookmarkName="_Int_IQdUL1RJ" int2:invalidationBookmarkName="" int2:hashCode="KyEP6igjHMIsSB" int2:id="hOn9mfDS">
      <int2:state int2:value="Rejected" int2:type="AugLoop_Text_Critique"/>
    </int2:bookmark>
    <int2:bookmark int2:bookmarkName="_Int_mnpVBLtJ" int2:invalidationBookmarkName="" int2:hashCode="e0dMsLOcF3PXGS" int2:id="i1CNGFdG">
      <int2:state int2:value="Rejected" int2:type="AugLoop_Text_Critique"/>
    </int2:bookmark>
    <int2:bookmark int2:bookmarkName="_Int_0JyakC29" int2:invalidationBookmarkName="" int2:hashCode="3KKjJeR/dxf+gy" int2:id="i83FFHA2">
      <int2:state int2:value="Rejected" int2:type="AugLoop_Text_Critique"/>
    </int2:bookmark>
    <int2:bookmark int2:bookmarkName="_Int_2W4PPUqG" int2:invalidationBookmarkName="" int2:hashCode="NHbw2mF0K8QU/q" int2:id="iCBhIByz">
      <int2:state int2:value="Rejected" int2:type="AugLoop_Text_Critique"/>
    </int2:bookmark>
    <int2:bookmark int2:bookmarkName="_Int_ajxNUWSl" int2:invalidationBookmarkName="" int2:hashCode="oDKeFME1Nby2NZ" int2:id="iJ5W41nr">
      <int2:state int2:value="Rejected" int2:type="AugLoop_Text_Critique"/>
    </int2:bookmark>
    <int2:bookmark int2:bookmarkName="_Int_yQC2CqvJ" int2:invalidationBookmarkName="" int2:hashCode="0lXQ0GySJQ8tJA" int2:id="iQHwXpLc">
      <int2:state int2:value="Rejected" int2:type="AugLoop_Text_Critique"/>
    </int2:bookmark>
    <int2:bookmark int2:bookmarkName="_Int_FVrteR5Y" int2:invalidationBookmarkName="" int2:hashCode="oDKeFME1Nby2NZ" int2:id="ikmp0EtJ">
      <int2:state int2:value="Rejected" int2:type="AugLoop_Text_Critique"/>
    </int2:bookmark>
    <int2:bookmark int2:bookmarkName="_Int_DnJPpaDG" int2:invalidationBookmarkName="" int2:hashCode="9Z4fMYtxuzy6qk" int2:id="ivWrQOdK">
      <int2:state int2:value="Rejected" int2:type="AugLoop_Text_Critique"/>
    </int2:bookmark>
    <int2:bookmark int2:bookmarkName="_Int_HE9aDoRe" int2:invalidationBookmarkName="" int2:hashCode="UXE0CZNVdtY9Bm" int2:id="izv2GlRR">
      <int2:state int2:value="Rejected" int2:type="AugLoop_Text_Critique"/>
    </int2:bookmark>
    <int2:bookmark int2:bookmarkName="_Int_B0qss8RX" int2:invalidationBookmarkName="" int2:hashCode="eF745FqhjvHOZm" int2:id="j3EHGe4C">
      <int2:state int2:value="Rejected" int2:type="AugLoop_Text_Critique"/>
    </int2:bookmark>
    <int2:bookmark int2:bookmarkName="_Int_Jedbxwxn" int2:invalidationBookmarkName="" int2:hashCode="G3BPsVE/TMVfRv" int2:id="jBEA2YP6">
      <int2:state int2:value="Rejected" int2:type="AugLoop_Text_Critique"/>
    </int2:bookmark>
    <int2:bookmark int2:bookmarkName="_Int_s4LfaFA8" int2:invalidationBookmarkName="" int2:hashCode="YD+82+V1vFecXo" int2:id="juhG5p8V">
      <int2:state int2:value="Rejected" int2:type="AugLoop_Text_Critique"/>
    </int2:bookmark>
    <int2:bookmark int2:bookmarkName="_Int_xXfV1P1L" int2:invalidationBookmarkName="" int2:hashCode="NHbw2mF0K8QU/q" int2:id="kCnRYOnU">
      <int2:state int2:value="Rejected" int2:type="AugLoop_Text_Critique"/>
    </int2:bookmark>
    <int2:bookmark int2:bookmarkName="_Int_agQcUDb0" int2:invalidationBookmarkName="" int2:hashCode="SjN/fo2AXdSipG" int2:id="kXf1Drbo">
      <int2:state int2:value="Rejected" int2:type="AugLoop_Text_Critique"/>
    </int2:bookmark>
    <int2:bookmark int2:bookmarkName="_Int_fI1AvZQf" int2:invalidationBookmarkName="" int2:hashCode="QMskuwb7Qw1NaK" int2:id="kaPmdizi">
      <int2:state int2:value="Rejected" int2:type="AugLoop_Text_Critique"/>
    </int2:bookmark>
    <int2:bookmark int2:bookmarkName="_Int_t1h1z1jt" int2:invalidationBookmarkName="" int2:hashCode="IlPTMlXwxQdGFp" int2:id="l7NFlsRK">
      <int2:state int2:value="Rejected" int2:type="AugLoop_Text_Critique"/>
    </int2:bookmark>
    <int2:bookmark int2:bookmarkName="_Int_dMbJ9VUH" int2:invalidationBookmarkName="" int2:hashCode="sxd/rexBUC6UCy" int2:id="lXyG1iNF">
      <int2:state int2:value="Rejected" int2:type="AugLoop_Text_Critique"/>
    </int2:bookmark>
    <int2:bookmark int2:bookmarkName="_Int_y5EhEfkb" int2:invalidationBookmarkName="" int2:hashCode="yzTipuc7IIhEGQ" int2:id="mEOeuxCR">
      <int2:state int2:value="Rejected" int2:type="AugLoop_Text_Critique"/>
    </int2:bookmark>
    <int2:bookmark int2:bookmarkName="_Int_Wo4VhscV" int2:invalidationBookmarkName="" int2:hashCode="wtIgcvVvvZrDq7" int2:id="mK0hyw3K">
      <int2:state int2:value="Rejected" int2:type="AugLoop_Text_Critique"/>
    </int2:bookmark>
    <int2:bookmark int2:bookmarkName="_Int_GqzbOx8U" int2:invalidationBookmarkName="" int2:hashCode="NHbw2mF0K8QU/q" int2:id="mwfMCito">
      <int2:state int2:value="Rejected" int2:type="AugLoop_Text_Critique"/>
    </int2:bookmark>
    <int2:bookmark int2:bookmarkName="_Int_8CGAG6IK" int2:invalidationBookmarkName="" int2:hashCode="b39xLERzutWd+F" int2:id="n3wTtMxi">
      <int2:state int2:value="Rejected" int2:type="AugLoop_Text_Critique"/>
    </int2:bookmark>
    <int2:bookmark int2:bookmarkName="_Int_6PdXfbG2" int2:invalidationBookmarkName="" int2:hashCode="f1OmjTJDRvyEV6" int2:id="nQLZB8KN">
      <int2:state int2:value="Rejected" int2:type="AugLoop_Text_Critique"/>
    </int2:bookmark>
    <int2:bookmark int2:bookmarkName="_Int_upMrwqo0" int2:invalidationBookmarkName="" int2:hashCode="yIxiwsoLtgKuGw" int2:id="nby7ACF3">
      <int2:state int2:value="Rejected" int2:type="AugLoop_Text_Critique"/>
    </int2:bookmark>
    <int2:bookmark int2:bookmarkName="_Int_X7l5wMDx" int2:invalidationBookmarkName="" int2:hashCode="s4S96Zk6rq7g8o" int2:id="pDUph9Vu">
      <int2:state int2:value="Rejected" int2:type="AugLoop_Text_Critique"/>
    </int2:bookmark>
    <int2:bookmark int2:bookmarkName="_Int_lmxkFyOs" int2:invalidationBookmarkName="" int2:hashCode="NHbw2mF0K8QU/q" int2:id="pKgMhAOU">
      <int2:state int2:value="Rejected" int2:type="AugLoop_Text_Critique"/>
    </int2:bookmark>
    <int2:bookmark int2:bookmarkName="_Int_tSZPfNWA" int2:invalidationBookmarkName="" int2:hashCode="RoHRJMxsS3O6q/" int2:id="pONa0BAB">
      <int2:state int2:value="Rejected" int2:type="AugLoop_Text_Critique"/>
    </int2:bookmark>
    <int2:bookmark int2:bookmarkName="_Int_g0sPTDu2" int2:invalidationBookmarkName="" int2:hashCode="vHrZpPgMiyYW3R" int2:id="pZ3McqvG">
      <int2:state int2:value="Rejected" int2:type="AugLoop_Text_Critique"/>
    </int2:bookmark>
    <int2:bookmark int2:bookmarkName="_Int_MPTp3TJY" int2:invalidationBookmarkName="" int2:hashCode="xBJ8Mia4tGkCvy" int2:id="phqjJgbK">
      <int2:state int2:value="Rejected" int2:type="AugLoop_Text_Critique"/>
    </int2:bookmark>
    <int2:bookmark int2:bookmarkName="_Int_dC3bosch" int2:invalidationBookmarkName="" int2:hashCode="0lXQ0GySJQ8tJA" int2:id="q19dgooK">
      <int2:state int2:value="Rejected" int2:type="AugLoop_Text_Critique"/>
    </int2:bookmark>
    <int2:bookmark int2:bookmarkName="_Int_iMeiRzmP" int2:invalidationBookmarkName="" int2:hashCode="LwB6QCXQwfpLxh" int2:id="qZQeSRZe">
      <int2:state int2:value="Rejected" int2:type="AugLoop_Text_Critique"/>
    </int2:bookmark>
    <int2:bookmark int2:bookmarkName="_Int_FuUZbuVP" int2:invalidationBookmarkName="" int2:hashCode="0lXQ0GySJQ8tJA" int2:id="qy1SpiRy">
      <int2:state int2:value="Rejected" int2:type="AugLoop_Text_Critique"/>
    </int2:bookmark>
    <int2:bookmark int2:bookmarkName="_Int_jkzcfmzK" int2:invalidationBookmarkName="" int2:hashCode="WnZTP6IPvFw6Ut" int2:id="rYHWhN7C">
      <int2:state int2:value="Rejected" int2:type="AugLoop_Text_Critique"/>
    </int2:bookmark>
    <int2:bookmark int2:bookmarkName="_Int_hVAvqiY9" int2:invalidationBookmarkName="" int2:hashCode="xBJ8Mia4tGkCvy" int2:id="rafyBjju">
      <int2:state int2:value="Rejected" int2:type="AugLoop_Text_Critique"/>
    </int2:bookmark>
    <int2:bookmark int2:bookmarkName="_Int_B051293U" int2:invalidationBookmarkName="" int2:hashCode="R0SdZSrFOF/fg1" int2:id="rkirBhef">
      <int2:state int2:value="Rejected" int2:type="AugLoop_Text_Critique"/>
    </int2:bookmark>
    <int2:bookmark int2:bookmarkName="_Int_yzQbGivv" int2:invalidationBookmarkName="" int2:hashCode="e0dMsLOcF3PXGS" int2:id="ro6GMLxr">
      <int2:state int2:value="Rejected" int2:type="AugLoop_Text_Critique"/>
    </int2:bookmark>
    <int2:bookmark int2:bookmarkName="_Int_olybBDAo" int2:invalidationBookmarkName="" int2:hashCode="pZGmU5Q5PUeaBE" int2:id="rwasB9Rd">
      <int2:state int2:value="Rejected" int2:type="AugLoop_Text_Critique"/>
    </int2:bookmark>
    <int2:bookmark int2:bookmarkName="_Int_K0by3BFj" int2:invalidationBookmarkName="" int2:hashCode="nVxxdiNea3w+C0" int2:id="tGipIJV8">
      <int2:state int2:value="Rejected" int2:type="AugLoop_Text_Critique"/>
    </int2:bookmark>
    <int2:bookmark int2:bookmarkName="_Int_mF9chaq9" int2:invalidationBookmarkName="" int2:hashCode="e0dMsLOcF3PXGS" int2:id="yatRHoF3">
      <int2:state int2:value="Rejected" int2:type="AugLoop_Text_Critique"/>
    </int2:bookmark>
    <int2:bookmark int2:bookmarkName="_Int_Qm9EHzCE" int2:invalidationBookmarkName="" int2:hashCode="NHbw2mF0K8QU/q" int2:id="uygK0kJ8">
      <int2:state int2:value="Rejected" int2:type="AugLoop_Text_Critique"/>
    </int2:bookmark>
    <int2:bookmark int2:bookmarkName="_Int_H44y8oOW" int2:invalidationBookmarkName="" int2:hashCode="6bVNq+N7VCJ8bt" int2:id="v1KAExQc">
      <int2:state int2:value="Rejected" int2:type="AugLoop_Text_Critique"/>
    </int2:bookmark>
    <int2:bookmark int2:bookmarkName="_Int_Hjc5z51g" int2:invalidationBookmarkName="" int2:hashCode="RoHRJMxsS3O6q/" int2:id="v2EVzqq0">
      <int2:state int2:value="Rejected" int2:type="AugLoop_Text_Critique"/>
    </int2:bookmark>
    <int2:bookmark int2:bookmarkName="_Int_gvnQMOKU" int2:invalidationBookmarkName="" int2:hashCode="Ul9htnKSKbGohU" int2:id="yaW9VRxC">
      <int2:state int2:value="Rejected" int2:type="AugLoop_Text_Critique"/>
    </int2:bookmark>
    <int2:bookmark int2:bookmarkName="_Int_Rv5nVH1x" int2:invalidationBookmarkName="" int2:hashCode="jK+hk+Af0A6qfG" int2:id="xo59enpM">
      <int2:state int2:value="Rejected" int2:type="AugLoop_Text_Critique"/>
    </int2:bookmark>
    <int2:bookmark int2:bookmarkName="_Int_bBTDZe0O" int2:invalidationBookmarkName="" int2:hashCode="J+MUZtdu+ZcMYa" int2:id="vEbUrV0M">
      <int2:state int2:value="Rejected" int2:type="AugLoop_Text_Critique"/>
    </int2:bookmark>
    <int2:bookmark int2:bookmarkName="_Int_JumrOMSo" int2:invalidationBookmarkName="" int2:hashCode="X55YArurxx+Sdf" int2:id="vljuyZ0t">
      <int2:state int2:value="Rejected" int2:type="AugLoop_Text_Critique"/>
    </int2:bookmark>
    <int2:bookmark int2:bookmarkName="_Int_mggheBCK" int2:invalidationBookmarkName="" int2:hashCode="FwooqdttJ9chL8" int2:id="w0buugga">
      <int2:state int2:value="Rejected" int2:type="AugLoop_Text_Critique"/>
    </int2:bookmark>
    <int2:bookmark int2:bookmarkName="_Int_XPcSAJTm" int2:invalidationBookmarkName="" int2:hashCode="N/p4BTubAqm4Le" int2:id="w9GsrUVj">
      <int2:state int2:value="Rejected" int2:type="AugLoop_Text_Critique"/>
    </int2:bookmark>
    <int2:bookmark int2:bookmarkName="_Int_gGff1tyW" int2:invalidationBookmarkName="" int2:hashCode="NHbw2mF0K8QU/q" int2:id="wMPlutcl">
      <int2:state int2:value="Rejected" int2:type="AugLoop_Text_Critique"/>
    </int2:bookmark>
    <int2:bookmark int2:bookmarkName="_Int_y8aBjYL0" int2:invalidationBookmarkName="" int2:hashCode="NHbw2mF0K8QU/q" int2:id="wYgqjgKT">
      <int2:state int2:value="Rejected" int2:type="AugLoop_Text_Critique"/>
    </int2:bookmark>
    <int2:bookmark int2:bookmarkName="_Int_F7vxyyqG" int2:invalidationBookmarkName="" int2:hashCode="LJnO+aPPzgaK3A" int2:id="wZIedvkt">
      <int2:state int2:value="Rejected" int2:type="AugLoop_Text_Critique"/>
    </int2:bookmark>
    <int2:bookmark int2:bookmarkName="_Int_MJye7UUl" int2:invalidationBookmarkName="" int2:hashCode="W5Z4vmu9anL2GF" int2:id="x86AuVv1">
      <int2:state int2:value="Rejected" int2:type="AugLoop_Text_Critique"/>
    </int2:bookmark>
    <int2:bookmark int2:bookmarkName="_Int_rXKsaRrD" int2:invalidationBookmarkName="" int2:hashCode="ha9ZcmcrBkOaaq" int2:id="xZhG4k5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2047"/>
        </w:tabs>
        <w:ind w:left="2047"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31207C1"/>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8D75F7F"/>
    <w:multiLevelType w:val="hybridMultilevel"/>
    <w:tmpl w:val="0BECC242"/>
    <w:lvl w:ilvl="0" w:tplc="0AE8BCDE">
      <w:start w:val="8"/>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E5454D0"/>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2"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0BB7E0F"/>
    <w:multiLevelType w:val="hybridMultilevel"/>
    <w:tmpl w:val="D63EC2E4"/>
    <w:lvl w:ilvl="0" w:tplc="BB1489B4">
      <w:start w:val="142"/>
      <w:numFmt w:val="decimal"/>
      <w:lvlText w:val="14.15.%1"/>
      <w:lvlJc w:val="left"/>
      <w:pPr>
        <w:tabs>
          <w:tab w:val="num" w:pos="1571"/>
        </w:tabs>
        <w:ind w:left="2478"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5"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5534E90"/>
    <w:multiLevelType w:val="hybridMultilevel"/>
    <w:tmpl w:val="E780B4EE"/>
    <w:lvl w:ilvl="0" w:tplc="3EA0EE58">
      <w:start w:val="18"/>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5AF1514"/>
    <w:multiLevelType w:val="multilevel"/>
    <w:tmpl w:val="9A1E21C4"/>
    <w:lvl w:ilvl="0">
      <w:start w:val="14"/>
      <w:numFmt w:val="decimal"/>
      <w:lvlText w:val="%1"/>
      <w:lvlJc w:val="left"/>
      <w:pPr>
        <w:ind w:left="720" w:hanging="720"/>
      </w:pPr>
      <w:rPr>
        <w:rFonts w:hint="default"/>
      </w:rPr>
    </w:lvl>
    <w:lvl w:ilvl="1">
      <w:start w:val="3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6100EED"/>
    <w:multiLevelType w:val="hybridMultilevel"/>
    <w:tmpl w:val="5E52D00C"/>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9"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19755D7E"/>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AB53AFA"/>
    <w:multiLevelType w:val="hybridMultilevel"/>
    <w:tmpl w:val="9F14740A"/>
    <w:lvl w:ilvl="0" w:tplc="C0147ABE">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C9E03D0"/>
    <w:multiLevelType w:val="hybridMultilevel"/>
    <w:tmpl w:val="DDBE6AF2"/>
    <w:lvl w:ilvl="0" w:tplc="F8E4E582">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7"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8"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1D6C61F7"/>
    <w:multiLevelType w:val="multilevel"/>
    <w:tmpl w:val="85B61BF2"/>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3"/>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40"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1"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2"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20221B94"/>
    <w:multiLevelType w:val="hybridMultilevel"/>
    <w:tmpl w:val="FFFFFFFF"/>
    <w:lvl w:ilvl="0" w:tplc="7E2026AC">
      <w:start w:val="1"/>
      <w:numFmt w:val="lowerRoman"/>
      <w:lvlText w:val="%1)"/>
      <w:lvlJc w:val="left"/>
      <w:pPr>
        <w:ind w:left="720" w:hanging="360"/>
      </w:pPr>
    </w:lvl>
    <w:lvl w:ilvl="1" w:tplc="10A4B7A8">
      <w:start w:val="1"/>
      <w:numFmt w:val="lowerLetter"/>
      <w:lvlText w:val="%2."/>
      <w:lvlJc w:val="left"/>
      <w:pPr>
        <w:ind w:left="1440" w:hanging="360"/>
      </w:pPr>
    </w:lvl>
    <w:lvl w:ilvl="2" w:tplc="4C7C960C">
      <w:start w:val="1"/>
      <w:numFmt w:val="lowerRoman"/>
      <w:lvlText w:val="%3."/>
      <w:lvlJc w:val="right"/>
      <w:pPr>
        <w:ind w:left="2160" w:hanging="180"/>
      </w:pPr>
    </w:lvl>
    <w:lvl w:ilvl="3" w:tplc="D6AE7296">
      <w:start w:val="1"/>
      <w:numFmt w:val="decimal"/>
      <w:lvlText w:val="%4."/>
      <w:lvlJc w:val="left"/>
      <w:pPr>
        <w:ind w:left="2880" w:hanging="360"/>
      </w:pPr>
    </w:lvl>
    <w:lvl w:ilvl="4" w:tplc="7028182E">
      <w:start w:val="1"/>
      <w:numFmt w:val="lowerLetter"/>
      <w:lvlText w:val="%5."/>
      <w:lvlJc w:val="left"/>
      <w:pPr>
        <w:ind w:left="3600" w:hanging="360"/>
      </w:pPr>
    </w:lvl>
    <w:lvl w:ilvl="5" w:tplc="1438E9E6">
      <w:start w:val="1"/>
      <w:numFmt w:val="lowerRoman"/>
      <w:lvlText w:val="%6."/>
      <w:lvlJc w:val="right"/>
      <w:pPr>
        <w:ind w:left="4320" w:hanging="180"/>
      </w:pPr>
    </w:lvl>
    <w:lvl w:ilvl="6" w:tplc="CB46E2F0">
      <w:start w:val="1"/>
      <w:numFmt w:val="decimal"/>
      <w:lvlText w:val="%7."/>
      <w:lvlJc w:val="left"/>
      <w:pPr>
        <w:ind w:left="5040" w:hanging="360"/>
      </w:pPr>
    </w:lvl>
    <w:lvl w:ilvl="7" w:tplc="B5F86E18">
      <w:start w:val="1"/>
      <w:numFmt w:val="lowerLetter"/>
      <w:lvlText w:val="%8."/>
      <w:lvlJc w:val="left"/>
      <w:pPr>
        <w:ind w:left="5760" w:hanging="360"/>
      </w:pPr>
    </w:lvl>
    <w:lvl w:ilvl="8" w:tplc="04B84C8E">
      <w:start w:val="1"/>
      <w:numFmt w:val="lowerRoman"/>
      <w:lvlText w:val="%9."/>
      <w:lvlJc w:val="right"/>
      <w:pPr>
        <w:ind w:left="6480" w:hanging="180"/>
      </w:pPr>
    </w:lvl>
  </w:abstractNum>
  <w:abstractNum w:abstractNumId="45"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5D47369"/>
    <w:multiLevelType w:val="hybridMultilevel"/>
    <w:tmpl w:val="8CE00B28"/>
    <w:lvl w:ilvl="0" w:tplc="08090001">
      <w:start w:val="1"/>
      <w:numFmt w:val="bullet"/>
      <w:lvlText w:val=""/>
      <w:lvlJc w:val="left"/>
      <w:pPr>
        <w:tabs>
          <w:tab w:val="num" w:pos="1440"/>
        </w:tabs>
        <w:ind w:left="2347" w:hanging="907"/>
      </w:pPr>
      <w:rPr>
        <w:rFonts w:ascii="Symbol" w:hAnsi="Symbol" w:hint="default"/>
        <w:b w:val="0"/>
        <w:i w:val="0"/>
        <w:sz w:val="22"/>
      </w:rPr>
    </w:lvl>
    <w:lvl w:ilvl="1" w:tplc="08090019">
      <w:start w:val="1"/>
      <w:numFmt w:val="lowerLetter"/>
      <w:lvlText w:val="%2."/>
      <w:lvlJc w:val="left"/>
      <w:pPr>
        <w:tabs>
          <w:tab w:val="num" w:pos="2160"/>
        </w:tabs>
        <w:ind w:left="2160" w:hanging="360"/>
      </w:pPr>
    </w:lvl>
    <w:lvl w:ilvl="2" w:tplc="6C1491FA">
      <w:start w:val="1"/>
      <w:numFmt w:val="lowerLetter"/>
      <w:lvlText w:val="%3)"/>
      <w:lvlJc w:val="left"/>
      <w:pPr>
        <w:ind w:left="3060" w:hanging="360"/>
      </w:pPr>
      <w:rPr>
        <w:rFonts w:ascii="Arial (W1)" w:hAnsi="Arial (W1)" w:cs="Times New Roman" w:hint="default"/>
      </w:rPr>
    </w:lvl>
    <w:lvl w:ilvl="3" w:tplc="0809000F">
      <w:start w:val="1"/>
      <w:numFmt w:val="decimal"/>
      <w:lvlText w:val="%4."/>
      <w:lvlJc w:val="left"/>
      <w:pPr>
        <w:tabs>
          <w:tab w:val="num" w:pos="3600"/>
        </w:tabs>
        <w:ind w:left="3600" w:hanging="360"/>
      </w:pPr>
    </w:lvl>
    <w:lvl w:ilvl="4" w:tplc="08090019">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start w:val="1"/>
      <w:numFmt w:val="decimal"/>
      <w:lvlText w:val="%7."/>
      <w:lvlJc w:val="left"/>
      <w:pPr>
        <w:tabs>
          <w:tab w:val="num" w:pos="5760"/>
        </w:tabs>
        <w:ind w:left="5760" w:hanging="360"/>
      </w:pPr>
    </w:lvl>
    <w:lvl w:ilvl="7" w:tplc="08090019">
      <w:start w:val="1"/>
      <w:numFmt w:val="lowerLetter"/>
      <w:lvlText w:val="%8."/>
      <w:lvlJc w:val="left"/>
      <w:pPr>
        <w:tabs>
          <w:tab w:val="num" w:pos="6480"/>
        </w:tabs>
        <w:ind w:left="6480" w:hanging="360"/>
      </w:pPr>
    </w:lvl>
    <w:lvl w:ilvl="8" w:tplc="0809001B">
      <w:start w:val="1"/>
      <w:numFmt w:val="lowerRoman"/>
      <w:lvlText w:val="%9."/>
      <w:lvlJc w:val="right"/>
      <w:pPr>
        <w:tabs>
          <w:tab w:val="num" w:pos="7200"/>
        </w:tabs>
        <w:ind w:left="7200" w:hanging="180"/>
      </w:pPr>
    </w:lvl>
  </w:abstractNum>
  <w:abstractNum w:abstractNumId="5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9BF5127"/>
    <w:multiLevelType w:val="hybridMultilevel"/>
    <w:tmpl w:val="B374DFD6"/>
    <w:lvl w:ilvl="0" w:tplc="7E66AAB4">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AC44A53"/>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9B66E1"/>
    <w:multiLevelType w:val="hybridMultilevel"/>
    <w:tmpl w:val="0436F02E"/>
    <w:lvl w:ilvl="0" w:tplc="C2DE4ADE">
      <w:start w:val="2"/>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0" w15:restartNumberingAfterBreak="0">
    <w:nsid w:val="320641D9"/>
    <w:multiLevelType w:val="hybridMultilevel"/>
    <w:tmpl w:val="9E8CCE3E"/>
    <w:lvl w:ilvl="0" w:tplc="7B0AA7B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321A4852"/>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6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8"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E79A5"/>
    <w:multiLevelType w:val="hybridMultilevel"/>
    <w:tmpl w:val="1B060866"/>
    <w:lvl w:ilvl="0" w:tplc="10969F2E">
      <w:start w:val="14"/>
      <w:numFmt w:val="decimal"/>
      <w:lvlText w:val="14.31.%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8"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79" w15:restartNumberingAfterBreak="0">
    <w:nsid w:val="407F7863"/>
    <w:multiLevelType w:val="hybridMultilevel"/>
    <w:tmpl w:val="FC8C1832"/>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2"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4F9B32A3"/>
    <w:multiLevelType w:val="hybridMultilevel"/>
    <w:tmpl w:val="112AD3EC"/>
    <w:lvl w:ilvl="0" w:tplc="FFFFFFFF">
      <w:start w:val="96"/>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50C85AE4"/>
    <w:multiLevelType w:val="hybridMultilevel"/>
    <w:tmpl w:val="52448084"/>
    <w:lvl w:ilvl="0" w:tplc="1F8CBA80">
      <w:start w:val="141"/>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583B0EE1"/>
    <w:multiLevelType w:val="hybridMultilevel"/>
    <w:tmpl w:val="E954FFEE"/>
    <w:lvl w:ilvl="0" w:tplc="D6948304">
      <w:start w:val="2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01" w15:restartNumberingAfterBreak="0">
    <w:nsid w:val="5A3D287D"/>
    <w:multiLevelType w:val="hybridMultilevel"/>
    <w:tmpl w:val="7F4AA02C"/>
    <w:lvl w:ilvl="0" w:tplc="BAECA6C6">
      <w:start w:val="17"/>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2"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03"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1C6416F"/>
    <w:multiLevelType w:val="hybridMultilevel"/>
    <w:tmpl w:val="274A9C7C"/>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27B5D34"/>
    <w:multiLevelType w:val="multilevel"/>
    <w:tmpl w:val="41DAA712"/>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9"/>
      <w:numFmt w:val="decimal"/>
      <w:lvlText w:val="%1.%2.%3"/>
      <w:lvlJc w:val="left"/>
      <w:pPr>
        <w:ind w:left="1500" w:hanging="1020"/>
      </w:pPr>
      <w:rPr>
        <w:rFonts w:ascii="Arial" w:hAnsi="Arial" w:hint="default"/>
      </w:rPr>
    </w:lvl>
    <w:lvl w:ilvl="3">
      <w:start w:val="2"/>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113"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1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1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18" w15:restartNumberingAfterBreak="0">
    <w:nsid w:val="6711354D"/>
    <w:multiLevelType w:val="hybridMultilevel"/>
    <w:tmpl w:val="06F8A98E"/>
    <w:lvl w:ilvl="0" w:tplc="004E2174">
      <w:start w:val="4"/>
      <w:numFmt w:val="lowerLetter"/>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6A8135A4"/>
    <w:multiLevelType w:val="hybridMultilevel"/>
    <w:tmpl w:val="8110CDDA"/>
    <w:lvl w:ilvl="0" w:tplc="FFFFFFFF">
      <w:start w:val="1"/>
      <w:numFmt w:val="decimal"/>
      <w:lvlText w:val="%1."/>
      <w:lvlJc w:val="left"/>
      <w:pPr>
        <w:ind w:left="770" w:hanging="360"/>
      </w:pPr>
    </w:lvl>
    <w:lvl w:ilvl="1" w:tplc="08090003">
      <w:numFmt w:val="decimal"/>
      <w:lvlText w:val="o"/>
      <w:lvlJc w:val="left"/>
      <w:pPr>
        <w:ind w:left="1490" w:hanging="360"/>
      </w:pPr>
      <w:rPr>
        <w:rFonts w:ascii="Courier New" w:hAnsi="Courier New" w:cs="Courier New" w:hint="default"/>
      </w:rPr>
    </w:lvl>
    <w:lvl w:ilvl="2" w:tplc="08090005">
      <w:numFmt w:val="decimal"/>
      <w:lvlText w:val=""/>
      <w:lvlJc w:val="left"/>
      <w:pPr>
        <w:ind w:left="2210" w:hanging="360"/>
      </w:pPr>
      <w:rPr>
        <w:rFonts w:ascii="Wingdings" w:hAnsi="Wingdings" w:hint="default"/>
      </w:rPr>
    </w:lvl>
    <w:lvl w:ilvl="3" w:tplc="08090001">
      <w:numFmt w:val="decimal"/>
      <w:lvlText w:val=""/>
      <w:lvlJc w:val="left"/>
      <w:pPr>
        <w:ind w:left="2930" w:hanging="360"/>
      </w:pPr>
      <w:rPr>
        <w:rFonts w:ascii="Symbol" w:hAnsi="Symbol" w:hint="default"/>
      </w:rPr>
    </w:lvl>
    <w:lvl w:ilvl="4" w:tplc="08090003">
      <w:numFmt w:val="decimal"/>
      <w:lvlText w:val="o"/>
      <w:lvlJc w:val="left"/>
      <w:pPr>
        <w:ind w:left="3650" w:hanging="360"/>
      </w:pPr>
      <w:rPr>
        <w:rFonts w:ascii="Courier New" w:hAnsi="Courier New" w:cs="Courier New" w:hint="default"/>
      </w:rPr>
    </w:lvl>
    <w:lvl w:ilvl="5" w:tplc="08090005">
      <w:numFmt w:val="decimal"/>
      <w:lvlText w:val=""/>
      <w:lvlJc w:val="left"/>
      <w:pPr>
        <w:ind w:left="4370" w:hanging="360"/>
      </w:pPr>
      <w:rPr>
        <w:rFonts w:ascii="Wingdings" w:hAnsi="Wingdings" w:hint="default"/>
      </w:rPr>
    </w:lvl>
    <w:lvl w:ilvl="6" w:tplc="08090001">
      <w:numFmt w:val="decimal"/>
      <w:lvlText w:val=""/>
      <w:lvlJc w:val="left"/>
      <w:pPr>
        <w:ind w:left="5090" w:hanging="360"/>
      </w:pPr>
      <w:rPr>
        <w:rFonts w:ascii="Symbol" w:hAnsi="Symbol" w:hint="default"/>
      </w:rPr>
    </w:lvl>
    <w:lvl w:ilvl="7" w:tplc="08090003">
      <w:numFmt w:val="decimal"/>
      <w:lvlText w:val="o"/>
      <w:lvlJc w:val="left"/>
      <w:pPr>
        <w:ind w:left="5810" w:hanging="360"/>
      </w:pPr>
      <w:rPr>
        <w:rFonts w:ascii="Courier New" w:hAnsi="Courier New" w:cs="Courier New" w:hint="default"/>
      </w:rPr>
    </w:lvl>
    <w:lvl w:ilvl="8" w:tplc="08090005">
      <w:numFmt w:val="decimal"/>
      <w:lvlText w:val=""/>
      <w:lvlJc w:val="left"/>
      <w:pPr>
        <w:ind w:left="6530" w:hanging="360"/>
      </w:pPr>
      <w:rPr>
        <w:rFonts w:ascii="Wingdings" w:hAnsi="Wingdings" w:hint="default"/>
      </w:rPr>
    </w:lvl>
  </w:abstractNum>
  <w:abstractNum w:abstractNumId="121" w15:restartNumberingAfterBreak="0">
    <w:nsid w:val="6B055ECF"/>
    <w:multiLevelType w:val="multilevel"/>
    <w:tmpl w:val="756665C0"/>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1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22"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23" w15:restartNumberingAfterBreak="0">
    <w:nsid w:val="6BB547DF"/>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6E630A94"/>
    <w:multiLevelType w:val="hybridMultilevel"/>
    <w:tmpl w:val="673CD43A"/>
    <w:lvl w:ilvl="0" w:tplc="0B8E93BC">
      <w:start w:val="1"/>
      <w:numFmt w:val="decimal"/>
      <w:lvlText w:val="14.31.%1"/>
      <w:lvlJc w:val="left"/>
      <w:pPr>
        <w:tabs>
          <w:tab w:val="num" w:pos="1440"/>
        </w:tabs>
        <w:ind w:left="1440" w:hanging="720"/>
      </w:pPr>
      <w:rPr>
        <w:rFonts w:ascii="Arial" w:hAnsi="Arial" w:hint="default"/>
        <w:b w:val="0"/>
        <w:i w:val="0"/>
        <w:color w:val="0000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9"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 w15:restartNumberingAfterBreak="0">
    <w:nsid w:val="70775E7C"/>
    <w:multiLevelType w:val="multilevel"/>
    <w:tmpl w:val="6802B0A6"/>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9"/>
      <w:numFmt w:val="decimal"/>
      <w:lvlText w:val="%1.%2.%3"/>
      <w:lvlJc w:val="left"/>
      <w:pPr>
        <w:ind w:left="2346" w:hanging="720"/>
      </w:pPr>
      <w:rPr>
        <w:rFonts w:ascii="Arial" w:hAnsi="Arial" w:cs="Arial" w:hint="default"/>
        <w:b w:val="0"/>
        <w:bCs w:val="0"/>
        <w:strike w:val="0"/>
        <w:u w:val="none"/>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1"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4" w15:restartNumberingAfterBreak="0">
    <w:nsid w:val="76B30EF3"/>
    <w:multiLevelType w:val="hybridMultilevel"/>
    <w:tmpl w:val="0DBAF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5" w15:restartNumberingAfterBreak="0">
    <w:nsid w:val="7718333E"/>
    <w:multiLevelType w:val="multilevel"/>
    <w:tmpl w:val="34A4BDA8"/>
    <w:lvl w:ilvl="0">
      <w:start w:val="14"/>
      <w:numFmt w:val="decimal"/>
      <w:lvlText w:val="%1"/>
      <w:lvlJc w:val="left"/>
      <w:pPr>
        <w:ind w:left="1020" w:hanging="1020"/>
      </w:pPr>
      <w:rPr>
        <w:rFonts w:hint="default"/>
      </w:rPr>
    </w:lvl>
    <w:lvl w:ilvl="1">
      <w:start w:val="17"/>
      <w:numFmt w:val="decimal"/>
      <w:lvlText w:val="%1.%2"/>
      <w:lvlJc w:val="left"/>
      <w:pPr>
        <w:ind w:left="1587" w:hanging="1020"/>
      </w:pPr>
      <w:rPr>
        <w:rFonts w:hint="default"/>
      </w:rPr>
    </w:lvl>
    <w:lvl w:ilvl="2">
      <w:start w:val="40"/>
      <w:numFmt w:val="decimal"/>
      <w:lvlText w:val="%1.%2.%3"/>
      <w:lvlJc w:val="left"/>
      <w:pPr>
        <w:ind w:left="2154" w:hanging="1020"/>
      </w:pPr>
      <w:rPr>
        <w:rFonts w:hint="default"/>
      </w:rPr>
    </w:lvl>
    <w:lvl w:ilvl="3">
      <w:start w:val="2"/>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6" w15:restartNumberingAfterBreak="0">
    <w:nsid w:val="7729269E"/>
    <w:multiLevelType w:val="hybridMultilevel"/>
    <w:tmpl w:val="91D048C8"/>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7"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8" w15:restartNumberingAfterBreak="0">
    <w:nsid w:val="77FD6E1E"/>
    <w:multiLevelType w:val="multilevel"/>
    <w:tmpl w:val="8E8E819E"/>
    <w:lvl w:ilvl="0">
      <w:start w:val="14"/>
      <w:numFmt w:val="decimal"/>
      <w:lvlText w:val="%1"/>
      <w:lvlJc w:val="left"/>
      <w:pPr>
        <w:ind w:left="840" w:hanging="840"/>
      </w:pPr>
      <w:rPr>
        <w:rFonts w:hint="default"/>
      </w:rPr>
    </w:lvl>
    <w:lvl w:ilvl="1">
      <w:start w:val="31"/>
      <w:numFmt w:val="decimal"/>
      <w:lvlText w:val="%1.%2"/>
      <w:lvlJc w:val="left"/>
      <w:pPr>
        <w:ind w:left="1200" w:hanging="840"/>
      </w:pPr>
      <w:rPr>
        <w:rFonts w:hint="default"/>
      </w:rPr>
    </w:lvl>
    <w:lvl w:ilvl="2">
      <w:start w:val="2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9"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40"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1" w15:restartNumberingAfterBreak="0">
    <w:nsid w:val="79F864C8"/>
    <w:multiLevelType w:val="multilevel"/>
    <w:tmpl w:val="D980BB5C"/>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2" w15:restartNumberingAfterBreak="0">
    <w:nsid w:val="7B023EA6"/>
    <w:multiLevelType w:val="hybridMultilevel"/>
    <w:tmpl w:val="73AE76EC"/>
    <w:lvl w:ilvl="0" w:tplc="36EEC592">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44"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5"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612282833">
    <w:abstractNumId w:val="76"/>
  </w:num>
  <w:num w:numId="2" w16cid:durableId="2097362487">
    <w:abstractNumId w:val="9"/>
  </w:num>
  <w:num w:numId="3" w16cid:durableId="730081549">
    <w:abstractNumId w:val="7"/>
  </w:num>
  <w:num w:numId="4" w16cid:durableId="1636716962">
    <w:abstractNumId w:val="6"/>
  </w:num>
  <w:num w:numId="5" w16cid:durableId="386804718">
    <w:abstractNumId w:val="5"/>
  </w:num>
  <w:num w:numId="6" w16cid:durableId="651107244">
    <w:abstractNumId w:val="4"/>
  </w:num>
  <w:num w:numId="7" w16cid:durableId="278337036">
    <w:abstractNumId w:val="8"/>
  </w:num>
  <w:num w:numId="8" w16cid:durableId="1049917480">
    <w:abstractNumId w:val="3"/>
  </w:num>
  <w:num w:numId="9" w16cid:durableId="62338306">
    <w:abstractNumId w:val="2"/>
  </w:num>
  <w:num w:numId="10" w16cid:durableId="1653410561">
    <w:abstractNumId w:val="1"/>
  </w:num>
  <w:num w:numId="11" w16cid:durableId="1197960467">
    <w:abstractNumId w:val="0"/>
  </w:num>
  <w:num w:numId="12" w16cid:durableId="1709182379">
    <w:abstractNumId w:val="40"/>
  </w:num>
  <w:num w:numId="13" w16cid:durableId="1617519111">
    <w:abstractNumId w:val="113"/>
  </w:num>
  <w:num w:numId="14" w16cid:durableId="117915407">
    <w:abstractNumId w:val="71"/>
  </w:num>
  <w:num w:numId="15" w16cid:durableId="802767229">
    <w:abstractNumId w:val="104"/>
  </w:num>
  <w:num w:numId="16" w16cid:durableId="51193869">
    <w:abstractNumId w:val="86"/>
  </w:num>
  <w:num w:numId="17" w16cid:durableId="1973704567">
    <w:abstractNumId w:val="10"/>
  </w:num>
  <w:num w:numId="18" w16cid:durableId="425349948">
    <w:abstractNumId w:val="56"/>
  </w:num>
  <w:num w:numId="19" w16cid:durableId="586578387">
    <w:abstractNumId w:val="94"/>
  </w:num>
  <w:num w:numId="20" w16cid:durableId="232738209">
    <w:abstractNumId w:val="33"/>
  </w:num>
  <w:num w:numId="21" w16cid:durableId="2046059695">
    <w:abstractNumId w:val="46"/>
  </w:num>
  <w:num w:numId="22" w16cid:durableId="636640858">
    <w:abstractNumId w:val="133"/>
  </w:num>
  <w:num w:numId="23" w16cid:durableId="1779762965">
    <w:abstractNumId w:val="126"/>
  </w:num>
  <w:num w:numId="24" w16cid:durableId="1504706955">
    <w:abstractNumId w:val="57"/>
  </w:num>
  <w:num w:numId="25" w16cid:durableId="1234243390">
    <w:abstractNumId w:val="108"/>
  </w:num>
  <w:num w:numId="26" w16cid:durableId="311299390">
    <w:abstractNumId w:val="140"/>
  </w:num>
  <w:num w:numId="27" w16cid:durableId="1574389242">
    <w:abstractNumId w:val="98"/>
  </w:num>
  <w:num w:numId="28" w16cid:durableId="1211652239">
    <w:abstractNumId w:val="115"/>
  </w:num>
  <w:num w:numId="29" w16cid:durableId="166949115">
    <w:abstractNumId w:val="143"/>
  </w:num>
  <w:num w:numId="30" w16cid:durableId="1821770269">
    <w:abstractNumId w:val="55"/>
  </w:num>
  <w:num w:numId="31" w16cid:durableId="907345992">
    <w:abstractNumId w:val="58"/>
  </w:num>
  <w:num w:numId="32" w16cid:durableId="746809951">
    <w:abstractNumId w:val="137"/>
  </w:num>
  <w:num w:numId="33" w16cid:durableId="1560937902">
    <w:abstractNumId w:val="70"/>
  </w:num>
  <w:num w:numId="34" w16cid:durableId="1220898131">
    <w:abstractNumId w:val="139"/>
  </w:num>
  <w:num w:numId="35" w16cid:durableId="1161578691">
    <w:abstractNumId w:val="48"/>
  </w:num>
  <w:num w:numId="36" w16cid:durableId="1303541764">
    <w:abstractNumId w:val="96"/>
  </w:num>
  <w:num w:numId="37" w16cid:durableId="445202211">
    <w:abstractNumId w:val="69"/>
  </w:num>
  <w:num w:numId="38" w16cid:durableId="532379116">
    <w:abstractNumId w:val="106"/>
  </w:num>
  <w:num w:numId="39" w16cid:durableId="213393569">
    <w:abstractNumId w:val="114"/>
  </w:num>
  <w:num w:numId="40" w16cid:durableId="711617588">
    <w:abstractNumId w:val="19"/>
  </w:num>
  <w:num w:numId="41" w16cid:durableId="1714226962">
    <w:abstractNumId w:val="103"/>
  </w:num>
  <w:num w:numId="42" w16cid:durableId="1741950937">
    <w:abstractNumId w:val="64"/>
  </w:num>
  <w:num w:numId="43" w16cid:durableId="549465622">
    <w:abstractNumId w:val="50"/>
  </w:num>
  <w:num w:numId="44" w16cid:durableId="581136646">
    <w:abstractNumId w:val="92"/>
  </w:num>
  <w:num w:numId="45" w16cid:durableId="805927589">
    <w:abstractNumId w:val="125"/>
  </w:num>
  <w:num w:numId="46" w16cid:durableId="1352492008">
    <w:abstractNumId w:val="15"/>
  </w:num>
  <w:num w:numId="47" w16cid:durableId="1276205695">
    <w:abstractNumId w:val="11"/>
  </w:num>
  <w:num w:numId="48" w16cid:durableId="878737354">
    <w:abstractNumId w:val="45"/>
  </w:num>
  <w:num w:numId="49" w16cid:durableId="1932858083">
    <w:abstractNumId w:val="107"/>
  </w:num>
  <w:num w:numId="50" w16cid:durableId="816998578">
    <w:abstractNumId w:val="51"/>
  </w:num>
  <w:num w:numId="51" w16cid:durableId="1530072750">
    <w:abstractNumId w:val="102"/>
  </w:num>
  <w:num w:numId="52" w16cid:durableId="992174079">
    <w:abstractNumId w:val="75"/>
  </w:num>
  <w:num w:numId="53" w16cid:durableId="2001882366">
    <w:abstractNumId w:val="145"/>
  </w:num>
  <w:num w:numId="54" w16cid:durableId="588923782">
    <w:abstractNumId w:val="97"/>
  </w:num>
  <w:num w:numId="55" w16cid:durableId="308754624">
    <w:abstractNumId w:val="90"/>
  </w:num>
  <w:num w:numId="56" w16cid:durableId="909382860">
    <w:abstractNumId w:val="59"/>
  </w:num>
  <w:num w:numId="57" w16cid:durableId="2080210204">
    <w:abstractNumId w:val="30"/>
  </w:num>
  <w:num w:numId="58" w16cid:durableId="938637742">
    <w:abstractNumId w:val="74"/>
  </w:num>
  <w:num w:numId="59" w16cid:durableId="1725521466">
    <w:abstractNumId w:val="122"/>
  </w:num>
  <w:num w:numId="60" w16cid:durableId="571164651">
    <w:abstractNumId w:val="67"/>
  </w:num>
  <w:num w:numId="61" w16cid:durableId="920721215">
    <w:abstractNumId w:val="83"/>
  </w:num>
  <w:num w:numId="62" w16cid:durableId="747314676">
    <w:abstractNumId w:val="18"/>
  </w:num>
  <w:num w:numId="63" w16cid:durableId="1991669435">
    <w:abstractNumId w:val="72"/>
  </w:num>
  <w:num w:numId="64" w16cid:durableId="189413933">
    <w:abstractNumId w:val="24"/>
  </w:num>
  <w:num w:numId="65" w16cid:durableId="294067522">
    <w:abstractNumId w:val="116"/>
  </w:num>
  <w:num w:numId="66" w16cid:durableId="1435054695">
    <w:abstractNumId w:val="84"/>
  </w:num>
  <w:num w:numId="67" w16cid:durableId="1506820964">
    <w:abstractNumId w:val="100"/>
  </w:num>
  <w:num w:numId="68" w16cid:durableId="2001959805">
    <w:abstractNumId w:val="20"/>
  </w:num>
  <w:num w:numId="69" w16cid:durableId="1463112986">
    <w:abstractNumId w:val="29"/>
  </w:num>
  <w:num w:numId="70" w16cid:durableId="1781535407">
    <w:abstractNumId w:val="127"/>
  </w:num>
  <w:num w:numId="71" w16cid:durableId="1566141755">
    <w:abstractNumId w:val="91"/>
  </w:num>
  <w:num w:numId="72" w16cid:durableId="1883979390">
    <w:abstractNumId w:val="62"/>
  </w:num>
  <w:num w:numId="73" w16cid:durableId="757364933">
    <w:abstractNumId w:val="124"/>
  </w:num>
  <w:num w:numId="74" w16cid:durableId="1476409106">
    <w:abstractNumId w:val="109"/>
  </w:num>
  <w:num w:numId="75" w16cid:durableId="1663503818">
    <w:abstractNumId w:val="25"/>
  </w:num>
  <w:num w:numId="76" w16cid:durableId="279383559">
    <w:abstractNumId w:val="31"/>
  </w:num>
  <w:num w:numId="77" w16cid:durableId="1741518947">
    <w:abstractNumId w:val="81"/>
  </w:num>
  <w:num w:numId="78" w16cid:durableId="1352998124">
    <w:abstractNumId w:val="110"/>
  </w:num>
  <w:num w:numId="79" w16cid:durableId="189153335">
    <w:abstractNumId w:val="82"/>
  </w:num>
  <w:num w:numId="80" w16cid:durableId="297682736">
    <w:abstractNumId w:val="42"/>
  </w:num>
  <w:num w:numId="81" w16cid:durableId="1578400389">
    <w:abstractNumId w:val="88"/>
  </w:num>
  <w:num w:numId="82" w16cid:durableId="1468427125">
    <w:abstractNumId w:val="77"/>
  </w:num>
  <w:num w:numId="83" w16cid:durableId="154690850">
    <w:abstractNumId w:val="63"/>
  </w:num>
  <w:num w:numId="84" w16cid:durableId="1483280373">
    <w:abstractNumId w:val="131"/>
  </w:num>
  <w:num w:numId="85" w16cid:durableId="936062098">
    <w:abstractNumId w:val="105"/>
  </w:num>
  <w:num w:numId="86" w16cid:durableId="502404608">
    <w:abstractNumId w:val="80"/>
  </w:num>
  <w:num w:numId="87" w16cid:durableId="1430614126">
    <w:abstractNumId w:val="129"/>
  </w:num>
  <w:num w:numId="88" w16cid:durableId="565989130">
    <w:abstractNumId w:val="65"/>
  </w:num>
  <w:num w:numId="89" w16cid:durableId="1870099166">
    <w:abstractNumId w:val="47"/>
  </w:num>
  <w:num w:numId="90" w16cid:durableId="1803499735">
    <w:abstractNumId w:val="13"/>
  </w:num>
  <w:num w:numId="91" w16cid:durableId="1893349845">
    <w:abstractNumId w:val="14"/>
  </w:num>
  <w:num w:numId="92" w16cid:durableId="107046819">
    <w:abstractNumId w:val="36"/>
  </w:num>
  <w:num w:numId="93" w16cid:durableId="152375823">
    <w:abstractNumId w:val="41"/>
  </w:num>
  <w:num w:numId="94" w16cid:durableId="2044135717">
    <w:abstractNumId w:val="144"/>
  </w:num>
  <w:num w:numId="95" w16cid:durableId="1404639105">
    <w:abstractNumId w:val="89"/>
  </w:num>
  <w:num w:numId="96" w16cid:durableId="2146660134">
    <w:abstractNumId w:val="17"/>
  </w:num>
  <w:num w:numId="97" w16cid:durableId="1135828551">
    <w:abstractNumId w:val="119"/>
  </w:num>
  <w:num w:numId="98" w16cid:durableId="657808158">
    <w:abstractNumId w:val="117"/>
  </w:num>
  <w:num w:numId="99" w16cid:durableId="1411000208">
    <w:abstractNumId w:val="68"/>
  </w:num>
  <w:num w:numId="100" w16cid:durableId="1090083102">
    <w:abstractNumId w:val="135"/>
  </w:num>
  <w:num w:numId="101" w16cid:durableId="1654941752">
    <w:abstractNumId w:val="44"/>
  </w:num>
  <w:num w:numId="102" w16cid:durableId="1700738520">
    <w:abstractNumId w:val="12"/>
  </w:num>
  <w:num w:numId="103" w16cid:durableId="2056352462">
    <w:abstractNumId w:val="121"/>
  </w:num>
  <w:num w:numId="104" w16cid:durableId="1750273872">
    <w:abstractNumId w:val="130"/>
  </w:num>
  <w:num w:numId="105" w16cid:durableId="1822772876">
    <w:abstractNumId w:val="27"/>
  </w:num>
  <w:num w:numId="106" w16cid:durableId="1419329778">
    <w:abstractNumId w:val="87"/>
  </w:num>
  <w:num w:numId="107" w16cid:durableId="750662788">
    <w:abstractNumId w:val="78"/>
  </w:num>
  <w:num w:numId="108" w16cid:durableId="2058701350">
    <w:abstractNumId w:val="112"/>
  </w:num>
  <w:num w:numId="109" w16cid:durableId="1728607539">
    <w:abstractNumId w:val="95"/>
  </w:num>
  <w:num w:numId="110" w16cid:durableId="1971015188">
    <w:abstractNumId w:val="16"/>
  </w:num>
  <w:num w:numId="111" w16cid:durableId="457913998">
    <w:abstractNumId w:val="101"/>
  </w:num>
  <w:num w:numId="112" w16cid:durableId="608508040">
    <w:abstractNumId w:val="26"/>
  </w:num>
  <w:num w:numId="113" w16cid:durableId="7292275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34202040">
    <w:abstractNumId w:val="134"/>
  </w:num>
  <w:num w:numId="115" w16cid:durableId="1226646201">
    <w:abstractNumId w:val="120"/>
  </w:num>
  <w:num w:numId="116" w16cid:durableId="6615873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7132311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71306419">
    <w:abstractNumId w:val="134"/>
  </w:num>
  <w:num w:numId="119" w16cid:durableId="1914121656">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58118437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37712382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62904573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58217045">
    <w:abstractNumId w:val="60"/>
  </w:num>
  <w:num w:numId="124" w16cid:durableId="120463576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71926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890375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92225745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12876231">
    <w:abstractNumId w:val="99"/>
  </w:num>
  <w:num w:numId="129" w16cid:durableId="1712194089">
    <w:abstractNumId w:val="52"/>
  </w:num>
  <w:num w:numId="130" w16cid:durableId="2143502855">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601569432">
    <w:abstractNumId w:val="21"/>
  </w:num>
  <w:num w:numId="132" w16cid:durableId="1200895184">
    <w:abstractNumId w:val="111"/>
  </w:num>
  <w:num w:numId="133" w16cid:durableId="252667281">
    <w:abstractNumId w:val="123"/>
  </w:num>
  <w:num w:numId="134" w16cid:durableId="1509709049">
    <w:abstractNumId w:val="79"/>
  </w:num>
  <w:num w:numId="135" w16cid:durableId="2114475581">
    <w:abstractNumId w:val="61"/>
  </w:num>
  <w:num w:numId="136" w16cid:durableId="1103299797">
    <w:abstractNumId w:val="53"/>
  </w:num>
  <w:num w:numId="137" w16cid:durableId="1749575598">
    <w:abstractNumId w:val="39"/>
  </w:num>
  <w:num w:numId="138" w16cid:durableId="18091282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8740332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63164938">
    <w:abstractNumId w:val="118"/>
  </w:num>
  <w:num w:numId="141" w16cid:durableId="1687947868">
    <w:abstractNumId w:val="32"/>
  </w:num>
  <w:num w:numId="142" w16cid:durableId="168127893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434745314">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5811543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72556387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349188074">
    <w:abstractNumId w:val="23"/>
  </w:num>
  <w:num w:numId="147" w16cid:durableId="13026120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93515570">
    <w:abstractNumId w:val="59"/>
  </w:num>
  <w:num w:numId="149" w16cid:durableId="84197042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557161103">
    <w:abstractNumId w:val="142"/>
  </w:num>
  <w:num w:numId="151" w16cid:durableId="1856453657">
    <w:abstractNumId w:val="35"/>
  </w:num>
  <w:num w:numId="152" w16cid:durableId="1884781157">
    <w:abstractNumId w:val="34"/>
  </w:num>
  <w:num w:numId="153" w16cid:durableId="76310766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0380413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581572536">
    <w:abstractNumId w:val="127"/>
  </w:num>
  <w:num w:numId="156" w16cid:durableId="936474848">
    <w:abstractNumId w:val="91"/>
  </w:num>
  <w:num w:numId="157" w16cid:durableId="115128810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053389665">
    <w:abstractNumId w:val="73"/>
  </w:num>
  <w:num w:numId="159" w16cid:durableId="759368884">
    <w:abstractNumId w:val="22"/>
  </w:num>
  <w:num w:numId="160" w16cid:durableId="1329359115">
    <w:abstractNumId w:val="66"/>
  </w:num>
  <w:num w:numId="161" w16cid:durableId="1831291552">
    <w:abstractNumId w:val="49"/>
  </w:num>
  <w:num w:numId="162" w16cid:durableId="294219195">
    <w:abstractNumId w:val="54"/>
  </w:num>
  <w:num w:numId="163" w16cid:durableId="2121877191">
    <w:abstractNumId w:val="138"/>
  </w:num>
  <w:num w:numId="164" w16cid:durableId="1473329459">
    <w:abstractNumId w:val="141"/>
  </w:num>
  <w:num w:numId="165" w16cid:durableId="1172793334">
    <w:abstractNumId w:val="93"/>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hen Dale (ESO)">
    <w15:presenceInfo w15:providerId="AD" w15:userId="S::Stephen.Dale2@uk.nationalgrid.com::0bfbd485-ba43-4852-ac1e-4feedfc255c4"/>
  </w15:person>
  <w15:person w15:author="Alex Aristodemou">
    <w15:presenceInfo w15:providerId="AD" w15:userId="S::alexander.aristod@uk.nationalgrid.com::0cb1737e-a9d3-4d94-a97f-26f0b782cddb"/>
  </w15:person>
  <w15:person w15:author="Craig Bell">
    <w15:presenceInfo w15:providerId="AD" w15:userId="S::Craig.Bell@uk.nationalgrid.com::457299d4-72da-4198-a04d-4d73a6e67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474"/>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9B1"/>
    <w:rsid w:val="00000FD3"/>
    <w:rsid w:val="00002600"/>
    <w:rsid w:val="00002AE8"/>
    <w:rsid w:val="00002B29"/>
    <w:rsid w:val="00003F09"/>
    <w:rsid w:val="000040A9"/>
    <w:rsid w:val="000041BE"/>
    <w:rsid w:val="00004C6E"/>
    <w:rsid w:val="00004E0F"/>
    <w:rsid w:val="00005621"/>
    <w:rsid w:val="0000575F"/>
    <w:rsid w:val="000065A3"/>
    <w:rsid w:val="000074DD"/>
    <w:rsid w:val="000078D2"/>
    <w:rsid w:val="00007BC7"/>
    <w:rsid w:val="000107A5"/>
    <w:rsid w:val="00010E4A"/>
    <w:rsid w:val="00011218"/>
    <w:rsid w:val="00011F17"/>
    <w:rsid w:val="0001271B"/>
    <w:rsid w:val="00012AE9"/>
    <w:rsid w:val="00013841"/>
    <w:rsid w:val="00014530"/>
    <w:rsid w:val="0001527C"/>
    <w:rsid w:val="000154F5"/>
    <w:rsid w:val="00016605"/>
    <w:rsid w:val="00017715"/>
    <w:rsid w:val="00017BE1"/>
    <w:rsid w:val="00020007"/>
    <w:rsid w:val="0002015C"/>
    <w:rsid w:val="000215F8"/>
    <w:rsid w:val="00021731"/>
    <w:rsid w:val="00022A60"/>
    <w:rsid w:val="00022ACC"/>
    <w:rsid w:val="00022EED"/>
    <w:rsid w:val="00023E64"/>
    <w:rsid w:val="0002438E"/>
    <w:rsid w:val="000247B1"/>
    <w:rsid w:val="000252C8"/>
    <w:rsid w:val="00025CBC"/>
    <w:rsid w:val="000262DC"/>
    <w:rsid w:val="000263A4"/>
    <w:rsid w:val="00026E99"/>
    <w:rsid w:val="00027216"/>
    <w:rsid w:val="00030743"/>
    <w:rsid w:val="0003175D"/>
    <w:rsid w:val="00031E7C"/>
    <w:rsid w:val="00032767"/>
    <w:rsid w:val="00032D9A"/>
    <w:rsid w:val="00034FFB"/>
    <w:rsid w:val="00035903"/>
    <w:rsid w:val="000369EE"/>
    <w:rsid w:val="00037AC0"/>
    <w:rsid w:val="00040B1E"/>
    <w:rsid w:val="00040CE5"/>
    <w:rsid w:val="00041697"/>
    <w:rsid w:val="00041718"/>
    <w:rsid w:val="0004239B"/>
    <w:rsid w:val="00042F1F"/>
    <w:rsid w:val="00043D28"/>
    <w:rsid w:val="000443FA"/>
    <w:rsid w:val="00044A37"/>
    <w:rsid w:val="0004506F"/>
    <w:rsid w:val="000471C6"/>
    <w:rsid w:val="00050251"/>
    <w:rsid w:val="00051957"/>
    <w:rsid w:val="00051F30"/>
    <w:rsid w:val="00052684"/>
    <w:rsid w:val="000540A5"/>
    <w:rsid w:val="0005481E"/>
    <w:rsid w:val="00055182"/>
    <w:rsid w:val="00055194"/>
    <w:rsid w:val="00056367"/>
    <w:rsid w:val="0005639D"/>
    <w:rsid w:val="00056A44"/>
    <w:rsid w:val="000577C8"/>
    <w:rsid w:val="000600D9"/>
    <w:rsid w:val="000603CE"/>
    <w:rsid w:val="00061613"/>
    <w:rsid w:val="00061669"/>
    <w:rsid w:val="000619F8"/>
    <w:rsid w:val="000622FF"/>
    <w:rsid w:val="00064BBE"/>
    <w:rsid w:val="000651E2"/>
    <w:rsid w:val="000653DC"/>
    <w:rsid w:val="0006568A"/>
    <w:rsid w:val="00065C12"/>
    <w:rsid w:val="00065EF7"/>
    <w:rsid w:val="000665D2"/>
    <w:rsid w:val="00070AA7"/>
    <w:rsid w:val="0007133A"/>
    <w:rsid w:val="00071797"/>
    <w:rsid w:val="000720E5"/>
    <w:rsid w:val="00072371"/>
    <w:rsid w:val="000726B6"/>
    <w:rsid w:val="00072C98"/>
    <w:rsid w:val="00073C3B"/>
    <w:rsid w:val="00073F7E"/>
    <w:rsid w:val="00075548"/>
    <w:rsid w:val="00075922"/>
    <w:rsid w:val="00075B1C"/>
    <w:rsid w:val="00075ED1"/>
    <w:rsid w:val="0007637A"/>
    <w:rsid w:val="00076E11"/>
    <w:rsid w:val="00077363"/>
    <w:rsid w:val="00080300"/>
    <w:rsid w:val="000816F6"/>
    <w:rsid w:val="00081A9E"/>
    <w:rsid w:val="00081C29"/>
    <w:rsid w:val="00081CA4"/>
    <w:rsid w:val="00081F1C"/>
    <w:rsid w:val="0008330F"/>
    <w:rsid w:val="00084189"/>
    <w:rsid w:val="000853AA"/>
    <w:rsid w:val="00085C3E"/>
    <w:rsid w:val="00086243"/>
    <w:rsid w:val="000863FB"/>
    <w:rsid w:val="00086480"/>
    <w:rsid w:val="00086F5C"/>
    <w:rsid w:val="0009043E"/>
    <w:rsid w:val="00090F85"/>
    <w:rsid w:val="0009105F"/>
    <w:rsid w:val="00092143"/>
    <w:rsid w:val="00092343"/>
    <w:rsid w:val="0009386F"/>
    <w:rsid w:val="00093B9A"/>
    <w:rsid w:val="00094004"/>
    <w:rsid w:val="00094025"/>
    <w:rsid w:val="0009434C"/>
    <w:rsid w:val="00094C68"/>
    <w:rsid w:val="000952D6"/>
    <w:rsid w:val="00095307"/>
    <w:rsid w:val="00095668"/>
    <w:rsid w:val="00096281"/>
    <w:rsid w:val="00096D2C"/>
    <w:rsid w:val="00097BB1"/>
    <w:rsid w:val="00097CD6"/>
    <w:rsid w:val="000A006D"/>
    <w:rsid w:val="000A0DF6"/>
    <w:rsid w:val="000A1611"/>
    <w:rsid w:val="000A17B7"/>
    <w:rsid w:val="000A2588"/>
    <w:rsid w:val="000A2998"/>
    <w:rsid w:val="000A2CDE"/>
    <w:rsid w:val="000A3222"/>
    <w:rsid w:val="000A377A"/>
    <w:rsid w:val="000A4CBD"/>
    <w:rsid w:val="000A59D4"/>
    <w:rsid w:val="000A5F5E"/>
    <w:rsid w:val="000A6054"/>
    <w:rsid w:val="000A7F15"/>
    <w:rsid w:val="000B0796"/>
    <w:rsid w:val="000B0F91"/>
    <w:rsid w:val="000B2D6A"/>
    <w:rsid w:val="000B4144"/>
    <w:rsid w:val="000B423D"/>
    <w:rsid w:val="000B44AF"/>
    <w:rsid w:val="000B5CF7"/>
    <w:rsid w:val="000B6426"/>
    <w:rsid w:val="000B6637"/>
    <w:rsid w:val="000B6C0D"/>
    <w:rsid w:val="000B6D9F"/>
    <w:rsid w:val="000B6E39"/>
    <w:rsid w:val="000C0CC0"/>
    <w:rsid w:val="000C0FF7"/>
    <w:rsid w:val="000C1BC9"/>
    <w:rsid w:val="000C20EF"/>
    <w:rsid w:val="000C2233"/>
    <w:rsid w:val="000C2602"/>
    <w:rsid w:val="000C293F"/>
    <w:rsid w:val="000C2C6D"/>
    <w:rsid w:val="000C302D"/>
    <w:rsid w:val="000C35EF"/>
    <w:rsid w:val="000C3E96"/>
    <w:rsid w:val="000C4E27"/>
    <w:rsid w:val="000C4E5B"/>
    <w:rsid w:val="000C5F52"/>
    <w:rsid w:val="000C6091"/>
    <w:rsid w:val="000C63E3"/>
    <w:rsid w:val="000C6767"/>
    <w:rsid w:val="000C6F2B"/>
    <w:rsid w:val="000C7487"/>
    <w:rsid w:val="000C762C"/>
    <w:rsid w:val="000C7B9C"/>
    <w:rsid w:val="000D0127"/>
    <w:rsid w:val="000D0A6F"/>
    <w:rsid w:val="000D0E2E"/>
    <w:rsid w:val="000D113A"/>
    <w:rsid w:val="000D1FBD"/>
    <w:rsid w:val="000D2008"/>
    <w:rsid w:val="000D32B1"/>
    <w:rsid w:val="000D397F"/>
    <w:rsid w:val="000D39AD"/>
    <w:rsid w:val="000D4471"/>
    <w:rsid w:val="000D5C05"/>
    <w:rsid w:val="000D627A"/>
    <w:rsid w:val="000D680E"/>
    <w:rsid w:val="000D6BC2"/>
    <w:rsid w:val="000D70C7"/>
    <w:rsid w:val="000E02B7"/>
    <w:rsid w:val="000E0440"/>
    <w:rsid w:val="000E0B66"/>
    <w:rsid w:val="000E1689"/>
    <w:rsid w:val="000E1897"/>
    <w:rsid w:val="000E1C2E"/>
    <w:rsid w:val="000E32FD"/>
    <w:rsid w:val="000E3CD5"/>
    <w:rsid w:val="000E3CDD"/>
    <w:rsid w:val="000E4799"/>
    <w:rsid w:val="000E49BE"/>
    <w:rsid w:val="000E5672"/>
    <w:rsid w:val="000E5D25"/>
    <w:rsid w:val="000E68CE"/>
    <w:rsid w:val="000E6AD1"/>
    <w:rsid w:val="000E70A5"/>
    <w:rsid w:val="000E7772"/>
    <w:rsid w:val="000F0596"/>
    <w:rsid w:val="000F0709"/>
    <w:rsid w:val="000F0DAB"/>
    <w:rsid w:val="000F13DA"/>
    <w:rsid w:val="000F2701"/>
    <w:rsid w:val="000F35CA"/>
    <w:rsid w:val="000F386A"/>
    <w:rsid w:val="000F4CC6"/>
    <w:rsid w:val="000F549D"/>
    <w:rsid w:val="000F5B9E"/>
    <w:rsid w:val="000F6830"/>
    <w:rsid w:val="000F6866"/>
    <w:rsid w:val="000F71E1"/>
    <w:rsid w:val="000F7736"/>
    <w:rsid w:val="000F7B11"/>
    <w:rsid w:val="00100C9B"/>
    <w:rsid w:val="00101D61"/>
    <w:rsid w:val="00101E15"/>
    <w:rsid w:val="001022F7"/>
    <w:rsid w:val="001028D1"/>
    <w:rsid w:val="00102B50"/>
    <w:rsid w:val="00102C14"/>
    <w:rsid w:val="001035EC"/>
    <w:rsid w:val="00103C9A"/>
    <w:rsid w:val="001046D7"/>
    <w:rsid w:val="001048BC"/>
    <w:rsid w:val="00105172"/>
    <w:rsid w:val="00106384"/>
    <w:rsid w:val="001065FF"/>
    <w:rsid w:val="00106DEA"/>
    <w:rsid w:val="00107096"/>
    <w:rsid w:val="001070E4"/>
    <w:rsid w:val="00107BE4"/>
    <w:rsid w:val="001108DA"/>
    <w:rsid w:val="00110A08"/>
    <w:rsid w:val="001119E7"/>
    <w:rsid w:val="00111E40"/>
    <w:rsid w:val="00111F71"/>
    <w:rsid w:val="00111FB6"/>
    <w:rsid w:val="00114533"/>
    <w:rsid w:val="00114FE3"/>
    <w:rsid w:val="0011565B"/>
    <w:rsid w:val="001160FA"/>
    <w:rsid w:val="0011628E"/>
    <w:rsid w:val="00116BD3"/>
    <w:rsid w:val="00116E6A"/>
    <w:rsid w:val="00117560"/>
    <w:rsid w:val="00117916"/>
    <w:rsid w:val="00120398"/>
    <w:rsid w:val="00120AFD"/>
    <w:rsid w:val="00121D6E"/>
    <w:rsid w:val="00122674"/>
    <w:rsid w:val="001242FF"/>
    <w:rsid w:val="00125177"/>
    <w:rsid w:val="00125EF6"/>
    <w:rsid w:val="00125F43"/>
    <w:rsid w:val="00126EA5"/>
    <w:rsid w:val="00126F38"/>
    <w:rsid w:val="00126F53"/>
    <w:rsid w:val="0012779E"/>
    <w:rsid w:val="00130444"/>
    <w:rsid w:val="0013157B"/>
    <w:rsid w:val="00131CDB"/>
    <w:rsid w:val="00133479"/>
    <w:rsid w:val="001341C9"/>
    <w:rsid w:val="00134C1E"/>
    <w:rsid w:val="00134F53"/>
    <w:rsid w:val="001369BF"/>
    <w:rsid w:val="00136B3D"/>
    <w:rsid w:val="0013728E"/>
    <w:rsid w:val="0013729E"/>
    <w:rsid w:val="00137774"/>
    <w:rsid w:val="00142062"/>
    <w:rsid w:val="00143668"/>
    <w:rsid w:val="0014378F"/>
    <w:rsid w:val="0014396C"/>
    <w:rsid w:val="00144847"/>
    <w:rsid w:val="00145649"/>
    <w:rsid w:val="0014590A"/>
    <w:rsid w:val="00147FF2"/>
    <w:rsid w:val="001500A9"/>
    <w:rsid w:val="0015013A"/>
    <w:rsid w:val="0015055E"/>
    <w:rsid w:val="0015078D"/>
    <w:rsid w:val="00150FE0"/>
    <w:rsid w:val="00151DD6"/>
    <w:rsid w:val="00151FC5"/>
    <w:rsid w:val="0015399A"/>
    <w:rsid w:val="00153A4A"/>
    <w:rsid w:val="0015419E"/>
    <w:rsid w:val="00154E32"/>
    <w:rsid w:val="00154E93"/>
    <w:rsid w:val="001551F6"/>
    <w:rsid w:val="0015522B"/>
    <w:rsid w:val="001558F9"/>
    <w:rsid w:val="00155913"/>
    <w:rsid w:val="00155DC3"/>
    <w:rsid w:val="00156514"/>
    <w:rsid w:val="00156759"/>
    <w:rsid w:val="00156BE3"/>
    <w:rsid w:val="00157AE4"/>
    <w:rsid w:val="00157CE9"/>
    <w:rsid w:val="00160650"/>
    <w:rsid w:val="00161A6C"/>
    <w:rsid w:val="00161DCC"/>
    <w:rsid w:val="0016297C"/>
    <w:rsid w:val="00163428"/>
    <w:rsid w:val="001639BD"/>
    <w:rsid w:val="00163AEF"/>
    <w:rsid w:val="00163EF8"/>
    <w:rsid w:val="001646AB"/>
    <w:rsid w:val="001649FC"/>
    <w:rsid w:val="00165B57"/>
    <w:rsid w:val="00167459"/>
    <w:rsid w:val="00167D5C"/>
    <w:rsid w:val="001707AF"/>
    <w:rsid w:val="00170EAD"/>
    <w:rsid w:val="00170EF2"/>
    <w:rsid w:val="001726D3"/>
    <w:rsid w:val="00172966"/>
    <w:rsid w:val="00173C20"/>
    <w:rsid w:val="0017488E"/>
    <w:rsid w:val="0017541A"/>
    <w:rsid w:val="00175541"/>
    <w:rsid w:val="0017554E"/>
    <w:rsid w:val="00175579"/>
    <w:rsid w:val="00175AC6"/>
    <w:rsid w:val="00175BD9"/>
    <w:rsid w:val="0017678F"/>
    <w:rsid w:val="001769EC"/>
    <w:rsid w:val="00176BE9"/>
    <w:rsid w:val="00176CFB"/>
    <w:rsid w:val="001802E3"/>
    <w:rsid w:val="00181125"/>
    <w:rsid w:val="0018153F"/>
    <w:rsid w:val="0018183A"/>
    <w:rsid w:val="00181C32"/>
    <w:rsid w:val="00181E7B"/>
    <w:rsid w:val="0018223B"/>
    <w:rsid w:val="0018295C"/>
    <w:rsid w:val="00182EDD"/>
    <w:rsid w:val="001832E2"/>
    <w:rsid w:val="00183425"/>
    <w:rsid w:val="001838D1"/>
    <w:rsid w:val="0018396F"/>
    <w:rsid w:val="00183C7F"/>
    <w:rsid w:val="0018426D"/>
    <w:rsid w:val="00184A85"/>
    <w:rsid w:val="00184B4D"/>
    <w:rsid w:val="00185078"/>
    <w:rsid w:val="001858A4"/>
    <w:rsid w:val="00185A2E"/>
    <w:rsid w:val="001860DC"/>
    <w:rsid w:val="00190FAE"/>
    <w:rsid w:val="001921D3"/>
    <w:rsid w:val="00192896"/>
    <w:rsid w:val="001929C1"/>
    <w:rsid w:val="00192BB3"/>
    <w:rsid w:val="00192D8E"/>
    <w:rsid w:val="0019332B"/>
    <w:rsid w:val="00193523"/>
    <w:rsid w:val="001943CE"/>
    <w:rsid w:val="0019457B"/>
    <w:rsid w:val="001953BE"/>
    <w:rsid w:val="0019579F"/>
    <w:rsid w:val="001958C6"/>
    <w:rsid w:val="00195BB1"/>
    <w:rsid w:val="00196616"/>
    <w:rsid w:val="00196F2F"/>
    <w:rsid w:val="001A02B1"/>
    <w:rsid w:val="001A10C6"/>
    <w:rsid w:val="001A3ADB"/>
    <w:rsid w:val="001A3C2F"/>
    <w:rsid w:val="001A4AC6"/>
    <w:rsid w:val="001A4C0F"/>
    <w:rsid w:val="001A4EE6"/>
    <w:rsid w:val="001A4F04"/>
    <w:rsid w:val="001A53F5"/>
    <w:rsid w:val="001A585C"/>
    <w:rsid w:val="001A5DEF"/>
    <w:rsid w:val="001A6595"/>
    <w:rsid w:val="001A6732"/>
    <w:rsid w:val="001A6F56"/>
    <w:rsid w:val="001B0946"/>
    <w:rsid w:val="001B204F"/>
    <w:rsid w:val="001B225D"/>
    <w:rsid w:val="001B22C1"/>
    <w:rsid w:val="001B3D38"/>
    <w:rsid w:val="001B491B"/>
    <w:rsid w:val="001B5099"/>
    <w:rsid w:val="001B527A"/>
    <w:rsid w:val="001B52D2"/>
    <w:rsid w:val="001B541C"/>
    <w:rsid w:val="001B6394"/>
    <w:rsid w:val="001B748D"/>
    <w:rsid w:val="001B78C0"/>
    <w:rsid w:val="001C0596"/>
    <w:rsid w:val="001C0F32"/>
    <w:rsid w:val="001C2637"/>
    <w:rsid w:val="001C2698"/>
    <w:rsid w:val="001C2EE2"/>
    <w:rsid w:val="001C458A"/>
    <w:rsid w:val="001C4E83"/>
    <w:rsid w:val="001C4F47"/>
    <w:rsid w:val="001C60C1"/>
    <w:rsid w:val="001C60D1"/>
    <w:rsid w:val="001C6C27"/>
    <w:rsid w:val="001C6E36"/>
    <w:rsid w:val="001C7554"/>
    <w:rsid w:val="001D03D6"/>
    <w:rsid w:val="001D0564"/>
    <w:rsid w:val="001D06C7"/>
    <w:rsid w:val="001D0A7C"/>
    <w:rsid w:val="001D0EAE"/>
    <w:rsid w:val="001D0F15"/>
    <w:rsid w:val="001D24E8"/>
    <w:rsid w:val="001D326B"/>
    <w:rsid w:val="001D3D15"/>
    <w:rsid w:val="001D503D"/>
    <w:rsid w:val="001D5592"/>
    <w:rsid w:val="001D5A39"/>
    <w:rsid w:val="001D5B4E"/>
    <w:rsid w:val="001D7631"/>
    <w:rsid w:val="001D7697"/>
    <w:rsid w:val="001D7858"/>
    <w:rsid w:val="001E13B4"/>
    <w:rsid w:val="001E17D9"/>
    <w:rsid w:val="001E180A"/>
    <w:rsid w:val="001E1841"/>
    <w:rsid w:val="001E29AB"/>
    <w:rsid w:val="001E2F70"/>
    <w:rsid w:val="001E301D"/>
    <w:rsid w:val="001E3BF4"/>
    <w:rsid w:val="001E4A1C"/>
    <w:rsid w:val="001E5CCB"/>
    <w:rsid w:val="001E6608"/>
    <w:rsid w:val="001E66E7"/>
    <w:rsid w:val="001F0A7A"/>
    <w:rsid w:val="001F0FA5"/>
    <w:rsid w:val="001F1102"/>
    <w:rsid w:val="001F18F4"/>
    <w:rsid w:val="001F1E69"/>
    <w:rsid w:val="001F2B9F"/>
    <w:rsid w:val="001F366D"/>
    <w:rsid w:val="001F4C47"/>
    <w:rsid w:val="001F4EFF"/>
    <w:rsid w:val="001F4F39"/>
    <w:rsid w:val="001F50F2"/>
    <w:rsid w:val="001F5400"/>
    <w:rsid w:val="001F55CF"/>
    <w:rsid w:val="001F5870"/>
    <w:rsid w:val="001F59A2"/>
    <w:rsid w:val="001F62E0"/>
    <w:rsid w:val="001F6798"/>
    <w:rsid w:val="001F6986"/>
    <w:rsid w:val="001F72C7"/>
    <w:rsid w:val="00200710"/>
    <w:rsid w:val="00201236"/>
    <w:rsid w:val="00201384"/>
    <w:rsid w:val="002029B0"/>
    <w:rsid w:val="002031DD"/>
    <w:rsid w:val="00204263"/>
    <w:rsid w:val="002052BD"/>
    <w:rsid w:val="002054C7"/>
    <w:rsid w:val="00206248"/>
    <w:rsid w:val="002064B2"/>
    <w:rsid w:val="00206D15"/>
    <w:rsid w:val="00207883"/>
    <w:rsid w:val="0020792E"/>
    <w:rsid w:val="00210970"/>
    <w:rsid w:val="00211361"/>
    <w:rsid w:val="0021191F"/>
    <w:rsid w:val="00211AA8"/>
    <w:rsid w:val="00211C15"/>
    <w:rsid w:val="00211EEB"/>
    <w:rsid w:val="00213428"/>
    <w:rsid w:val="00213F4D"/>
    <w:rsid w:val="0021444F"/>
    <w:rsid w:val="00215769"/>
    <w:rsid w:val="00215BA8"/>
    <w:rsid w:val="002164E2"/>
    <w:rsid w:val="00220046"/>
    <w:rsid w:val="00220177"/>
    <w:rsid w:val="0022124E"/>
    <w:rsid w:val="00221493"/>
    <w:rsid w:val="002215C3"/>
    <w:rsid w:val="00221891"/>
    <w:rsid w:val="00221EF8"/>
    <w:rsid w:val="00221FB5"/>
    <w:rsid w:val="00221FCC"/>
    <w:rsid w:val="0022283C"/>
    <w:rsid w:val="00222E86"/>
    <w:rsid w:val="00223151"/>
    <w:rsid w:val="0022315D"/>
    <w:rsid w:val="002235E2"/>
    <w:rsid w:val="00225419"/>
    <w:rsid w:val="00225522"/>
    <w:rsid w:val="00226BD7"/>
    <w:rsid w:val="002276FB"/>
    <w:rsid w:val="002277C6"/>
    <w:rsid w:val="002278A0"/>
    <w:rsid w:val="002279B1"/>
    <w:rsid w:val="002315FD"/>
    <w:rsid w:val="00231C36"/>
    <w:rsid w:val="00231E51"/>
    <w:rsid w:val="0023355B"/>
    <w:rsid w:val="00233C79"/>
    <w:rsid w:val="0023467C"/>
    <w:rsid w:val="00234716"/>
    <w:rsid w:val="00234735"/>
    <w:rsid w:val="00235FF2"/>
    <w:rsid w:val="0023792A"/>
    <w:rsid w:val="0024046E"/>
    <w:rsid w:val="002405C5"/>
    <w:rsid w:val="00240AC9"/>
    <w:rsid w:val="002412ED"/>
    <w:rsid w:val="002413C1"/>
    <w:rsid w:val="002417E1"/>
    <w:rsid w:val="00241B39"/>
    <w:rsid w:val="00241EE9"/>
    <w:rsid w:val="002427B9"/>
    <w:rsid w:val="002432B3"/>
    <w:rsid w:val="002433F2"/>
    <w:rsid w:val="00243859"/>
    <w:rsid w:val="002439CF"/>
    <w:rsid w:val="00244AE3"/>
    <w:rsid w:val="00244C6D"/>
    <w:rsid w:val="00244D29"/>
    <w:rsid w:val="00244F2D"/>
    <w:rsid w:val="00245EA5"/>
    <w:rsid w:val="00246E38"/>
    <w:rsid w:val="0025125A"/>
    <w:rsid w:val="00251585"/>
    <w:rsid w:val="002515AE"/>
    <w:rsid w:val="002519A2"/>
    <w:rsid w:val="00252A58"/>
    <w:rsid w:val="002537D9"/>
    <w:rsid w:val="002544BE"/>
    <w:rsid w:val="0025584B"/>
    <w:rsid w:val="00255A1A"/>
    <w:rsid w:val="002573BD"/>
    <w:rsid w:val="00257685"/>
    <w:rsid w:val="00257B33"/>
    <w:rsid w:val="00257BF6"/>
    <w:rsid w:val="00257F38"/>
    <w:rsid w:val="00261669"/>
    <w:rsid w:val="00261867"/>
    <w:rsid w:val="002634CC"/>
    <w:rsid w:val="002638ED"/>
    <w:rsid w:val="00263E6A"/>
    <w:rsid w:val="00264240"/>
    <w:rsid w:val="00264B18"/>
    <w:rsid w:val="00264D2A"/>
    <w:rsid w:val="00265F2C"/>
    <w:rsid w:val="0026676B"/>
    <w:rsid w:val="00266795"/>
    <w:rsid w:val="00266DB4"/>
    <w:rsid w:val="00267733"/>
    <w:rsid w:val="00271288"/>
    <w:rsid w:val="00271E09"/>
    <w:rsid w:val="00272455"/>
    <w:rsid w:val="0027251C"/>
    <w:rsid w:val="002736D8"/>
    <w:rsid w:val="00273A4F"/>
    <w:rsid w:val="002743B7"/>
    <w:rsid w:val="002750EB"/>
    <w:rsid w:val="002756D2"/>
    <w:rsid w:val="00275A68"/>
    <w:rsid w:val="00275CE2"/>
    <w:rsid w:val="002770D3"/>
    <w:rsid w:val="00277C7B"/>
    <w:rsid w:val="00277DA2"/>
    <w:rsid w:val="00281823"/>
    <w:rsid w:val="00281D43"/>
    <w:rsid w:val="00281E6C"/>
    <w:rsid w:val="002831C8"/>
    <w:rsid w:val="0028355C"/>
    <w:rsid w:val="00283AFA"/>
    <w:rsid w:val="0028445B"/>
    <w:rsid w:val="00284AF5"/>
    <w:rsid w:val="0028520F"/>
    <w:rsid w:val="00286178"/>
    <w:rsid w:val="002861CA"/>
    <w:rsid w:val="002902F9"/>
    <w:rsid w:val="00290678"/>
    <w:rsid w:val="00291A60"/>
    <w:rsid w:val="00291C8A"/>
    <w:rsid w:val="002929B6"/>
    <w:rsid w:val="00292A53"/>
    <w:rsid w:val="00292F01"/>
    <w:rsid w:val="00292FD3"/>
    <w:rsid w:val="00293FCF"/>
    <w:rsid w:val="002946F2"/>
    <w:rsid w:val="00295939"/>
    <w:rsid w:val="00295D0D"/>
    <w:rsid w:val="002961F4"/>
    <w:rsid w:val="002962EE"/>
    <w:rsid w:val="0029643D"/>
    <w:rsid w:val="00296A99"/>
    <w:rsid w:val="00296B2C"/>
    <w:rsid w:val="00296D44"/>
    <w:rsid w:val="002A0109"/>
    <w:rsid w:val="002A0453"/>
    <w:rsid w:val="002A0607"/>
    <w:rsid w:val="002A0B40"/>
    <w:rsid w:val="002A1B08"/>
    <w:rsid w:val="002A1EFB"/>
    <w:rsid w:val="002A2160"/>
    <w:rsid w:val="002A2617"/>
    <w:rsid w:val="002A26AF"/>
    <w:rsid w:val="002A30C9"/>
    <w:rsid w:val="002A37A1"/>
    <w:rsid w:val="002A4368"/>
    <w:rsid w:val="002A5420"/>
    <w:rsid w:val="002A62B5"/>
    <w:rsid w:val="002A6A12"/>
    <w:rsid w:val="002A6AAB"/>
    <w:rsid w:val="002A774A"/>
    <w:rsid w:val="002B0D65"/>
    <w:rsid w:val="002B0EF7"/>
    <w:rsid w:val="002B131E"/>
    <w:rsid w:val="002B1920"/>
    <w:rsid w:val="002B36B0"/>
    <w:rsid w:val="002B3AA9"/>
    <w:rsid w:val="002B45F2"/>
    <w:rsid w:val="002B4948"/>
    <w:rsid w:val="002B4EF6"/>
    <w:rsid w:val="002B582D"/>
    <w:rsid w:val="002B63C9"/>
    <w:rsid w:val="002B6746"/>
    <w:rsid w:val="002B7158"/>
    <w:rsid w:val="002B731C"/>
    <w:rsid w:val="002B7C13"/>
    <w:rsid w:val="002C2843"/>
    <w:rsid w:val="002C2A96"/>
    <w:rsid w:val="002C31CC"/>
    <w:rsid w:val="002C32C2"/>
    <w:rsid w:val="002C41D0"/>
    <w:rsid w:val="002C4C75"/>
    <w:rsid w:val="002C4D6E"/>
    <w:rsid w:val="002C5306"/>
    <w:rsid w:val="002C56EB"/>
    <w:rsid w:val="002C6107"/>
    <w:rsid w:val="002C6CEF"/>
    <w:rsid w:val="002C76D5"/>
    <w:rsid w:val="002C7719"/>
    <w:rsid w:val="002CD93B"/>
    <w:rsid w:val="002D039F"/>
    <w:rsid w:val="002D0CBB"/>
    <w:rsid w:val="002D24ED"/>
    <w:rsid w:val="002D28A6"/>
    <w:rsid w:val="002D39D2"/>
    <w:rsid w:val="002D3EB8"/>
    <w:rsid w:val="002D401D"/>
    <w:rsid w:val="002D52EC"/>
    <w:rsid w:val="002D5340"/>
    <w:rsid w:val="002D6A12"/>
    <w:rsid w:val="002D6C15"/>
    <w:rsid w:val="002D6CE2"/>
    <w:rsid w:val="002D70D9"/>
    <w:rsid w:val="002D78CA"/>
    <w:rsid w:val="002D7AF1"/>
    <w:rsid w:val="002E05E0"/>
    <w:rsid w:val="002E0A87"/>
    <w:rsid w:val="002E0EDA"/>
    <w:rsid w:val="002E175D"/>
    <w:rsid w:val="002E2177"/>
    <w:rsid w:val="002E217F"/>
    <w:rsid w:val="002E27B8"/>
    <w:rsid w:val="002E297E"/>
    <w:rsid w:val="002E2C18"/>
    <w:rsid w:val="002E362C"/>
    <w:rsid w:val="002E4292"/>
    <w:rsid w:val="002E4D34"/>
    <w:rsid w:val="002E5E04"/>
    <w:rsid w:val="002E5E76"/>
    <w:rsid w:val="002E5F94"/>
    <w:rsid w:val="002E64C5"/>
    <w:rsid w:val="002E7078"/>
    <w:rsid w:val="002E7341"/>
    <w:rsid w:val="002E7A20"/>
    <w:rsid w:val="002E7DA3"/>
    <w:rsid w:val="002F1FB7"/>
    <w:rsid w:val="002F229A"/>
    <w:rsid w:val="002F2682"/>
    <w:rsid w:val="002F2A99"/>
    <w:rsid w:val="002F2ECE"/>
    <w:rsid w:val="002F3F7D"/>
    <w:rsid w:val="002F48F9"/>
    <w:rsid w:val="002F4A25"/>
    <w:rsid w:val="002F4E01"/>
    <w:rsid w:val="002F52A1"/>
    <w:rsid w:val="002F5816"/>
    <w:rsid w:val="002F5EB1"/>
    <w:rsid w:val="002F644C"/>
    <w:rsid w:val="002F7B80"/>
    <w:rsid w:val="00300B5C"/>
    <w:rsid w:val="003016FF"/>
    <w:rsid w:val="003020CE"/>
    <w:rsid w:val="00302E57"/>
    <w:rsid w:val="00303411"/>
    <w:rsid w:val="0030347C"/>
    <w:rsid w:val="0030397A"/>
    <w:rsid w:val="00304C5F"/>
    <w:rsid w:val="00305056"/>
    <w:rsid w:val="00305066"/>
    <w:rsid w:val="00306CDA"/>
    <w:rsid w:val="00306CEB"/>
    <w:rsid w:val="003072FD"/>
    <w:rsid w:val="003073F3"/>
    <w:rsid w:val="00310284"/>
    <w:rsid w:val="0031044E"/>
    <w:rsid w:val="00310870"/>
    <w:rsid w:val="00311002"/>
    <w:rsid w:val="003119F5"/>
    <w:rsid w:val="00311B96"/>
    <w:rsid w:val="003125BD"/>
    <w:rsid w:val="00312C5D"/>
    <w:rsid w:val="00312E14"/>
    <w:rsid w:val="00312ECD"/>
    <w:rsid w:val="003133D5"/>
    <w:rsid w:val="00314555"/>
    <w:rsid w:val="003148E9"/>
    <w:rsid w:val="00315561"/>
    <w:rsid w:val="0031627A"/>
    <w:rsid w:val="00316591"/>
    <w:rsid w:val="003175C1"/>
    <w:rsid w:val="003176E3"/>
    <w:rsid w:val="00317F7A"/>
    <w:rsid w:val="003203E7"/>
    <w:rsid w:val="00320E3B"/>
    <w:rsid w:val="00322858"/>
    <w:rsid w:val="00322B13"/>
    <w:rsid w:val="00323FA7"/>
    <w:rsid w:val="00325397"/>
    <w:rsid w:val="00325683"/>
    <w:rsid w:val="00325888"/>
    <w:rsid w:val="00325A1E"/>
    <w:rsid w:val="00325B74"/>
    <w:rsid w:val="00327249"/>
    <w:rsid w:val="0032795D"/>
    <w:rsid w:val="00327D0B"/>
    <w:rsid w:val="00331FAC"/>
    <w:rsid w:val="0033332A"/>
    <w:rsid w:val="00333CCF"/>
    <w:rsid w:val="00333FBF"/>
    <w:rsid w:val="003341EE"/>
    <w:rsid w:val="00334D5B"/>
    <w:rsid w:val="00335875"/>
    <w:rsid w:val="00335ED8"/>
    <w:rsid w:val="0033649F"/>
    <w:rsid w:val="00336708"/>
    <w:rsid w:val="00336FC2"/>
    <w:rsid w:val="00337080"/>
    <w:rsid w:val="00337BA5"/>
    <w:rsid w:val="00337F0D"/>
    <w:rsid w:val="00340724"/>
    <w:rsid w:val="00341392"/>
    <w:rsid w:val="00341656"/>
    <w:rsid w:val="00341953"/>
    <w:rsid w:val="00341F2D"/>
    <w:rsid w:val="00342015"/>
    <w:rsid w:val="003432F4"/>
    <w:rsid w:val="00343D36"/>
    <w:rsid w:val="00344196"/>
    <w:rsid w:val="00344242"/>
    <w:rsid w:val="00344358"/>
    <w:rsid w:val="003443E1"/>
    <w:rsid w:val="0034465B"/>
    <w:rsid w:val="00344682"/>
    <w:rsid w:val="00344B08"/>
    <w:rsid w:val="00344B91"/>
    <w:rsid w:val="00344D48"/>
    <w:rsid w:val="00344E40"/>
    <w:rsid w:val="003451C1"/>
    <w:rsid w:val="003456A2"/>
    <w:rsid w:val="00345D32"/>
    <w:rsid w:val="00346242"/>
    <w:rsid w:val="0034664E"/>
    <w:rsid w:val="003469BB"/>
    <w:rsid w:val="00346BB7"/>
    <w:rsid w:val="003471DE"/>
    <w:rsid w:val="003474B0"/>
    <w:rsid w:val="00347AC7"/>
    <w:rsid w:val="00350610"/>
    <w:rsid w:val="003523CB"/>
    <w:rsid w:val="00352711"/>
    <w:rsid w:val="00352AF6"/>
    <w:rsid w:val="00352E2F"/>
    <w:rsid w:val="00354708"/>
    <w:rsid w:val="00354B7D"/>
    <w:rsid w:val="00355C6F"/>
    <w:rsid w:val="00356932"/>
    <w:rsid w:val="00356B2C"/>
    <w:rsid w:val="0035728C"/>
    <w:rsid w:val="00357487"/>
    <w:rsid w:val="0035783F"/>
    <w:rsid w:val="00357B19"/>
    <w:rsid w:val="00361711"/>
    <w:rsid w:val="00361C06"/>
    <w:rsid w:val="00362396"/>
    <w:rsid w:val="003627DA"/>
    <w:rsid w:val="00362C3F"/>
    <w:rsid w:val="0036345D"/>
    <w:rsid w:val="00363A7D"/>
    <w:rsid w:val="00363C46"/>
    <w:rsid w:val="00363D4E"/>
    <w:rsid w:val="00364501"/>
    <w:rsid w:val="00364581"/>
    <w:rsid w:val="00364974"/>
    <w:rsid w:val="003669C3"/>
    <w:rsid w:val="00367DCF"/>
    <w:rsid w:val="00371844"/>
    <w:rsid w:val="003728C2"/>
    <w:rsid w:val="00373181"/>
    <w:rsid w:val="00373E06"/>
    <w:rsid w:val="0037417B"/>
    <w:rsid w:val="003749C6"/>
    <w:rsid w:val="00374A74"/>
    <w:rsid w:val="00374D63"/>
    <w:rsid w:val="00374FED"/>
    <w:rsid w:val="0037518E"/>
    <w:rsid w:val="00375627"/>
    <w:rsid w:val="00375D43"/>
    <w:rsid w:val="00375DA1"/>
    <w:rsid w:val="0038021A"/>
    <w:rsid w:val="00380B90"/>
    <w:rsid w:val="00382049"/>
    <w:rsid w:val="00383133"/>
    <w:rsid w:val="003834EC"/>
    <w:rsid w:val="003838D6"/>
    <w:rsid w:val="003842C9"/>
    <w:rsid w:val="00384531"/>
    <w:rsid w:val="003857B7"/>
    <w:rsid w:val="00385D8F"/>
    <w:rsid w:val="00386337"/>
    <w:rsid w:val="0038640D"/>
    <w:rsid w:val="00386429"/>
    <w:rsid w:val="00386DA4"/>
    <w:rsid w:val="0038788E"/>
    <w:rsid w:val="0038799F"/>
    <w:rsid w:val="00390543"/>
    <w:rsid w:val="0039073B"/>
    <w:rsid w:val="0039084B"/>
    <w:rsid w:val="003909BC"/>
    <w:rsid w:val="00390D0C"/>
    <w:rsid w:val="00391019"/>
    <w:rsid w:val="0039188A"/>
    <w:rsid w:val="00391B4E"/>
    <w:rsid w:val="00391C80"/>
    <w:rsid w:val="00391E0E"/>
    <w:rsid w:val="00392BAF"/>
    <w:rsid w:val="003935C2"/>
    <w:rsid w:val="00393CBE"/>
    <w:rsid w:val="003946AB"/>
    <w:rsid w:val="00394757"/>
    <w:rsid w:val="00394C5C"/>
    <w:rsid w:val="00394FE9"/>
    <w:rsid w:val="0039524C"/>
    <w:rsid w:val="00395496"/>
    <w:rsid w:val="00395DCB"/>
    <w:rsid w:val="00395F98"/>
    <w:rsid w:val="003965B9"/>
    <w:rsid w:val="00396C6E"/>
    <w:rsid w:val="00397CFE"/>
    <w:rsid w:val="003A0CB9"/>
    <w:rsid w:val="003A12C5"/>
    <w:rsid w:val="003A1D6F"/>
    <w:rsid w:val="003A1E9E"/>
    <w:rsid w:val="003A2E7E"/>
    <w:rsid w:val="003A318C"/>
    <w:rsid w:val="003A33D3"/>
    <w:rsid w:val="003A3542"/>
    <w:rsid w:val="003A3956"/>
    <w:rsid w:val="003A3A2A"/>
    <w:rsid w:val="003A3CB8"/>
    <w:rsid w:val="003A3EEF"/>
    <w:rsid w:val="003A5D94"/>
    <w:rsid w:val="003A66EC"/>
    <w:rsid w:val="003A6722"/>
    <w:rsid w:val="003A67D5"/>
    <w:rsid w:val="003A6F8F"/>
    <w:rsid w:val="003A7185"/>
    <w:rsid w:val="003A74B8"/>
    <w:rsid w:val="003A7F75"/>
    <w:rsid w:val="003B066B"/>
    <w:rsid w:val="003B0C47"/>
    <w:rsid w:val="003B102A"/>
    <w:rsid w:val="003B2C19"/>
    <w:rsid w:val="003B3559"/>
    <w:rsid w:val="003B3610"/>
    <w:rsid w:val="003B367B"/>
    <w:rsid w:val="003B39AC"/>
    <w:rsid w:val="003B412F"/>
    <w:rsid w:val="003B45D4"/>
    <w:rsid w:val="003B57B0"/>
    <w:rsid w:val="003B5A90"/>
    <w:rsid w:val="003B5F01"/>
    <w:rsid w:val="003B5FA2"/>
    <w:rsid w:val="003B60C3"/>
    <w:rsid w:val="003B6372"/>
    <w:rsid w:val="003B6ADC"/>
    <w:rsid w:val="003B6D98"/>
    <w:rsid w:val="003B6E26"/>
    <w:rsid w:val="003C086B"/>
    <w:rsid w:val="003C11FF"/>
    <w:rsid w:val="003C143D"/>
    <w:rsid w:val="003C1558"/>
    <w:rsid w:val="003C1C36"/>
    <w:rsid w:val="003C1F3F"/>
    <w:rsid w:val="003C2B22"/>
    <w:rsid w:val="003C372A"/>
    <w:rsid w:val="003C40F8"/>
    <w:rsid w:val="003C420D"/>
    <w:rsid w:val="003C5138"/>
    <w:rsid w:val="003C6419"/>
    <w:rsid w:val="003C68D9"/>
    <w:rsid w:val="003C6F64"/>
    <w:rsid w:val="003C7CD0"/>
    <w:rsid w:val="003C7F7D"/>
    <w:rsid w:val="003D00D4"/>
    <w:rsid w:val="003D1390"/>
    <w:rsid w:val="003D1763"/>
    <w:rsid w:val="003D1934"/>
    <w:rsid w:val="003D20FC"/>
    <w:rsid w:val="003D2A23"/>
    <w:rsid w:val="003D2D67"/>
    <w:rsid w:val="003D3F25"/>
    <w:rsid w:val="003D40CF"/>
    <w:rsid w:val="003D5F53"/>
    <w:rsid w:val="003D6656"/>
    <w:rsid w:val="003D6EF1"/>
    <w:rsid w:val="003D7186"/>
    <w:rsid w:val="003D75E2"/>
    <w:rsid w:val="003E0308"/>
    <w:rsid w:val="003E0B88"/>
    <w:rsid w:val="003E111F"/>
    <w:rsid w:val="003E13DB"/>
    <w:rsid w:val="003E296E"/>
    <w:rsid w:val="003E2B94"/>
    <w:rsid w:val="003E2D8A"/>
    <w:rsid w:val="003E310A"/>
    <w:rsid w:val="003E3C42"/>
    <w:rsid w:val="003E40AA"/>
    <w:rsid w:val="003E4970"/>
    <w:rsid w:val="003E4CC6"/>
    <w:rsid w:val="003E5CAA"/>
    <w:rsid w:val="003E63C6"/>
    <w:rsid w:val="003E6CAC"/>
    <w:rsid w:val="003E6EB7"/>
    <w:rsid w:val="003F06C6"/>
    <w:rsid w:val="003F0AD3"/>
    <w:rsid w:val="003F0FF7"/>
    <w:rsid w:val="003F1A0E"/>
    <w:rsid w:val="003F1A5D"/>
    <w:rsid w:val="003F25CF"/>
    <w:rsid w:val="003F25F2"/>
    <w:rsid w:val="003F27DA"/>
    <w:rsid w:val="003F38EB"/>
    <w:rsid w:val="003F3EE5"/>
    <w:rsid w:val="003F7A2A"/>
    <w:rsid w:val="003F7BED"/>
    <w:rsid w:val="003F7E70"/>
    <w:rsid w:val="003F7EF7"/>
    <w:rsid w:val="004004A5"/>
    <w:rsid w:val="0040215D"/>
    <w:rsid w:val="00403178"/>
    <w:rsid w:val="0040373D"/>
    <w:rsid w:val="00403ED0"/>
    <w:rsid w:val="0040421E"/>
    <w:rsid w:val="00404A52"/>
    <w:rsid w:val="00404FD8"/>
    <w:rsid w:val="00405248"/>
    <w:rsid w:val="00405263"/>
    <w:rsid w:val="00405583"/>
    <w:rsid w:val="00406938"/>
    <w:rsid w:val="00406BC7"/>
    <w:rsid w:val="00407433"/>
    <w:rsid w:val="0040792B"/>
    <w:rsid w:val="00410A8A"/>
    <w:rsid w:val="00410C5A"/>
    <w:rsid w:val="00410FC6"/>
    <w:rsid w:val="004115CD"/>
    <w:rsid w:val="004132B6"/>
    <w:rsid w:val="004138CB"/>
    <w:rsid w:val="00415BB3"/>
    <w:rsid w:val="004163E2"/>
    <w:rsid w:val="00416502"/>
    <w:rsid w:val="004166CE"/>
    <w:rsid w:val="004200AB"/>
    <w:rsid w:val="004208D3"/>
    <w:rsid w:val="0042125C"/>
    <w:rsid w:val="0042163D"/>
    <w:rsid w:val="00423464"/>
    <w:rsid w:val="00423F31"/>
    <w:rsid w:val="00423F50"/>
    <w:rsid w:val="004241F1"/>
    <w:rsid w:val="004248A1"/>
    <w:rsid w:val="004248BD"/>
    <w:rsid w:val="004251D4"/>
    <w:rsid w:val="00426017"/>
    <w:rsid w:val="00427302"/>
    <w:rsid w:val="004301FF"/>
    <w:rsid w:val="0043049E"/>
    <w:rsid w:val="004306BF"/>
    <w:rsid w:val="00431122"/>
    <w:rsid w:val="004325A6"/>
    <w:rsid w:val="004339A2"/>
    <w:rsid w:val="0043581A"/>
    <w:rsid w:val="00436045"/>
    <w:rsid w:val="00436EF5"/>
    <w:rsid w:val="0044067A"/>
    <w:rsid w:val="00441431"/>
    <w:rsid w:val="004417BC"/>
    <w:rsid w:val="00444FC7"/>
    <w:rsid w:val="00445ACF"/>
    <w:rsid w:val="00445E63"/>
    <w:rsid w:val="004466BC"/>
    <w:rsid w:val="00446C7E"/>
    <w:rsid w:val="004472A0"/>
    <w:rsid w:val="004473D1"/>
    <w:rsid w:val="00447511"/>
    <w:rsid w:val="00447ADB"/>
    <w:rsid w:val="00447FCA"/>
    <w:rsid w:val="00452493"/>
    <w:rsid w:val="0045299B"/>
    <w:rsid w:val="004533CD"/>
    <w:rsid w:val="00453DA7"/>
    <w:rsid w:val="00454776"/>
    <w:rsid w:val="00455DC6"/>
    <w:rsid w:val="0045639D"/>
    <w:rsid w:val="0045689A"/>
    <w:rsid w:val="0045707F"/>
    <w:rsid w:val="004573B7"/>
    <w:rsid w:val="00457A7E"/>
    <w:rsid w:val="00460223"/>
    <w:rsid w:val="00460ACC"/>
    <w:rsid w:val="00460B1E"/>
    <w:rsid w:val="00461403"/>
    <w:rsid w:val="004615D3"/>
    <w:rsid w:val="00461942"/>
    <w:rsid w:val="004633BA"/>
    <w:rsid w:val="004636B0"/>
    <w:rsid w:val="00465617"/>
    <w:rsid w:val="00465834"/>
    <w:rsid w:val="00465E2B"/>
    <w:rsid w:val="00466EF2"/>
    <w:rsid w:val="00467DA4"/>
    <w:rsid w:val="00470656"/>
    <w:rsid w:val="00470CB8"/>
    <w:rsid w:val="00471666"/>
    <w:rsid w:val="00471DFA"/>
    <w:rsid w:val="0047309D"/>
    <w:rsid w:val="0047324C"/>
    <w:rsid w:val="00474201"/>
    <w:rsid w:val="00474573"/>
    <w:rsid w:val="004753C4"/>
    <w:rsid w:val="00475DC1"/>
    <w:rsid w:val="00476BC2"/>
    <w:rsid w:val="00476F77"/>
    <w:rsid w:val="004770BE"/>
    <w:rsid w:val="00480015"/>
    <w:rsid w:val="004803FB"/>
    <w:rsid w:val="0048055F"/>
    <w:rsid w:val="00481157"/>
    <w:rsid w:val="0048210A"/>
    <w:rsid w:val="00482A53"/>
    <w:rsid w:val="00482EF5"/>
    <w:rsid w:val="004833E9"/>
    <w:rsid w:val="00483C56"/>
    <w:rsid w:val="00483F76"/>
    <w:rsid w:val="00484CB7"/>
    <w:rsid w:val="00484D7B"/>
    <w:rsid w:val="0048682A"/>
    <w:rsid w:val="004872A4"/>
    <w:rsid w:val="00490DB2"/>
    <w:rsid w:val="00491319"/>
    <w:rsid w:val="00491670"/>
    <w:rsid w:val="0049176A"/>
    <w:rsid w:val="0049244D"/>
    <w:rsid w:val="00492F1C"/>
    <w:rsid w:val="0049425D"/>
    <w:rsid w:val="00494519"/>
    <w:rsid w:val="004950E3"/>
    <w:rsid w:val="0049533B"/>
    <w:rsid w:val="00496335"/>
    <w:rsid w:val="004963F8"/>
    <w:rsid w:val="0049643C"/>
    <w:rsid w:val="00496D27"/>
    <w:rsid w:val="0049733E"/>
    <w:rsid w:val="0049744C"/>
    <w:rsid w:val="004A040C"/>
    <w:rsid w:val="004A0517"/>
    <w:rsid w:val="004A09F6"/>
    <w:rsid w:val="004A0C22"/>
    <w:rsid w:val="004A0C48"/>
    <w:rsid w:val="004A0DE5"/>
    <w:rsid w:val="004A289D"/>
    <w:rsid w:val="004A371B"/>
    <w:rsid w:val="004A4420"/>
    <w:rsid w:val="004A7AA0"/>
    <w:rsid w:val="004A7B56"/>
    <w:rsid w:val="004A7D6D"/>
    <w:rsid w:val="004A7E8B"/>
    <w:rsid w:val="004A7FF4"/>
    <w:rsid w:val="004B04B2"/>
    <w:rsid w:val="004B05BB"/>
    <w:rsid w:val="004B1232"/>
    <w:rsid w:val="004B20F9"/>
    <w:rsid w:val="004B26AD"/>
    <w:rsid w:val="004B2AC3"/>
    <w:rsid w:val="004B2E96"/>
    <w:rsid w:val="004B34CD"/>
    <w:rsid w:val="004B35B7"/>
    <w:rsid w:val="004B39C3"/>
    <w:rsid w:val="004B3A53"/>
    <w:rsid w:val="004B41C8"/>
    <w:rsid w:val="004B41F0"/>
    <w:rsid w:val="004B43B1"/>
    <w:rsid w:val="004B479E"/>
    <w:rsid w:val="004B49A0"/>
    <w:rsid w:val="004B4C31"/>
    <w:rsid w:val="004B4EBF"/>
    <w:rsid w:val="004B5F93"/>
    <w:rsid w:val="004B61C1"/>
    <w:rsid w:val="004B6209"/>
    <w:rsid w:val="004B79B6"/>
    <w:rsid w:val="004B79FD"/>
    <w:rsid w:val="004B7A10"/>
    <w:rsid w:val="004C0102"/>
    <w:rsid w:val="004C1A97"/>
    <w:rsid w:val="004C1DC2"/>
    <w:rsid w:val="004C263D"/>
    <w:rsid w:val="004C27AA"/>
    <w:rsid w:val="004C2DF9"/>
    <w:rsid w:val="004C2FDD"/>
    <w:rsid w:val="004C38C3"/>
    <w:rsid w:val="004C39D4"/>
    <w:rsid w:val="004C479C"/>
    <w:rsid w:val="004C52B1"/>
    <w:rsid w:val="004C53F2"/>
    <w:rsid w:val="004C5929"/>
    <w:rsid w:val="004C6079"/>
    <w:rsid w:val="004C62DF"/>
    <w:rsid w:val="004C76D5"/>
    <w:rsid w:val="004D1492"/>
    <w:rsid w:val="004D226E"/>
    <w:rsid w:val="004D2270"/>
    <w:rsid w:val="004D2CE8"/>
    <w:rsid w:val="004D3E10"/>
    <w:rsid w:val="004D3E99"/>
    <w:rsid w:val="004D456F"/>
    <w:rsid w:val="004D4975"/>
    <w:rsid w:val="004D5049"/>
    <w:rsid w:val="004D5385"/>
    <w:rsid w:val="004D5BDE"/>
    <w:rsid w:val="004D5D9E"/>
    <w:rsid w:val="004D5DE2"/>
    <w:rsid w:val="004D6F4A"/>
    <w:rsid w:val="004D787F"/>
    <w:rsid w:val="004D7893"/>
    <w:rsid w:val="004E050C"/>
    <w:rsid w:val="004E126C"/>
    <w:rsid w:val="004E2007"/>
    <w:rsid w:val="004E2ECA"/>
    <w:rsid w:val="004E4D0B"/>
    <w:rsid w:val="004E5067"/>
    <w:rsid w:val="004E6073"/>
    <w:rsid w:val="004E668E"/>
    <w:rsid w:val="004E6767"/>
    <w:rsid w:val="004E6CF4"/>
    <w:rsid w:val="004E70C2"/>
    <w:rsid w:val="004E75B8"/>
    <w:rsid w:val="004E7F07"/>
    <w:rsid w:val="004F04BE"/>
    <w:rsid w:val="004F0744"/>
    <w:rsid w:val="004F10C6"/>
    <w:rsid w:val="004F1D20"/>
    <w:rsid w:val="004F1EC7"/>
    <w:rsid w:val="004F21E9"/>
    <w:rsid w:val="004F224B"/>
    <w:rsid w:val="004F2B05"/>
    <w:rsid w:val="004F3D30"/>
    <w:rsid w:val="004F4D8C"/>
    <w:rsid w:val="004F4E43"/>
    <w:rsid w:val="004F5278"/>
    <w:rsid w:val="004F58DD"/>
    <w:rsid w:val="004F5CE7"/>
    <w:rsid w:val="004F6019"/>
    <w:rsid w:val="004F64A8"/>
    <w:rsid w:val="004F68EB"/>
    <w:rsid w:val="004F72B2"/>
    <w:rsid w:val="00500415"/>
    <w:rsid w:val="00500B9F"/>
    <w:rsid w:val="00500E0C"/>
    <w:rsid w:val="005026CE"/>
    <w:rsid w:val="00503E7B"/>
    <w:rsid w:val="005045D4"/>
    <w:rsid w:val="00505D9F"/>
    <w:rsid w:val="00505FD1"/>
    <w:rsid w:val="005062B9"/>
    <w:rsid w:val="005065B4"/>
    <w:rsid w:val="00506A61"/>
    <w:rsid w:val="00510332"/>
    <w:rsid w:val="00510576"/>
    <w:rsid w:val="00510C66"/>
    <w:rsid w:val="00511C82"/>
    <w:rsid w:val="00511E00"/>
    <w:rsid w:val="00512F51"/>
    <w:rsid w:val="00513C11"/>
    <w:rsid w:val="00513F58"/>
    <w:rsid w:val="00514C73"/>
    <w:rsid w:val="00515827"/>
    <w:rsid w:val="00516CA2"/>
    <w:rsid w:val="00517153"/>
    <w:rsid w:val="00517921"/>
    <w:rsid w:val="00517AA2"/>
    <w:rsid w:val="00517B05"/>
    <w:rsid w:val="00517B75"/>
    <w:rsid w:val="00517D22"/>
    <w:rsid w:val="005215B8"/>
    <w:rsid w:val="00522388"/>
    <w:rsid w:val="005227B6"/>
    <w:rsid w:val="00522A0E"/>
    <w:rsid w:val="00523356"/>
    <w:rsid w:val="005238A6"/>
    <w:rsid w:val="00524AF1"/>
    <w:rsid w:val="005261DF"/>
    <w:rsid w:val="00530725"/>
    <w:rsid w:val="00530B59"/>
    <w:rsid w:val="00530FAF"/>
    <w:rsid w:val="00531C7A"/>
    <w:rsid w:val="00532835"/>
    <w:rsid w:val="0053286B"/>
    <w:rsid w:val="005328B1"/>
    <w:rsid w:val="00533333"/>
    <w:rsid w:val="0053373B"/>
    <w:rsid w:val="00533B80"/>
    <w:rsid w:val="00533EDC"/>
    <w:rsid w:val="005347C3"/>
    <w:rsid w:val="005354D5"/>
    <w:rsid w:val="00535658"/>
    <w:rsid w:val="005358DF"/>
    <w:rsid w:val="005369AF"/>
    <w:rsid w:val="00537FF7"/>
    <w:rsid w:val="0054001C"/>
    <w:rsid w:val="00541020"/>
    <w:rsid w:val="00541A4C"/>
    <w:rsid w:val="005423DE"/>
    <w:rsid w:val="00542E97"/>
    <w:rsid w:val="00543982"/>
    <w:rsid w:val="00543A22"/>
    <w:rsid w:val="00543D35"/>
    <w:rsid w:val="0054429B"/>
    <w:rsid w:val="005446F2"/>
    <w:rsid w:val="0054493A"/>
    <w:rsid w:val="005453A3"/>
    <w:rsid w:val="00545D95"/>
    <w:rsid w:val="00546662"/>
    <w:rsid w:val="00546D5F"/>
    <w:rsid w:val="00547FFB"/>
    <w:rsid w:val="00550AED"/>
    <w:rsid w:val="00550BFF"/>
    <w:rsid w:val="00551135"/>
    <w:rsid w:val="0055217C"/>
    <w:rsid w:val="00552915"/>
    <w:rsid w:val="00552A09"/>
    <w:rsid w:val="00552A42"/>
    <w:rsid w:val="00552A83"/>
    <w:rsid w:val="00554848"/>
    <w:rsid w:val="00554F71"/>
    <w:rsid w:val="005555C1"/>
    <w:rsid w:val="00555DDA"/>
    <w:rsid w:val="00556B6D"/>
    <w:rsid w:val="0055729B"/>
    <w:rsid w:val="00560172"/>
    <w:rsid w:val="00560643"/>
    <w:rsid w:val="005607B6"/>
    <w:rsid w:val="00560A61"/>
    <w:rsid w:val="00560E95"/>
    <w:rsid w:val="00561AB0"/>
    <w:rsid w:val="00562860"/>
    <w:rsid w:val="005629C5"/>
    <w:rsid w:val="005629FC"/>
    <w:rsid w:val="00562EA5"/>
    <w:rsid w:val="00563069"/>
    <w:rsid w:val="005631DE"/>
    <w:rsid w:val="0056466D"/>
    <w:rsid w:val="005648FD"/>
    <w:rsid w:val="005649A2"/>
    <w:rsid w:val="005659BA"/>
    <w:rsid w:val="0056603F"/>
    <w:rsid w:val="005678F1"/>
    <w:rsid w:val="00567A0F"/>
    <w:rsid w:val="00570612"/>
    <w:rsid w:val="0057073C"/>
    <w:rsid w:val="0057184C"/>
    <w:rsid w:val="00571D4B"/>
    <w:rsid w:val="00571F1F"/>
    <w:rsid w:val="00572067"/>
    <w:rsid w:val="005724E5"/>
    <w:rsid w:val="00572E47"/>
    <w:rsid w:val="00573155"/>
    <w:rsid w:val="00573A93"/>
    <w:rsid w:val="00574926"/>
    <w:rsid w:val="00575253"/>
    <w:rsid w:val="00575432"/>
    <w:rsid w:val="00575BBD"/>
    <w:rsid w:val="00576A52"/>
    <w:rsid w:val="00576D2E"/>
    <w:rsid w:val="00580277"/>
    <w:rsid w:val="005804AC"/>
    <w:rsid w:val="005807B0"/>
    <w:rsid w:val="00580C3C"/>
    <w:rsid w:val="005840E5"/>
    <w:rsid w:val="00584A24"/>
    <w:rsid w:val="00585305"/>
    <w:rsid w:val="00585B0A"/>
    <w:rsid w:val="005861D2"/>
    <w:rsid w:val="00586A0C"/>
    <w:rsid w:val="00586D8C"/>
    <w:rsid w:val="0058733E"/>
    <w:rsid w:val="00587C69"/>
    <w:rsid w:val="00590341"/>
    <w:rsid w:val="00590EBD"/>
    <w:rsid w:val="00591582"/>
    <w:rsid w:val="00592E3C"/>
    <w:rsid w:val="005936A7"/>
    <w:rsid w:val="00594D5C"/>
    <w:rsid w:val="005955A7"/>
    <w:rsid w:val="005957C5"/>
    <w:rsid w:val="00596653"/>
    <w:rsid w:val="00596F14"/>
    <w:rsid w:val="00597054"/>
    <w:rsid w:val="005A011C"/>
    <w:rsid w:val="005A019A"/>
    <w:rsid w:val="005A1262"/>
    <w:rsid w:val="005A1F59"/>
    <w:rsid w:val="005A256C"/>
    <w:rsid w:val="005A2CC7"/>
    <w:rsid w:val="005A2CD8"/>
    <w:rsid w:val="005A2DED"/>
    <w:rsid w:val="005A2EEF"/>
    <w:rsid w:val="005A3C00"/>
    <w:rsid w:val="005A4338"/>
    <w:rsid w:val="005A509C"/>
    <w:rsid w:val="005A5B3D"/>
    <w:rsid w:val="005A5FAA"/>
    <w:rsid w:val="005A6027"/>
    <w:rsid w:val="005A653E"/>
    <w:rsid w:val="005A66EE"/>
    <w:rsid w:val="005A6A2F"/>
    <w:rsid w:val="005A789D"/>
    <w:rsid w:val="005B009B"/>
    <w:rsid w:val="005B0B69"/>
    <w:rsid w:val="005B18DE"/>
    <w:rsid w:val="005B2D94"/>
    <w:rsid w:val="005B32CA"/>
    <w:rsid w:val="005B3509"/>
    <w:rsid w:val="005B4A93"/>
    <w:rsid w:val="005B50FC"/>
    <w:rsid w:val="005B520A"/>
    <w:rsid w:val="005B5880"/>
    <w:rsid w:val="005B64D7"/>
    <w:rsid w:val="005B66DE"/>
    <w:rsid w:val="005B6ACC"/>
    <w:rsid w:val="005B743D"/>
    <w:rsid w:val="005B765A"/>
    <w:rsid w:val="005C05E8"/>
    <w:rsid w:val="005C08F8"/>
    <w:rsid w:val="005C1CEA"/>
    <w:rsid w:val="005C2463"/>
    <w:rsid w:val="005C2EE0"/>
    <w:rsid w:val="005C3883"/>
    <w:rsid w:val="005C46FC"/>
    <w:rsid w:val="005C4CBA"/>
    <w:rsid w:val="005C53F8"/>
    <w:rsid w:val="005C588D"/>
    <w:rsid w:val="005C630A"/>
    <w:rsid w:val="005C67E4"/>
    <w:rsid w:val="005C7335"/>
    <w:rsid w:val="005C7834"/>
    <w:rsid w:val="005C7D33"/>
    <w:rsid w:val="005D03C9"/>
    <w:rsid w:val="005D0CCF"/>
    <w:rsid w:val="005D1309"/>
    <w:rsid w:val="005D1FF8"/>
    <w:rsid w:val="005D22E1"/>
    <w:rsid w:val="005D2F45"/>
    <w:rsid w:val="005D34E9"/>
    <w:rsid w:val="005D371D"/>
    <w:rsid w:val="005D3954"/>
    <w:rsid w:val="005D441C"/>
    <w:rsid w:val="005D47D4"/>
    <w:rsid w:val="005D4A32"/>
    <w:rsid w:val="005D4BD5"/>
    <w:rsid w:val="005D5C05"/>
    <w:rsid w:val="005D65CB"/>
    <w:rsid w:val="005D6B54"/>
    <w:rsid w:val="005D7905"/>
    <w:rsid w:val="005E0428"/>
    <w:rsid w:val="005E078D"/>
    <w:rsid w:val="005E1EE7"/>
    <w:rsid w:val="005E28BD"/>
    <w:rsid w:val="005E2E38"/>
    <w:rsid w:val="005E2F48"/>
    <w:rsid w:val="005E32B8"/>
    <w:rsid w:val="005E4944"/>
    <w:rsid w:val="005E4D87"/>
    <w:rsid w:val="005E56F0"/>
    <w:rsid w:val="005E6401"/>
    <w:rsid w:val="005E6A84"/>
    <w:rsid w:val="005E705E"/>
    <w:rsid w:val="005E7189"/>
    <w:rsid w:val="005E72A7"/>
    <w:rsid w:val="005E7649"/>
    <w:rsid w:val="005E79BA"/>
    <w:rsid w:val="005E7B83"/>
    <w:rsid w:val="005F0047"/>
    <w:rsid w:val="005F0E41"/>
    <w:rsid w:val="005F13D0"/>
    <w:rsid w:val="005F31DF"/>
    <w:rsid w:val="005F33EE"/>
    <w:rsid w:val="005F3BB3"/>
    <w:rsid w:val="005F4535"/>
    <w:rsid w:val="005F469D"/>
    <w:rsid w:val="005F5C76"/>
    <w:rsid w:val="005F5FC1"/>
    <w:rsid w:val="005F6435"/>
    <w:rsid w:val="005F64F5"/>
    <w:rsid w:val="005F728C"/>
    <w:rsid w:val="006035A3"/>
    <w:rsid w:val="00603755"/>
    <w:rsid w:val="00603A8D"/>
    <w:rsid w:val="006049D5"/>
    <w:rsid w:val="00605D50"/>
    <w:rsid w:val="00606811"/>
    <w:rsid w:val="00606B4B"/>
    <w:rsid w:val="00607624"/>
    <w:rsid w:val="00607724"/>
    <w:rsid w:val="00607C05"/>
    <w:rsid w:val="00607DD1"/>
    <w:rsid w:val="00607FEC"/>
    <w:rsid w:val="006101F9"/>
    <w:rsid w:val="0061142D"/>
    <w:rsid w:val="0061243F"/>
    <w:rsid w:val="00613037"/>
    <w:rsid w:val="00613246"/>
    <w:rsid w:val="006135CA"/>
    <w:rsid w:val="00613AFD"/>
    <w:rsid w:val="00613FBE"/>
    <w:rsid w:val="0061512D"/>
    <w:rsid w:val="00616202"/>
    <w:rsid w:val="00616497"/>
    <w:rsid w:val="0061743B"/>
    <w:rsid w:val="00620899"/>
    <w:rsid w:val="00620C86"/>
    <w:rsid w:val="00621CFF"/>
    <w:rsid w:val="00621D69"/>
    <w:rsid w:val="006224F9"/>
    <w:rsid w:val="00623586"/>
    <w:rsid w:val="006245C8"/>
    <w:rsid w:val="00624603"/>
    <w:rsid w:val="00626FF4"/>
    <w:rsid w:val="00631376"/>
    <w:rsid w:val="006327EB"/>
    <w:rsid w:val="00633166"/>
    <w:rsid w:val="006331C6"/>
    <w:rsid w:val="006332A7"/>
    <w:rsid w:val="006355EB"/>
    <w:rsid w:val="0063593C"/>
    <w:rsid w:val="0063596C"/>
    <w:rsid w:val="00636023"/>
    <w:rsid w:val="00636937"/>
    <w:rsid w:val="00636B4B"/>
    <w:rsid w:val="00637448"/>
    <w:rsid w:val="00637B81"/>
    <w:rsid w:val="00640D7E"/>
    <w:rsid w:val="00642013"/>
    <w:rsid w:val="006429CB"/>
    <w:rsid w:val="0064399B"/>
    <w:rsid w:val="006442BB"/>
    <w:rsid w:val="00644A65"/>
    <w:rsid w:val="00645CB8"/>
    <w:rsid w:val="00645EEE"/>
    <w:rsid w:val="00646277"/>
    <w:rsid w:val="00646446"/>
    <w:rsid w:val="006468CC"/>
    <w:rsid w:val="00647393"/>
    <w:rsid w:val="00647551"/>
    <w:rsid w:val="00647DAA"/>
    <w:rsid w:val="00650EEC"/>
    <w:rsid w:val="00651050"/>
    <w:rsid w:val="00651876"/>
    <w:rsid w:val="00651FE5"/>
    <w:rsid w:val="00652A45"/>
    <w:rsid w:val="00652DF9"/>
    <w:rsid w:val="00653116"/>
    <w:rsid w:val="006540F7"/>
    <w:rsid w:val="00654AAA"/>
    <w:rsid w:val="00655BF1"/>
    <w:rsid w:val="00655C86"/>
    <w:rsid w:val="0065616D"/>
    <w:rsid w:val="00656540"/>
    <w:rsid w:val="00656C20"/>
    <w:rsid w:val="006574C4"/>
    <w:rsid w:val="00657CFF"/>
    <w:rsid w:val="0066042F"/>
    <w:rsid w:val="006605E7"/>
    <w:rsid w:val="00660B78"/>
    <w:rsid w:val="00660E4F"/>
    <w:rsid w:val="00660EF7"/>
    <w:rsid w:val="00660FC8"/>
    <w:rsid w:val="00661394"/>
    <w:rsid w:val="00661691"/>
    <w:rsid w:val="00661A29"/>
    <w:rsid w:val="00661D12"/>
    <w:rsid w:val="0066239D"/>
    <w:rsid w:val="006624D0"/>
    <w:rsid w:val="006625E3"/>
    <w:rsid w:val="00663A21"/>
    <w:rsid w:val="00664987"/>
    <w:rsid w:val="0066503F"/>
    <w:rsid w:val="00665890"/>
    <w:rsid w:val="00665C02"/>
    <w:rsid w:val="00665C74"/>
    <w:rsid w:val="006661FE"/>
    <w:rsid w:val="006665B8"/>
    <w:rsid w:val="0066769A"/>
    <w:rsid w:val="006678E1"/>
    <w:rsid w:val="00667FB3"/>
    <w:rsid w:val="00670075"/>
    <w:rsid w:val="006701B8"/>
    <w:rsid w:val="006719F9"/>
    <w:rsid w:val="00671E33"/>
    <w:rsid w:val="00672A14"/>
    <w:rsid w:val="00672A34"/>
    <w:rsid w:val="00672ACD"/>
    <w:rsid w:val="00673260"/>
    <w:rsid w:val="006733D3"/>
    <w:rsid w:val="006734D7"/>
    <w:rsid w:val="00674102"/>
    <w:rsid w:val="00674818"/>
    <w:rsid w:val="00674903"/>
    <w:rsid w:val="00674CE2"/>
    <w:rsid w:val="006765D4"/>
    <w:rsid w:val="00676718"/>
    <w:rsid w:val="006768FA"/>
    <w:rsid w:val="00676B32"/>
    <w:rsid w:val="00677E2A"/>
    <w:rsid w:val="006802F3"/>
    <w:rsid w:val="0068046B"/>
    <w:rsid w:val="00681611"/>
    <w:rsid w:val="00681690"/>
    <w:rsid w:val="006816A0"/>
    <w:rsid w:val="00681BC4"/>
    <w:rsid w:val="00681F2C"/>
    <w:rsid w:val="006823C2"/>
    <w:rsid w:val="00682F27"/>
    <w:rsid w:val="006835A3"/>
    <w:rsid w:val="00683DC5"/>
    <w:rsid w:val="00684159"/>
    <w:rsid w:val="0068476C"/>
    <w:rsid w:val="006853D6"/>
    <w:rsid w:val="00685546"/>
    <w:rsid w:val="006864BC"/>
    <w:rsid w:val="00686A83"/>
    <w:rsid w:val="0068771F"/>
    <w:rsid w:val="006877AB"/>
    <w:rsid w:val="006900E0"/>
    <w:rsid w:val="00690467"/>
    <w:rsid w:val="00690503"/>
    <w:rsid w:val="006911E9"/>
    <w:rsid w:val="0069165A"/>
    <w:rsid w:val="00692BC9"/>
    <w:rsid w:val="006931A4"/>
    <w:rsid w:val="00693B79"/>
    <w:rsid w:val="006945A8"/>
    <w:rsid w:val="006946B3"/>
    <w:rsid w:val="006959AC"/>
    <w:rsid w:val="00696521"/>
    <w:rsid w:val="00696740"/>
    <w:rsid w:val="00696812"/>
    <w:rsid w:val="006969DB"/>
    <w:rsid w:val="00696F06"/>
    <w:rsid w:val="00696FF8"/>
    <w:rsid w:val="006973C3"/>
    <w:rsid w:val="00697C43"/>
    <w:rsid w:val="00697E3A"/>
    <w:rsid w:val="00697E7B"/>
    <w:rsid w:val="00697F3F"/>
    <w:rsid w:val="006A04F9"/>
    <w:rsid w:val="006A0EA8"/>
    <w:rsid w:val="006A197E"/>
    <w:rsid w:val="006A1AF2"/>
    <w:rsid w:val="006A1E8D"/>
    <w:rsid w:val="006A1F36"/>
    <w:rsid w:val="006A1F56"/>
    <w:rsid w:val="006A278A"/>
    <w:rsid w:val="006A2803"/>
    <w:rsid w:val="006A3752"/>
    <w:rsid w:val="006A4386"/>
    <w:rsid w:val="006A4507"/>
    <w:rsid w:val="006A5219"/>
    <w:rsid w:val="006A66A8"/>
    <w:rsid w:val="006A7331"/>
    <w:rsid w:val="006A7F68"/>
    <w:rsid w:val="006B00F9"/>
    <w:rsid w:val="006B0676"/>
    <w:rsid w:val="006B0CEB"/>
    <w:rsid w:val="006B0F27"/>
    <w:rsid w:val="006B0F75"/>
    <w:rsid w:val="006B134B"/>
    <w:rsid w:val="006B1F85"/>
    <w:rsid w:val="006B24C1"/>
    <w:rsid w:val="006B32E3"/>
    <w:rsid w:val="006B3602"/>
    <w:rsid w:val="006B3635"/>
    <w:rsid w:val="006B36FE"/>
    <w:rsid w:val="006B37EE"/>
    <w:rsid w:val="006B4167"/>
    <w:rsid w:val="006B42F4"/>
    <w:rsid w:val="006B4300"/>
    <w:rsid w:val="006B4770"/>
    <w:rsid w:val="006B4863"/>
    <w:rsid w:val="006B4C0B"/>
    <w:rsid w:val="006B5648"/>
    <w:rsid w:val="006B5B89"/>
    <w:rsid w:val="006B6B42"/>
    <w:rsid w:val="006B6B83"/>
    <w:rsid w:val="006B763F"/>
    <w:rsid w:val="006B7800"/>
    <w:rsid w:val="006B7C7E"/>
    <w:rsid w:val="006C0077"/>
    <w:rsid w:val="006C0C5B"/>
    <w:rsid w:val="006C0FF5"/>
    <w:rsid w:val="006C1394"/>
    <w:rsid w:val="006C16EF"/>
    <w:rsid w:val="006C1CDF"/>
    <w:rsid w:val="006C1D46"/>
    <w:rsid w:val="006C2F95"/>
    <w:rsid w:val="006C3DA5"/>
    <w:rsid w:val="006C4437"/>
    <w:rsid w:val="006C498D"/>
    <w:rsid w:val="006C4AEB"/>
    <w:rsid w:val="006C5A0A"/>
    <w:rsid w:val="006C5B63"/>
    <w:rsid w:val="006C5DCB"/>
    <w:rsid w:val="006C6243"/>
    <w:rsid w:val="006C628D"/>
    <w:rsid w:val="006C6687"/>
    <w:rsid w:val="006C6820"/>
    <w:rsid w:val="006C6A17"/>
    <w:rsid w:val="006C799A"/>
    <w:rsid w:val="006C7CB4"/>
    <w:rsid w:val="006D045D"/>
    <w:rsid w:val="006D0A1A"/>
    <w:rsid w:val="006D0AB6"/>
    <w:rsid w:val="006D1247"/>
    <w:rsid w:val="006D1BC6"/>
    <w:rsid w:val="006D26F5"/>
    <w:rsid w:val="006D3642"/>
    <w:rsid w:val="006D51F0"/>
    <w:rsid w:val="006D63A4"/>
    <w:rsid w:val="006D65EA"/>
    <w:rsid w:val="006D6A4F"/>
    <w:rsid w:val="006D6AB2"/>
    <w:rsid w:val="006D73E1"/>
    <w:rsid w:val="006D7664"/>
    <w:rsid w:val="006D791B"/>
    <w:rsid w:val="006D7DFA"/>
    <w:rsid w:val="006D7E77"/>
    <w:rsid w:val="006E0363"/>
    <w:rsid w:val="006E0438"/>
    <w:rsid w:val="006E10E2"/>
    <w:rsid w:val="006E143A"/>
    <w:rsid w:val="006E173F"/>
    <w:rsid w:val="006E32EF"/>
    <w:rsid w:val="006E39BC"/>
    <w:rsid w:val="006E3C26"/>
    <w:rsid w:val="006E3D1B"/>
    <w:rsid w:val="006E4B97"/>
    <w:rsid w:val="006E5400"/>
    <w:rsid w:val="006E5985"/>
    <w:rsid w:val="006E5C35"/>
    <w:rsid w:val="006E6DF7"/>
    <w:rsid w:val="006F0386"/>
    <w:rsid w:val="006F0529"/>
    <w:rsid w:val="006F079A"/>
    <w:rsid w:val="006F11CA"/>
    <w:rsid w:val="006F14BF"/>
    <w:rsid w:val="006F18D1"/>
    <w:rsid w:val="006F30B6"/>
    <w:rsid w:val="006F358C"/>
    <w:rsid w:val="006F3627"/>
    <w:rsid w:val="006F3C14"/>
    <w:rsid w:val="006F3C5A"/>
    <w:rsid w:val="006F5408"/>
    <w:rsid w:val="006F6079"/>
    <w:rsid w:val="006F60A4"/>
    <w:rsid w:val="006F655E"/>
    <w:rsid w:val="006F724B"/>
    <w:rsid w:val="006F73F1"/>
    <w:rsid w:val="006F7BFC"/>
    <w:rsid w:val="0070040E"/>
    <w:rsid w:val="007004FC"/>
    <w:rsid w:val="00700C0C"/>
    <w:rsid w:val="0070178B"/>
    <w:rsid w:val="00701869"/>
    <w:rsid w:val="007018D6"/>
    <w:rsid w:val="0070228B"/>
    <w:rsid w:val="007058F5"/>
    <w:rsid w:val="00705FA8"/>
    <w:rsid w:val="0070624C"/>
    <w:rsid w:val="00706D2A"/>
    <w:rsid w:val="00707532"/>
    <w:rsid w:val="007076AB"/>
    <w:rsid w:val="00707B14"/>
    <w:rsid w:val="0071031B"/>
    <w:rsid w:val="00712929"/>
    <w:rsid w:val="0071323A"/>
    <w:rsid w:val="0071353E"/>
    <w:rsid w:val="00714132"/>
    <w:rsid w:val="007143C2"/>
    <w:rsid w:val="00714521"/>
    <w:rsid w:val="00715C11"/>
    <w:rsid w:val="0071674B"/>
    <w:rsid w:val="00716A64"/>
    <w:rsid w:val="007171EF"/>
    <w:rsid w:val="007177E0"/>
    <w:rsid w:val="0071796A"/>
    <w:rsid w:val="007206A9"/>
    <w:rsid w:val="00720929"/>
    <w:rsid w:val="00720BA3"/>
    <w:rsid w:val="00721036"/>
    <w:rsid w:val="007219D1"/>
    <w:rsid w:val="00721ABA"/>
    <w:rsid w:val="007221C0"/>
    <w:rsid w:val="00722837"/>
    <w:rsid w:val="00722983"/>
    <w:rsid w:val="0072325E"/>
    <w:rsid w:val="00724C38"/>
    <w:rsid w:val="00724E70"/>
    <w:rsid w:val="00725002"/>
    <w:rsid w:val="00725D7C"/>
    <w:rsid w:val="0072601A"/>
    <w:rsid w:val="00726246"/>
    <w:rsid w:val="0072676A"/>
    <w:rsid w:val="00726A1A"/>
    <w:rsid w:val="0072701C"/>
    <w:rsid w:val="00727508"/>
    <w:rsid w:val="007275CA"/>
    <w:rsid w:val="00730189"/>
    <w:rsid w:val="007309F5"/>
    <w:rsid w:val="00731A49"/>
    <w:rsid w:val="00733A8A"/>
    <w:rsid w:val="00734E4F"/>
    <w:rsid w:val="0073635E"/>
    <w:rsid w:val="00736799"/>
    <w:rsid w:val="007369E9"/>
    <w:rsid w:val="00736E6F"/>
    <w:rsid w:val="00740AEF"/>
    <w:rsid w:val="007413B1"/>
    <w:rsid w:val="0074155A"/>
    <w:rsid w:val="00741921"/>
    <w:rsid w:val="0074216D"/>
    <w:rsid w:val="00742A6F"/>
    <w:rsid w:val="00743CA3"/>
    <w:rsid w:val="007444C1"/>
    <w:rsid w:val="00744571"/>
    <w:rsid w:val="0074489C"/>
    <w:rsid w:val="00744A2D"/>
    <w:rsid w:val="00744C93"/>
    <w:rsid w:val="00746ACE"/>
    <w:rsid w:val="0074786A"/>
    <w:rsid w:val="007478CA"/>
    <w:rsid w:val="0075044F"/>
    <w:rsid w:val="00750515"/>
    <w:rsid w:val="007505C3"/>
    <w:rsid w:val="00750EBF"/>
    <w:rsid w:val="00752B22"/>
    <w:rsid w:val="00752EF9"/>
    <w:rsid w:val="00753234"/>
    <w:rsid w:val="00753953"/>
    <w:rsid w:val="00754324"/>
    <w:rsid w:val="00754363"/>
    <w:rsid w:val="007549CD"/>
    <w:rsid w:val="0075582A"/>
    <w:rsid w:val="00755E8D"/>
    <w:rsid w:val="00756B4B"/>
    <w:rsid w:val="00756F23"/>
    <w:rsid w:val="00757191"/>
    <w:rsid w:val="00757963"/>
    <w:rsid w:val="00760642"/>
    <w:rsid w:val="00760BF4"/>
    <w:rsid w:val="00760C45"/>
    <w:rsid w:val="00762045"/>
    <w:rsid w:val="007629DF"/>
    <w:rsid w:val="00762C87"/>
    <w:rsid w:val="007633D6"/>
    <w:rsid w:val="00763F33"/>
    <w:rsid w:val="00763F3A"/>
    <w:rsid w:val="007656EF"/>
    <w:rsid w:val="00765AD1"/>
    <w:rsid w:val="007660A4"/>
    <w:rsid w:val="0076616C"/>
    <w:rsid w:val="0076649B"/>
    <w:rsid w:val="00766C67"/>
    <w:rsid w:val="007672FB"/>
    <w:rsid w:val="00771769"/>
    <w:rsid w:val="00772045"/>
    <w:rsid w:val="007749E3"/>
    <w:rsid w:val="00775B08"/>
    <w:rsid w:val="00777514"/>
    <w:rsid w:val="00777549"/>
    <w:rsid w:val="0077794D"/>
    <w:rsid w:val="00777969"/>
    <w:rsid w:val="00777EF7"/>
    <w:rsid w:val="00781FF0"/>
    <w:rsid w:val="007823C4"/>
    <w:rsid w:val="007828B7"/>
    <w:rsid w:val="00783BA7"/>
    <w:rsid w:val="00785F3A"/>
    <w:rsid w:val="0078610B"/>
    <w:rsid w:val="0078693D"/>
    <w:rsid w:val="00786AEB"/>
    <w:rsid w:val="0078742E"/>
    <w:rsid w:val="00787645"/>
    <w:rsid w:val="0078776B"/>
    <w:rsid w:val="007903DC"/>
    <w:rsid w:val="00790572"/>
    <w:rsid w:val="00790C32"/>
    <w:rsid w:val="00791107"/>
    <w:rsid w:val="00791155"/>
    <w:rsid w:val="0079231B"/>
    <w:rsid w:val="0079242C"/>
    <w:rsid w:val="0079274C"/>
    <w:rsid w:val="00792B87"/>
    <w:rsid w:val="007933DB"/>
    <w:rsid w:val="00793AFF"/>
    <w:rsid w:val="00793B88"/>
    <w:rsid w:val="007944DF"/>
    <w:rsid w:val="00794979"/>
    <w:rsid w:val="007969CD"/>
    <w:rsid w:val="00797791"/>
    <w:rsid w:val="0079786A"/>
    <w:rsid w:val="00797E14"/>
    <w:rsid w:val="00797F4F"/>
    <w:rsid w:val="007A0DC1"/>
    <w:rsid w:val="007A17A9"/>
    <w:rsid w:val="007A18C8"/>
    <w:rsid w:val="007A1F7C"/>
    <w:rsid w:val="007A297E"/>
    <w:rsid w:val="007A3917"/>
    <w:rsid w:val="007A4ACA"/>
    <w:rsid w:val="007A55C7"/>
    <w:rsid w:val="007A5ACC"/>
    <w:rsid w:val="007A6B72"/>
    <w:rsid w:val="007A6CB2"/>
    <w:rsid w:val="007A6ED6"/>
    <w:rsid w:val="007A70D2"/>
    <w:rsid w:val="007A7251"/>
    <w:rsid w:val="007A7707"/>
    <w:rsid w:val="007B0A41"/>
    <w:rsid w:val="007B23F0"/>
    <w:rsid w:val="007B269E"/>
    <w:rsid w:val="007B271D"/>
    <w:rsid w:val="007B28F9"/>
    <w:rsid w:val="007B3148"/>
    <w:rsid w:val="007B32ED"/>
    <w:rsid w:val="007B5ACA"/>
    <w:rsid w:val="007B6107"/>
    <w:rsid w:val="007B6C8D"/>
    <w:rsid w:val="007B6CCD"/>
    <w:rsid w:val="007B7160"/>
    <w:rsid w:val="007B738F"/>
    <w:rsid w:val="007C0698"/>
    <w:rsid w:val="007C074A"/>
    <w:rsid w:val="007C0EA5"/>
    <w:rsid w:val="007C0FDC"/>
    <w:rsid w:val="007C1506"/>
    <w:rsid w:val="007C2603"/>
    <w:rsid w:val="007C291F"/>
    <w:rsid w:val="007C3144"/>
    <w:rsid w:val="007C44B1"/>
    <w:rsid w:val="007C4E63"/>
    <w:rsid w:val="007C50B8"/>
    <w:rsid w:val="007C5811"/>
    <w:rsid w:val="007C5CE0"/>
    <w:rsid w:val="007C720F"/>
    <w:rsid w:val="007C72D9"/>
    <w:rsid w:val="007C7307"/>
    <w:rsid w:val="007D0CB1"/>
    <w:rsid w:val="007D12A4"/>
    <w:rsid w:val="007D200E"/>
    <w:rsid w:val="007D2726"/>
    <w:rsid w:val="007D4C51"/>
    <w:rsid w:val="007D4E26"/>
    <w:rsid w:val="007D576E"/>
    <w:rsid w:val="007D60DE"/>
    <w:rsid w:val="007D63D6"/>
    <w:rsid w:val="007D775A"/>
    <w:rsid w:val="007D791B"/>
    <w:rsid w:val="007D7AE4"/>
    <w:rsid w:val="007D7CDC"/>
    <w:rsid w:val="007E0B4D"/>
    <w:rsid w:val="007E0B98"/>
    <w:rsid w:val="007E0EE5"/>
    <w:rsid w:val="007E1149"/>
    <w:rsid w:val="007E1397"/>
    <w:rsid w:val="007E1464"/>
    <w:rsid w:val="007E2168"/>
    <w:rsid w:val="007E216D"/>
    <w:rsid w:val="007E22B8"/>
    <w:rsid w:val="007E24B0"/>
    <w:rsid w:val="007E2ED4"/>
    <w:rsid w:val="007E2F78"/>
    <w:rsid w:val="007E3371"/>
    <w:rsid w:val="007E41E1"/>
    <w:rsid w:val="007E41F3"/>
    <w:rsid w:val="007E52E0"/>
    <w:rsid w:val="007E6121"/>
    <w:rsid w:val="007E7009"/>
    <w:rsid w:val="007E76B1"/>
    <w:rsid w:val="007E7851"/>
    <w:rsid w:val="007E7977"/>
    <w:rsid w:val="007E7A4C"/>
    <w:rsid w:val="007E7CA7"/>
    <w:rsid w:val="007F0F52"/>
    <w:rsid w:val="007F3346"/>
    <w:rsid w:val="007F3BAC"/>
    <w:rsid w:val="007F3ECE"/>
    <w:rsid w:val="007F44C0"/>
    <w:rsid w:val="007F464B"/>
    <w:rsid w:val="007F47FB"/>
    <w:rsid w:val="007F495B"/>
    <w:rsid w:val="007F556A"/>
    <w:rsid w:val="007F564D"/>
    <w:rsid w:val="007F5B8E"/>
    <w:rsid w:val="007F6592"/>
    <w:rsid w:val="007F6E25"/>
    <w:rsid w:val="007F6ED5"/>
    <w:rsid w:val="007F711D"/>
    <w:rsid w:val="007F765D"/>
    <w:rsid w:val="007F7A8D"/>
    <w:rsid w:val="0080052F"/>
    <w:rsid w:val="00800968"/>
    <w:rsid w:val="00800E60"/>
    <w:rsid w:val="00801221"/>
    <w:rsid w:val="008013A5"/>
    <w:rsid w:val="0080158D"/>
    <w:rsid w:val="00801605"/>
    <w:rsid w:val="0080199D"/>
    <w:rsid w:val="008023BE"/>
    <w:rsid w:val="008031CE"/>
    <w:rsid w:val="008035A1"/>
    <w:rsid w:val="008046DF"/>
    <w:rsid w:val="00804EEF"/>
    <w:rsid w:val="008056C7"/>
    <w:rsid w:val="00805798"/>
    <w:rsid w:val="008062E7"/>
    <w:rsid w:val="00806531"/>
    <w:rsid w:val="00806E9F"/>
    <w:rsid w:val="00807039"/>
    <w:rsid w:val="00807525"/>
    <w:rsid w:val="00810079"/>
    <w:rsid w:val="0081263E"/>
    <w:rsid w:val="00812678"/>
    <w:rsid w:val="0081373D"/>
    <w:rsid w:val="008138F7"/>
    <w:rsid w:val="00814DDC"/>
    <w:rsid w:val="0081584D"/>
    <w:rsid w:val="00816450"/>
    <w:rsid w:val="0081729A"/>
    <w:rsid w:val="00817590"/>
    <w:rsid w:val="00820298"/>
    <w:rsid w:val="00820683"/>
    <w:rsid w:val="008208A2"/>
    <w:rsid w:val="00821D7C"/>
    <w:rsid w:val="0082217D"/>
    <w:rsid w:val="00823644"/>
    <w:rsid w:val="00823C0C"/>
    <w:rsid w:val="00823C31"/>
    <w:rsid w:val="00824A12"/>
    <w:rsid w:val="008255C6"/>
    <w:rsid w:val="0082585E"/>
    <w:rsid w:val="00825D1A"/>
    <w:rsid w:val="00825F9A"/>
    <w:rsid w:val="00827319"/>
    <w:rsid w:val="00827678"/>
    <w:rsid w:val="00830A2F"/>
    <w:rsid w:val="00830EBF"/>
    <w:rsid w:val="008310AA"/>
    <w:rsid w:val="00831722"/>
    <w:rsid w:val="00831ABB"/>
    <w:rsid w:val="00831E56"/>
    <w:rsid w:val="00832A75"/>
    <w:rsid w:val="008331FD"/>
    <w:rsid w:val="0083396D"/>
    <w:rsid w:val="0083519B"/>
    <w:rsid w:val="00835F3A"/>
    <w:rsid w:val="008360D4"/>
    <w:rsid w:val="008402D2"/>
    <w:rsid w:val="008405E0"/>
    <w:rsid w:val="00840FA6"/>
    <w:rsid w:val="00842051"/>
    <w:rsid w:val="008426A8"/>
    <w:rsid w:val="008430AA"/>
    <w:rsid w:val="00843205"/>
    <w:rsid w:val="0084406C"/>
    <w:rsid w:val="008460D1"/>
    <w:rsid w:val="0084619F"/>
    <w:rsid w:val="0084657A"/>
    <w:rsid w:val="00846881"/>
    <w:rsid w:val="008468AA"/>
    <w:rsid w:val="00846E2C"/>
    <w:rsid w:val="0084710D"/>
    <w:rsid w:val="00847558"/>
    <w:rsid w:val="00847D54"/>
    <w:rsid w:val="00847D60"/>
    <w:rsid w:val="00847F65"/>
    <w:rsid w:val="008508EA"/>
    <w:rsid w:val="00851170"/>
    <w:rsid w:val="00851FD4"/>
    <w:rsid w:val="00852613"/>
    <w:rsid w:val="0085279B"/>
    <w:rsid w:val="008531E0"/>
    <w:rsid w:val="00853AFE"/>
    <w:rsid w:val="008554C5"/>
    <w:rsid w:val="00855603"/>
    <w:rsid w:val="0085585A"/>
    <w:rsid w:val="008560F5"/>
    <w:rsid w:val="00856CE9"/>
    <w:rsid w:val="008575E9"/>
    <w:rsid w:val="008578BF"/>
    <w:rsid w:val="00857FA3"/>
    <w:rsid w:val="0086033A"/>
    <w:rsid w:val="00860A41"/>
    <w:rsid w:val="00860DFC"/>
    <w:rsid w:val="00860EA9"/>
    <w:rsid w:val="00861EE3"/>
    <w:rsid w:val="00862617"/>
    <w:rsid w:val="0086271B"/>
    <w:rsid w:val="00862896"/>
    <w:rsid w:val="00862939"/>
    <w:rsid w:val="008637FA"/>
    <w:rsid w:val="00863AF9"/>
    <w:rsid w:val="00863BCC"/>
    <w:rsid w:val="00863FB6"/>
    <w:rsid w:val="008652C1"/>
    <w:rsid w:val="008660F3"/>
    <w:rsid w:val="00867066"/>
    <w:rsid w:val="008670B8"/>
    <w:rsid w:val="00867B29"/>
    <w:rsid w:val="00867CAD"/>
    <w:rsid w:val="00867F74"/>
    <w:rsid w:val="00867FA6"/>
    <w:rsid w:val="00870007"/>
    <w:rsid w:val="00870545"/>
    <w:rsid w:val="00870BCE"/>
    <w:rsid w:val="00871450"/>
    <w:rsid w:val="00871D19"/>
    <w:rsid w:val="00871E5F"/>
    <w:rsid w:val="008736AB"/>
    <w:rsid w:val="0087436C"/>
    <w:rsid w:val="0087438C"/>
    <w:rsid w:val="0087557E"/>
    <w:rsid w:val="008771C1"/>
    <w:rsid w:val="008776E1"/>
    <w:rsid w:val="00877C18"/>
    <w:rsid w:val="00880072"/>
    <w:rsid w:val="00881611"/>
    <w:rsid w:val="00881C80"/>
    <w:rsid w:val="00882008"/>
    <w:rsid w:val="00882FD1"/>
    <w:rsid w:val="0088314C"/>
    <w:rsid w:val="008853FC"/>
    <w:rsid w:val="00887323"/>
    <w:rsid w:val="00890F74"/>
    <w:rsid w:val="00891782"/>
    <w:rsid w:val="00891A84"/>
    <w:rsid w:val="00891D82"/>
    <w:rsid w:val="00892B44"/>
    <w:rsid w:val="008935DD"/>
    <w:rsid w:val="008944F9"/>
    <w:rsid w:val="008958D0"/>
    <w:rsid w:val="008967D9"/>
    <w:rsid w:val="008967E0"/>
    <w:rsid w:val="008A00EA"/>
    <w:rsid w:val="008A01CB"/>
    <w:rsid w:val="008A060A"/>
    <w:rsid w:val="008A12ED"/>
    <w:rsid w:val="008A34B1"/>
    <w:rsid w:val="008A38A9"/>
    <w:rsid w:val="008A4388"/>
    <w:rsid w:val="008A4F89"/>
    <w:rsid w:val="008A52EF"/>
    <w:rsid w:val="008A5EFE"/>
    <w:rsid w:val="008A65DA"/>
    <w:rsid w:val="008A6D4B"/>
    <w:rsid w:val="008A757A"/>
    <w:rsid w:val="008A7917"/>
    <w:rsid w:val="008A7A69"/>
    <w:rsid w:val="008B091A"/>
    <w:rsid w:val="008B0A42"/>
    <w:rsid w:val="008B0F3B"/>
    <w:rsid w:val="008B1237"/>
    <w:rsid w:val="008B23C8"/>
    <w:rsid w:val="008B2C92"/>
    <w:rsid w:val="008B3985"/>
    <w:rsid w:val="008B4673"/>
    <w:rsid w:val="008B51C1"/>
    <w:rsid w:val="008B6C3A"/>
    <w:rsid w:val="008B6E27"/>
    <w:rsid w:val="008B6E7E"/>
    <w:rsid w:val="008B764C"/>
    <w:rsid w:val="008B78A2"/>
    <w:rsid w:val="008B7A92"/>
    <w:rsid w:val="008B7C41"/>
    <w:rsid w:val="008B7DDF"/>
    <w:rsid w:val="008C00AB"/>
    <w:rsid w:val="008C2061"/>
    <w:rsid w:val="008C2077"/>
    <w:rsid w:val="008C2E33"/>
    <w:rsid w:val="008C574C"/>
    <w:rsid w:val="008C6418"/>
    <w:rsid w:val="008C74A3"/>
    <w:rsid w:val="008C753D"/>
    <w:rsid w:val="008C7820"/>
    <w:rsid w:val="008C7930"/>
    <w:rsid w:val="008C7D5B"/>
    <w:rsid w:val="008C7F7E"/>
    <w:rsid w:val="008D0716"/>
    <w:rsid w:val="008D0B4F"/>
    <w:rsid w:val="008D0E0D"/>
    <w:rsid w:val="008D0E58"/>
    <w:rsid w:val="008D20CC"/>
    <w:rsid w:val="008D218D"/>
    <w:rsid w:val="008D221F"/>
    <w:rsid w:val="008D2415"/>
    <w:rsid w:val="008D32D0"/>
    <w:rsid w:val="008D35CC"/>
    <w:rsid w:val="008D452B"/>
    <w:rsid w:val="008D484B"/>
    <w:rsid w:val="008D4C3D"/>
    <w:rsid w:val="008D4C73"/>
    <w:rsid w:val="008D5B0A"/>
    <w:rsid w:val="008D6F81"/>
    <w:rsid w:val="008D7D02"/>
    <w:rsid w:val="008E0511"/>
    <w:rsid w:val="008E07BF"/>
    <w:rsid w:val="008E0A9A"/>
    <w:rsid w:val="008E0D59"/>
    <w:rsid w:val="008E0D97"/>
    <w:rsid w:val="008E1070"/>
    <w:rsid w:val="008E187F"/>
    <w:rsid w:val="008E3968"/>
    <w:rsid w:val="008E3A76"/>
    <w:rsid w:val="008E3C3E"/>
    <w:rsid w:val="008E4447"/>
    <w:rsid w:val="008E47E8"/>
    <w:rsid w:val="008E4E8F"/>
    <w:rsid w:val="008E6691"/>
    <w:rsid w:val="008E6751"/>
    <w:rsid w:val="008E6787"/>
    <w:rsid w:val="008E7C49"/>
    <w:rsid w:val="008F0093"/>
    <w:rsid w:val="008F0C99"/>
    <w:rsid w:val="008F1087"/>
    <w:rsid w:val="008F1FAC"/>
    <w:rsid w:val="008F2A66"/>
    <w:rsid w:val="008F35CD"/>
    <w:rsid w:val="008F4104"/>
    <w:rsid w:val="008F5201"/>
    <w:rsid w:val="008F6076"/>
    <w:rsid w:val="008F6753"/>
    <w:rsid w:val="008F6EB5"/>
    <w:rsid w:val="008F7F8E"/>
    <w:rsid w:val="00900219"/>
    <w:rsid w:val="00900783"/>
    <w:rsid w:val="00901074"/>
    <w:rsid w:val="009016A7"/>
    <w:rsid w:val="009018FC"/>
    <w:rsid w:val="00901E88"/>
    <w:rsid w:val="00902260"/>
    <w:rsid w:val="00902C19"/>
    <w:rsid w:val="00903D39"/>
    <w:rsid w:val="0090408B"/>
    <w:rsid w:val="00904310"/>
    <w:rsid w:val="0090584A"/>
    <w:rsid w:val="009102A2"/>
    <w:rsid w:val="009104DD"/>
    <w:rsid w:val="00910B48"/>
    <w:rsid w:val="00910CFF"/>
    <w:rsid w:val="00911525"/>
    <w:rsid w:val="009117F0"/>
    <w:rsid w:val="00911B03"/>
    <w:rsid w:val="009132E2"/>
    <w:rsid w:val="00913763"/>
    <w:rsid w:val="00913C1D"/>
    <w:rsid w:val="00914481"/>
    <w:rsid w:val="0091453D"/>
    <w:rsid w:val="009150B7"/>
    <w:rsid w:val="00915204"/>
    <w:rsid w:val="009156C0"/>
    <w:rsid w:val="0091576C"/>
    <w:rsid w:val="00915AE1"/>
    <w:rsid w:val="00915FB1"/>
    <w:rsid w:val="00916EDD"/>
    <w:rsid w:val="00917B59"/>
    <w:rsid w:val="00920117"/>
    <w:rsid w:val="009211C6"/>
    <w:rsid w:val="0092314F"/>
    <w:rsid w:val="009233EF"/>
    <w:rsid w:val="00923C82"/>
    <w:rsid w:val="009260AB"/>
    <w:rsid w:val="00926335"/>
    <w:rsid w:val="009263B5"/>
    <w:rsid w:val="0092652A"/>
    <w:rsid w:val="00926B51"/>
    <w:rsid w:val="00926FBA"/>
    <w:rsid w:val="00926FF8"/>
    <w:rsid w:val="00927A79"/>
    <w:rsid w:val="00930372"/>
    <w:rsid w:val="009315B0"/>
    <w:rsid w:val="00932331"/>
    <w:rsid w:val="0093242F"/>
    <w:rsid w:val="00933198"/>
    <w:rsid w:val="0093365D"/>
    <w:rsid w:val="00933E9C"/>
    <w:rsid w:val="0093461E"/>
    <w:rsid w:val="00934A0A"/>
    <w:rsid w:val="00934D82"/>
    <w:rsid w:val="0093509E"/>
    <w:rsid w:val="00935641"/>
    <w:rsid w:val="009373DA"/>
    <w:rsid w:val="00937FCE"/>
    <w:rsid w:val="009400D7"/>
    <w:rsid w:val="009404BB"/>
    <w:rsid w:val="00940870"/>
    <w:rsid w:val="00940ADB"/>
    <w:rsid w:val="00940F3A"/>
    <w:rsid w:val="009418FE"/>
    <w:rsid w:val="00941A26"/>
    <w:rsid w:val="00941B70"/>
    <w:rsid w:val="00942263"/>
    <w:rsid w:val="009427A9"/>
    <w:rsid w:val="0094290C"/>
    <w:rsid w:val="00942A82"/>
    <w:rsid w:val="00943D16"/>
    <w:rsid w:val="00944034"/>
    <w:rsid w:val="009440CA"/>
    <w:rsid w:val="009442DA"/>
    <w:rsid w:val="0094512C"/>
    <w:rsid w:val="00945159"/>
    <w:rsid w:val="00945A5C"/>
    <w:rsid w:val="00945AC6"/>
    <w:rsid w:val="00945C4F"/>
    <w:rsid w:val="00945D4A"/>
    <w:rsid w:val="00945F1F"/>
    <w:rsid w:val="00946660"/>
    <w:rsid w:val="0094681A"/>
    <w:rsid w:val="00946F68"/>
    <w:rsid w:val="00947731"/>
    <w:rsid w:val="0095087E"/>
    <w:rsid w:val="00952028"/>
    <w:rsid w:val="00952198"/>
    <w:rsid w:val="009526D1"/>
    <w:rsid w:val="00952E4A"/>
    <w:rsid w:val="00952EEA"/>
    <w:rsid w:val="0095469F"/>
    <w:rsid w:val="009559A2"/>
    <w:rsid w:val="009562C9"/>
    <w:rsid w:val="009566C8"/>
    <w:rsid w:val="00956938"/>
    <w:rsid w:val="009573B6"/>
    <w:rsid w:val="009573E1"/>
    <w:rsid w:val="00961C62"/>
    <w:rsid w:val="00961D29"/>
    <w:rsid w:val="009628D9"/>
    <w:rsid w:val="009631C9"/>
    <w:rsid w:val="0096393D"/>
    <w:rsid w:val="00964501"/>
    <w:rsid w:val="00967C91"/>
    <w:rsid w:val="009703D8"/>
    <w:rsid w:val="00970793"/>
    <w:rsid w:val="0097113F"/>
    <w:rsid w:val="00971537"/>
    <w:rsid w:val="0097267F"/>
    <w:rsid w:val="00972D89"/>
    <w:rsid w:val="00972EE1"/>
    <w:rsid w:val="00974630"/>
    <w:rsid w:val="00975DD3"/>
    <w:rsid w:val="00976E53"/>
    <w:rsid w:val="00977AE6"/>
    <w:rsid w:val="00977DA6"/>
    <w:rsid w:val="0098023B"/>
    <w:rsid w:val="009814B2"/>
    <w:rsid w:val="00981555"/>
    <w:rsid w:val="009824D9"/>
    <w:rsid w:val="009825A8"/>
    <w:rsid w:val="0098312C"/>
    <w:rsid w:val="00983756"/>
    <w:rsid w:val="00983E71"/>
    <w:rsid w:val="00984A6E"/>
    <w:rsid w:val="009852DC"/>
    <w:rsid w:val="00985795"/>
    <w:rsid w:val="00985AD8"/>
    <w:rsid w:val="00985C6F"/>
    <w:rsid w:val="00985D90"/>
    <w:rsid w:val="00985FC4"/>
    <w:rsid w:val="009908E5"/>
    <w:rsid w:val="00990FC1"/>
    <w:rsid w:val="0099145C"/>
    <w:rsid w:val="00994DC4"/>
    <w:rsid w:val="00995350"/>
    <w:rsid w:val="009979FE"/>
    <w:rsid w:val="009A11AB"/>
    <w:rsid w:val="009A3260"/>
    <w:rsid w:val="009A327F"/>
    <w:rsid w:val="009A3C7E"/>
    <w:rsid w:val="009A41B8"/>
    <w:rsid w:val="009A444A"/>
    <w:rsid w:val="009A4588"/>
    <w:rsid w:val="009A4AC7"/>
    <w:rsid w:val="009A4DDF"/>
    <w:rsid w:val="009A50FC"/>
    <w:rsid w:val="009A58C8"/>
    <w:rsid w:val="009A5AC9"/>
    <w:rsid w:val="009A61A0"/>
    <w:rsid w:val="009A6CCE"/>
    <w:rsid w:val="009A755F"/>
    <w:rsid w:val="009B0384"/>
    <w:rsid w:val="009B0E87"/>
    <w:rsid w:val="009B125F"/>
    <w:rsid w:val="009B126C"/>
    <w:rsid w:val="009B12EC"/>
    <w:rsid w:val="009B18E2"/>
    <w:rsid w:val="009B20D6"/>
    <w:rsid w:val="009B2BC9"/>
    <w:rsid w:val="009B30D5"/>
    <w:rsid w:val="009B35AF"/>
    <w:rsid w:val="009B4150"/>
    <w:rsid w:val="009B42DA"/>
    <w:rsid w:val="009B4836"/>
    <w:rsid w:val="009B4B15"/>
    <w:rsid w:val="009B52DA"/>
    <w:rsid w:val="009B58DA"/>
    <w:rsid w:val="009B6379"/>
    <w:rsid w:val="009C02D4"/>
    <w:rsid w:val="009C155B"/>
    <w:rsid w:val="009C222A"/>
    <w:rsid w:val="009C2A94"/>
    <w:rsid w:val="009C2DCD"/>
    <w:rsid w:val="009C34F8"/>
    <w:rsid w:val="009C3D34"/>
    <w:rsid w:val="009C44B5"/>
    <w:rsid w:val="009C4672"/>
    <w:rsid w:val="009C48A5"/>
    <w:rsid w:val="009C51AA"/>
    <w:rsid w:val="009C5308"/>
    <w:rsid w:val="009C5FF4"/>
    <w:rsid w:val="009C6416"/>
    <w:rsid w:val="009C76D5"/>
    <w:rsid w:val="009C7E8A"/>
    <w:rsid w:val="009C7FAF"/>
    <w:rsid w:val="009D07E4"/>
    <w:rsid w:val="009D09FB"/>
    <w:rsid w:val="009D1805"/>
    <w:rsid w:val="009D1E8B"/>
    <w:rsid w:val="009D228C"/>
    <w:rsid w:val="009D2C92"/>
    <w:rsid w:val="009D34CE"/>
    <w:rsid w:val="009D3A61"/>
    <w:rsid w:val="009D4692"/>
    <w:rsid w:val="009D46C1"/>
    <w:rsid w:val="009D5398"/>
    <w:rsid w:val="009D6017"/>
    <w:rsid w:val="009D642F"/>
    <w:rsid w:val="009D712C"/>
    <w:rsid w:val="009D7846"/>
    <w:rsid w:val="009D79A0"/>
    <w:rsid w:val="009D7CF2"/>
    <w:rsid w:val="009E0697"/>
    <w:rsid w:val="009E19C6"/>
    <w:rsid w:val="009E1D66"/>
    <w:rsid w:val="009E1E6F"/>
    <w:rsid w:val="009E2074"/>
    <w:rsid w:val="009E2837"/>
    <w:rsid w:val="009E33F3"/>
    <w:rsid w:val="009E3C4D"/>
    <w:rsid w:val="009E3CFD"/>
    <w:rsid w:val="009E3D5B"/>
    <w:rsid w:val="009E58D0"/>
    <w:rsid w:val="009E5922"/>
    <w:rsid w:val="009E61C0"/>
    <w:rsid w:val="009E6D17"/>
    <w:rsid w:val="009E7467"/>
    <w:rsid w:val="009F03CF"/>
    <w:rsid w:val="009F2C1F"/>
    <w:rsid w:val="009F3A3E"/>
    <w:rsid w:val="009F4595"/>
    <w:rsid w:val="009F4BA9"/>
    <w:rsid w:val="009F4C43"/>
    <w:rsid w:val="009F4E68"/>
    <w:rsid w:val="009F5B7D"/>
    <w:rsid w:val="009F6BA1"/>
    <w:rsid w:val="009F6E40"/>
    <w:rsid w:val="009F6F05"/>
    <w:rsid w:val="009F750D"/>
    <w:rsid w:val="00A007B7"/>
    <w:rsid w:val="00A00B35"/>
    <w:rsid w:val="00A01346"/>
    <w:rsid w:val="00A014C9"/>
    <w:rsid w:val="00A01A20"/>
    <w:rsid w:val="00A0251D"/>
    <w:rsid w:val="00A02E8D"/>
    <w:rsid w:val="00A0480A"/>
    <w:rsid w:val="00A053F6"/>
    <w:rsid w:val="00A06DCB"/>
    <w:rsid w:val="00A0723F"/>
    <w:rsid w:val="00A0735F"/>
    <w:rsid w:val="00A073D6"/>
    <w:rsid w:val="00A07810"/>
    <w:rsid w:val="00A101ED"/>
    <w:rsid w:val="00A109AB"/>
    <w:rsid w:val="00A11DC6"/>
    <w:rsid w:val="00A12BA6"/>
    <w:rsid w:val="00A12F97"/>
    <w:rsid w:val="00A130EF"/>
    <w:rsid w:val="00A13C24"/>
    <w:rsid w:val="00A13C3F"/>
    <w:rsid w:val="00A14575"/>
    <w:rsid w:val="00A14C64"/>
    <w:rsid w:val="00A151C3"/>
    <w:rsid w:val="00A151DE"/>
    <w:rsid w:val="00A157B7"/>
    <w:rsid w:val="00A159A2"/>
    <w:rsid w:val="00A16016"/>
    <w:rsid w:val="00A16233"/>
    <w:rsid w:val="00A16717"/>
    <w:rsid w:val="00A17F95"/>
    <w:rsid w:val="00A21D13"/>
    <w:rsid w:val="00A21E58"/>
    <w:rsid w:val="00A22979"/>
    <w:rsid w:val="00A23591"/>
    <w:rsid w:val="00A23881"/>
    <w:rsid w:val="00A243CF"/>
    <w:rsid w:val="00A24434"/>
    <w:rsid w:val="00A253D3"/>
    <w:rsid w:val="00A25FAC"/>
    <w:rsid w:val="00A260E8"/>
    <w:rsid w:val="00A269BB"/>
    <w:rsid w:val="00A26D6E"/>
    <w:rsid w:val="00A26EBA"/>
    <w:rsid w:val="00A2798B"/>
    <w:rsid w:val="00A27AD2"/>
    <w:rsid w:val="00A319F0"/>
    <w:rsid w:val="00A31C25"/>
    <w:rsid w:val="00A31CF0"/>
    <w:rsid w:val="00A32198"/>
    <w:rsid w:val="00A32AE2"/>
    <w:rsid w:val="00A33404"/>
    <w:rsid w:val="00A33499"/>
    <w:rsid w:val="00A339A5"/>
    <w:rsid w:val="00A34D7F"/>
    <w:rsid w:val="00A34E7A"/>
    <w:rsid w:val="00A36050"/>
    <w:rsid w:val="00A362D4"/>
    <w:rsid w:val="00A36F6F"/>
    <w:rsid w:val="00A37106"/>
    <w:rsid w:val="00A4028F"/>
    <w:rsid w:val="00A408E8"/>
    <w:rsid w:val="00A4094F"/>
    <w:rsid w:val="00A40C9F"/>
    <w:rsid w:val="00A414EA"/>
    <w:rsid w:val="00A419B0"/>
    <w:rsid w:val="00A42239"/>
    <w:rsid w:val="00A42FCC"/>
    <w:rsid w:val="00A433F1"/>
    <w:rsid w:val="00A43865"/>
    <w:rsid w:val="00A43F37"/>
    <w:rsid w:val="00A444C4"/>
    <w:rsid w:val="00A44EFF"/>
    <w:rsid w:val="00A45CB2"/>
    <w:rsid w:val="00A460EA"/>
    <w:rsid w:val="00A46180"/>
    <w:rsid w:val="00A477A1"/>
    <w:rsid w:val="00A50B9F"/>
    <w:rsid w:val="00A50F0E"/>
    <w:rsid w:val="00A5139B"/>
    <w:rsid w:val="00A51DF5"/>
    <w:rsid w:val="00A524A5"/>
    <w:rsid w:val="00A5295B"/>
    <w:rsid w:val="00A53408"/>
    <w:rsid w:val="00A534C3"/>
    <w:rsid w:val="00A5544B"/>
    <w:rsid w:val="00A557C8"/>
    <w:rsid w:val="00A55BCC"/>
    <w:rsid w:val="00A57DA3"/>
    <w:rsid w:val="00A6086F"/>
    <w:rsid w:val="00A610D7"/>
    <w:rsid w:val="00A61936"/>
    <w:rsid w:val="00A61B24"/>
    <w:rsid w:val="00A621E2"/>
    <w:rsid w:val="00A62889"/>
    <w:rsid w:val="00A62DC9"/>
    <w:rsid w:val="00A63542"/>
    <w:rsid w:val="00A64159"/>
    <w:rsid w:val="00A64600"/>
    <w:rsid w:val="00A64695"/>
    <w:rsid w:val="00A64767"/>
    <w:rsid w:val="00A64B6B"/>
    <w:rsid w:val="00A6550E"/>
    <w:rsid w:val="00A6550F"/>
    <w:rsid w:val="00A661A0"/>
    <w:rsid w:val="00A661B6"/>
    <w:rsid w:val="00A6679C"/>
    <w:rsid w:val="00A66CEE"/>
    <w:rsid w:val="00A709C9"/>
    <w:rsid w:val="00A70A4C"/>
    <w:rsid w:val="00A71D47"/>
    <w:rsid w:val="00A720A3"/>
    <w:rsid w:val="00A720E0"/>
    <w:rsid w:val="00A72BDD"/>
    <w:rsid w:val="00A72E77"/>
    <w:rsid w:val="00A72FC6"/>
    <w:rsid w:val="00A736BD"/>
    <w:rsid w:val="00A74053"/>
    <w:rsid w:val="00A74B44"/>
    <w:rsid w:val="00A75760"/>
    <w:rsid w:val="00A75EC0"/>
    <w:rsid w:val="00A75F02"/>
    <w:rsid w:val="00A75F73"/>
    <w:rsid w:val="00A767AB"/>
    <w:rsid w:val="00A76831"/>
    <w:rsid w:val="00A77828"/>
    <w:rsid w:val="00A77929"/>
    <w:rsid w:val="00A77D51"/>
    <w:rsid w:val="00A810E9"/>
    <w:rsid w:val="00A81E49"/>
    <w:rsid w:val="00A828FC"/>
    <w:rsid w:val="00A82DAC"/>
    <w:rsid w:val="00A8384D"/>
    <w:rsid w:val="00A844EC"/>
    <w:rsid w:val="00A8473F"/>
    <w:rsid w:val="00A847AE"/>
    <w:rsid w:val="00A8490F"/>
    <w:rsid w:val="00A84FFC"/>
    <w:rsid w:val="00A85027"/>
    <w:rsid w:val="00A854AA"/>
    <w:rsid w:val="00A86AB0"/>
    <w:rsid w:val="00A912E1"/>
    <w:rsid w:val="00A92058"/>
    <w:rsid w:val="00A93C4B"/>
    <w:rsid w:val="00A941B0"/>
    <w:rsid w:val="00A96066"/>
    <w:rsid w:val="00A9681B"/>
    <w:rsid w:val="00A96CB7"/>
    <w:rsid w:val="00AA0AF9"/>
    <w:rsid w:val="00AA0E2D"/>
    <w:rsid w:val="00AA1016"/>
    <w:rsid w:val="00AA1E64"/>
    <w:rsid w:val="00AA2461"/>
    <w:rsid w:val="00AA2EFA"/>
    <w:rsid w:val="00AA3850"/>
    <w:rsid w:val="00AA4AF1"/>
    <w:rsid w:val="00AA4E13"/>
    <w:rsid w:val="00AA65A8"/>
    <w:rsid w:val="00AA6F30"/>
    <w:rsid w:val="00AB0952"/>
    <w:rsid w:val="00AB1678"/>
    <w:rsid w:val="00AB19C8"/>
    <w:rsid w:val="00AB1B4D"/>
    <w:rsid w:val="00AB23B6"/>
    <w:rsid w:val="00AB2E01"/>
    <w:rsid w:val="00AB31A8"/>
    <w:rsid w:val="00AB38D6"/>
    <w:rsid w:val="00AB3F31"/>
    <w:rsid w:val="00AB4296"/>
    <w:rsid w:val="00AB42D3"/>
    <w:rsid w:val="00AB476E"/>
    <w:rsid w:val="00AB5A52"/>
    <w:rsid w:val="00AB5B2D"/>
    <w:rsid w:val="00AB6A38"/>
    <w:rsid w:val="00AB6E08"/>
    <w:rsid w:val="00AB7B1D"/>
    <w:rsid w:val="00AC23EB"/>
    <w:rsid w:val="00AC2CCD"/>
    <w:rsid w:val="00AC3C64"/>
    <w:rsid w:val="00AC3DCD"/>
    <w:rsid w:val="00AC468B"/>
    <w:rsid w:val="00AC4BA2"/>
    <w:rsid w:val="00AC540E"/>
    <w:rsid w:val="00AC5EAC"/>
    <w:rsid w:val="00AC600E"/>
    <w:rsid w:val="00AC60E7"/>
    <w:rsid w:val="00AC618F"/>
    <w:rsid w:val="00AC6D3D"/>
    <w:rsid w:val="00AC7457"/>
    <w:rsid w:val="00AC7B5F"/>
    <w:rsid w:val="00AD05D4"/>
    <w:rsid w:val="00AD068C"/>
    <w:rsid w:val="00AD0709"/>
    <w:rsid w:val="00AD0D8E"/>
    <w:rsid w:val="00AD1092"/>
    <w:rsid w:val="00AD258C"/>
    <w:rsid w:val="00AD273E"/>
    <w:rsid w:val="00AD36CF"/>
    <w:rsid w:val="00AD44F8"/>
    <w:rsid w:val="00AD4509"/>
    <w:rsid w:val="00AD482A"/>
    <w:rsid w:val="00AD4D0F"/>
    <w:rsid w:val="00AD4D47"/>
    <w:rsid w:val="00AD5284"/>
    <w:rsid w:val="00AD53F5"/>
    <w:rsid w:val="00AD5EB7"/>
    <w:rsid w:val="00AD729C"/>
    <w:rsid w:val="00AD78B6"/>
    <w:rsid w:val="00AD7A23"/>
    <w:rsid w:val="00AE1ED3"/>
    <w:rsid w:val="00AE2264"/>
    <w:rsid w:val="00AE31B3"/>
    <w:rsid w:val="00AE3909"/>
    <w:rsid w:val="00AE3A0A"/>
    <w:rsid w:val="00AE4625"/>
    <w:rsid w:val="00AE51DF"/>
    <w:rsid w:val="00AE5F8B"/>
    <w:rsid w:val="00AE5FE6"/>
    <w:rsid w:val="00AE6ECD"/>
    <w:rsid w:val="00AF00FD"/>
    <w:rsid w:val="00AF14E9"/>
    <w:rsid w:val="00AF22EA"/>
    <w:rsid w:val="00AF2419"/>
    <w:rsid w:val="00AF2CA4"/>
    <w:rsid w:val="00AF317E"/>
    <w:rsid w:val="00AF3362"/>
    <w:rsid w:val="00AF4AE8"/>
    <w:rsid w:val="00AF5AA5"/>
    <w:rsid w:val="00AF5EEE"/>
    <w:rsid w:val="00AF6E2A"/>
    <w:rsid w:val="00AF748A"/>
    <w:rsid w:val="00AF7A03"/>
    <w:rsid w:val="00B000A6"/>
    <w:rsid w:val="00B01557"/>
    <w:rsid w:val="00B01930"/>
    <w:rsid w:val="00B01E4E"/>
    <w:rsid w:val="00B0206C"/>
    <w:rsid w:val="00B0206D"/>
    <w:rsid w:val="00B02F6B"/>
    <w:rsid w:val="00B0382C"/>
    <w:rsid w:val="00B03AD7"/>
    <w:rsid w:val="00B03C57"/>
    <w:rsid w:val="00B051C1"/>
    <w:rsid w:val="00B05C4B"/>
    <w:rsid w:val="00B0633C"/>
    <w:rsid w:val="00B063D6"/>
    <w:rsid w:val="00B06799"/>
    <w:rsid w:val="00B0688E"/>
    <w:rsid w:val="00B069D1"/>
    <w:rsid w:val="00B07B8F"/>
    <w:rsid w:val="00B10EF2"/>
    <w:rsid w:val="00B11268"/>
    <w:rsid w:val="00B11D3C"/>
    <w:rsid w:val="00B12F97"/>
    <w:rsid w:val="00B135E3"/>
    <w:rsid w:val="00B13DBD"/>
    <w:rsid w:val="00B14B5F"/>
    <w:rsid w:val="00B14E7B"/>
    <w:rsid w:val="00B14F6D"/>
    <w:rsid w:val="00B158D5"/>
    <w:rsid w:val="00B16D1C"/>
    <w:rsid w:val="00B17434"/>
    <w:rsid w:val="00B1792A"/>
    <w:rsid w:val="00B17E9C"/>
    <w:rsid w:val="00B21048"/>
    <w:rsid w:val="00B21D1C"/>
    <w:rsid w:val="00B221B0"/>
    <w:rsid w:val="00B22ECC"/>
    <w:rsid w:val="00B230F1"/>
    <w:rsid w:val="00B242AC"/>
    <w:rsid w:val="00B24539"/>
    <w:rsid w:val="00B24754"/>
    <w:rsid w:val="00B25371"/>
    <w:rsid w:val="00B25B32"/>
    <w:rsid w:val="00B2673A"/>
    <w:rsid w:val="00B26FB0"/>
    <w:rsid w:val="00B30701"/>
    <w:rsid w:val="00B31A9B"/>
    <w:rsid w:val="00B32C59"/>
    <w:rsid w:val="00B32DAE"/>
    <w:rsid w:val="00B336A7"/>
    <w:rsid w:val="00B3456A"/>
    <w:rsid w:val="00B36B77"/>
    <w:rsid w:val="00B3782C"/>
    <w:rsid w:val="00B40484"/>
    <w:rsid w:val="00B411FA"/>
    <w:rsid w:val="00B42173"/>
    <w:rsid w:val="00B422BA"/>
    <w:rsid w:val="00B423D9"/>
    <w:rsid w:val="00B428B8"/>
    <w:rsid w:val="00B4324B"/>
    <w:rsid w:val="00B4348D"/>
    <w:rsid w:val="00B44DF1"/>
    <w:rsid w:val="00B45820"/>
    <w:rsid w:val="00B45822"/>
    <w:rsid w:val="00B458A9"/>
    <w:rsid w:val="00B45A6D"/>
    <w:rsid w:val="00B460F0"/>
    <w:rsid w:val="00B463F7"/>
    <w:rsid w:val="00B4739D"/>
    <w:rsid w:val="00B47853"/>
    <w:rsid w:val="00B50E8D"/>
    <w:rsid w:val="00B529D4"/>
    <w:rsid w:val="00B53537"/>
    <w:rsid w:val="00B5434E"/>
    <w:rsid w:val="00B54E36"/>
    <w:rsid w:val="00B5507A"/>
    <w:rsid w:val="00B55928"/>
    <w:rsid w:val="00B55EE7"/>
    <w:rsid w:val="00B56030"/>
    <w:rsid w:val="00B565EB"/>
    <w:rsid w:val="00B578B9"/>
    <w:rsid w:val="00B57BEB"/>
    <w:rsid w:val="00B57C5E"/>
    <w:rsid w:val="00B60228"/>
    <w:rsid w:val="00B60FCC"/>
    <w:rsid w:val="00B620E6"/>
    <w:rsid w:val="00B626A3"/>
    <w:rsid w:val="00B6524B"/>
    <w:rsid w:val="00B6569F"/>
    <w:rsid w:val="00B65DA9"/>
    <w:rsid w:val="00B662E8"/>
    <w:rsid w:val="00B66869"/>
    <w:rsid w:val="00B66FDC"/>
    <w:rsid w:val="00B674F3"/>
    <w:rsid w:val="00B676A0"/>
    <w:rsid w:val="00B67876"/>
    <w:rsid w:val="00B67C27"/>
    <w:rsid w:val="00B701F6"/>
    <w:rsid w:val="00B702DE"/>
    <w:rsid w:val="00B706FA"/>
    <w:rsid w:val="00B71148"/>
    <w:rsid w:val="00B7155A"/>
    <w:rsid w:val="00B7295F"/>
    <w:rsid w:val="00B735F7"/>
    <w:rsid w:val="00B73601"/>
    <w:rsid w:val="00B73C0E"/>
    <w:rsid w:val="00B74EA0"/>
    <w:rsid w:val="00B75731"/>
    <w:rsid w:val="00B768D1"/>
    <w:rsid w:val="00B76D01"/>
    <w:rsid w:val="00B76EAF"/>
    <w:rsid w:val="00B77310"/>
    <w:rsid w:val="00B779E0"/>
    <w:rsid w:val="00B77CE9"/>
    <w:rsid w:val="00B80E7C"/>
    <w:rsid w:val="00B814B1"/>
    <w:rsid w:val="00B819FF"/>
    <w:rsid w:val="00B81F3E"/>
    <w:rsid w:val="00B82445"/>
    <w:rsid w:val="00B82C43"/>
    <w:rsid w:val="00B83090"/>
    <w:rsid w:val="00B84041"/>
    <w:rsid w:val="00B84A56"/>
    <w:rsid w:val="00B84E4B"/>
    <w:rsid w:val="00B8568C"/>
    <w:rsid w:val="00B86220"/>
    <w:rsid w:val="00B8683E"/>
    <w:rsid w:val="00B90109"/>
    <w:rsid w:val="00B907D5"/>
    <w:rsid w:val="00B91015"/>
    <w:rsid w:val="00B9211E"/>
    <w:rsid w:val="00B925FE"/>
    <w:rsid w:val="00B9291E"/>
    <w:rsid w:val="00B92AEF"/>
    <w:rsid w:val="00B92D94"/>
    <w:rsid w:val="00B95645"/>
    <w:rsid w:val="00B9593E"/>
    <w:rsid w:val="00B95AA9"/>
    <w:rsid w:val="00B95F46"/>
    <w:rsid w:val="00B96021"/>
    <w:rsid w:val="00B967A4"/>
    <w:rsid w:val="00B96FB1"/>
    <w:rsid w:val="00B97F3A"/>
    <w:rsid w:val="00BA0BA2"/>
    <w:rsid w:val="00BA0F30"/>
    <w:rsid w:val="00BA1DA9"/>
    <w:rsid w:val="00BA1E76"/>
    <w:rsid w:val="00BA2313"/>
    <w:rsid w:val="00BA475E"/>
    <w:rsid w:val="00BA51CC"/>
    <w:rsid w:val="00BA7E0B"/>
    <w:rsid w:val="00BB0D06"/>
    <w:rsid w:val="00BB2C1A"/>
    <w:rsid w:val="00BB3196"/>
    <w:rsid w:val="00BB3B6C"/>
    <w:rsid w:val="00BB3C38"/>
    <w:rsid w:val="00BB3CC5"/>
    <w:rsid w:val="00BB441B"/>
    <w:rsid w:val="00BB5044"/>
    <w:rsid w:val="00BB524F"/>
    <w:rsid w:val="00BB5823"/>
    <w:rsid w:val="00BB5A09"/>
    <w:rsid w:val="00BB636B"/>
    <w:rsid w:val="00BB7116"/>
    <w:rsid w:val="00BC038D"/>
    <w:rsid w:val="00BC0E08"/>
    <w:rsid w:val="00BC167A"/>
    <w:rsid w:val="00BC2822"/>
    <w:rsid w:val="00BC4290"/>
    <w:rsid w:val="00BC5703"/>
    <w:rsid w:val="00BC767E"/>
    <w:rsid w:val="00BC7C53"/>
    <w:rsid w:val="00BD0228"/>
    <w:rsid w:val="00BD0522"/>
    <w:rsid w:val="00BD0971"/>
    <w:rsid w:val="00BD17C4"/>
    <w:rsid w:val="00BD24CF"/>
    <w:rsid w:val="00BD360C"/>
    <w:rsid w:val="00BD3764"/>
    <w:rsid w:val="00BD3D37"/>
    <w:rsid w:val="00BD4712"/>
    <w:rsid w:val="00BD47AE"/>
    <w:rsid w:val="00BD49EB"/>
    <w:rsid w:val="00BD4A43"/>
    <w:rsid w:val="00BD5DCC"/>
    <w:rsid w:val="00BD62A3"/>
    <w:rsid w:val="00BD6C1F"/>
    <w:rsid w:val="00BE09DE"/>
    <w:rsid w:val="00BE0FDE"/>
    <w:rsid w:val="00BE1EF5"/>
    <w:rsid w:val="00BE289D"/>
    <w:rsid w:val="00BE2F6D"/>
    <w:rsid w:val="00BE4570"/>
    <w:rsid w:val="00BE5093"/>
    <w:rsid w:val="00BE5271"/>
    <w:rsid w:val="00BE6357"/>
    <w:rsid w:val="00BE6DB9"/>
    <w:rsid w:val="00BE760C"/>
    <w:rsid w:val="00BE7AE0"/>
    <w:rsid w:val="00BF0286"/>
    <w:rsid w:val="00BF05C0"/>
    <w:rsid w:val="00BF05FF"/>
    <w:rsid w:val="00BF1210"/>
    <w:rsid w:val="00BF1214"/>
    <w:rsid w:val="00BF1416"/>
    <w:rsid w:val="00BF1F3C"/>
    <w:rsid w:val="00BF2359"/>
    <w:rsid w:val="00BF295A"/>
    <w:rsid w:val="00BF45BE"/>
    <w:rsid w:val="00BF4737"/>
    <w:rsid w:val="00BF4E94"/>
    <w:rsid w:val="00BF4F34"/>
    <w:rsid w:val="00BF4F42"/>
    <w:rsid w:val="00BF5410"/>
    <w:rsid w:val="00BF5E0F"/>
    <w:rsid w:val="00BF65A2"/>
    <w:rsid w:val="00BF740C"/>
    <w:rsid w:val="00BF7A56"/>
    <w:rsid w:val="00BF7FFC"/>
    <w:rsid w:val="00C00045"/>
    <w:rsid w:val="00C0064C"/>
    <w:rsid w:val="00C011FA"/>
    <w:rsid w:val="00C01B1F"/>
    <w:rsid w:val="00C01B3E"/>
    <w:rsid w:val="00C02458"/>
    <w:rsid w:val="00C03364"/>
    <w:rsid w:val="00C05812"/>
    <w:rsid w:val="00C05D48"/>
    <w:rsid w:val="00C06D9C"/>
    <w:rsid w:val="00C07130"/>
    <w:rsid w:val="00C07B42"/>
    <w:rsid w:val="00C07E01"/>
    <w:rsid w:val="00C07E5D"/>
    <w:rsid w:val="00C10883"/>
    <w:rsid w:val="00C10D54"/>
    <w:rsid w:val="00C112D5"/>
    <w:rsid w:val="00C1337D"/>
    <w:rsid w:val="00C13E2D"/>
    <w:rsid w:val="00C14B15"/>
    <w:rsid w:val="00C15DAC"/>
    <w:rsid w:val="00C160D8"/>
    <w:rsid w:val="00C16C75"/>
    <w:rsid w:val="00C16FF6"/>
    <w:rsid w:val="00C170B1"/>
    <w:rsid w:val="00C17668"/>
    <w:rsid w:val="00C17D83"/>
    <w:rsid w:val="00C2170F"/>
    <w:rsid w:val="00C221A4"/>
    <w:rsid w:val="00C23833"/>
    <w:rsid w:val="00C23874"/>
    <w:rsid w:val="00C23A49"/>
    <w:rsid w:val="00C23A65"/>
    <w:rsid w:val="00C2562E"/>
    <w:rsid w:val="00C25CD6"/>
    <w:rsid w:val="00C266D5"/>
    <w:rsid w:val="00C2737D"/>
    <w:rsid w:val="00C2746A"/>
    <w:rsid w:val="00C27B78"/>
    <w:rsid w:val="00C2CEE0"/>
    <w:rsid w:val="00C310AF"/>
    <w:rsid w:val="00C31B4C"/>
    <w:rsid w:val="00C341CB"/>
    <w:rsid w:val="00C3439A"/>
    <w:rsid w:val="00C34419"/>
    <w:rsid w:val="00C3462C"/>
    <w:rsid w:val="00C34761"/>
    <w:rsid w:val="00C403C3"/>
    <w:rsid w:val="00C413E0"/>
    <w:rsid w:val="00C41A51"/>
    <w:rsid w:val="00C41B86"/>
    <w:rsid w:val="00C41DDA"/>
    <w:rsid w:val="00C41DFE"/>
    <w:rsid w:val="00C439EE"/>
    <w:rsid w:val="00C43D1A"/>
    <w:rsid w:val="00C43DEF"/>
    <w:rsid w:val="00C4424F"/>
    <w:rsid w:val="00C44673"/>
    <w:rsid w:val="00C44C55"/>
    <w:rsid w:val="00C453B9"/>
    <w:rsid w:val="00C45CEB"/>
    <w:rsid w:val="00C4611A"/>
    <w:rsid w:val="00C465B1"/>
    <w:rsid w:val="00C46CA4"/>
    <w:rsid w:val="00C4794B"/>
    <w:rsid w:val="00C479F5"/>
    <w:rsid w:val="00C512FC"/>
    <w:rsid w:val="00C514C0"/>
    <w:rsid w:val="00C52A02"/>
    <w:rsid w:val="00C5375F"/>
    <w:rsid w:val="00C53AE4"/>
    <w:rsid w:val="00C54476"/>
    <w:rsid w:val="00C54B92"/>
    <w:rsid w:val="00C55213"/>
    <w:rsid w:val="00C5521A"/>
    <w:rsid w:val="00C5534B"/>
    <w:rsid w:val="00C55875"/>
    <w:rsid w:val="00C55CFA"/>
    <w:rsid w:val="00C55F3C"/>
    <w:rsid w:val="00C565ED"/>
    <w:rsid w:val="00C56A91"/>
    <w:rsid w:val="00C57C5E"/>
    <w:rsid w:val="00C61BC7"/>
    <w:rsid w:val="00C61F3C"/>
    <w:rsid w:val="00C6295C"/>
    <w:rsid w:val="00C62A61"/>
    <w:rsid w:val="00C638C8"/>
    <w:rsid w:val="00C63FFC"/>
    <w:rsid w:val="00C65120"/>
    <w:rsid w:val="00C652B9"/>
    <w:rsid w:val="00C66763"/>
    <w:rsid w:val="00C66921"/>
    <w:rsid w:val="00C67A92"/>
    <w:rsid w:val="00C703B1"/>
    <w:rsid w:val="00C706B2"/>
    <w:rsid w:val="00C717A1"/>
    <w:rsid w:val="00C7182F"/>
    <w:rsid w:val="00C7186F"/>
    <w:rsid w:val="00C71AD2"/>
    <w:rsid w:val="00C72253"/>
    <w:rsid w:val="00C731CF"/>
    <w:rsid w:val="00C74036"/>
    <w:rsid w:val="00C744F6"/>
    <w:rsid w:val="00C74B1C"/>
    <w:rsid w:val="00C74CB8"/>
    <w:rsid w:val="00C750CA"/>
    <w:rsid w:val="00C75771"/>
    <w:rsid w:val="00C75AE8"/>
    <w:rsid w:val="00C7690E"/>
    <w:rsid w:val="00C77E4E"/>
    <w:rsid w:val="00C8038C"/>
    <w:rsid w:val="00C817AD"/>
    <w:rsid w:val="00C81A86"/>
    <w:rsid w:val="00C820D1"/>
    <w:rsid w:val="00C83C0F"/>
    <w:rsid w:val="00C83E01"/>
    <w:rsid w:val="00C83E55"/>
    <w:rsid w:val="00C846AA"/>
    <w:rsid w:val="00C84E01"/>
    <w:rsid w:val="00C85144"/>
    <w:rsid w:val="00C851D6"/>
    <w:rsid w:val="00C85454"/>
    <w:rsid w:val="00C857F2"/>
    <w:rsid w:val="00C859C8"/>
    <w:rsid w:val="00C85B76"/>
    <w:rsid w:val="00C86429"/>
    <w:rsid w:val="00C867EF"/>
    <w:rsid w:val="00C86B3F"/>
    <w:rsid w:val="00C9180B"/>
    <w:rsid w:val="00C92202"/>
    <w:rsid w:val="00C929CA"/>
    <w:rsid w:val="00C92B3A"/>
    <w:rsid w:val="00C92FA4"/>
    <w:rsid w:val="00C9362E"/>
    <w:rsid w:val="00C93A52"/>
    <w:rsid w:val="00C93BBC"/>
    <w:rsid w:val="00C93F1E"/>
    <w:rsid w:val="00C93FFD"/>
    <w:rsid w:val="00C942EE"/>
    <w:rsid w:val="00C944B2"/>
    <w:rsid w:val="00C94D4B"/>
    <w:rsid w:val="00C953A6"/>
    <w:rsid w:val="00C967C0"/>
    <w:rsid w:val="00C96A3C"/>
    <w:rsid w:val="00C9750A"/>
    <w:rsid w:val="00C975D5"/>
    <w:rsid w:val="00C97A30"/>
    <w:rsid w:val="00C97B89"/>
    <w:rsid w:val="00C97DA7"/>
    <w:rsid w:val="00CA345D"/>
    <w:rsid w:val="00CA36A5"/>
    <w:rsid w:val="00CA3D82"/>
    <w:rsid w:val="00CA41D1"/>
    <w:rsid w:val="00CA4B55"/>
    <w:rsid w:val="00CA55B8"/>
    <w:rsid w:val="00CA55EE"/>
    <w:rsid w:val="00CA5D21"/>
    <w:rsid w:val="00CA5DEE"/>
    <w:rsid w:val="00CA6013"/>
    <w:rsid w:val="00CA6B8E"/>
    <w:rsid w:val="00CA7CE9"/>
    <w:rsid w:val="00CA7CF6"/>
    <w:rsid w:val="00CB02C9"/>
    <w:rsid w:val="00CB0324"/>
    <w:rsid w:val="00CB05E6"/>
    <w:rsid w:val="00CB09EC"/>
    <w:rsid w:val="00CB186A"/>
    <w:rsid w:val="00CB2954"/>
    <w:rsid w:val="00CB3D58"/>
    <w:rsid w:val="00CB53CD"/>
    <w:rsid w:val="00CB5A44"/>
    <w:rsid w:val="00CB5A47"/>
    <w:rsid w:val="00CB7B9C"/>
    <w:rsid w:val="00CB7FC6"/>
    <w:rsid w:val="00CC0FD2"/>
    <w:rsid w:val="00CC10B5"/>
    <w:rsid w:val="00CC2112"/>
    <w:rsid w:val="00CC2221"/>
    <w:rsid w:val="00CC320E"/>
    <w:rsid w:val="00CC36BC"/>
    <w:rsid w:val="00CC3A5E"/>
    <w:rsid w:val="00CC434B"/>
    <w:rsid w:val="00CC504D"/>
    <w:rsid w:val="00CC54F8"/>
    <w:rsid w:val="00CC75ED"/>
    <w:rsid w:val="00CC76B9"/>
    <w:rsid w:val="00CC7A5E"/>
    <w:rsid w:val="00CC7FD9"/>
    <w:rsid w:val="00CD04A1"/>
    <w:rsid w:val="00CD1125"/>
    <w:rsid w:val="00CD17CC"/>
    <w:rsid w:val="00CD184A"/>
    <w:rsid w:val="00CD1B9A"/>
    <w:rsid w:val="00CD2194"/>
    <w:rsid w:val="00CD2281"/>
    <w:rsid w:val="00CD240B"/>
    <w:rsid w:val="00CD34AD"/>
    <w:rsid w:val="00CD34B2"/>
    <w:rsid w:val="00CD3FB1"/>
    <w:rsid w:val="00CD4C1A"/>
    <w:rsid w:val="00CD51DF"/>
    <w:rsid w:val="00CD59F2"/>
    <w:rsid w:val="00CD5BA9"/>
    <w:rsid w:val="00CD7104"/>
    <w:rsid w:val="00CD7293"/>
    <w:rsid w:val="00CD7AD4"/>
    <w:rsid w:val="00CD7EAE"/>
    <w:rsid w:val="00CE017A"/>
    <w:rsid w:val="00CE215C"/>
    <w:rsid w:val="00CE27F0"/>
    <w:rsid w:val="00CE3C25"/>
    <w:rsid w:val="00CE4B06"/>
    <w:rsid w:val="00CE525F"/>
    <w:rsid w:val="00CE5B6D"/>
    <w:rsid w:val="00CE5C1D"/>
    <w:rsid w:val="00CE6664"/>
    <w:rsid w:val="00CE6D0E"/>
    <w:rsid w:val="00CE7853"/>
    <w:rsid w:val="00CF0046"/>
    <w:rsid w:val="00CF0A7A"/>
    <w:rsid w:val="00CF0C10"/>
    <w:rsid w:val="00CF0D31"/>
    <w:rsid w:val="00CF0DEA"/>
    <w:rsid w:val="00CF1C37"/>
    <w:rsid w:val="00CF2825"/>
    <w:rsid w:val="00CF2AE8"/>
    <w:rsid w:val="00CF3AF5"/>
    <w:rsid w:val="00CF3F44"/>
    <w:rsid w:val="00CF4FA2"/>
    <w:rsid w:val="00CF5583"/>
    <w:rsid w:val="00CF7137"/>
    <w:rsid w:val="00D00ABB"/>
    <w:rsid w:val="00D012F8"/>
    <w:rsid w:val="00D01A7B"/>
    <w:rsid w:val="00D02D5D"/>
    <w:rsid w:val="00D04186"/>
    <w:rsid w:val="00D04576"/>
    <w:rsid w:val="00D04694"/>
    <w:rsid w:val="00D04D3F"/>
    <w:rsid w:val="00D0569D"/>
    <w:rsid w:val="00D05926"/>
    <w:rsid w:val="00D05C1C"/>
    <w:rsid w:val="00D06B38"/>
    <w:rsid w:val="00D06EF8"/>
    <w:rsid w:val="00D0706F"/>
    <w:rsid w:val="00D07294"/>
    <w:rsid w:val="00D11052"/>
    <w:rsid w:val="00D11DE1"/>
    <w:rsid w:val="00D1206B"/>
    <w:rsid w:val="00D12C60"/>
    <w:rsid w:val="00D13808"/>
    <w:rsid w:val="00D14242"/>
    <w:rsid w:val="00D14615"/>
    <w:rsid w:val="00D15534"/>
    <w:rsid w:val="00D156CE"/>
    <w:rsid w:val="00D163BC"/>
    <w:rsid w:val="00D165E3"/>
    <w:rsid w:val="00D17138"/>
    <w:rsid w:val="00D176C6"/>
    <w:rsid w:val="00D17CEE"/>
    <w:rsid w:val="00D202D8"/>
    <w:rsid w:val="00D20F9F"/>
    <w:rsid w:val="00D21A4B"/>
    <w:rsid w:val="00D21C58"/>
    <w:rsid w:val="00D21EFC"/>
    <w:rsid w:val="00D22210"/>
    <w:rsid w:val="00D223F7"/>
    <w:rsid w:val="00D2324F"/>
    <w:rsid w:val="00D23876"/>
    <w:rsid w:val="00D241AA"/>
    <w:rsid w:val="00D24B3E"/>
    <w:rsid w:val="00D2515B"/>
    <w:rsid w:val="00D25168"/>
    <w:rsid w:val="00D2571C"/>
    <w:rsid w:val="00D2684E"/>
    <w:rsid w:val="00D26B2C"/>
    <w:rsid w:val="00D26C6D"/>
    <w:rsid w:val="00D27767"/>
    <w:rsid w:val="00D2778C"/>
    <w:rsid w:val="00D3024F"/>
    <w:rsid w:val="00D302BC"/>
    <w:rsid w:val="00D30F78"/>
    <w:rsid w:val="00D32498"/>
    <w:rsid w:val="00D32E1C"/>
    <w:rsid w:val="00D33473"/>
    <w:rsid w:val="00D3349D"/>
    <w:rsid w:val="00D33D73"/>
    <w:rsid w:val="00D347C0"/>
    <w:rsid w:val="00D34C2B"/>
    <w:rsid w:val="00D350EA"/>
    <w:rsid w:val="00D355F9"/>
    <w:rsid w:val="00D35979"/>
    <w:rsid w:val="00D35D10"/>
    <w:rsid w:val="00D35FD7"/>
    <w:rsid w:val="00D35FEA"/>
    <w:rsid w:val="00D35FFF"/>
    <w:rsid w:val="00D361D7"/>
    <w:rsid w:val="00D36C90"/>
    <w:rsid w:val="00D37344"/>
    <w:rsid w:val="00D37423"/>
    <w:rsid w:val="00D37770"/>
    <w:rsid w:val="00D37CA4"/>
    <w:rsid w:val="00D37EB1"/>
    <w:rsid w:val="00D406CB"/>
    <w:rsid w:val="00D40AA4"/>
    <w:rsid w:val="00D41360"/>
    <w:rsid w:val="00D41557"/>
    <w:rsid w:val="00D41D75"/>
    <w:rsid w:val="00D421B1"/>
    <w:rsid w:val="00D44385"/>
    <w:rsid w:val="00D444F4"/>
    <w:rsid w:val="00D4485A"/>
    <w:rsid w:val="00D448EC"/>
    <w:rsid w:val="00D44C2B"/>
    <w:rsid w:val="00D44C32"/>
    <w:rsid w:val="00D452C9"/>
    <w:rsid w:val="00D45503"/>
    <w:rsid w:val="00D45AA1"/>
    <w:rsid w:val="00D4657D"/>
    <w:rsid w:val="00D477DD"/>
    <w:rsid w:val="00D47E8F"/>
    <w:rsid w:val="00D5087D"/>
    <w:rsid w:val="00D50B01"/>
    <w:rsid w:val="00D510D1"/>
    <w:rsid w:val="00D511AC"/>
    <w:rsid w:val="00D547BD"/>
    <w:rsid w:val="00D55511"/>
    <w:rsid w:val="00D5581F"/>
    <w:rsid w:val="00D55BCA"/>
    <w:rsid w:val="00D56886"/>
    <w:rsid w:val="00D575F6"/>
    <w:rsid w:val="00D600B5"/>
    <w:rsid w:val="00D600D2"/>
    <w:rsid w:val="00D60827"/>
    <w:rsid w:val="00D61777"/>
    <w:rsid w:val="00D61F3D"/>
    <w:rsid w:val="00D6240E"/>
    <w:rsid w:val="00D630B8"/>
    <w:rsid w:val="00D63258"/>
    <w:rsid w:val="00D63536"/>
    <w:rsid w:val="00D63717"/>
    <w:rsid w:val="00D6388F"/>
    <w:rsid w:val="00D66087"/>
    <w:rsid w:val="00D67F1B"/>
    <w:rsid w:val="00D70E63"/>
    <w:rsid w:val="00D71BE4"/>
    <w:rsid w:val="00D73738"/>
    <w:rsid w:val="00D73FAC"/>
    <w:rsid w:val="00D741CF"/>
    <w:rsid w:val="00D74471"/>
    <w:rsid w:val="00D75582"/>
    <w:rsid w:val="00D75B94"/>
    <w:rsid w:val="00D7765E"/>
    <w:rsid w:val="00D77C42"/>
    <w:rsid w:val="00D80B28"/>
    <w:rsid w:val="00D825D5"/>
    <w:rsid w:val="00D83025"/>
    <w:rsid w:val="00D83084"/>
    <w:rsid w:val="00D83307"/>
    <w:rsid w:val="00D85030"/>
    <w:rsid w:val="00D85570"/>
    <w:rsid w:val="00D85A7B"/>
    <w:rsid w:val="00D85CBF"/>
    <w:rsid w:val="00D8625D"/>
    <w:rsid w:val="00D86749"/>
    <w:rsid w:val="00D87357"/>
    <w:rsid w:val="00D8741B"/>
    <w:rsid w:val="00D87CAD"/>
    <w:rsid w:val="00D87E3C"/>
    <w:rsid w:val="00D9013E"/>
    <w:rsid w:val="00D90C4F"/>
    <w:rsid w:val="00D91496"/>
    <w:rsid w:val="00D91593"/>
    <w:rsid w:val="00D9289D"/>
    <w:rsid w:val="00D930B5"/>
    <w:rsid w:val="00D93FD2"/>
    <w:rsid w:val="00D945BA"/>
    <w:rsid w:val="00D947D7"/>
    <w:rsid w:val="00D94ECD"/>
    <w:rsid w:val="00D95016"/>
    <w:rsid w:val="00D96BFD"/>
    <w:rsid w:val="00DA069B"/>
    <w:rsid w:val="00DA127A"/>
    <w:rsid w:val="00DA13D9"/>
    <w:rsid w:val="00DA1951"/>
    <w:rsid w:val="00DA19F8"/>
    <w:rsid w:val="00DA4289"/>
    <w:rsid w:val="00DA471A"/>
    <w:rsid w:val="00DA5651"/>
    <w:rsid w:val="00DA57B1"/>
    <w:rsid w:val="00DA5EA4"/>
    <w:rsid w:val="00DA7163"/>
    <w:rsid w:val="00DB0E0F"/>
    <w:rsid w:val="00DB14C3"/>
    <w:rsid w:val="00DB24BB"/>
    <w:rsid w:val="00DB2D4E"/>
    <w:rsid w:val="00DB31FA"/>
    <w:rsid w:val="00DB33BD"/>
    <w:rsid w:val="00DB41F6"/>
    <w:rsid w:val="00DB4388"/>
    <w:rsid w:val="00DB4A5F"/>
    <w:rsid w:val="00DB4D72"/>
    <w:rsid w:val="00DB5D48"/>
    <w:rsid w:val="00DC0E17"/>
    <w:rsid w:val="00DC2303"/>
    <w:rsid w:val="00DC2B49"/>
    <w:rsid w:val="00DC2C60"/>
    <w:rsid w:val="00DC30B1"/>
    <w:rsid w:val="00DC33E5"/>
    <w:rsid w:val="00DC358B"/>
    <w:rsid w:val="00DC396D"/>
    <w:rsid w:val="00DC397B"/>
    <w:rsid w:val="00DC39DE"/>
    <w:rsid w:val="00DC3A23"/>
    <w:rsid w:val="00DC3CE4"/>
    <w:rsid w:val="00DC4EE5"/>
    <w:rsid w:val="00DC5516"/>
    <w:rsid w:val="00DC6315"/>
    <w:rsid w:val="00DC6664"/>
    <w:rsid w:val="00DC6D8A"/>
    <w:rsid w:val="00DC771E"/>
    <w:rsid w:val="00DD0254"/>
    <w:rsid w:val="00DD042D"/>
    <w:rsid w:val="00DD1947"/>
    <w:rsid w:val="00DD1C78"/>
    <w:rsid w:val="00DD257E"/>
    <w:rsid w:val="00DD2A95"/>
    <w:rsid w:val="00DD2A9F"/>
    <w:rsid w:val="00DD2AA0"/>
    <w:rsid w:val="00DD34BF"/>
    <w:rsid w:val="00DD454F"/>
    <w:rsid w:val="00DD5F05"/>
    <w:rsid w:val="00DD617D"/>
    <w:rsid w:val="00DD6241"/>
    <w:rsid w:val="00DD652E"/>
    <w:rsid w:val="00DD6692"/>
    <w:rsid w:val="00DD6E7F"/>
    <w:rsid w:val="00DD6F11"/>
    <w:rsid w:val="00DD70A9"/>
    <w:rsid w:val="00DD76C7"/>
    <w:rsid w:val="00DE092B"/>
    <w:rsid w:val="00DE0A84"/>
    <w:rsid w:val="00DE0E4A"/>
    <w:rsid w:val="00DE0FF5"/>
    <w:rsid w:val="00DE1547"/>
    <w:rsid w:val="00DE2F25"/>
    <w:rsid w:val="00DE3170"/>
    <w:rsid w:val="00DE3D5D"/>
    <w:rsid w:val="00DE438B"/>
    <w:rsid w:val="00DE546C"/>
    <w:rsid w:val="00DE56D4"/>
    <w:rsid w:val="00DE5778"/>
    <w:rsid w:val="00DE5ECC"/>
    <w:rsid w:val="00DE641E"/>
    <w:rsid w:val="00DE7258"/>
    <w:rsid w:val="00DE75E7"/>
    <w:rsid w:val="00DE7A5F"/>
    <w:rsid w:val="00DF06EC"/>
    <w:rsid w:val="00DF09D1"/>
    <w:rsid w:val="00DF0B75"/>
    <w:rsid w:val="00DF0F61"/>
    <w:rsid w:val="00DF220C"/>
    <w:rsid w:val="00DF28C6"/>
    <w:rsid w:val="00DF3D24"/>
    <w:rsid w:val="00DF49BC"/>
    <w:rsid w:val="00DF4BD8"/>
    <w:rsid w:val="00DF576B"/>
    <w:rsid w:val="00DF5B3C"/>
    <w:rsid w:val="00DF62E1"/>
    <w:rsid w:val="00DF6391"/>
    <w:rsid w:val="00DF66E4"/>
    <w:rsid w:val="00DF73ED"/>
    <w:rsid w:val="00DF7571"/>
    <w:rsid w:val="00DF7633"/>
    <w:rsid w:val="00E0016A"/>
    <w:rsid w:val="00E00225"/>
    <w:rsid w:val="00E00DCD"/>
    <w:rsid w:val="00E010AE"/>
    <w:rsid w:val="00E01BB6"/>
    <w:rsid w:val="00E01D0C"/>
    <w:rsid w:val="00E02142"/>
    <w:rsid w:val="00E02C9D"/>
    <w:rsid w:val="00E0362D"/>
    <w:rsid w:val="00E03740"/>
    <w:rsid w:val="00E03C10"/>
    <w:rsid w:val="00E047CA"/>
    <w:rsid w:val="00E04FDF"/>
    <w:rsid w:val="00E05F2A"/>
    <w:rsid w:val="00E066AF"/>
    <w:rsid w:val="00E07655"/>
    <w:rsid w:val="00E07734"/>
    <w:rsid w:val="00E07B3F"/>
    <w:rsid w:val="00E10235"/>
    <w:rsid w:val="00E1024D"/>
    <w:rsid w:val="00E10A34"/>
    <w:rsid w:val="00E10A94"/>
    <w:rsid w:val="00E11E00"/>
    <w:rsid w:val="00E134C6"/>
    <w:rsid w:val="00E1356F"/>
    <w:rsid w:val="00E13800"/>
    <w:rsid w:val="00E142D7"/>
    <w:rsid w:val="00E14B8D"/>
    <w:rsid w:val="00E15CC6"/>
    <w:rsid w:val="00E15DC9"/>
    <w:rsid w:val="00E21125"/>
    <w:rsid w:val="00E211CA"/>
    <w:rsid w:val="00E21A8B"/>
    <w:rsid w:val="00E21D07"/>
    <w:rsid w:val="00E2286D"/>
    <w:rsid w:val="00E22F8E"/>
    <w:rsid w:val="00E23646"/>
    <w:rsid w:val="00E2368E"/>
    <w:rsid w:val="00E23D68"/>
    <w:rsid w:val="00E23DB4"/>
    <w:rsid w:val="00E248C1"/>
    <w:rsid w:val="00E24C7E"/>
    <w:rsid w:val="00E25537"/>
    <w:rsid w:val="00E25915"/>
    <w:rsid w:val="00E26080"/>
    <w:rsid w:val="00E278BA"/>
    <w:rsid w:val="00E27F63"/>
    <w:rsid w:val="00E30829"/>
    <w:rsid w:val="00E30870"/>
    <w:rsid w:val="00E30CB5"/>
    <w:rsid w:val="00E310D0"/>
    <w:rsid w:val="00E315A2"/>
    <w:rsid w:val="00E31790"/>
    <w:rsid w:val="00E31DFD"/>
    <w:rsid w:val="00E324BF"/>
    <w:rsid w:val="00E331B1"/>
    <w:rsid w:val="00E34217"/>
    <w:rsid w:val="00E34E77"/>
    <w:rsid w:val="00E35179"/>
    <w:rsid w:val="00E3597C"/>
    <w:rsid w:val="00E35BB7"/>
    <w:rsid w:val="00E37367"/>
    <w:rsid w:val="00E405B2"/>
    <w:rsid w:val="00E40B8A"/>
    <w:rsid w:val="00E41750"/>
    <w:rsid w:val="00E4251F"/>
    <w:rsid w:val="00E4346C"/>
    <w:rsid w:val="00E436D0"/>
    <w:rsid w:val="00E444F7"/>
    <w:rsid w:val="00E45D27"/>
    <w:rsid w:val="00E4611D"/>
    <w:rsid w:val="00E47442"/>
    <w:rsid w:val="00E47487"/>
    <w:rsid w:val="00E5067D"/>
    <w:rsid w:val="00E50D5E"/>
    <w:rsid w:val="00E52EB5"/>
    <w:rsid w:val="00E54B26"/>
    <w:rsid w:val="00E554C1"/>
    <w:rsid w:val="00E557DF"/>
    <w:rsid w:val="00E56586"/>
    <w:rsid w:val="00E56819"/>
    <w:rsid w:val="00E60CFB"/>
    <w:rsid w:val="00E61232"/>
    <w:rsid w:val="00E612B9"/>
    <w:rsid w:val="00E61691"/>
    <w:rsid w:val="00E61701"/>
    <w:rsid w:val="00E61855"/>
    <w:rsid w:val="00E622C1"/>
    <w:rsid w:val="00E62DC1"/>
    <w:rsid w:val="00E62FF1"/>
    <w:rsid w:val="00E64AC8"/>
    <w:rsid w:val="00E64D8B"/>
    <w:rsid w:val="00E66824"/>
    <w:rsid w:val="00E66959"/>
    <w:rsid w:val="00E66FC6"/>
    <w:rsid w:val="00E67D13"/>
    <w:rsid w:val="00E707CA"/>
    <w:rsid w:val="00E71BE3"/>
    <w:rsid w:val="00E71FFB"/>
    <w:rsid w:val="00E72088"/>
    <w:rsid w:val="00E72991"/>
    <w:rsid w:val="00E74360"/>
    <w:rsid w:val="00E74CDC"/>
    <w:rsid w:val="00E754B3"/>
    <w:rsid w:val="00E75E7F"/>
    <w:rsid w:val="00E76E7B"/>
    <w:rsid w:val="00E80315"/>
    <w:rsid w:val="00E808ED"/>
    <w:rsid w:val="00E80D6C"/>
    <w:rsid w:val="00E81852"/>
    <w:rsid w:val="00E81C4C"/>
    <w:rsid w:val="00E820E6"/>
    <w:rsid w:val="00E824E4"/>
    <w:rsid w:val="00E82EC1"/>
    <w:rsid w:val="00E8334E"/>
    <w:rsid w:val="00E841A0"/>
    <w:rsid w:val="00E8552C"/>
    <w:rsid w:val="00E858FE"/>
    <w:rsid w:val="00E871AF"/>
    <w:rsid w:val="00E87EA7"/>
    <w:rsid w:val="00E90E95"/>
    <w:rsid w:val="00E9386D"/>
    <w:rsid w:val="00E93876"/>
    <w:rsid w:val="00E9465B"/>
    <w:rsid w:val="00E946DF"/>
    <w:rsid w:val="00E9580B"/>
    <w:rsid w:val="00E96EC9"/>
    <w:rsid w:val="00EA032C"/>
    <w:rsid w:val="00EA0423"/>
    <w:rsid w:val="00EA0845"/>
    <w:rsid w:val="00EA1480"/>
    <w:rsid w:val="00EA1C35"/>
    <w:rsid w:val="00EA21F4"/>
    <w:rsid w:val="00EA23C8"/>
    <w:rsid w:val="00EA3272"/>
    <w:rsid w:val="00EA3C1C"/>
    <w:rsid w:val="00EA4890"/>
    <w:rsid w:val="00EA4AB9"/>
    <w:rsid w:val="00EA4B36"/>
    <w:rsid w:val="00EA4C8C"/>
    <w:rsid w:val="00EA4CFC"/>
    <w:rsid w:val="00EA5730"/>
    <w:rsid w:val="00EA701B"/>
    <w:rsid w:val="00EA7CE2"/>
    <w:rsid w:val="00EB0565"/>
    <w:rsid w:val="00EB0E30"/>
    <w:rsid w:val="00EB0F4D"/>
    <w:rsid w:val="00EB1357"/>
    <w:rsid w:val="00EB17A0"/>
    <w:rsid w:val="00EB1F51"/>
    <w:rsid w:val="00EB263E"/>
    <w:rsid w:val="00EB3892"/>
    <w:rsid w:val="00EB3B39"/>
    <w:rsid w:val="00EB3C67"/>
    <w:rsid w:val="00EB3CC4"/>
    <w:rsid w:val="00EB45DF"/>
    <w:rsid w:val="00EB4B5D"/>
    <w:rsid w:val="00EB52A8"/>
    <w:rsid w:val="00EB68A4"/>
    <w:rsid w:val="00EB7AB8"/>
    <w:rsid w:val="00EC076A"/>
    <w:rsid w:val="00EC14E0"/>
    <w:rsid w:val="00EC1EF8"/>
    <w:rsid w:val="00EC2B2C"/>
    <w:rsid w:val="00EC2B49"/>
    <w:rsid w:val="00EC4263"/>
    <w:rsid w:val="00EC4667"/>
    <w:rsid w:val="00EC4695"/>
    <w:rsid w:val="00EC5051"/>
    <w:rsid w:val="00EC52BD"/>
    <w:rsid w:val="00EC58DC"/>
    <w:rsid w:val="00EC5F09"/>
    <w:rsid w:val="00EC6107"/>
    <w:rsid w:val="00EC61E2"/>
    <w:rsid w:val="00EC7A06"/>
    <w:rsid w:val="00EC7FF0"/>
    <w:rsid w:val="00ED0066"/>
    <w:rsid w:val="00ED0181"/>
    <w:rsid w:val="00ED025F"/>
    <w:rsid w:val="00ED11B7"/>
    <w:rsid w:val="00ED19C0"/>
    <w:rsid w:val="00ED3EC6"/>
    <w:rsid w:val="00ED4A41"/>
    <w:rsid w:val="00ED732D"/>
    <w:rsid w:val="00ED7538"/>
    <w:rsid w:val="00ED7D24"/>
    <w:rsid w:val="00ED7F31"/>
    <w:rsid w:val="00EE0723"/>
    <w:rsid w:val="00EE1636"/>
    <w:rsid w:val="00EE18A1"/>
    <w:rsid w:val="00EE1A26"/>
    <w:rsid w:val="00EE22B4"/>
    <w:rsid w:val="00EE26E6"/>
    <w:rsid w:val="00EE3130"/>
    <w:rsid w:val="00EE345E"/>
    <w:rsid w:val="00EE429A"/>
    <w:rsid w:val="00EE44CD"/>
    <w:rsid w:val="00EE465E"/>
    <w:rsid w:val="00EE4EFB"/>
    <w:rsid w:val="00EE4F3B"/>
    <w:rsid w:val="00EE57BF"/>
    <w:rsid w:val="00EE7CDF"/>
    <w:rsid w:val="00EF06BF"/>
    <w:rsid w:val="00EF1B00"/>
    <w:rsid w:val="00EF1EFC"/>
    <w:rsid w:val="00EF2489"/>
    <w:rsid w:val="00EF3D4C"/>
    <w:rsid w:val="00EF459D"/>
    <w:rsid w:val="00EF4A15"/>
    <w:rsid w:val="00EF57B4"/>
    <w:rsid w:val="00EF5931"/>
    <w:rsid w:val="00EF6E05"/>
    <w:rsid w:val="00EF6E23"/>
    <w:rsid w:val="00EF7B44"/>
    <w:rsid w:val="00F03A1D"/>
    <w:rsid w:val="00F03AA9"/>
    <w:rsid w:val="00F04573"/>
    <w:rsid w:val="00F04660"/>
    <w:rsid w:val="00F060E4"/>
    <w:rsid w:val="00F06B90"/>
    <w:rsid w:val="00F1036D"/>
    <w:rsid w:val="00F10ECF"/>
    <w:rsid w:val="00F10FA4"/>
    <w:rsid w:val="00F11523"/>
    <w:rsid w:val="00F123C0"/>
    <w:rsid w:val="00F12E99"/>
    <w:rsid w:val="00F130CD"/>
    <w:rsid w:val="00F13BFD"/>
    <w:rsid w:val="00F13C8B"/>
    <w:rsid w:val="00F15344"/>
    <w:rsid w:val="00F15D87"/>
    <w:rsid w:val="00F15DBF"/>
    <w:rsid w:val="00F1668A"/>
    <w:rsid w:val="00F16DC1"/>
    <w:rsid w:val="00F1720C"/>
    <w:rsid w:val="00F17CC0"/>
    <w:rsid w:val="00F204A1"/>
    <w:rsid w:val="00F20735"/>
    <w:rsid w:val="00F21E03"/>
    <w:rsid w:val="00F22130"/>
    <w:rsid w:val="00F22975"/>
    <w:rsid w:val="00F22EB8"/>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AE2"/>
    <w:rsid w:val="00F27EEF"/>
    <w:rsid w:val="00F27FF4"/>
    <w:rsid w:val="00F3009F"/>
    <w:rsid w:val="00F30114"/>
    <w:rsid w:val="00F3022A"/>
    <w:rsid w:val="00F30E15"/>
    <w:rsid w:val="00F3174C"/>
    <w:rsid w:val="00F31A9A"/>
    <w:rsid w:val="00F31B8C"/>
    <w:rsid w:val="00F31F49"/>
    <w:rsid w:val="00F324D0"/>
    <w:rsid w:val="00F33149"/>
    <w:rsid w:val="00F33611"/>
    <w:rsid w:val="00F34E34"/>
    <w:rsid w:val="00F35118"/>
    <w:rsid w:val="00F35671"/>
    <w:rsid w:val="00F3577D"/>
    <w:rsid w:val="00F35B71"/>
    <w:rsid w:val="00F362CD"/>
    <w:rsid w:val="00F36CC6"/>
    <w:rsid w:val="00F37355"/>
    <w:rsid w:val="00F37895"/>
    <w:rsid w:val="00F37A0E"/>
    <w:rsid w:val="00F40508"/>
    <w:rsid w:val="00F40A4C"/>
    <w:rsid w:val="00F41674"/>
    <w:rsid w:val="00F41FC4"/>
    <w:rsid w:val="00F421C3"/>
    <w:rsid w:val="00F42271"/>
    <w:rsid w:val="00F42373"/>
    <w:rsid w:val="00F4246D"/>
    <w:rsid w:val="00F42D8F"/>
    <w:rsid w:val="00F42E31"/>
    <w:rsid w:val="00F42ECD"/>
    <w:rsid w:val="00F4317F"/>
    <w:rsid w:val="00F4344F"/>
    <w:rsid w:val="00F439F5"/>
    <w:rsid w:val="00F45D8C"/>
    <w:rsid w:val="00F4692E"/>
    <w:rsid w:val="00F47023"/>
    <w:rsid w:val="00F50218"/>
    <w:rsid w:val="00F503D2"/>
    <w:rsid w:val="00F504C5"/>
    <w:rsid w:val="00F517DF"/>
    <w:rsid w:val="00F51A13"/>
    <w:rsid w:val="00F533DF"/>
    <w:rsid w:val="00F53A23"/>
    <w:rsid w:val="00F54956"/>
    <w:rsid w:val="00F552D5"/>
    <w:rsid w:val="00F552FC"/>
    <w:rsid w:val="00F55994"/>
    <w:rsid w:val="00F567F6"/>
    <w:rsid w:val="00F571CE"/>
    <w:rsid w:val="00F57435"/>
    <w:rsid w:val="00F60387"/>
    <w:rsid w:val="00F60A5B"/>
    <w:rsid w:val="00F611AB"/>
    <w:rsid w:val="00F6145E"/>
    <w:rsid w:val="00F617E3"/>
    <w:rsid w:val="00F61A2D"/>
    <w:rsid w:val="00F627EC"/>
    <w:rsid w:val="00F63AC1"/>
    <w:rsid w:val="00F63B0E"/>
    <w:rsid w:val="00F63D25"/>
    <w:rsid w:val="00F65215"/>
    <w:rsid w:val="00F65C22"/>
    <w:rsid w:val="00F66231"/>
    <w:rsid w:val="00F6692C"/>
    <w:rsid w:val="00F676C5"/>
    <w:rsid w:val="00F679B5"/>
    <w:rsid w:val="00F706FD"/>
    <w:rsid w:val="00F70AF8"/>
    <w:rsid w:val="00F725BC"/>
    <w:rsid w:val="00F72825"/>
    <w:rsid w:val="00F7413B"/>
    <w:rsid w:val="00F74C1C"/>
    <w:rsid w:val="00F75086"/>
    <w:rsid w:val="00F755FC"/>
    <w:rsid w:val="00F76DDF"/>
    <w:rsid w:val="00F77A97"/>
    <w:rsid w:val="00F802D7"/>
    <w:rsid w:val="00F80C1F"/>
    <w:rsid w:val="00F84FEB"/>
    <w:rsid w:val="00F857FC"/>
    <w:rsid w:val="00F8707E"/>
    <w:rsid w:val="00F87D21"/>
    <w:rsid w:val="00F90972"/>
    <w:rsid w:val="00F90C29"/>
    <w:rsid w:val="00F90F1F"/>
    <w:rsid w:val="00F915AC"/>
    <w:rsid w:val="00F91ACF"/>
    <w:rsid w:val="00F92638"/>
    <w:rsid w:val="00F92FC3"/>
    <w:rsid w:val="00F93404"/>
    <w:rsid w:val="00F934A1"/>
    <w:rsid w:val="00F93B38"/>
    <w:rsid w:val="00F93F80"/>
    <w:rsid w:val="00F947B5"/>
    <w:rsid w:val="00F95073"/>
    <w:rsid w:val="00F965F1"/>
    <w:rsid w:val="00F9675C"/>
    <w:rsid w:val="00FA06B4"/>
    <w:rsid w:val="00FA0C0F"/>
    <w:rsid w:val="00FA2CB3"/>
    <w:rsid w:val="00FA3BB0"/>
    <w:rsid w:val="00FA4C1B"/>
    <w:rsid w:val="00FA50CA"/>
    <w:rsid w:val="00FA664A"/>
    <w:rsid w:val="00FA700B"/>
    <w:rsid w:val="00FB06A6"/>
    <w:rsid w:val="00FB0912"/>
    <w:rsid w:val="00FB199F"/>
    <w:rsid w:val="00FB3088"/>
    <w:rsid w:val="00FB50F1"/>
    <w:rsid w:val="00FB596B"/>
    <w:rsid w:val="00FB681D"/>
    <w:rsid w:val="00FB7522"/>
    <w:rsid w:val="00FB782A"/>
    <w:rsid w:val="00FB7C95"/>
    <w:rsid w:val="00FB7F12"/>
    <w:rsid w:val="00FC0225"/>
    <w:rsid w:val="00FC04C1"/>
    <w:rsid w:val="00FC06A6"/>
    <w:rsid w:val="00FC0E41"/>
    <w:rsid w:val="00FC3439"/>
    <w:rsid w:val="00FC4443"/>
    <w:rsid w:val="00FC4CF2"/>
    <w:rsid w:val="00FC5CF1"/>
    <w:rsid w:val="00FC632E"/>
    <w:rsid w:val="00FC681D"/>
    <w:rsid w:val="00FC6963"/>
    <w:rsid w:val="00FC6F70"/>
    <w:rsid w:val="00FC77EF"/>
    <w:rsid w:val="00FD17D4"/>
    <w:rsid w:val="00FD2FA7"/>
    <w:rsid w:val="00FD46F4"/>
    <w:rsid w:val="00FD5D06"/>
    <w:rsid w:val="00FD5F7F"/>
    <w:rsid w:val="00FD71D9"/>
    <w:rsid w:val="00FD7575"/>
    <w:rsid w:val="00FD7918"/>
    <w:rsid w:val="00FD796C"/>
    <w:rsid w:val="00FD7A55"/>
    <w:rsid w:val="00FD7A82"/>
    <w:rsid w:val="00FD7DFF"/>
    <w:rsid w:val="00FE137D"/>
    <w:rsid w:val="00FE1561"/>
    <w:rsid w:val="00FE18F6"/>
    <w:rsid w:val="00FE1BF8"/>
    <w:rsid w:val="00FE1D97"/>
    <w:rsid w:val="00FE209D"/>
    <w:rsid w:val="00FE224B"/>
    <w:rsid w:val="00FE25F8"/>
    <w:rsid w:val="00FE270A"/>
    <w:rsid w:val="00FE3175"/>
    <w:rsid w:val="00FE3C7A"/>
    <w:rsid w:val="00FE3FDF"/>
    <w:rsid w:val="00FE4289"/>
    <w:rsid w:val="00FE4A4D"/>
    <w:rsid w:val="00FE4A50"/>
    <w:rsid w:val="00FE4FD7"/>
    <w:rsid w:val="00FE50C5"/>
    <w:rsid w:val="00FE56C8"/>
    <w:rsid w:val="00FE5AB9"/>
    <w:rsid w:val="00FE623F"/>
    <w:rsid w:val="00FF046E"/>
    <w:rsid w:val="00FF070E"/>
    <w:rsid w:val="00FF0BFD"/>
    <w:rsid w:val="00FF0CF4"/>
    <w:rsid w:val="00FF152E"/>
    <w:rsid w:val="00FF4801"/>
    <w:rsid w:val="00FF4B08"/>
    <w:rsid w:val="00FF4C95"/>
    <w:rsid w:val="00FF4DFF"/>
    <w:rsid w:val="00FF5555"/>
    <w:rsid w:val="00FF5F83"/>
    <w:rsid w:val="00FF6069"/>
    <w:rsid w:val="00FF64E9"/>
    <w:rsid w:val="00FF69D9"/>
    <w:rsid w:val="00FF75E8"/>
    <w:rsid w:val="00FF761D"/>
    <w:rsid w:val="00FF777E"/>
    <w:rsid w:val="00FF7BCA"/>
    <w:rsid w:val="011C12CE"/>
    <w:rsid w:val="011F46CA"/>
    <w:rsid w:val="012AD273"/>
    <w:rsid w:val="01764B3B"/>
    <w:rsid w:val="017E6A97"/>
    <w:rsid w:val="018461DE"/>
    <w:rsid w:val="018B3A27"/>
    <w:rsid w:val="01959D7D"/>
    <w:rsid w:val="01AF5648"/>
    <w:rsid w:val="01B1A3C7"/>
    <w:rsid w:val="020EF776"/>
    <w:rsid w:val="021B078E"/>
    <w:rsid w:val="02475525"/>
    <w:rsid w:val="024A6C11"/>
    <w:rsid w:val="0272D288"/>
    <w:rsid w:val="02D5AFEF"/>
    <w:rsid w:val="031E2446"/>
    <w:rsid w:val="036BBF99"/>
    <w:rsid w:val="0394F3AC"/>
    <w:rsid w:val="03B81913"/>
    <w:rsid w:val="03D24B09"/>
    <w:rsid w:val="03D322AB"/>
    <w:rsid w:val="03F1D6EA"/>
    <w:rsid w:val="03F6748E"/>
    <w:rsid w:val="04130087"/>
    <w:rsid w:val="0446DDEE"/>
    <w:rsid w:val="04C6E189"/>
    <w:rsid w:val="04E6D595"/>
    <w:rsid w:val="052031DA"/>
    <w:rsid w:val="0537B9E0"/>
    <w:rsid w:val="054A1E8F"/>
    <w:rsid w:val="054B22F1"/>
    <w:rsid w:val="057677D6"/>
    <w:rsid w:val="057A96AE"/>
    <w:rsid w:val="05B1B03F"/>
    <w:rsid w:val="06263FF9"/>
    <w:rsid w:val="0672583E"/>
    <w:rsid w:val="067298D6"/>
    <w:rsid w:val="067522CF"/>
    <w:rsid w:val="06B78714"/>
    <w:rsid w:val="06C77E08"/>
    <w:rsid w:val="071C9150"/>
    <w:rsid w:val="07264C2D"/>
    <w:rsid w:val="07723C81"/>
    <w:rsid w:val="0785C1B1"/>
    <w:rsid w:val="07B73DEA"/>
    <w:rsid w:val="07C8694E"/>
    <w:rsid w:val="07CE3B5B"/>
    <w:rsid w:val="07ECE786"/>
    <w:rsid w:val="07F5F2B7"/>
    <w:rsid w:val="08124A47"/>
    <w:rsid w:val="083EF46A"/>
    <w:rsid w:val="084FD895"/>
    <w:rsid w:val="089E2AB9"/>
    <w:rsid w:val="08D37158"/>
    <w:rsid w:val="08E122E6"/>
    <w:rsid w:val="08FF6E2F"/>
    <w:rsid w:val="090DFBFF"/>
    <w:rsid w:val="091DC3A0"/>
    <w:rsid w:val="0965A0F7"/>
    <w:rsid w:val="09711E68"/>
    <w:rsid w:val="09A86CCA"/>
    <w:rsid w:val="09BDAE6B"/>
    <w:rsid w:val="09C80FDF"/>
    <w:rsid w:val="09FDBCEB"/>
    <w:rsid w:val="0A393C6E"/>
    <w:rsid w:val="0A7BD784"/>
    <w:rsid w:val="0A7D997E"/>
    <w:rsid w:val="0AC22D9E"/>
    <w:rsid w:val="0AD10223"/>
    <w:rsid w:val="0AEC0661"/>
    <w:rsid w:val="0B5BE15B"/>
    <w:rsid w:val="0B62600B"/>
    <w:rsid w:val="0BCC641D"/>
    <w:rsid w:val="0C010581"/>
    <w:rsid w:val="0C52CFD0"/>
    <w:rsid w:val="0C5DD3EE"/>
    <w:rsid w:val="0C94528D"/>
    <w:rsid w:val="0CE6F169"/>
    <w:rsid w:val="0CF6942B"/>
    <w:rsid w:val="0D5BF652"/>
    <w:rsid w:val="0D8AA3E4"/>
    <w:rsid w:val="0DD13B8A"/>
    <w:rsid w:val="0DD26806"/>
    <w:rsid w:val="0DD8BA32"/>
    <w:rsid w:val="0E1A00AC"/>
    <w:rsid w:val="0E91C59D"/>
    <w:rsid w:val="0F4DA871"/>
    <w:rsid w:val="0F683DB7"/>
    <w:rsid w:val="0F6B5488"/>
    <w:rsid w:val="0F70172D"/>
    <w:rsid w:val="0F7C1A39"/>
    <w:rsid w:val="0F88A3A3"/>
    <w:rsid w:val="0FCDF5DC"/>
    <w:rsid w:val="0FDE3D92"/>
    <w:rsid w:val="10187222"/>
    <w:rsid w:val="10593DBB"/>
    <w:rsid w:val="10766D05"/>
    <w:rsid w:val="10984C0F"/>
    <w:rsid w:val="10AAB55F"/>
    <w:rsid w:val="10B9674D"/>
    <w:rsid w:val="10E1950E"/>
    <w:rsid w:val="11021C80"/>
    <w:rsid w:val="11195F64"/>
    <w:rsid w:val="11524991"/>
    <w:rsid w:val="118CFE7E"/>
    <w:rsid w:val="1193EC51"/>
    <w:rsid w:val="11B7C303"/>
    <w:rsid w:val="121CD89F"/>
    <w:rsid w:val="123B9518"/>
    <w:rsid w:val="123FD033"/>
    <w:rsid w:val="1269B9CA"/>
    <w:rsid w:val="12700352"/>
    <w:rsid w:val="128AE10A"/>
    <w:rsid w:val="1294FE40"/>
    <w:rsid w:val="13029D05"/>
    <w:rsid w:val="1324D0F1"/>
    <w:rsid w:val="13302700"/>
    <w:rsid w:val="13939D7A"/>
    <w:rsid w:val="139F9CFE"/>
    <w:rsid w:val="13A13CF9"/>
    <w:rsid w:val="13E2F28C"/>
    <w:rsid w:val="13F015FC"/>
    <w:rsid w:val="1509D8DD"/>
    <w:rsid w:val="1522EFA4"/>
    <w:rsid w:val="152EF4BC"/>
    <w:rsid w:val="155D3C01"/>
    <w:rsid w:val="15706952"/>
    <w:rsid w:val="15765611"/>
    <w:rsid w:val="15900918"/>
    <w:rsid w:val="15A2886D"/>
    <w:rsid w:val="15BDAC3D"/>
    <w:rsid w:val="15E51EBB"/>
    <w:rsid w:val="15FC96D8"/>
    <w:rsid w:val="1618244E"/>
    <w:rsid w:val="16A6DF90"/>
    <w:rsid w:val="170F1074"/>
    <w:rsid w:val="17403B1D"/>
    <w:rsid w:val="17571E8B"/>
    <w:rsid w:val="1757E9CD"/>
    <w:rsid w:val="17A2C876"/>
    <w:rsid w:val="17E170F1"/>
    <w:rsid w:val="1833BC0C"/>
    <w:rsid w:val="18569871"/>
    <w:rsid w:val="1884320E"/>
    <w:rsid w:val="18C5A30A"/>
    <w:rsid w:val="1900E4B0"/>
    <w:rsid w:val="192FDEBF"/>
    <w:rsid w:val="195B3617"/>
    <w:rsid w:val="1979FBEC"/>
    <w:rsid w:val="19A06DAF"/>
    <w:rsid w:val="1A072F97"/>
    <w:rsid w:val="1A1F2012"/>
    <w:rsid w:val="1A5FCD0B"/>
    <w:rsid w:val="1A874AD2"/>
    <w:rsid w:val="1ABFD80F"/>
    <w:rsid w:val="1AC6EC80"/>
    <w:rsid w:val="1B432B5C"/>
    <w:rsid w:val="1B77A08F"/>
    <w:rsid w:val="1BAC2888"/>
    <w:rsid w:val="1BAFD843"/>
    <w:rsid w:val="1C27143E"/>
    <w:rsid w:val="1C721591"/>
    <w:rsid w:val="1CE17036"/>
    <w:rsid w:val="1CE92958"/>
    <w:rsid w:val="1D19235C"/>
    <w:rsid w:val="1D25CE1A"/>
    <w:rsid w:val="1D2F11C1"/>
    <w:rsid w:val="1D492FDD"/>
    <w:rsid w:val="1D6C70C5"/>
    <w:rsid w:val="1D90DEBF"/>
    <w:rsid w:val="1DB26277"/>
    <w:rsid w:val="1DE3DDE4"/>
    <w:rsid w:val="1DF67C01"/>
    <w:rsid w:val="1E486260"/>
    <w:rsid w:val="1E6D9C43"/>
    <w:rsid w:val="1ED83E7C"/>
    <w:rsid w:val="1F151801"/>
    <w:rsid w:val="1F169ADE"/>
    <w:rsid w:val="1FF93439"/>
    <w:rsid w:val="2007BF88"/>
    <w:rsid w:val="200BC386"/>
    <w:rsid w:val="200FAC13"/>
    <w:rsid w:val="201E7272"/>
    <w:rsid w:val="20598C03"/>
    <w:rsid w:val="207DAA1D"/>
    <w:rsid w:val="2089E02F"/>
    <w:rsid w:val="20AC99DE"/>
    <w:rsid w:val="20C7088D"/>
    <w:rsid w:val="20D2EC11"/>
    <w:rsid w:val="2120BF1F"/>
    <w:rsid w:val="215705E8"/>
    <w:rsid w:val="219B3DBC"/>
    <w:rsid w:val="21AA5208"/>
    <w:rsid w:val="22336681"/>
    <w:rsid w:val="22612E4C"/>
    <w:rsid w:val="228B7D3C"/>
    <w:rsid w:val="228BB647"/>
    <w:rsid w:val="22C66764"/>
    <w:rsid w:val="22E4F7E3"/>
    <w:rsid w:val="22F17FB6"/>
    <w:rsid w:val="238A4072"/>
    <w:rsid w:val="23D6003B"/>
    <w:rsid w:val="23EC42AE"/>
    <w:rsid w:val="241FFEE8"/>
    <w:rsid w:val="24321B8B"/>
    <w:rsid w:val="243CB5E7"/>
    <w:rsid w:val="247124D0"/>
    <w:rsid w:val="24DD74B7"/>
    <w:rsid w:val="250C7833"/>
    <w:rsid w:val="25C03CC2"/>
    <w:rsid w:val="25CD91DD"/>
    <w:rsid w:val="26036D1C"/>
    <w:rsid w:val="26125157"/>
    <w:rsid w:val="26518B6E"/>
    <w:rsid w:val="267F2068"/>
    <w:rsid w:val="26C99B6A"/>
    <w:rsid w:val="26CA0BA4"/>
    <w:rsid w:val="27226CB9"/>
    <w:rsid w:val="274BA55B"/>
    <w:rsid w:val="2774FECC"/>
    <w:rsid w:val="27A7AF9D"/>
    <w:rsid w:val="27C1FD73"/>
    <w:rsid w:val="27EB8ACF"/>
    <w:rsid w:val="27FC43CD"/>
    <w:rsid w:val="280EA568"/>
    <w:rsid w:val="282AA0CC"/>
    <w:rsid w:val="28636CA0"/>
    <w:rsid w:val="287AB955"/>
    <w:rsid w:val="288D2C16"/>
    <w:rsid w:val="28AFD6EF"/>
    <w:rsid w:val="28B76876"/>
    <w:rsid w:val="28CD2069"/>
    <w:rsid w:val="28E57FE8"/>
    <w:rsid w:val="29182891"/>
    <w:rsid w:val="29530E4F"/>
    <w:rsid w:val="297247EC"/>
    <w:rsid w:val="298153B0"/>
    <w:rsid w:val="29F6C952"/>
    <w:rsid w:val="2A28BF78"/>
    <w:rsid w:val="2A679446"/>
    <w:rsid w:val="2AEA7F89"/>
    <w:rsid w:val="2AFA7DF6"/>
    <w:rsid w:val="2B000839"/>
    <w:rsid w:val="2B063416"/>
    <w:rsid w:val="2B0EFF2F"/>
    <w:rsid w:val="2B21A726"/>
    <w:rsid w:val="2B49A30F"/>
    <w:rsid w:val="2B4E8D1E"/>
    <w:rsid w:val="2B9A5001"/>
    <w:rsid w:val="2BAEF950"/>
    <w:rsid w:val="2BB27DAE"/>
    <w:rsid w:val="2BBB37B0"/>
    <w:rsid w:val="2BEA94C5"/>
    <w:rsid w:val="2BFA854B"/>
    <w:rsid w:val="2BFE0DD8"/>
    <w:rsid w:val="2C369C31"/>
    <w:rsid w:val="2C461540"/>
    <w:rsid w:val="2C536B0D"/>
    <w:rsid w:val="2C5AE859"/>
    <w:rsid w:val="2C7FC930"/>
    <w:rsid w:val="2C877920"/>
    <w:rsid w:val="2C8ACCBD"/>
    <w:rsid w:val="2C98F974"/>
    <w:rsid w:val="2CFD880A"/>
    <w:rsid w:val="2CFED7AC"/>
    <w:rsid w:val="2D2573BB"/>
    <w:rsid w:val="2D297317"/>
    <w:rsid w:val="2D673021"/>
    <w:rsid w:val="2D67ABEE"/>
    <w:rsid w:val="2DAB048E"/>
    <w:rsid w:val="2DE7ACB0"/>
    <w:rsid w:val="2DF6917C"/>
    <w:rsid w:val="2E047254"/>
    <w:rsid w:val="2E14EA29"/>
    <w:rsid w:val="2E1E8F78"/>
    <w:rsid w:val="2E28839D"/>
    <w:rsid w:val="2E35C329"/>
    <w:rsid w:val="2E44F857"/>
    <w:rsid w:val="2E456CBE"/>
    <w:rsid w:val="2E4AFCDA"/>
    <w:rsid w:val="2E69AFFD"/>
    <w:rsid w:val="2E7CB05B"/>
    <w:rsid w:val="2E8E678F"/>
    <w:rsid w:val="2EB4C3EF"/>
    <w:rsid w:val="2EBA07B2"/>
    <w:rsid w:val="2EBFAECD"/>
    <w:rsid w:val="2F153150"/>
    <w:rsid w:val="2F16EBF8"/>
    <w:rsid w:val="2F39061F"/>
    <w:rsid w:val="2F3FCD97"/>
    <w:rsid w:val="2F991F78"/>
    <w:rsid w:val="2FAF650E"/>
    <w:rsid w:val="2FC34A2E"/>
    <w:rsid w:val="2FDAC18D"/>
    <w:rsid w:val="303AD364"/>
    <w:rsid w:val="306168A0"/>
    <w:rsid w:val="30BB5986"/>
    <w:rsid w:val="30C38150"/>
    <w:rsid w:val="30CD8DE4"/>
    <w:rsid w:val="30F0CD37"/>
    <w:rsid w:val="31229BBB"/>
    <w:rsid w:val="315C3FF8"/>
    <w:rsid w:val="31E907FC"/>
    <w:rsid w:val="31FE0302"/>
    <w:rsid w:val="323A5682"/>
    <w:rsid w:val="324E4FA8"/>
    <w:rsid w:val="32511DC2"/>
    <w:rsid w:val="325393F7"/>
    <w:rsid w:val="326F2DB0"/>
    <w:rsid w:val="32714E02"/>
    <w:rsid w:val="3296938F"/>
    <w:rsid w:val="33451D48"/>
    <w:rsid w:val="3367E301"/>
    <w:rsid w:val="337D148B"/>
    <w:rsid w:val="33FF7631"/>
    <w:rsid w:val="341F4044"/>
    <w:rsid w:val="341F9F42"/>
    <w:rsid w:val="3453DC5F"/>
    <w:rsid w:val="346FEDDC"/>
    <w:rsid w:val="34ABC60E"/>
    <w:rsid w:val="34BE9BA4"/>
    <w:rsid w:val="34C956AC"/>
    <w:rsid w:val="34D41339"/>
    <w:rsid w:val="34D4B5DA"/>
    <w:rsid w:val="34D616CE"/>
    <w:rsid w:val="34EF2966"/>
    <w:rsid w:val="3572D9E8"/>
    <w:rsid w:val="35B9C510"/>
    <w:rsid w:val="35CBD99B"/>
    <w:rsid w:val="35DDC1BC"/>
    <w:rsid w:val="35F371ED"/>
    <w:rsid w:val="360C45CD"/>
    <w:rsid w:val="3611A847"/>
    <w:rsid w:val="3650D5AA"/>
    <w:rsid w:val="3668BCD8"/>
    <w:rsid w:val="36874397"/>
    <w:rsid w:val="3693EA04"/>
    <w:rsid w:val="36979604"/>
    <w:rsid w:val="36D28062"/>
    <w:rsid w:val="36E45290"/>
    <w:rsid w:val="36F8BD62"/>
    <w:rsid w:val="376C9176"/>
    <w:rsid w:val="37921745"/>
    <w:rsid w:val="37AC9241"/>
    <w:rsid w:val="37C8F74D"/>
    <w:rsid w:val="37D1C657"/>
    <w:rsid w:val="37E1D644"/>
    <w:rsid w:val="37E22D48"/>
    <w:rsid w:val="37E2C4C0"/>
    <w:rsid w:val="380E3943"/>
    <w:rsid w:val="3818ECCD"/>
    <w:rsid w:val="383E9A3E"/>
    <w:rsid w:val="3843BAC8"/>
    <w:rsid w:val="388B9A36"/>
    <w:rsid w:val="38954A6A"/>
    <w:rsid w:val="38A790F8"/>
    <w:rsid w:val="38C9D2FD"/>
    <w:rsid w:val="38DE1047"/>
    <w:rsid w:val="394D5FCB"/>
    <w:rsid w:val="397A019E"/>
    <w:rsid w:val="398B8472"/>
    <w:rsid w:val="39A1B777"/>
    <w:rsid w:val="39AB9D3B"/>
    <w:rsid w:val="39CDF57F"/>
    <w:rsid w:val="39E75A13"/>
    <w:rsid w:val="39EF7C5B"/>
    <w:rsid w:val="3A2097F6"/>
    <w:rsid w:val="3A4A8F2E"/>
    <w:rsid w:val="3A98709C"/>
    <w:rsid w:val="3A98A365"/>
    <w:rsid w:val="3AA31882"/>
    <w:rsid w:val="3AC5C753"/>
    <w:rsid w:val="3ACD16ED"/>
    <w:rsid w:val="3ADBE61C"/>
    <w:rsid w:val="3AE86F65"/>
    <w:rsid w:val="3B08B593"/>
    <w:rsid w:val="3B12B579"/>
    <w:rsid w:val="3B1DE67C"/>
    <w:rsid w:val="3B1E8636"/>
    <w:rsid w:val="3B2A405E"/>
    <w:rsid w:val="3BB2A63A"/>
    <w:rsid w:val="3C3D0020"/>
    <w:rsid w:val="3C3E08BA"/>
    <w:rsid w:val="3C49A81C"/>
    <w:rsid w:val="3C8ED98C"/>
    <w:rsid w:val="3CC7F88E"/>
    <w:rsid w:val="3CD299F6"/>
    <w:rsid w:val="3D13130C"/>
    <w:rsid w:val="3D47CB0D"/>
    <w:rsid w:val="3D96AF96"/>
    <w:rsid w:val="3DB373B8"/>
    <w:rsid w:val="3DCD06E9"/>
    <w:rsid w:val="3DE4A45F"/>
    <w:rsid w:val="3DF7F80D"/>
    <w:rsid w:val="3E2C06E2"/>
    <w:rsid w:val="3E4065CB"/>
    <w:rsid w:val="3E5F64FD"/>
    <w:rsid w:val="3ED5258F"/>
    <w:rsid w:val="3EF9919C"/>
    <w:rsid w:val="3F08951E"/>
    <w:rsid w:val="3F1613E6"/>
    <w:rsid w:val="3F73077A"/>
    <w:rsid w:val="3F8C8B51"/>
    <w:rsid w:val="3F8F864B"/>
    <w:rsid w:val="3FB10C1C"/>
    <w:rsid w:val="3FBDBC8D"/>
    <w:rsid w:val="404F9C86"/>
    <w:rsid w:val="405F395F"/>
    <w:rsid w:val="4078A520"/>
    <w:rsid w:val="40A83774"/>
    <w:rsid w:val="40B7C2DA"/>
    <w:rsid w:val="40D31C7F"/>
    <w:rsid w:val="41348C0C"/>
    <w:rsid w:val="41653330"/>
    <w:rsid w:val="4166C729"/>
    <w:rsid w:val="41A218F8"/>
    <w:rsid w:val="41B0EAFC"/>
    <w:rsid w:val="42126257"/>
    <w:rsid w:val="429F02B9"/>
    <w:rsid w:val="42F17646"/>
    <w:rsid w:val="42FD0C9B"/>
    <w:rsid w:val="430D9CEE"/>
    <w:rsid w:val="4323B8BA"/>
    <w:rsid w:val="432D3041"/>
    <w:rsid w:val="4388361A"/>
    <w:rsid w:val="438A4EC9"/>
    <w:rsid w:val="439711C9"/>
    <w:rsid w:val="43B4EA84"/>
    <w:rsid w:val="44537FE4"/>
    <w:rsid w:val="445B7493"/>
    <w:rsid w:val="445C6D9C"/>
    <w:rsid w:val="4464C7A6"/>
    <w:rsid w:val="44A6D22D"/>
    <w:rsid w:val="44AD6C06"/>
    <w:rsid w:val="44DEDB73"/>
    <w:rsid w:val="44FA4A19"/>
    <w:rsid w:val="452BA99D"/>
    <w:rsid w:val="45333012"/>
    <w:rsid w:val="454E3F33"/>
    <w:rsid w:val="45505FAA"/>
    <w:rsid w:val="461D1866"/>
    <w:rsid w:val="464F08E2"/>
    <w:rsid w:val="465D395B"/>
    <w:rsid w:val="469D441D"/>
    <w:rsid w:val="46CF7F90"/>
    <w:rsid w:val="46ED7EEA"/>
    <w:rsid w:val="47187030"/>
    <w:rsid w:val="471BC656"/>
    <w:rsid w:val="471D7173"/>
    <w:rsid w:val="472C9378"/>
    <w:rsid w:val="4740A6FC"/>
    <w:rsid w:val="47494005"/>
    <w:rsid w:val="4780561C"/>
    <w:rsid w:val="4796237F"/>
    <w:rsid w:val="47B88427"/>
    <w:rsid w:val="4801681D"/>
    <w:rsid w:val="4807A069"/>
    <w:rsid w:val="481890CD"/>
    <w:rsid w:val="481900D6"/>
    <w:rsid w:val="48236724"/>
    <w:rsid w:val="48437E37"/>
    <w:rsid w:val="4865FD74"/>
    <w:rsid w:val="4895BE64"/>
    <w:rsid w:val="48C10487"/>
    <w:rsid w:val="48FAB5EC"/>
    <w:rsid w:val="492BBAA5"/>
    <w:rsid w:val="4947E009"/>
    <w:rsid w:val="495AC7C3"/>
    <w:rsid w:val="49EA5ACF"/>
    <w:rsid w:val="49F8F8BC"/>
    <w:rsid w:val="4A041274"/>
    <w:rsid w:val="4A24E6D7"/>
    <w:rsid w:val="4A680906"/>
    <w:rsid w:val="4A84E661"/>
    <w:rsid w:val="4AA56626"/>
    <w:rsid w:val="4AF609FB"/>
    <w:rsid w:val="4B372EF0"/>
    <w:rsid w:val="4B4C8397"/>
    <w:rsid w:val="4B4E123D"/>
    <w:rsid w:val="4B946A4D"/>
    <w:rsid w:val="4B9FDF94"/>
    <w:rsid w:val="4BED49A6"/>
    <w:rsid w:val="4BF45965"/>
    <w:rsid w:val="4C194223"/>
    <w:rsid w:val="4C28FB12"/>
    <w:rsid w:val="4C6B28F3"/>
    <w:rsid w:val="4C74463D"/>
    <w:rsid w:val="4CF7C398"/>
    <w:rsid w:val="4CF89D1E"/>
    <w:rsid w:val="4D34C39D"/>
    <w:rsid w:val="4DB720A2"/>
    <w:rsid w:val="4DBF599A"/>
    <w:rsid w:val="4DC5B6DE"/>
    <w:rsid w:val="4DF34BD8"/>
    <w:rsid w:val="4E0357BF"/>
    <w:rsid w:val="4E68B0CF"/>
    <w:rsid w:val="4E6D708C"/>
    <w:rsid w:val="4E7172A3"/>
    <w:rsid w:val="4E7715DB"/>
    <w:rsid w:val="4E80F65F"/>
    <w:rsid w:val="4E92BBD8"/>
    <w:rsid w:val="4EE60627"/>
    <w:rsid w:val="4EE8B3FB"/>
    <w:rsid w:val="4F197390"/>
    <w:rsid w:val="4F4C9B4B"/>
    <w:rsid w:val="4F665DD4"/>
    <w:rsid w:val="4F75524E"/>
    <w:rsid w:val="4F77AE0C"/>
    <w:rsid w:val="4FBDE1BD"/>
    <w:rsid w:val="4FD57C95"/>
    <w:rsid w:val="50127A1C"/>
    <w:rsid w:val="502CD0E8"/>
    <w:rsid w:val="5059A9ED"/>
    <w:rsid w:val="50642D34"/>
    <w:rsid w:val="5072321E"/>
    <w:rsid w:val="5081A977"/>
    <w:rsid w:val="50A7592B"/>
    <w:rsid w:val="50B3C73F"/>
    <w:rsid w:val="50BFAB2C"/>
    <w:rsid w:val="50FE6AC3"/>
    <w:rsid w:val="516B2D69"/>
    <w:rsid w:val="5175F869"/>
    <w:rsid w:val="519A8029"/>
    <w:rsid w:val="51B5BB01"/>
    <w:rsid w:val="51CB3F40"/>
    <w:rsid w:val="51D9DFDC"/>
    <w:rsid w:val="520589B0"/>
    <w:rsid w:val="5258A730"/>
    <w:rsid w:val="528FAC40"/>
    <w:rsid w:val="529D072A"/>
    <w:rsid w:val="52BF66ED"/>
    <w:rsid w:val="52C3DFA6"/>
    <w:rsid w:val="52DCE594"/>
    <w:rsid w:val="5336C1B7"/>
    <w:rsid w:val="533904E2"/>
    <w:rsid w:val="535CEC87"/>
    <w:rsid w:val="53790BC7"/>
    <w:rsid w:val="538961BA"/>
    <w:rsid w:val="538C20AB"/>
    <w:rsid w:val="538C42E9"/>
    <w:rsid w:val="53AAD7B3"/>
    <w:rsid w:val="53CCA52A"/>
    <w:rsid w:val="53D1AF12"/>
    <w:rsid w:val="53DD0AA2"/>
    <w:rsid w:val="53F2D900"/>
    <w:rsid w:val="53F84C41"/>
    <w:rsid w:val="54B296B2"/>
    <w:rsid w:val="550FCA07"/>
    <w:rsid w:val="55B80952"/>
    <w:rsid w:val="55D9BAA6"/>
    <w:rsid w:val="55FACC57"/>
    <w:rsid w:val="5601E773"/>
    <w:rsid w:val="560B2F23"/>
    <w:rsid w:val="566136D3"/>
    <w:rsid w:val="566BA21D"/>
    <w:rsid w:val="56938EEE"/>
    <w:rsid w:val="56B3CCA7"/>
    <w:rsid w:val="56BA76B5"/>
    <w:rsid w:val="56BE6498"/>
    <w:rsid w:val="56D814B8"/>
    <w:rsid w:val="56F9CFD2"/>
    <w:rsid w:val="56FE7D23"/>
    <w:rsid w:val="571F5205"/>
    <w:rsid w:val="577587B7"/>
    <w:rsid w:val="57798E82"/>
    <w:rsid w:val="577FD59C"/>
    <w:rsid w:val="5780CB59"/>
    <w:rsid w:val="5786B0D0"/>
    <w:rsid w:val="579DDD42"/>
    <w:rsid w:val="57B64CB0"/>
    <w:rsid w:val="58407524"/>
    <w:rsid w:val="5846D50A"/>
    <w:rsid w:val="585592B0"/>
    <w:rsid w:val="587DDCB4"/>
    <w:rsid w:val="58867969"/>
    <w:rsid w:val="58D5AB05"/>
    <w:rsid w:val="58E1C585"/>
    <w:rsid w:val="590483C7"/>
    <w:rsid w:val="59756B4B"/>
    <w:rsid w:val="598110F9"/>
    <w:rsid w:val="59EE6C5E"/>
    <w:rsid w:val="59F88079"/>
    <w:rsid w:val="5A01BBC1"/>
    <w:rsid w:val="5A3CEDCC"/>
    <w:rsid w:val="5A7AA642"/>
    <w:rsid w:val="5AB30E76"/>
    <w:rsid w:val="5AC7B1D3"/>
    <w:rsid w:val="5B2147F0"/>
    <w:rsid w:val="5B251916"/>
    <w:rsid w:val="5BA47B99"/>
    <w:rsid w:val="5BE4389D"/>
    <w:rsid w:val="5BFFFFF3"/>
    <w:rsid w:val="5C08E621"/>
    <w:rsid w:val="5C458E5A"/>
    <w:rsid w:val="5C839A96"/>
    <w:rsid w:val="5CB1B647"/>
    <w:rsid w:val="5CC9CAB0"/>
    <w:rsid w:val="5D04A3AE"/>
    <w:rsid w:val="5D544C54"/>
    <w:rsid w:val="5D6E49A2"/>
    <w:rsid w:val="5D75A732"/>
    <w:rsid w:val="5D978E39"/>
    <w:rsid w:val="5DA79210"/>
    <w:rsid w:val="5DAAB8DE"/>
    <w:rsid w:val="5DBE01F4"/>
    <w:rsid w:val="5DC4EF00"/>
    <w:rsid w:val="5DE3EE87"/>
    <w:rsid w:val="5DE50EC8"/>
    <w:rsid w:val="5E0956B5"/>
    <w:rsid w:val="5E5D01BF"/>
    <w:rsid w:val="5EB42C4B"/>
    <w:rsid w:val="5EE6AF32"/>
    <w:rsid w:val="5F5BD877"/>
    <w:rsid w:val="5F74690D"/>
    <w:rsid w:val="5F8750C2"/>
    <w:rsid w:val="5F8C90BB"/>
    <w:rsid w:val="5F8FBF02"/>
    <w:rsid w:val="5F9694E2"/>
    <w:rsid w:val="5F98AAFB"/>
    <w:rsid w:val="5FA0610C"/>
    <w:rsid w:val="5FA73359"/>
    <w:rsid w:val="5FD7185C"/>
    <w:rsid w:val="5FE08304"/>
    <w:rsid w:val="6035628B"/>
    <w:rsid w:val="604DC3D6"/>
    <w:rsid w:val="60510136"/>
    <w:rsid w:val="60576C83"/>
    <w:rsid w:val="606216EF"/>
    <w:rsid w:val="606F96D2"/>
    <w:rsid w:val="607221A6"/>
    <w:rsid w:val="608412EC"/>
    <w:rsid w:val="608DD79B"/>
    <w:rsid w:val="60914841"/>
    <w:rsid w:val="6097D406"/>
    <w:rsid w:val="60A1BB6D"/>
    <w:rsid w:val="60B99303"/>
    <w:rsid w:val="60E3ED37"/>
    <w:rsid w:val="60EDD294"/>
    <w:rsid w:val="60FA3FFC"/>
    <w:rsid w:val="61285BAD"/>
    <w:rsid w:val="616EDA53"/>
    <w:rsid w:val="6172ADF5"/>
    <w:rsid w:val="61A7D262"/>
    <w:rsid w:val="61C34E1C"/>
    <w:rsid w:val="61E5A696"/>
    <w:rsid w:val="61F61DED"/>
    <w:rsid w:val="61FEF265"/>
    <w:rsid w:val="6200BA9D"/>
    <w:rsid w:val="6229646A"/>
    <w:rsid w:val="62888910"/>
    <w:rsid w:val="628C22F5"/>
    <w:rsid w:val="62B37F67"/>
    <w:rsid w:val="62F0008C"/>
    <w:rsid w:val="62F1E4DA"/>
    <w:rsid w:val="630F625A"/>
    <w:rsid w:val="6330E77C"/>
    <w:rsid w:val="633726A8"/>
    <w:rsid w:val="6371ECF4"/>
    <w:rsid w:val="63950B7B"/>
    <w:rsid w:val="63B27CA0"/>
    <w:rsid w:val="63D1C28C"/>
    <w:rsid w:val="63F7C523"/>
    <w:rsid w:val="640B0617"/>
    <w:rsid w:val="6412E7E5"/>
    <w:rsid w:val="641AEBE9"/>
    <w:rsid w:val="645BC183"/>
    <w:rsid w:val="646C4904"/>
    <w:rsid w:val="6498EA1E"/>
    <w:rsid w:val="649C1865"/>
    <w:rsid w:val="64C9C285"/>
    <w:rsid w:val="64D24783"/>
    <w:rsid w:val="64E9C85F"/>
    <w:rsid w:val="6528BB24"/>
    <w:rsid w:val="654A6217"/>
    <w:rsid w:val="65DBDA6A"/>
    <w:rsid w:val="65FD2285"/>
    <w:rsid w:val="660F5512"/>
    <w:rsid w:val="6610867C"/>
    <w:rsid w:val="668131FF"/>
    <w:rsid w:val="66B24A0C"/>
    <w:rsid w:val="66E7C60F"/>
    <w:rsid w:val="66E8A699"/>
    <w:rsid w:val="66EC1239"/>
    <w:rsid w:val="66F8B333"/>
    <w:rsid w:val="66FC3791"/>
    <w:rsid w:val="671D01F3"/>
    <w:rsid w:val="671D351C"/>
    <w:rsid w:val="67B4E474"/>
    <w:rsid w:val="67E44F2C"/>
    <w:rsid w:val="6802DE42"/>
    <w:rsid w:val="681941FF"/>
    <w:rsid w:val="681F5101"/>
    <w:rsid w:val="6846FD96"/>
    <w:rsid w:val="6867B6F5"/>
    <w:rsid w:val="68DE5BBD"/>
    <w:rsid w:val="68EBE9FE"/>
    <w:rsid w:val="697D358D"/>
    <w:rsid w:val="698DBF39"/>
    <w:rsid w:val="69CF9320"/>
    <w:rsid w:val="6A00B2D3"/>
    <w:rsid w:val="6A1E3C5B"/>
    <w:rsid w:val="6A1FB8E3"/>
    <w:rsid w:val="6A85AD05"/>
    <w:rsid w:val="6AC8538E"/>
    <w:rsid w:val="6AE889E4"/>
    <w:rsid w:val="6AEE4B9E"/>
    <w:rsid w:val="6AFC9218"/>
    <w:rsid w:val="6B081664"/>
    <w:rsid w:val="6B6DC4A0"/>
    <w:rsid w:val="6B913268"/>
    <w:rsid w:val="6B9DB926"/>
    <w:rsid w:val="6BCB6186"/>
    <w:rsid w:val="6BEDA1E9"/>
    <w:rsid w:val="6BEE5BD2"/>
    <w:rsid w:val="6C5D00B2"/>
    <w:rsid w:val="6CA45581"/>
    <w:rsid w:val="6CB40480"/>
    <w:rsid w:val="6CE00157"/>
    <w:rsid w:val="6CE109F1"/>
    <w:rsid w:val="6CF20E13"/>
    <w:rsid w:val="6D2C6BA6"/>
    <w:rsid w:val="6D50A407"/>
    <w:rsid w:val="6D87741A"/>
    <w:rsid w:val="6D8A5371"/>
    <w:rsid w:val="6E0187E7"/>
    <w:rsid w:val="6E204E3D"/>
    <w:rsid w:val="6E735E09"/>
    <w:rsid w:val="6E777D50"/>
    <w:rsid w:val="6E7B7632"/>
    <w:rsid w:val="6E903B22"/>
    <w:rsid w:val="6E9E9F67"/>
    <w:rsid w:val="6EE7F860"/>
    <w:rsid w:val="6F2E75FF"/>
    <w:rsid w:val="6F65503B"/>
    <w:rsid w:val="6F9FADCE"/>
    <w:rsid w:val="6FB0837B"/>
    <w:rsid w:val="6FBCC55D"/>
    <w:rsid w:val="6FC5EAA6"/>
    <w:rsid w:val="70057A28"/>
    <w:rsid w:val="70390458"/>
    <w:rsid w:val="71011B2D"/>
    <w:rsid w:val="7117356D"/>
    <w:rsid w:val="717958F6"/>
    <w:rsid w:val="718A7D17"/>
    <w:rsid w:val="719B8D95"/>
    <w:rsid w:val="719C0F23"/>
    <w:rsid w:val="719D48F5"/>
    <w:rsid w:val="71D56782"/>
    <w:rsid w:val="71D7A72C"/>
    <w:rsid w:val="71F6C447"/>
    <w:rsid w:val="7202D809"/>
    <w:rsid w:val="725D9D56"/>
    <w:rsid w:val="7278D2F7"/>
    <w:rsid w:val="72818609"/>
    <w:rsid w:val="729040FE"/>
    <w:rsid w:val="7294ADCF"/>
    <w:rsid w:val="72C67511"/>
    <w:rsid w:val="72E145EB"/>
    <w:rsid w:val="72F60384"/>
    <w:rsid w:val="7304B0F9"/>
    <w:rsid w:val="730EC73A"/>
    <w:rsid w:val="733ABC4F"/>
    <w:rsid w:val="733BD316"/>
    <w:rsid w:val="7344C26C"/>
    <w:rsid w:val="73629B20"/>
    <w:rsid w:val="73694C02"/>
    <w:rsid w:val="7370B587"/>
    <w:rsid w:val="7390C792"/>
    <w:rsid w:val="73AA699C"/>
    <w:rsid w:val="73B78C30"/>
    <w:rsid w:val="73E7D57B"/>
    <w:rsid w:val="74276758"/>
    <w:rsid w:val="743F2EEF"/>
    <w:rsid w:val="745A5616"/>
    <w:rsid w:val="746C9147"/>
    <w:rsid w:val="7472FB8F"/>
    <w:rsid w:val="7495F18B"/>
    <w:rsid w:val="74A07F06"/>
    <w:rsid w:val="74A13DBC"/>
    <w:rsid w:val="74BBAB2C"/>
    <w:rsid w:val="74C9113A"/>
    <w:rsid w:val="74ED9522"/>
    <w:rsid w:val="74F2165E"/>
    <w:rsid w:val="74F6E39D"/>
    <w:rsid w:val="75334AF6"/>
    <w:rsid w:val="755A2CED"/>
    <w:rsid w:val="756403DF"/>
    <w:rsid w:val="760269BD"/>
    <w:rsid w:val="76095300"/>
    <w:rsid w:val="7613A7A4"/>
    <w:rsid w:val="76750A66"/>
    <w:rsid w:val="76DC4F11"/>
    <w:rsid w:val="77264B42"/>
    <w:rsid w:val="7745D7C2"/>
    <w:rsid w:val="7758E1F7"/>
    <w:rsid w:val="77FE9185"/>
    <w:rsid w:val="781408F7"/>
    <w:rsid w:val="781E6CE5"/>
    <w:rsid w:val="782838A6"/>
    <w:rsid w:val="785D0AE0"/>
    <w:rsid w:val="78C2C262"/>
    <w:rsid w:val="78EF2A91"/>
    <w:rsid w:val="78F4669F"/>
    <w:rsid w:val="795A9C0C"/>
    <w:rsid w:val="79743AFD"/>
    <w:rsid w:val="798CA84C"/>
    <w:rsid w:val="79925639"/>
    <w:rsid w:val="79D22E03"/>
    <w:rsid w:val="79EECE3F"/>
    <w:rsid w:val="79F4DD01"/>
    <w:rsid w:val="79FDDE07"/>
    <w:rsid w:val="7A0B6A23"/>
    <w:rsid w:val="7A2506D7"/>
    <w:rsid w:val="7A8BCEE0"/>
    <w:rsid w:val="7A9947D1"/>
    <w:rsid w:val="7AA1C0FD"/>
    <w:rsid w:val="7AA71D29"/>
    <w:rsid w:val="7AE19418"/>
    <w:rsid w:val="7AFC2769"/>
    <w:rsid w:val="7B0244A7"/>
    <w:rsid w:val="7B02D755"/>
    <w:rsid w:val="7B300B3B"/>
    <w:rsid w:val="7B65D79B"/>
    <w:rsid w:val="7BA8231D"/>
    <w:rsid w:val="7BBDDDBA"/>
    <w:rsid w:val="7BCBDC58"/>
    <w:rsid w:val="7C3292F1"/>
    <w:rsid w:val="7C3A4C83"/>
    <w:rsid w:val="7C588653"/>
    <w:rsid w:val="7C7A41E1"/>
    <w:rsid w:val="7C83EA0A"/>
    <w:rsid w:val="7CB8D4B2"/>
    <w:rsid w:val="7D02257E"/>
    <w:rsid w:val="7D0E7314"/>
    <w:rsid w:val="7D2CE17A"/>
    <w:rsid w:val="7D3967C8"/>
    <w:rsid w:val="7D9CADCC"/>
    <w:rsid w:val="7DAC112F"/>
    <w:rsid w:val="7DBFC6B6"/>
    <w:rsid w:val="7DE3F5A7"/>
    <w:rsid w:val="7DEF9010"/>
    <w:rsid w:val="7E06A309"/>
    <w:rsid w:val="7E0E633A"/>
    <w:rsid w:val="7E1CBD82"/>
    <w:rsid w:val="7E1FF992"/>
    <w:rsid w:val="7E3DBCCD"/>
    <w:rsid w:val="7E50722F"/>
    <w:rsid w:val="7E570EC2"/>
    <w:rsid w:val="7E5F6827"/>
    <w:rsid w:val="7ED80495"/>
    <w:rsid w:val="7EED0ACE"/>
    <w:rsid w:val="7F0C8622"/>
    <w:rsid w:val="7F1C4205"/>
    <w:rsid w:val="7F40AC4E"/>
    <w:rsid w:val="7F47B50A"/>
    <w:rsid w:val="7F5F322D"/>
    <w:rsid w:val="7F9188D6"/>
    <w:rsid w:val="7FA677E8"/>
    <w:rsid w:val="7FA8EACB"/>
    <w:rsid w:val="7FCED9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4"/>
    <o:shapelayout v:ext="edit">
      <o:idmap v:ext="edit" data="2"/>
    </o:shapelayout>
  </w:shapeDefaults>
  <w:decimalSymbol w:val="."/>
  <w:listSeparator w:val=","/>
  <w14:docId w14:val="1E3F8236"/>
  <w15:chartTrackingRefBased/>
  <w15:docId w15:val="{5E58584E-1BF0-43D8-B735-7B9C369A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UnresolvedMention">
    <w:name w:val="Unresolved Mention"/>
    <w:basedOn w:val="DefaultParagraphFont"/>
    <w:uiPriority w:val="99"/>
    <w:unhideWhenUsed/>
    <w:rsid w:val="001558F9"/>
    <w:rPr>
      <w:color w:val="605E5C"/>
      <w:shd w:val="clear" w:color="auto" w:fill="E1DFDD"/>
    </w:rPr>
  </w:style>
  <w:style w:type="character" w:styleId="Mention">
    <w:name w:val="Mention"/>
    <w:basedOn w:val="DefaultParagraphFont"/>
    <w:uiPriority w:val="99"/>
    <w:unhideWhenUsed/>
    <w:rsid w:val="001558F9"/>
    <w:rPr>
      <w:color w:val="2B579A"/>
      <w:shd w:val="clear" w:color="auto" w:fill="E1DFDD"/>
    </w:rPr>
  </w:style>
  <w:style w:type="character" w:customStyle="1" w:styleId="normaltextrun">
    <w:name w:val="normaltextrun"/>
    <w:basedOn w:val="DefaultParagraphFont"/>
    <w:rsid w:val="002E297E"/>
  </w:style>
  <w:style w:type="paragraph" w:styleId="NoSpacing">
    <w:name w:val="No Spacing"/>
    <w:uiPriority w:val="1"/>
    <w:qFormat/>
    <w:rsid w:val="00B45A6D"/>
    <w:rPr>
      <w:sz w:val="24"/>
      <w:szCs w:val="24"/>
      <w:lang w:eastAsia="en-GB"/>
    </w:rPr>
  </w:style>
  <w:style w:type="character" w:styleId="Emphasis">
    <w:name w:val="Emphasis"/>
    <w:basedOn w:val="DefaultParagraphFont"/>
    <w:qFormat/>
    <w:rsid w:val="000057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8878">
      <w:bodyDiv w:val="1"/>
      <w:marLeft w:val="0"/>
      <w:marRight w:val="0"/>
      <w:marTop w:val="0"/>
      <w:marBottom w:val="0"/>
      <w:divBdr>
        <w:top w:val="none" w:sz="0" w:space="0" w:color="auto"/>
        <w:left w:val="none" w:sz="0" w:space="0" w:color="auto"/>
        <w:bottom w:val="none" w:sz="0" w:space="0" w:color="auto"/>
        <w:right w:val="none" w:sz="0" w:space="0" w:color="auto"/>
      </w:divBdr>
    </w:div>
    <w:div w:id="89938163">
      <w:bodyDiv w:val="1"/>
      <w:marLeft w:val="0"/>
      <w:marRight w:val="0"/>
      <w:marTop w:val="0"/>
      <w:marBottom w:val="0"/>
      <w:divBdr>
        <w:top w:val="none" w:sz="0" w:space="0" w:color="auto"/>
        <w:left w:val="none" w:sz="0" w:space="0" w:color="auto"/>
        <w:bottom w:val="none" w:sz="0" w:space="0" w:color="auto"/>
        <w:right w:val="none" w:sz="0" w:space="0" w:color="auto"/>
      </w:divBdr>
    </w:div>
    <w:div w:id="96944432">
      <w:bodyDiv w:val="1"/>
      <w:marLeft w:val="0"/>
      <w:marRight w:val="0"/>
      <w:marTop w:val="0"/>
      <w:marBottom w:val="0"/>
      <w:divBdr>
        <w:top w:val="none" w:sz="0" w:space="0" w:color="auto"/>
        <w:left w:val="none" w:sz="0" w:space="0" w:color="auto"/>
        <w:bottom w:val="none" w:sz="0" w:space="0" w:color="auto"/>
        <w:right w:val="none" w:sz="0" w:space="0" w:color="auto"/>
      </w:divBdr>
    </w:div>
    <w:div w:id="217401544">
      <w:bodyDiv w:val="1"/>
      <w:marLeft w:val="0"/>
      <w:marRight w:val="0"/>
      <w:marTop w:val="0"/>
      <w:marBottom w:val="0"/>
      <w:divBdr>
        <w:top w:val="none" w:sz="0" w:space="0" w:color="auto"/>
        <w:left w:val="none" w:sz="0" w:space="0" w:color="auto"/>
        <w:bottom w:val="none" w:sz="0" w:space="0" w:color="auto"/>
        <w:right w:val="none" w:sz="0" w:space="0" w:color="auto"/>
      </w:divBdr>
    </w:div>
    <w:div w:id="255753722">
      <w:bodyDiv w:val="1"/>
      <w:marLeft w:val="0"/>
      <w:marRight w:val="0"/>
      <w:marTop w:val="0"/>
      <w:marBottom w:val="0"/>
      <w:divBdr>
        <w:top w:val="none" w:sz="0" w:space="0" w:color="auto"/>
        <w:left w:val="none" w:sz="0" w:space="0" w:color="auto"/>
        <w:bottom w:val="none" w:sz="0" w:space="0" w:color="auto"/>
        <w:right w:val="none" w:sz="0" w:space="0" w:color="auto"/>
      </w:divBdr>
    </w:div>
    <w:div w:id="263654959">
      <w:bodyDiv w:val="1"/>
      <w:marLeft w:val="0"/>
      <w:marRight w:val="0"/>
      <w:marTop w:val="0"/>
      <w:marBottom w:val="0"/>
      <w:divBdr>
        <w:top w:val="none" w:sz="0" w:space="0" w:color="auto"/>
        <w:left w:val="none" w:sz="0" w:space="0" w:color="auto"/>
        <w:bottom w:val="none" w:sz="0" w:space="0" w:color="auto"/>
        <w:right w:val="none" w:sz="0" w:space="0" w:color="auto"/>
      </w:divBdr>
    </w:div>
    <w:div w:id="299389463">
      <w:bodyDiv w:val="1"/>
      <w:marLeft w:val="0"/>
      <w:marRight w:val="0"/>
      <w:marTop w:val="0"/>
      <w:marBottom w:val="0"/>
      <w:divBdr>
        <w:top w:val="none" w:sz="0" w:space="0" w:color="auto"/>
        <w:left w:val="none" w:sz="0" w:space="0" w:color="auto"/>
        <w:bottom w:val="none" w:sz="0" w:space="0" w:color="auto"/>
        <w:right w:val="none" w:sz="0" w:space="0" w:color="auto"/>
      </w:divBdr>
    </w:div>
    <w:div w:id="311101001">
      <w:bodyDiv w:val="1"/>
      <w:marLeft w:val="0"/>
      <w:marRight w:val="0"/>
      <w:marTop w:val="0"/>
      <w:marBottom w:val="0"/>
      <w:divBdr>
        <w:top w:val="none" w:sz="0" w:space="0" w:color="auto"/>
        <w:left w:val="none" w:sz="0" w:space="0" w:color="auto"/>
        <w:bottom w:val="none" w:sz="0" w:space="0" w:color="auto"/>
        <w:right w:val="none" w:sz="0" w:space="0" w:color="auto"/>
      </w:divBdr>
    </w:div>
    <w:div w:id="337776571">
      <w:bodyDiv w:val="1"/>
      <w:marLeft w:val="0"/>
      <w:marRight w:val="0"/>
      <w:marTop w:val="0"/>
      <w:marBottom w:val="0"/>
      <w:divBdr>
        <w:top w:val="none" w:sz="0" w:space="0" w:color="auto"/>
        <w:left w:val="none" w:sz="0" w:space="0" w:color="auto"/>
        <w:bottom w:val="none" w:sz="0" w:space="0" w:color="auto"/>
        <w:right w:val="none" w:sz="0" w:space="0" w:color="auto"/>
      </w:divBdr>
    </w:div>
    <w:div w:id="356976667">
      <w:bodyDiv w:val="1"/>
      <w:marLeft w:val="0"/>
      <w:marRight w:val="0"/>
      <w:marTop w:val="0"/>
      <w:marBottom w:val="0"/>
      <w:divBdr>
        <w:top w:val="none" w:sz="0" w:space="0" w:color="auto"/>
        <w:left w:val="none" w:sz="0" w:space="0" w:color="auto"/>
        <w:bottom w:val="none" w:sz="0" w:space="0" w:color="auto"/>
        <w:right w:val="none" w:sz="0" w:space="0" w:color="auto"/>
      </w:divBdr>
    </w:div>
    <w:div w:id="396781035">
      <w:bodyDiv w:val="1"/>
      <w:marLeft w:val="0"/>
      <w:marRight w:val="0"/>
      <w:marTop w:val="0"/>
      <w:marBottom w:val="0"/>
      <w:divBdr>
        <w:top w:val="none" w:sz="0" w:space="0" w:color="auto"/>
        <w:left w:val="none" w:sz="0" w:space="0" w:color="auto"/>
        <w:bottom w:val="none" w:sz="0" w:space="0" w:color="auto"/>
        <w:right w:val="none" w:sz="0" w:space="0" w:color="auto"/>
      </w:divBdr>
    </w:div>
    <w:div w:id="400324836">
      <w:bodyDiv w:val="1"/>
      <w:marLeft w:val="0"/>
      <w:marRight w:val="0"/>
      <w:marTop w:val="0"/>
      <w:marBottom w:val="0"/>
      <w:divBdr>
        <w:top w:val="none" w:sz="0" w:space="0" w:color="auto"/>
        <w:left w:val="none" w:sz="0" w:space="0" w:color="auto"/>
        <w:bottom w:val="none" w:sz="0" w:space="0" w:color="auto"/>
        <w:right w:val="none" w:sz="0" w:space="0" w:color="auto"/>
      </w:divBdr>
    </w:div>
    <w:div w:id="418869635">
      <w:bodyDiv w:val="1"/>
      <w:marLeft w:val="0"/>
      <w:marRight w:val="0"/>
      <w:marTop w:val="0"/>
      <w:marBottom w:val="0"/>
      <w:divBdr>
        <w:top w:val="none" w:sz="0" w:space="0" w:color="auto"/>
        <w:left w:val="none" w:sz="0" w:space="0" w:color="auto"/>
        <w:bottom w:val="none" w:sz="0" w:space="0" w:color="auto"/>
        <w:right w:val="none" w:sz="0" w:space="0" w:color="auto"/>
      </w:divBdr>
    </w:div>
    <w:div w:id="445466686">
      <w:bodyDiv w:val="1"/>
      <w:marLeft w:val="0"/>
      <w:marRight w:val="0"/>
      <w:marTop w:val="0"/>
      <w:marBottom w:val="0"/>
      <w:divBdr>
        <w:top w:val="none" w:sz="0" w:space="0" w:color="auto"/>
        <w:left w:val="none" w:sz="0" w:space="0" w:color="auto"/>
        <w:bottom w:val="none" w:sz="0" w:space="0" w:color="auto"/>
        <w:right w:val="none" w:sz="0" w:space="0" w:color="auto"/>
      </w:divBdr>
    </w:div>
    <w:div w:id="703750985">
      <w:bodyDiv w:val="1"/>
      <w:marLeft w:val="0"/>
      <w:marRight w:val="0"/>
      <w:marTop w:val="0"/>
      <w:marBottom w:val="0"/>
      <w:divBdr>
        <w:top w:val="none" w:sz="0" w:space="0" w:color="auto"/>
        <w:left w:val="none" w:sz="0" w:space="0" w:color="auto"/>
        <w:bottom w:val="none" w:sz="0" w:space="0" w:color="auto"/>
        <w:right w:val="none" w:sz="0" w:space="0" w:color="auto"/>
      </w:divBdr>
    </w:div>
    <w:div w:id="742064707">
      <w:bodyDiv w:val="1"/>
      <w:marLeft w:val="0"/>
      <w:marRight w:val="0"/>
      <w:marTop w:val="0"/>
      <w:marBottom w:val="0"/>
      <w:divBdr>
        <w:top w:val="none" w:sz="0" w:space="0" w:color="auto"/>
        <w:left w:val="none" w:sz="0" w:space="0" w:color="auto"/>
        <w:bottom w:val="none" w:sz="0" w:space="0" w:color="auto"/>
        <w:right w:val="none" w:sz="0" w:space="0" w:color="auto"/>
      </w:divBdr>
    </w:div>
    <w:div w:id="779179134">
      <w:bodyDiv w:val="1"/>
      <w:marLeft w:val="0"/>
      <w:marRight w:val="0"/>
      <w:marTop w:val="0"/>
      <w:marBottom w:val="0"/>
      <w:divBdr>
        <w:top w:val="none" w:sz="0" w:space="0" w:color="auto"/>
        <w:left w:val="none" w:sz="0" w:space="0" w:color="auto"/>
        <w:bottom w:val="none" w:sz="0" w:space="0" w:color="auto"/>
        <w:right w:val="none" w:sz="0" w:space="0" w:color="auto"/>
      </w:divBdr>
    </w:div>
    <w:div w:id="781221691">
      <w:bodyDiv w:val="1"/>
      <w:marLeft w:val="0"/>
      <w:marRight w:val="0"/>
      <w:marTop w:val="0"/>
      <w:marBottom w:val="0"/>
      <w:divBdr>
        <w:top w:val="none" w:sz="0" w:space="0" w:color="auto"/>
        <w:left w:val="none" w:sz="0" w:space="0" w:color="auto"/>
        <w:bottom w:val="none" w:sz="0" w:space="0" w:color="auto"/>
        <w:right w:val="none" w:sz="0" w:space="0" w:color="auto"/>
      </w:divBdr>
    </w:div>
    <w:div w:id="887764045">
      <w:bodyDiv w:val="1"/>
      <w:marLeft w:val="0"/>
      <w:marRight w:val="0"/>
      <w:marTop w:val="0"/>
      <w:marBottom w:val="0"/>
      <w:divBdr>
        <w:top w:val="none" w:sz="0" w:space="0" w:color="auto"/>
        <w:left w:val="none" w:sz="0" w:space="0" w:color="auto"/>
        <w:bottom w:val="none" w:sz="0" w:space="0" w:color="auto"/>
        <w:right w:val="none" w:sz="0" w:space="0" w:color="auto"/>
      </w:divBdr>
    </w:div>
    <w:div w:id="889850969">
      <w:bodyDiv w:val="1"/>
      <w:marLeft w:val="0"/>
      <w:marRight w:val="0"/>
      <w:marTop w:val="0"/>
      <w:marBottom w:val="0"/>
      <w:divBdr>
        <w:top w:val="none" w:sz="0" w:space="0" w:color="auto"/>
        <w:left w:val="none" w:sz="0" w:space="0" w:color="auto"/>
        <w:bottom w:val="none" w:sz="0" w:space="0" w:color="auto"/>
        <w:right w:val="none" w:sz="0" w:space="0" w:color="auto"/>
      </w:divBdr>
    </w:div>
    <w:div w:id="908344222">
      <w:bodyDiv w:val="1"/>
      <w:marLeft w:val="0"/>
      <w:marRight w:val="0"/>
      <w:marTop w:val="0"/>
      <w:marBottom w:val="0"/>
      <w:divBdr>
        <w:top w:val="none" w:sz="0" w:space="0" w:color="auto"/>
        <w:left w:val="none" w:sz="0" w:space="0" w:color="auto"/>
        <w:bottom w:val="none" w:sz="0" w:space="0" w:color="auto"/>
        <w:right w:val="none" w:sz="0" w:space="0" w:color="auto"/>
      </w:divBdr>
    </w:div>
    <w:div w:id="910845611">
      <w:bodyDiv w:val="1"/>
      <w:marLeft w:val="0"/>
      <w:marRight w:val="0"/>
      <w:marTop w:val="0"/>
      <w:marBottom w:val="0"/>
      <w:divBdr>
        <w:top w:val="none" w:sz="0" w:space="0" w:color="auto"/>
        <w:left w:val="none" w:sz="0" w:space="0" w:color="auto"/>
        <w:bottom w:val="none" w:sz="0" w:space="0" w:color="auto"/>
        <w:right w:val="none" w:sz="0" w:space="0" w:color="auto"/>
      </w:divBdr>
    </w:div>
    <w:div w:id="944384739">
      <w:bodyDiv w:val="1"/>
      <w:marLeft w:val="0"/>
      <w:marRight w:val="0"/>
      <w:marTop w:val="0"/>
      <w:marBottom w:val="0"/>
      <w:divBdr>
        <w:top w:val="none" w:sz="0" w:space="0" w:color="auto"/>
        <w:left w:val="none" w:sz="0" w:space="0" w:color="auto"/>
        <w:bottom w:val="none" w:sz="0" w:space="0" w:color="auto"/>
        <w:right w:val="none" w:sz="0" w:space="0" w:color="auto"/>
      </w:divBdr>
    </w:div>
    <w:div w:id="961154141">
      <w:bodyDiv w:val="1"/>
      <w:marLeft w:val="0"/>
      <w:marRight w:val="0"/>
      <w:marTop w:val="0"/>
      <w:marBottom w:val="0"/>
      <w:divBdr>
        <w:top w:val="none" w:sz="0" w:space="0" w:color="auto"/>
        <w:left w:val="none" w:sz="0" w:space="0" w:color="auto"/>
        <w:bottom w:val="none" w:sz="0" w:space="0" w:color="auto"/>
        <w:right w:val="none" w:sz="0" w:space="0" w:color="auto"/>
      </w:divBdr>
    </w:div>
    <w:div w:id="1146891866">
      <w:bodyDiv w:val="1"/>
      <w:marLeft w:val="0"/>
      <w:marRight w:val="0"/>
      <w:marTop w:val="0"/>
      <w:marBottom w:val="0"/>
      <w:divBdr>
        <w:top w:val="none" w:sz="0" w:space="0" w:color="auto"/>
        <w:left w:val="none" w:sz="0" w:space="0" w:color="auto"/>
        <w:bottom w:val="none" w:sz="0" w:space="0" w:color="auto"/>
        <w:right w:val="none" w:sz="0" w:space="0" w:color="auto"/>
      </w:divBdr>
    </w:div>
    <w:div w:id="1160267095">
      <w:bodyDiv w:val="1"/>
      <w:marLeft w:val="0"/>
      <w:marRight w:val="0"/>
      <w:marTop w:val="0"/>
      <w:marBottom w:val="0"/>
      <w:divBdr>
        <w:top w:val="none" w:sz="0" w:space="0" w:color="auto"/>
        <w:left w:val="none" w:sz="0" w:space="0" w:color="auto"/>
        <w:bottom w:val="none" w:sz="0" w:space="0" w:color="auto"/>
        <w:right w:val="none" w:sz="0" w:space="0" w:color="auto"/>
      </w:divBdr>
    </w:div>
    <w:div w:id="1177814151">
      <w:bodyDiv w:val="1"/>
      <w:marLeft w:val="0"/>
      <w:marRight w:val="0"/>
      <w:marTop w:val="0"/>
      <w:marBottom w:val="0"/>
      <w:divBdr>
        <w:top w:val="none" w:sz="0" w:space="0" w:color="auto"/>
        <w:left w:val="none" w:sz="0" w:space="0" w:color="auto"/>
        <w:bottom w:val="none" w:sz="0" w:space="0" w:color="auto"/>
        <w:right w:val="none" w:sz="0" w:space="0" w:color="auto"/>
      </w:divBdr>
    </w:div>
    <w:div w:id="1212618408">
      <w:bodyDiv w:val="1"/>
      <w:marLeft w:val="0"/>
      <w:marRight w:val="0"/>
      <w:marTop w:val="0"/>
      <w:marBottom w:val="0"/>
      <w:divBdr>
        <w:top w:val="none" w:sz="0" w:space="0" w:color="auto"/>
        <w:left w:val="none" w:sz="0" w:space="0" w:color="auto"/>
        <w:bottom w:val="none" w:sz="0" w:space="0" w:color="auto"/>
        <w:right w:val="none" w:sz="0" w:space="0" w:color="auto"/>
      </w:divBdr>
    </w:div>
    <w:div w:id="1261259091">
      <w:bodyDiv w:val="1"/>
      <w:marLeft w:val="0"/>
      <w:marRight w:val="0"/>
      <w:marTop w:val="0"/>
      <w:marBottom w:val="0"/>
      <w:divBdr>
        <w:top w:val="none" w:sz="0" w:space="0" w:color="auto"/>
        <w:left w:val="none" w:sz="0" w:space="0" w:color="auto"/>
        <w:bottom w:val="none" w:sz="0" w:space="0" w:color="auto"/>
        <w:right w:val="none" w:sz="0" w:space="0" w:color="auto"/>
      </w:divBdr>
    </w:div>
    <w:div w:id="1262253503">
      <w:bodyDiv w:val="1"/>
      <w:marLeft w:val="0"/>
      <w:marRight w:val="0"/>
      <w:marTop w:val="0"/>
      <w:marBottom w:val="0"/>
      <w:divBdr>
        <w:top w:val="none" w:sz="0" w:space="0" w:color="auto"/>
        <w:left w:val="none" w:sz="0" w:space="0" w:color="auto"/>
        <w:bottom w:val="none" w:sz="0" w:space="0" w:color="auto"/>
        <w:right w:val="none" w:sz="0" w:space="0" w:color="auto"/>
      </w:divBdr>
    </w:div>
    <w:div w:id="1272274264">
      <w:bodyDiv w:val="1"/>
      <w:marLeft w:val="0"/>
      <w:marRight w:val="0"/>
      <w:marTop w:val="0"/>
      <w:marBottom w:val="0"/>
      <w:divBdr>
        <w:top w:val="none" w:sz="0" w:space="0" w:color="auto"/>
        <w:left w:val="none" w:sz="0" w:space="0" w:color="auto"/>
        <w:bottom w:val="none" w:sz="0" w:space="0" w:color="auto"/>
        <w:right w:val="none" w:sz="0" w:space="0" w:color="auto"/>
      </w:divBdr>
    </w:div>
    <w:div w:id="1282489757">
      <w:bodyDiv w:val="1"/>
      <w:marLeft w:val="0"/>
      <w:marRight w:val="0"/>
      <w:marTop w:val="0"/>
      <w:marBottom w:val="0"/>
      <w:divBdr>
        <w:top w:val="none" w:sz="0" w:space="0" w:color="auto"/>
        <w:left w:val="none" w:sz="0" w:space="0" w:color="auto"/>
        <w:bottom w:val="none" w:sz="0" w:space="0" w:color="auto"/>
        <w:right w:val="none" w:sz="0" w:space="0" w:color="auto"/>
      </w:divBdr>
    </w:div>
    <w:div w:id="1411462450">
      <w:bodyDiv w:val="1"/>
      <w:marLeft w:val="0"/>
      <w:marRight w:val="0"/>
      <w:marTop w:val="0"/>
      <w:marBottom w:val="0"/>
      <w:divBdr>
        <w:top w:val="none" w:sz="0" w:space="0" w:color="auto"/>
        <w:left w:val="none" w:sz="0" w:space="0" w:color="auto"/>
        <w:bottom w:val="none" w:sz="0" w:space="0" w:color="auto"/>
        <w:right w:val="none" w:sz="0" w:space="0" w:color="auto"/>
      </w:divBdr>
    </w:div>
    <w:div w:id="1416974269">
      <w:bodyDiv w:val="1"/>
      <w:marLeft w:val="0"/>
      <w:marRight w:val="0"/>
      <w:marTop w:val="0"/>
      <w:marBottom w:val="0"/>
      <w:divBdr>
        <w:top w:val="none" w:sz="0" w:space="0" w:color="auto"/>
        <w:left w:val="none" w:sz="0" w:space="0" w:color="auto"/>
        <w:bottom w:val="none" w:sz="0" w:space="0" w:color="auto"/>
        <w:right w:val="none" w:sz="0" w:space="0" w:color="auto"/>
      </w:divBdr>
    </w:div>
    <w:div w:id="1423794476">
      <w:bodyDiv w:val="1"/>
      <w:marLeft w:val="0"/>
      <w:marRight w:val="0"/>
      <w:marTop w:val="0"/>
      <w:marBottom w:val="0"/>
      <w:divBdr>
        <w:top w:val="none" w:sz="0" w:space="0" w:color="auto"/>
        <w:left w:val="none" w:sz="0" w:space="0" w:color="auto"/>
        <w:bottom w:val="none" w:sz="0" w:space="0" w:color="auto"/>
        <w:right w:val="none" w:sz="0" w:space="0" w:color="auto"/>
      </w:divBdr>
    </w:div>
    <w:div w:id="1445809244">
      <w:bodyDiv w:val="1"/>
      <w:marLeft w:val="0"/>
      <w:marRight w:val="0"/>
      <w:marTop w:val="0"/>
      <w:marBottom w:val="0"/>
      <w:divBdr>
        <w:top w:val="none" w:sz="0" w:space="0" w:color="auto"/>
        <w:left w:val="none" w:sz="0" w:space="0" w:color="auto"/>
        <w:bottom w:val="none" w:sz="0" w:space="0" w:color="auto"/>
        <w:right w:val="none" w:sz="0" w:space="0" w:color="auto"/>
      </w:divBdr>
    </w:div>
    <w:div w:id="1504660361">
      <w:bodyDiv w:val="1"/>
      <w:marLeft w:val="0"/>
      <w:marRight w:val="0"/>
      <w:marTop w:val="0"/>
      <w:marBottom w:val="0"/>
      <w:divBdr>
        <w:top w:val="none" w:sz="0" w:space="0" w:color="auto"/>
        <w:left w:val="none" w:sz="0" w:space="0" w:color="auto"/>
        <w:bottom w:val="none" w:sz="0" w:space="0" w:color="auto"/>
        <w:right w:val="none" w:sz="0" w:space="0" w:color="auto"/>
      </w:divBdr>
    </w:div>
    <w:div w:id="1515025199">
      <w:bodyDiv w:val="1"/>
      <w:marLeft w:val="0"/>
      <w:marRight w:val="0"/>
      <w:marTop w:val="0"/>
      <w:marBottom w:val="0"/>
      <w:divBdr>
        <w:top w:val="none" w:sz="0" w:space="0" w:color="auto"/>
        <w:left w:val="none" w:sz="0" w:space="0" w:color="auto"/>
        <w:bottom w:val="none" w:sz="0" w:space="0" w:color="auto"/>
        <w:right w:val="none" w:sz="0" w:space="0" w:color="auto"/>
      </w:divBdr>
    </w:div>
    <w:div w:id="1561788783">
      <w:bodyDiv w:val="1"/>
      <w:marLeft w:val="0"/>
      <w:marRight w:val="0"/>
      <w:marTop w:val="0"/>
      <w:marBottom w:val="0"/>
      <w:divBdr>
        <w:top w:val="none" w:sz="0" w:space="0" w:color="auto"/>
        <w:left w:val="none" w:sz="0" w:space="0" w:color="auto"/>
        <w:bottom w:val="none" w:sz="0" w:space="0" w:color="auto"/>
        <w:right w:val="none" w:sz="0" w:space="0" w:color="auto"/>
      </w:divBdr>
    </w:div>
    <w:div w:id="1563558967">
      <w:bodyDiv w:val="1"/>
      <w:marLeft w:val="0"/>
      <w:marRight w:val="0"/>
      <w:marTop w:val="0"/>
      <w:marBottom w:val="0"/>
      <w:divBdr>
        <w:top w:val="none" w:sz="0" w:space="0" w:color="auto"/>
        <w:left w:val="none" w:sz="0" w:space="0" w:color="auto"/>
        <w:bottom w:val="none" w:sz="0" w:space="0" w:color="auto"/>
        <w:right w:val="none" w:sz="0" w:space="0" w:color="auto"/>
      </w:divBdr>
    </w:div>
    <w:div w:id="1578394358">
      <w:bodyDiv w:val="1"/>
      <w:marLeft w:val="0"/>
      <w:marRight w:val="0"/>
      <w:marTop w:val="0"/>
      <w:marBottom w:val="0"/>
      <w:divBdr>
        <w:top w:val="none" w:sz="0" w:space="0" w:color="auto"/>
        <w:left w:val="none" w:sz="0" w:space="0" w:color="auto"/>
        <w:bottom w:val="none" w:sz="0" w:space="0" w:color="auto"/>
        <w:right w:val="none" w:sz="0" w:space="0" w:color="auto"/>
      </w:divBdr>
    </w:div>
    <w:div w:id="1659192330">
      <w:bodyDiv w:val="1"/>
      <w:marLeft w:val="0"/>
      <w:marRight w:val="0"/>
      <w:marTop w:val="0"/>
      <w:marBottom w:val="0"/>
      <w:divBdr>
        <w:top w:val="none" w:sz="0" w:space="0" w:color="auto"/>
        <w:left w:val="none" w:sz="0" w:space="0" w:color="auto"/>
        <w:bottom w:val="none" w:sz="0" w:space="0" w:color="auto"/>
        <w:right w:val="none" w:sz="0" w:space="0" w:color="auto"/>
      </w:divBdr>
    </w:div>
    <w:div w:id="1700008505">
      <w:bodyDiv w:val="1"/>
      <w:marLeft w:val="0"/>
      <w:marRight w:val="0"/>
      <w:marTop w:val="0"/>
      <w:marBottom w:val="0"/>
      <w:divBdr>
        <w:top w:val="none" w:sz="0" w:space="0" w:color="auto"/>
        <w:left w:val="none" w:sz="0" w:space="0" w:color="auto"/>
        <w:bottom w:val="none" w:sz="0" w:space="0" w:color="auto"/>
        <w:right w:val="none" w:sz="0" w:space="0" w:color="auto"/>
      </w:divBdr>
    </w:div>
    <w:div w:id="1731079817">
      <w:bodyDiv w:val="1"/>
      <w:marLeft w:val="0"/>
      <w:marRight w:val="0"/>
      <w:marTop w:val="0"/>
      <w:marBottom w:val="0"/>
      <w:divBdr>
        <w:top w:val="none" w:sz="0" w:space="0" w:color="auto"/>
        <w:left w:val="none" w:sz="0" w:space="0" w:color="auto"/>
        <w:bottom w:val="none" w:sz="0" w:space="0" w:color="auto"/>
        <w:right w:val="none" w:sz="0" w:space="0" w:color="auto"/>
      </w:divBdr>
    </w:div>
    <w:div w:id="1750153383">
      <w:bodyDiv w:val="1"/>
      <w:marLeft w:val="0"/>
      <w:marRight w:val="0"/>
      <w:marTop w:val="0"/>
      <w:marBottom w:val="0"/>
      <w:divBdr>
        <w:top w:val="none" w:sz="0" w:space="0" w:color="auto"/>
        <w:left w:val="none" w:sz="0" w:space="0" w:color="auto"/>
        <w:bottom w:val="none" w:sz="0" w:space="0" w:color="auto"/>
        <w:right w:val="none" w:sz="0" w:space="0" w:color="auto"/>
      </w:divBdr>
    </w:div>
    <w:div w:id="1853646525">
      <w:bodyDiv w:val="1"/>
      <w:marLeft w:val="0"/>
      <w:marRight w:val="0"/>
      <w:marTop w:val="0"/>
      <w:marBottom w:val="0"/>
      <w:divBdr>
        <w:top w:val="none" w:sz="0" w:space="0" w:color="auto"/>
        <w:left w:val="none" w:sz="0" w:space="0" w:color="auto"/>
        <w:bottom w:val="none" w:sz="0" w:space="0" w:color="auto"/>
        <w:right w:val="none" w:sz="0" w:space="0" w:color="auto"/>
      </w:divBdr>
    </w:div>
    <w:div w:id="1899172188">
      <w:bodyDiv w:val="1"/>
      <w:marLeft w:val="0"/>
      <w:marRight w:val="0"/>
      <w:marTop w:val="0"/>
      <w:marBottom w:val="0"/>
      <w:divBdr>
        <w:top w:val="none" w:sz="0" w:space="0" w:color="auto"/>
        <w:left w:val="none" w:sz="0" w:space="0" w:color="auto"/>
        <w:bottom w:val="none" w:sz="0" w:space="0" w:color="auto"/>
        <w:right w:val="none" w:sz="0" w:space="0" w:color="auto"/>
      </w:divBdr>
    </w:div>
    <w:div w:id="1903709719">
      <w:bodyDiv w:val="1"/>
      <w:marLeft w:val="0"/>
      <w:marRight w:val="0"/>
      <w:marTop w:val="0"/>
      <w:marBottom w:val="0"/>
      <w:divBdr>
        <w:top w:val="none" w:sz="0" w:space="0" w:color="auto"/>
        <w:left w:val="none" w:sz="0" w:space="0" w:color="auto"/>
        <w:bottom w:val="none" w:sz="0" w:space="0" w:color="auto"/>
        <w:right w:val="none" w:sz="0" w:space="0" w:color="auto"/>
      </w:divBdr>
    </w:div>
    <w:div w:id="1911383729">
      <w:bodyDiv w:val="1"/>
      <w:marLeft w:val="0"/>
      <w:marRight w:val="0"/>
      <w:marTop w:val="0"/>
      <w:marBottom w:val="0"/>
      <w:divBdr>
        <w:top w:val="none" w:sz="0" w:space="0" w:color="auto"/>
        <w:left w:val="none" w:sz="0" w:space="0" w:color="auto"/>
        <w:bottom w:val="none" w:sz="0" w:space="0" w:color="auto"/>
        <w:right w:val="none" w:sz="0" w:space="0" w:color="auto"/>
      </w:divBdr>
    </w:div>
    <w:div w:id="1937983432">
      <w:bodyDiv w:val="1"/>
      <w:marLeft w:val="0"/>
      <w:marRight w:val="0"/>
      <w:marTop w:val="0"/>
      <w:marBottom w:val="0"/>
      <w:divBdr>
        <w:top w:val="none" w:sz="0" w:space="0" w:color="auto"/>
        <w:left w:val="none" w:sz="0" w:space="0" w:color="auto"/>
        <w:bottom w:val="none" w:sz="0" w:space="0" w:color="auto"/>
        <w:right w:val="none" w:sz="0" w:space="0" w:color="auto"/>
      </w:divBdr>
    </w:div>
    <w:div w:id="1964117537">
      <w:bodyDiv w:val="1"/>
      <w:marLeft w:val="0"/>
      <w:marRight w:val="0"/>
      <w:marTop w:val="0"/>
      <w:marBottom w:val="0"/>
      <w:divBdr>
        <w:top w:val="none" w:sz="0" w:space="0" w:color="auto"/>
        <w:left w:val="none" w:sz="0" w:space="0" w:color="auto"/>
        <w:bottom w:val="none" w:sz="0" w:space="0" w:color="auto"/>
        <w:right w:val="none" w:sz="0" w:space="0" w:color="auto"/>
      </w:divBdr>
    </w:div>
    <w:div w:id="2030988208">
      <w:bodyDiv w:val="1"/>
      <w:marLeft w:val="0"/>
      <w:marRight w:val="0"/>
      <w:marTop w:val="0"/>
      <w:marBottom w:val="0"/>
      <w:divBdr>
        <w:top w:val="none" w:sz="0" w:space="0" w:color="auto"/>
        <w:left w:val="none" w:sz="0" w:space="0" w:color="auto"/>
        <w:bottom w:val="none" w:sz="0" w:space="0" w:color="auto"/>
        <w:right w:val="none" w:sz="0" w:space="0" w:color="auto"/>
      </w:divBdr>
    </w:div>
    <w:div w:id="2115437018">
      <w:bodyDiv w:val="1"/>
      <w:marLeft w:val="0"/>
      <w:marRight w:val="0"/>
      <w:marTop w:val="0"/>
      <w:marBottom w:val="0"/>
      <w:divBdr>
        <w:top w:val="none" w:sz="0" w:space="0" w:color="auto"/>
        <w:left w:val="none" w:sz="0" w:space="0" w:color="auto"/>
        <w:bottom w:val="none" w:sz="0" w:space="0" w:color="auto"/>
        <w:right w:val="none" w:sz="0" w:space="0" w:color="auto"/>
      </w:divBdr>
    </w:div>
    <w:div w:id="2134209054">
      <w:bodyDiv w:val="1"/>
      <w:marLeft w:val="0"/>
      <w:marRight w:val="0"/>
      <w:marTop w:val="0"/>
      <w:marBottom w:val="0"/>
      <w:divBdr>
        <w:top w:val="none" w:sz="0" w:space="0" w:color="auto"/>
        <w:left w:val="none" w:sz="0" w:space="0" w:color="auto"/>
        <w:bottom w:val="none" w:sz="0" w:space="0" w:color="auto"/>
        <w:right w:val="none" w:sz="0" w:space="0" w:color="auto"/>
      </w:divBdr>
    </w:div>
    <w:div w:id="21359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8.wmf"/><Relationship Id="rId21" Type="http://schemas.openxmlformats.org/officeDocument/2006/relationships/image" Target="media/image10.wmf"/><Relationship Id="rId34" Type="http://schemas.openxmlformats.org/officeDocument/2006/relationships/image" Target="media/image23.png"/><Relationship Id="rId42" Type="http://schemas.openxmlformats.org/officeDocument/2006/relationships/image" Target="media/image31.wmf"/><Relationship Id="rId47" Type="http://schemas.openxmlformats.org/officeDocument/2006/relationships/image" Target="media/image36.wmf"/><Relationship Id="rId50" Type="http://schemas.openxmlformats.org/officeDocument/2006/relationships/image" Target="media/image39.wmf"/><Relationship Id="rId55" Type="http://schemas.openxmlformats.org/officeDocument/2006/relationships/image" Target="media/image43.png"/><Relationship Id="rId63" Type="http://schemas.openxmlformats.org/officeDocument/2006/relationships/header" Target="header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image" Target="media/image29.wmf"/><Relationship Id="rId45" Type="http://schemas.openxmlformats.org/officeDocument/2006/relationships/image" Target="media/image34.png"/><Relationship Id="rId53"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58" Type="http://schemas.openxmlformats.org/officeDocument/2006/relationships/image" Target="media/image46.wmf"/><Relationship Id="rId66"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12.wmf"/><Relationship Id="rId28" Type="http://schemas.openxmlformats.org/officeDocument/2006/relationships/image" Target="media/image17.png"/><Relationship Id="rId36" Type="http://schemas.openxmlformats.org/officeDocument/2006/relationships/image" Target="media/image25.wmf"/><Relationship Id="rId49" Type="http://schemas.openxmlformats.org/officeDocument/2006/relationships/image" Target="media/image38.wmf"/><Relationship Id="rId57" Type="http://schemas.openxmlformats.org/officeDocument/2006/relationships/image" Target="media/image45.wmf"/><Relationship Id="rId61"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image" Target="media/image20.wmf"/><Relationship Id="rId44" Type="http://schemas.openxmlformats.org/officeDocument/2006/relationships/image" Target="media/image33.png"/><Relationship Id="rId52" Type="http://schemas.openxmlformats.org/officeDocument/2006/relationships/image" Target="media/image41.wmf"/><Relationship Id="rId60" Type="http://schemas.openxmlformats.org/officeDocument/2006/relationships/header" Target="header2.xml"/><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png"/><Relationship Id="rId35" Type="http://schemas.openxmlformats.org/officeDocument/2006/relationships/image" Target="media/image24.wmf"/><Relationship Id="rId43" Type="http://schemas.openxmlformats.org/officeDocument/2006/relationships/image" Target="media/image32.png"/><Relationship Id="rId48" Type="http://schemas.openxmlformats.org/officeDocument/2006/relationships/image" Target="media/image37.wmf"/><Relationship Id="rId56" Type="http://schemas.openxmlformats.org/officeDocument/2006/relationships/image" Target="media/image44.wmf"/><Relationship Id="rId64"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image" Target="media/image40.wmf"/><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image" Target="media/image35.wmf"/><Relationship Id="rId59" Type="http://schemas.openxmlformats.org/officeDocument/2006/relationships/header" Target="header1.xml"/><Relationship Id="rId67" Type="http://schemas.microsoft.com/office/2020/10/relationships/intelligence" Target="intelligence2.xml"/><Relationship Id="rId20" Type="http://schemas.openxmlformats.org/officeDocument/2006/relationships/image" Target="media/image9.wmf"/><Relationship Id="rId41" Type="http://schemas.openxmlformats.org/officeDocument/2006/relationships/image" Target="media/image30.wmf"/><Relationship Id="rId54" Type="http://schemas.openxmlformats.org/officeDocument/2006/relationships/image" Target="media/image42.wmf"/><Relationship Id="rId6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Joseph Henry (ESO)</DisplayName>
        <AccountId>20</AccountId>
        <AccountType/>
      </UserInfo>
      <UserInfo>
        <DisplayName>Alice Taylor (ESO)</DisplayName>
        <AccountId>725</AccountId>
        <AccountType/>
      </UserInfo>
      <UserInfo>
        <DisplayName>Paul Mullen (ESO)</DisplayName>
        <AccountId>22</AccountId>
        <AccountType/>
      </UserInfo>
      <UserInfo>
        <DisplayName>SharingLinks.57ec9a5b-28f0-43ab-a6a6-814a6d415dfd.OrganizationEdit.403b8ff9-9a5c-457f-9d28-6c2b45987fda</DisplayName>
        <AccountId>69</AccountId>
        <AccountType/>
      </UserInfo>
      <UserInfo>
        <DisplayName>Alison Price (ESO)</DisplayName>
        <AccountId>589</AccountId>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111179CE-744E-4F07-A0A3-FC3591EC6582}">
  <ds:schemaRefs>
    <ds:schemaRef ds:uri="http://schemas.microsoft.com/sharepoint/v3/contenttype/forms"/>
  </ds:schemaRefs>
</ds:datastoreItem>
</file>

<file path=customXml/itemProps2.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4.xml><?xml version="1.0" encoding="utf-8"?>
<ds:datastoreItem xmlns:ds="http://schemas.openxmlformats.org/officeDocument/2006/customXml" ds:itemID="{FF068D51-8D9D-4D13-A413-BDE06A005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44B6E6-01D0-458D-B548-23489714AEE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153</Pages>
  <Words>45760</Words>
  <Characters>250276</Characters>
  <Application>Microsoft Office Word</Application>
  <DocSecurity>4</DocSecurity>
  <Lines>2085</Lines>
  <Paragraphs>590</Paragraphs>
  <ScaleCrop>false</ScaleCrop>
  <Company/>
  <LinksUpToDate>false</LinksUpToDate>
  <CharactersWithSpaces>295446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Henry</dc:creator>
  <cp:keywords/>
  <cp:lastModifiedBy>Catia Gomes (ESO)</cp:lastModifiedBy>
  <cp:revision>2</cp:revision>
  <cp:lastPrinted>2023-06-27T10:06:00Z</cp:lastPrinted>
  <dcterms:created xsi:type="dcterms:W3CDTF">2023-11-23T10:02:00Z</dcterms:created>
  <dcterms:modified xsi:type="dcterms:W3CDTF">2023-11-23T10:02:00Z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0x010100095E1BDC5029614ABF43223A464FD248</vt:lpwstr>
  </property>
  <property fmtid="{D5CDD505-2E9C-101B-9397-08002B2CF9AE}" pid="6" name="MediaServiceImageTags">
    <vt:lpwstr/>
  </property>
</Properties>
</file>