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D688D2" w14:textId="77777777" w:rsidR="005079E0" w:rsidRPr="00EB32BB" w:rsidRDefault="005079E0" w:rsidP="00784486">
      <w:pPr>
        <w:pStyle w:val="Header"/>
        <w:spacing w:before="0" w:after="0"/>
        <w:ind w:left="-284"/>
        <w:rPr>
          <w:rFonts w:cs="Arial"/>
        </w:rPr>
      </w:pPr>
    </w:p>
    <w:tbl>
      <w:tblPr>
        <w:tblpPr w:leftFromText="180" w:rightFromText="180" w:vertAnchor="page" w:horzAnchor="page" w:tblpX="775" w:tblpY="1474"/>
        <w:tblW w:w="10134" w:type="dxa"/>
        <w:shd w:val="clear" w:color="auto" w:fill="CCE0DA"/>
        <w:tblLayout w:type="fixed"/>
        <w:tblCellMar>
          <w:left w:w="0" w:type="dxa"/>
          <w:right w:w="0" w:type="dxa"/>
        </w:tblCellMar>
        <w:tblLook w:val="01E0" w:firstRow="1" w:lastRow="1" w:firstColumn="1" w:lastColumn="1" w:noHBand="0" w:noVBand="0"/>
      </w:tblPr>
      <w:tblGrid>
        <w:gridCol w:w="913"/>
        <w:gridCol w:w="7060"/>
        <w:gridCol w:w="2161"/>
      </w:tblGrid>
      <w:tr w:rsidR="006F19E3" w:rsidRPr="00EB32BB" w14:paraId="374E23DE" w14:textId="77777777" w:rsidTr="006F19E3">
        <w:trPr>
          <w:trHeight w:val="826"/>
        </w:trPr>
        <w:tc>
          <w:tcPr>
            <w:tcW w:w="7973" w:type="dxa"/>
            <w:gridSpan w:val="2"/>
            <w:tcBorders>
              <w:top w:val="single" w:sz="4" w:space="0" w:color="4A8958"/>
              <w:left w:val="single" w:sz="4" w:space="0" w:color="4A8958"/>
              <w:bottom w:val="single" w:sz="4" w:space="0" w:color="4A8958"/>
              <w:right w:val="single" w:sz="4" w:space="0" w:color="4A8958"/>
            </w:tcBorders>
            <w:shd w:val="clear" w:color="auto" w:fill="00B274"/>
          </w:tcPr>
          <w:p w14:paraId="164BC24C" w14:textId="77777777" w:rsidR="006F19E3" w:rsidRPr="00F20FAB" w:rsidRDefault="006F19E3" w:rsidP="006F19E3">
            <w:pPr>
              <w:tabs>
                <w:tab w:val="left" w:pos="2901"/>
              </w:tabs>
              <w:spacing w:before="240" w:after="240"/>
              <w:ind w:left="113"/>
              <w:rPr>
                <w:rFonts w:cs="Arial"/>
                <w:b/>
                <w:color w:val="FFFFFF"/>
                <w:sz w:val="28"/>
                <w:szCs w:val="28"/>
              </w:rPr>
            </w:pPr>
            <w:r w:rsidRPr="00F20FAB">
              <w:rPr>
                <w:rFonts w:cs="Arial"/>
                <w:b/>
                <w:color w:val="FFFFFF"/>
                <w:sz w:val="28"/>
                <w:szCs w:val="28"/>
              </w:rPr>
              <w:t>Modification</w:t>
            </w:r>
            <w:r>
              <w:rPr>
                <w:rFonts w:cs="Arial"/>
                <w:b/>
                <w:color w:val="FFFFFF"/>
                <w:sz w:val="28"/>
                <w:szCs w:val="28"/>
              </w:rPr>
              <w:tab/>
            </w:r>
          </w:p>
        </w:tc>
        <w:tc>
          <w:tcPr>
            <w:tcW w:w="2161" w:type="dxa"/>
            <w:tcBorders>
              <w:top w:val="single" w:sz="4" w:space="0" w:color="4A8958"/>
              <w:left w:val="single" w:sz="4" w:space="0" w:color="4A8958"/>
              <w:bottom w:val="single" w:sz="4" w:space="0" w:color="4A8958"/>
              <w:right w:val="single" w:sz="4" w:space="0" w:color="4A8958"/>
            </w:tcBorders>
            <w:shd w:val="clear" w:color="auto" w:fill="00B274"/>
          </w:tcPr>
          <w:p w14:paraId="7369A790" w14:textId="77777777" w:rsidR="006F19E3" w:rsidRPr="00EB32BB" w:rsidRDefault="006F19E3" w:rsidP="006F19E3">
            <w:pPr>
              <w:pStyle w:val="BlockText"/>
              <w:spacing w:line="240" w:lineRule="auto"/>
              <w:ind w:left="57" w:right="-57"/>
              <w:rPr>
                <w:rFonts w:cs="Arial"/>
                <w:sz w:val="20"/>
                <w:szCs w:val="20"/>
              </w:rPr>
            </w:pPr>
            <w:r w:rsidRPr="00EB32BB">
              <w:rPr>
                <w:rFonts w:cs="Arial"/>
                <w:sz w:val="20"/>
                <w:szCs w:val="20"/>
              </w:rPr>
              <w:t>At what stage is this document in the process?</w:t>
            </w:r>
          </w:p>
        </w:tc>
      </w:tr>
      <w:tr w:rsidR="006F19E3" w:rsidRPr="00EB32BB" w14:paraId="4E0676B6" w14:textId="77777777" w:rsidTr="006F19E3">
        <w:trPr>
          <w:trHeight w:val="2725"/>
        </w:trPr>
        <w:tc>
          <w:tcPr>
            <w:tcW w:w="7973" w:type="dxa"/>
            <w:gridSpan w:val="2"/>
            <w:tcBorders>
              <w:top w:val="single" w:sz="4" w:space="0" w:color="4A8958"/>
              <w:left w:val="single" w:sz="4" w:space="0" w:color="4A8958"/>
              <w:bottom w:val="single" w:sz="4" w:space="0" w:color="4A8958"/>
              <w:right w:val="single" w:sz="4" w:space="0" w:color="4A8958"/>
            </w:tcBorders>
            <w:shd w:val="clear" w:color="auto" w:fill="auto"/>
          </w:tcPr>
          <w:p w14:paraId="4BC2CC7F" w14:textId="7070D0D8" w:rsidR="006F19E3" w:rsidRPr="00EB32BB" w:rsidRDefault="00D0411F" w:rsidP="006F19E3">
            <w:pPr>
              <w:ind w:left="113" w:right="113"/>
              <w:rPr>
                <w:rFonts w:cs="Arial"/>
                <w:i/>
                <w:color w:val="00B274"/>
                <w:sz w:val="24"/>
              </w:rPr>
            </w:pPr>
            <w:r>
              <w:rPr>
                <w:rFonts w:cs="Arial"/>
                <w:color w:val="008576"/>
                <w:sz w:val="80"/>
                <w:szCs w:val="80"/>
              </w:rPr>
              <w:t>DCRP/MP/23/</w:t>
            </w:r>
            <w:r w:rsidR="008077CE">
              <w:rPr>
                <w:rFonts w:cs="Arial"/>
                <w:color w:val="008576"/>
                <w:sz w:val="80"/>
                <w:szCs w:val="80"/>
              </w:rPr>
              <w:t>04</w:t>
            </w:r>
            <w:r w:rsidR="006F19E3" w:rsidRPr="00EB32BB">
              <w:rPr>
                <w:rFonts w:cs="Arial"/>
                <w:color w:val="008576"/>
                <w:sz w:val="80"/>
                <w:szCs w:val="80"/>
              </w:rPr>
              <w:t>:</w:t>
            </w:r>
          </w:p>
          <w:p w14:paraId="0B2BFD9B" w14:textId="366FE97F" w:rsidR="006F19E3" w:rsidRPr="00EB32BB" w:rsidRDefault="0032290C" w:rsidP="006F19E3">
            <w:pPr>
              <w:ind w:left="113" w:right="113"/>
              <w:rPr>
                <w:rFonts w:cs="Arial"/>
                <w:i/>
                <w:color w:val="00B274"/>
                <w:sz w:val="24"/>
              </w:rPr>
            </w:pPr>
            <w:r>
              <w:rPr>
                <w:rFonts w:cs="Arial"/>
                <w:color w:val="008000"/>
                <w:sz w:val="48"/>
                <w:szCs w:val="48"/>
              </w:rPr>
              <w:t xml:space="preserve">The </w:t>
            </w:r>
            <w:r w:rsidR="000C692A">
              <w:rPr>
                <w:rFonts w:cs="Arial"/>
                <w:color w:val="008000"/>
                <w:sz w:val="48"/>
                <w:szCs w:val="48"/>
              </w:rPr>
              <w:t>A</w:t>
            </w:r>
            <w:r>
              <w:rPr>
                <w:rFonts w:cs="Arial"/>
                <w:color w:val="008000"/>
                <w:sz w:val="48"/>
                <w:szCs w:val="48"/>
              </w:rPr>
              <w:t xml:space="preserve">pplication of EREC P2 and EREP 130 </w:t>
            </w:r>
            <w:r w:rsidR="000C692A">
              <w:rPr>
                <w:rFonts w:cs="Arial"/>
                <w:color w:val="008000"/>
                <w:sz w:val="48"/>
                <w:szCs w:val="48"/>
              </w:rPr>
              <w:t>to Electricity Storage</w:t>
            </w:r>
          </w:p>
        </w:tc>
        <w:tc>
          <w:tcPr>
            <w:tcW w:w="2161" w:type="dxa"/>
            <w:tcBorders>
              <w:top w:val="single" w:sz="4" w:space="0" w:color="4A8958"/>
              <w:left w:val="single" w:sz="4" w:space="0" w:color="FFFFFF"/>
              <w:bottom w:val="single" w:sz="4" w:space="0" w:color="4A8958"/>
              <w:right w:val="single" w:sz="4" w:space="0" w:color="4A8958"/>
            </w:tcBorders>
            <w:shd w:val="clear" w:color="auto" w:fill="auto"/>
          </w:tcPr>
          <w:p w14:paraId="31ACD224" w14:textId="5164BB0F" w:rsidR="006F19E3" w:rsidRPr="00EB32BB" w:rsidRDefault="005438E7" w:rsidP="00FE4A41">
            <w:pPr>
              <w:spacing w:line="240" w:lineRule="auto"/>
              <w:ind w:left="28" w:right="28"/>
              <w:rPr>
                <w:rFonts w:cs="Arial"/>
                <w:color w:val="008576"/>
                <w:szCs w:val="20"/>
              </w:rPr>
            </w:pPr>
            <w:r>
              <w:rPr>
                <w:noProof/>
              </w:rPr>
              <w:drawing>
                <wp:inline distT="0" distB="0" distL="0" distR="0" wp14:anchorId="357107FD" wp14:editId="19EDC329">
                  <wp:extent cx="1242060" cy="1533525"/>
                  <wp:effectExtent l="76200" t="57150" r="53340" b="104775"/>
                  <wp:docPr id="1" name="Diagram 8"/>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tc>
      </w:tr>
      <w:tr w:rsidR="006F19E3" w:rsidRPr="00EB32BB" w14:paraId="33865EEB" w14:textId="77777777" w:rsidTr="006F19E3">
        <w:trPr>
          <w:trHeight w:val="862"/>
        </w:trPr>
        <w:tc>
          <w:tcPr>
            <w:tcW w:w="10134" w:type="dxa"/>
            <w:gridSpan w:val="3"/>
            <w:tcBorders>
              <w:top w:val="single" w:sz="4" w:space="0" w:color="4A8958"/>
              <w:left w:val="single" w:sz="4" w:space="0" w:color="4A8958"/>
              <w:bottom w:val="single" w:sz="4" w:space="0" w:color="4A8958"/>
              <w:right w:val="single" w:sz="4" w:space="0" w:color="4A8958"/>
            </w:tcBorders>
            <w:shd w:val="clear" w:color="auto" w:fill="auto"/>
          </w:tcPr>
          <w:p w14:paraId="6904F078" w14:textId="7238F86C" w:rsidR="006F19E3" w:rsidRPr="00EB32BB" w:rsidRDefault="006F19E3" w:rsidP="006F19E3">
            <w:pPr>
              <w:pStyle w:val="BodyText2"/>
              <w:ind w:left="113" w:right="113"/>
              <w:rPr>
                <w:rFonts w:cs="Arial"/>
                <w:i/>
                <w:color w:val="00B274"/>
                <w:sz w:val="24"/>
              </w:rPr>
            </w:pPr>
            <w:r w:rsidRPr="007D47BD">
              <w:rPr>
                <w:rFonts w:cs="Arial"/>
                <w:b/>
                <w:sz w:val="24"/>
              </w:rPr>
              <w:t>Purpose of Modification:</w:t>
            </w:r>
          </w:p>
          <w:p w14:paraId="7D8A08F3" w14:textId="5D93E858" w:rsidR="006F19E3" w:rsidRPr="00EB32BB" w:rsidRDefault="005438E7" w:rsidP="006F19E3">
            <w:pPr>
              <w:ind w:left="113" w:right="113"/>
              <w:rPr>
                <w:rFonts w:cs="Arial"/>
              </w:rPr>
            </w:pPr>
            <w:r>
              <w:rPr>
                <w:sz w:val="24"/>
              </w:rPr>
              <w:t>To refocus EREC P2</w:t>
            </w:r>
            <w:r w:rsidR="00FE03D0">
              <w:rPr>
                <w:sz w:val="24"/>
              </w:rPr>
              <w:t xml:space="preserve"> and EREP 130</w:t>
            </w:r>
            <w:r>
              <w:rPr>
                <w:sz w:val="24"/>
              </w:rPr>
              <w:t xml:space="preserve"> on </w:t>
            </w:r>
            <w:r w:rsidR="00FE03D0">
              <w:rPr>
                <w:sz w:val="24"/>
              </w:rPr>
              <w:t xml:space="preserve">their </w:t>
            </w:r>
            <w:r>
              <w:rPr>
                <w:sz w:val="24"/>
              </w:rPr>
              <w:t xml:space="preserve">socioeconomic purpose of securing final demand </w:t>
            </w:r>
            <w:r w:rsidR="008F051C">
              <w:rPr>
                <w:sz w:val="24"/>
              </w:rPr>
              <w:t>customers</w:t>
            </w:r>
            <w:r w:rsidR="00C51D1E">
              <w:rPr>
                <w:sz w:val="24"/>
              </w:rPr>
              <w:t>,</w:t>
            </w:r>
            <w:r>
              <w:rPr>
                <w:sz w:val="24"/>
              </w:rPr>
              <w:t xml:space="preserve"> by </w:t>
            </w:r>
            <w:r w:rsidR="00083F33">
              <w:rPr>
                <w:sz w:val="24"/>
              </w:rPr>
              <w:t>not counting the electricity imported by</w:t>
            </w:r>
            <w:r>
              <w:rPr>
                <w:sz w:val="24"/>
              </w:rPr>
              <w:t xml:space="preserve"> </w:t>
            </w:r>
            <w:r w:rsidR="00502F24">
              <w:rPr>
                <w:sz w:val="24"/>
              </w:rPr>
              <w:t>premises whose primary purpose is wh</w:t>
            </w:r>
            <w:r w:rsidR="00A704A9">
              <w:rPr>
                <w:sz w:val="24"/>
              </w:rPr>
              <w:t xml:space="preserve">olly or mainly </w:t>
            </w:r>
            <w:r w:rsidR="00083F33">
              <w:rPr>
                <w:sz w:val="24"/>
              </w:rPr>
              <w:t>E</w:t>
            </w:r>
            <w:r w:rsidR="009210DC">
              <w:rPr>
                <w:sz w:val="24"/>
              </w:rPr>
              <w:t xml:space="preserve">lectricity </w:t>
            </w:r>
            <w:r w:rsidR="00083F33">
              <w:rPr>
                <w:sz w:val="24"/>
              </w:rPr>
              <w:t>S</w:t>
            </w:r>
            <w:r w:rsidR="009210DC">
              <w:rPr>
                <w:sz w:val="24"/>
              </w:rPr>
              <w:t>tor</w:t>
            </w:r>
            <w:r w:rsidR="00C33294">
              <w:rPr>
                <w:sz w:val="24"/>
              </w:rPr>
              <w:t>age</w:t>
            </w:r>
            <w:r w:rsidR="00083F33">
              <w:rPr>
                <w:sz w:val="24"/>
              </w:rPr>
              <w:t xml:space="preserve"> towards Group Demand</w:t>
            </w:r>
            <w:r w:rsidR="009210DC">
              <w:rPr>
                <w:sz w:val="24"/>
              </w:rPr>
              <w:t>.</w:t>
            </w:r>
          </w:p>
        </w:tc>
      </w:tr>
      <w:tr w:rsidR="006F19E3" w:rsidRPr="00EB32BB" w14:paraId="3B1A1F73" w14:textId="77777777" w:rsidTr="006F19E3">
        <w:trPr>
          <w:trHeight w:val="899"/>
        </w:trPr>
        <w:tc>
          <w:tcPr>
            <w:tcW w:w="913" w:type="dxa"/>
            <w:tcBorders>
              <w:top w:val="single" w:sz="4" w:space="0" w:color="4A8958"/>
              <w:left w:val="single" w:sz="4" w:space="0" w:color="4A8958"/>
              <w:bottom w:val="single" w:sz="4" w:space="0" w:color="4A8958"/>
              <w:right w:val="single" w:sz="4" w:space="0" w:color="4A8958"/>
            </w:tcBorders>
            <w:shd w:val="clear" w:color="auto" w:fill="auto"/>
            <w:vAlign w:val="center"/>
          </w:tcPr>
          <w:p w14:paraId="44F434F6" w14:textId="2DC404F8" w:rsidR="006F19E3" w:rsidRPr="00EB32BB" w:rsidRDefault="005438E7" w:rsidP="006F19E3">
            <w:pPr>
              <w:ind w:firstLine="9"/>
              <w:jc w:val="center"/>
              <w:rPr>
                <w:rFonts w:cs="Arial"/>
              </w:rPr>
            </w:pPr>
            <w:r>
              <w:rPr>
                <w:rFonts w:cs="Arial"/>
                <w:noProof/>
              </w:rPr>
              <w:drawing>
                <wp:inline distT="0" distB="0" distL="0" distR="0" wp14:anchorId="4C4C3B1E" wp14:editId="7BACC30F">
                  <wp:extent cx="466725" cy="466725"/>
                  <wp:effectExtent l="0" t="0" r="0" b="0"/>
                  <wp:docPr id="2" name="Picture 1" descr="Description: Description: YES_GRE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YES_GREEN"/>
                          <pic:cNvPicPr>
                            <a:picLocks noChangeAspect="1" noChangeArrowheads="1"/>
                          </pic:cNvPicPr>
                        </pic:nvPicPr>
                        <pic:blipFill>
                          <a:blip r:embed="rId16">
                            <a:clrChange>
                              <a:clrFrom>
                                <a:srgbClr val="CDE2DB"/>
                              </a:clrFrom>
                              <a:clrTo>
                                <a:srgbClr val="CDE2DB">
                                  <a:alpha val="0"/>
                                </a:srgbClr>
                              </a:clrTo>
                            </a:clrChange>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inline>
              </w:drawing>
            </w:r>
          </w:p>
        </w:tc>
        <w:tc>
          <w:tcPr>
            <w:tcW w:w="9221" w:type="dxa"/>
            <w:gridSpan w:val="2"/>
            <w:tcBorders>
              <w:top w:val="single" w:sz="4" w:space="0" w:color="4A8958"/>
              <w:left w:val="single" w:sz="4" w:space="0" w:color="4A8958"/>
              <w:bottom w:val="single" w:sz="4" w:space="0" w:color="4A8958"/>
              <w:right w:val="single" w:sz="4" w:space="0" w:color="4A8958"/>
            </w:tcBorders>
            <w:shd w:val="clear" w:color="auto" w:fill="auto"/>
          </w:tcPr>
          <w:p w14:paraId="78D2DEB6" w14:textId="55AC1105" w:rsidR="006F19E3" w:rsidRPr="00EB32BB" w:rsidRDefault="006F19E3" w:rsidP="00ED4330">
            <w:pPr>
              <w:pStyle w:val="BodyText3"/>
              <w:ind w:left="113" w:right="113"/>
              <w:rPr>
                <w:rFonts w:cs="Arial"/>
              </w:rPr>
            </w:pPr>
            <w:r w:rsidRPr="00EB32BB">
              <w:t>The Proposer recommends that this modification should be</w:t>
            </w:r>
            <w:r w:rsidR="001E1E5A">
              <w:t xml:space="preserve"> </w:t>
            </w:r>
            <w:r w:rsidRPr="00EB32BB">
              <w:rPr>
                <w:rFonts w:cs="Arial"/>
              </w:rPr>
              <w:t>assessed by a Workgroup</w:t>
            </w:r>
            <w:r w:rsidR="001E1E5A">
              <w:rPr>
                <w:rFonts w:cs="Arial"/>
              </w:rPr>
              <w:t>.</w:t>
            </w:r>
            <w:r w:rsidR="00523DCD">
              <w:rPr>
                <w:rFonts w:cs="Arial"/>
              </w:rPr>
              <w:t xml:space="preserve"> The </w:t>
            </w:r>
            <w:r w:rsidR="00374D71">
              <w:rPr>
                <w:rFonts w:cs="Arial"/>
              </w:rPr>
              <w:t xml:space="preserve">defect is a pressing </w:t>
            </w:r>
            <w:r w:rsidR="004B4F5F">
              <w:rPr>
                <w:rFonts w:cs="Arial"/>
              </w:rPr>
              <w:t>matter</w:t>
            </w:r>
            <w:r w:rsidR="004D4C5A">
              <w:rPr>
                <w:rFonts w:cs="Arial"/>
              </w:rPr>
              <w:t xml:space="preserve">; the Proposer seeks the Panel’s </w:t>
            </w:r>
            <w:r w:rsidR="00D236D7">
              <w:rPr>
                <w:rFonts w:cs="Arial"/>
              </w:rPr>
              <w:t xml:space="preserve">support in </w:t>
            </w:r>
            <w:r w:rsidR="00F4773B">
              <w:rPr>
                <w:rFonts w:cs="Arial"/>
              </w:rPr>
              <w:t>prioritising it.</w:t>
            </w:r>
          </w:p>
          <w:p w14:paraId="542C1B24" w14:textId="5BF7D192" w:rsidR="006F19E3" w:rsidRPr="00EB32BB" w:rsidRDefault="006F19E3" w:rsidP="000B5CFC">
            <w:pPr>
              <w:pStyle w:val="BodyText3"/>
              <w:ind w:left="113" w:right="113"/>
              <w:rPr>
                <w:rFonts w:cs="Arial"/>
              </w:rPr>
            </w:pPr>
            <w:r w:rsidRPr="005B0B30">
              <w:rPr>
                <w:rFonts w:cs="Arial"/>
              </w:rPr>
              <w:t>This modific</w:t>
            </w:r>
            <w:r w:rsidR="000B5CFC">
              <w:rPr>
                <w:rFonts w:cs="Arial"/>
              </w:rPr>
              <w:t>ation will be presented by the P</w:t>
            </w:r>
            <w:r w:rsidRPr="005B0B30">
              <w:rPr>
                <w:rFonts w:cs="Arial"/>
              </w:rPr>
              <w:t>ropose</w:t>
            </w:r>
            <w:r w:rsidR="000B5CFC">
              <w:rPr>
                <w:rFonts w:cs="Arial"/>
              </w:rPr>
              <w:t>r to the P</w:t>
            </w:r>
            <w:r>
              <w:rPr>
                <w:rFonts w:cs="Arial"/>
              </w:rPr>
              <w:t>anel on</w:t>
            </w:r>
            <w:r w:rsidR="00D0411F">
              <w:rPr>
                <w:rFonts w:cs="Arial"/>
              </w:rPr>
              <w:t xml:space="preserve"> </w:t>
            </w:r>
            <w:r w:rsidR="00D0411F" w:rsidRPr="004B4F5F">
              <w:rPr>
                <w:rFonts w:cs="Arial"/>
              </w:rPr>
              <w:t>03 August 2023</w:t>
            </w:r>
            <w:r w:rsidR="007057A7">
              <w:rPr>
                <w:rFonts w:cs="Arial"/>
              </w:rPr>
              <w:t>.</w:t>
            </w:r>
            <w:r w:rsidRPr="000B5CFC">
              <w:rPr>
                <w:rFonts w:cs="Arial"/>
                <w:color w:val="FF0000"/>
              </w:rPr>
              <w:t xml:space="preserve"> </w:t>
            </w:r>
            <w:r w:rsidR="000B5CFC">
              <w:rPr>
                <w:rFonts w:cs="Arial"/>
              </w:rPr>
              <w:t>The P</w:t>
            </w:r>
            <w:r>
              <w:rPr>
                <w:rFonts w:cs="Arial"/>
              </w:rPr>
              <w:t xml:space="preserve">anel will </w:t>
            </w:r>
            <w:r w:rsidR="000B5CFC">
              <w:rPr>
                <w:rFonts w:cs="Arial"/>
              </w:rPr>
              <w:t>consider the P</w:t>
            </w:r>
            <w:r w:rsidRPr="00C11964">
              <w:rPr>
                <w:rFonts w:cs="Arial"/>
              </w:rPr>
              <w:t>roposer’s recommendation</w:t>
            </w:r>
            <w:r>
              <w:rPr>
                <w:rFonts w:cs="Arial"/>
              </w:rPr>
              <w:t xml:space="preserve"> and determine the appropriate route.</w:t>
            </w:r>
          </w:p>
        </w:tc>
      </w:tr>
      <w:tr w:rsidR="006F19E3" w:rsidRPr="00EB32BB" w14:paraId="261AF4C5" w14:textId="77777777" w:rsidTr="006F19E3">
        <w:trPr>
          <w:trHeight w:val="739"/>
        </w:trPr>
        <w:tc>
          <w:tcPr>
            <w:tcW w:w="913" w:type="dxa"/>
            <w:tcBorders>
              <w:top w:val="single" w:sz="4" w:space="0" w:color="4A8958"/>
              <w:left w:val="single" w:sz="4" w:space="0" w:color="4A8958"/>
              <w:bottom w:val="single" w:sz="4" w:space="0" w:color="4A8958"/>
              <w:right w:val="single" w:sz="4" w:space="0" w:color="4A8958"/>
            </w:tcBorders>
            <w:shd w:val="clear" w:color="auto" w:fill="auto"/>
            <w:vAlign w:val="center"/>
          </w:tcPr>
          <w:p w14:paraId="743563C7" w14:textId="153CDE37" w:rsidR="006F19E3" w:rsidRPr="00EB32BB" w:rsidRDefault="005438E7" w:rsidP="006F19E3">
            <w:pPr>
              <w:spacing w:before="60" w:after="60"/>
              <w:ind w:firstLine="9"/>
              <w:jc w:val="center"/>
              <w:rPr>
                <w:rFonts w:cs="Arial"/>
              </w:rPr>
            </w:pPr>
            <w:r>
              <w:rPr>
                <w:rFonts w:cs="Arial"/>
                <w:noProof/>
              </w:rPr>
              <w:drawing>
                <wp:inline distT="0" distB="0" distL="0" distR="0" wp14:anchorId="2384CF4F" wp14:editId="132889D8">
                  <wp:extent cx="466725" cy="466725"/>
                  <wp:effectExtent l="0" t="0" r="0" b="0"/>
                  <wp:docPr id="3" name="Picture 3" descr="Description: Description: High_Impa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escription: High_Impact"/>
                          <pic:cNvPicPr>
                            <a:picLocks noChangeAspect="1" noChangeArrowheads="1"/>
                          </pic:cNvPicPr>
                        </pic:nvPicPr>
                        <pic:blipFill>
                          <a:blip r:embed="rId17">
                            <a:clrChange>
                              <a:clrFrom>
                                <a:srgbClr val="CDE2DB"/>
                              </a:clrFrom>
                              <a:clrTo>
                                <a:srgbClr val="CDE2DB">
                                  <a:alpha val="0"/>
                                </a:srgbClr>
                              </a:clrTo>
                            </a:clrChange>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inline>
              </w:drawing>
            </w:r>
          </w:p>
        </w:tc>
        <w:tc>
          <w:tcPr>
            <w:tcW w:w="9221" w:type="dxa"/>
            <w:gridSpan w:val="2"/>
            <w:tcBorders>
              <w:top w:val="single" w:sz="4" w:space="0" w:color="4A8958"/>
              <w:left w:val="single" w:sz="4" w:space="0" w:color="4A8958"/>
              <w:bottom w:val="single" w:sz="4" w:space="0" w:color="4A8958"/>
              <w:right w:val="single" w:sz="4" w:space="0" w:color="4A8958"/>
            </w:tcBorders>
            <w:shd w:val="clear" w:color="auto" w:fill="auto"/>
          </w:tcPr>
          <w:p w14:paraId="3F41C3CD" w14:textId="39794E2D" w:rsidR="006F19E3" w:rsidRPr="00EB32BB" w:rsidRDefault="006F19E3" w:rsidP="006F19E3">
            <w:pPr>
              <w:pStyle w:val="BodyText3"/>
              <w:ind w:left="113" w:right="113"/>
              <w:rPr>
                <w:rFonts w:cs="Arial"/>
              </w:rPr>
            </w:pPr>
            <w:r w:rsidRPr="00EB32BB">
              <w:rPr>
                <w:rFonts w:cs="Arial"/>
              </w:rPr>
              <w:t>High Impact:</w:t>
            </w:r>
          </w:p>
          <w:p w14:paraId="590168B6" w14:textId="42D5D340" w:rsidR="006F19E3" w:rsidRPr="00EB32BB" w:rsidRDefault="00B935BB" w:rsidP="006F19E3">
            <w:pPr>
              <w:ind w:left="113" w:right="113"/>
              <w:rPr>
                <w:rFonts w:cs="Arial"/>
              </w:rPr>
            </w:pPr>
            <w:r>
              <w:rPr>
                <w:sz w:val="24"/>
              </w:rPr>
              <w:t>DNOs</w:t>
            </w:r>
            <w:r w:rsidR="00AC34C6">
              <w:rPr>
                <w:sz w:val="24"/>
              </w:rPr>
              <w:t xml:space="preserve">, </w:t>
            </w:r>
            <w:r w:rsidR="001C37E0">
              <w:rPr>
                <w:sz w:val="24"/>
              </w:rPr>
              <w:t>customers</w:t>
            </w:r>
          </w:p>
        </w:tc>
      </w:tr>
      <w:tr w:rsidR="006F19E3" w:rsidRPr="00EB32BB" w14:paraId="6E2F1CD0" w14:textId="77777777" w:rsidTr="006F19E3">
        <w:trPr>
          <w:trHeight w:val="582"/>
        </w:trPr>
        <w:tc>
          <w:tcPr>
            <w:tcW w:w="913" w:type="dxa"/>
            <w:tcBorders>
              <w:top w:val="single" w:sz="4" w:space="0" w:color="4A8958"/>
              <w:left w:val="single" w:sz="4" w:space="0" w:color="4A8958"/>
              <w:bottom w:val="single" w:sz="4" w:space="0" w:color="4A8958"/>
              <w:right w:val="single" w:sz="4" w:space="0" w:color="4A8958"/>
            </w:tcBorders>
            <w:shd w:val="clear" w:color="auto" w:fill="auto"/>
            <w:vAlign w:val="center"/>
          </w:tcPr>
          <w:p w14:paraId="732CFD8F" w14:textId="7C50899B" w:rsidR="006F19E3" w:rsidRPr="00EB32BB" w:rsidRDefault="005438E7" w:rsidP="006F19E3">
            <w:pPr>
              <w:spacing w:before="60" w:after="60"/>
              <w:ind w:firstLine="9"/>
              <w:jc w:val="center"/>
              <w:rPr>
                <w:rFonts w:cs="Arial"/>
              </w:rPr>
            </w:pPr>
            <w:r>
              <w:rPr>
                <w:rFonts w:cs="Arial"/>
                <w:noProof/>
              </w:rPr>
              <w:drawing>
                <wp:inline distT="0" distB="0" distL="0" distR="0" wp14:anchorId="3911C245" wp14:editId="0CADA2F0">
                  <wp:extent cx="447675" cy="447675"/>
                  <wp:effectExtent l="0" t="0" r="0" b="0"/>
                  <wp:docPr id="4" name="Picture 4" descr="Description: Description: Low_Impa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Description: Low_Impact"/>
                          <pic:cNvPicPr>
                            <a:picLocks noChangeAspect="1" noChangeArrowheads="1"/>
                          </pic:cNvPicPr>
                        </pic:nvPicPr>
                        <pic:blipFill>
                          <a:blip r:embed="rId18">
                            <a:clrChange>
                              <a:clrFrom>
                                <a:srgbClr val="CEE1DB"/>
                              </a:clrFrom>
                              <a:clrTo>
                                <a:srgbClr val="CEE1DB">
                                  <a:alpha val="0"/>
                                </a:srgbClr>
                              </a:clrTo>
                            </a:clrChange>
                            <a:extLst>
                              <a:ext uri="{28A0092B-C50C-407E-A947-70E740481C1C}">
                                <a14:useLocalDpi xmlns:a14="http://schemas.microsoft.com/office/drawing/2010/main" val="0"/>
                              </a:ext>
                            </a:extLst>
                          </a:blip>
                          <a:srcRect/>
                          <a:stretch>
                            <a:fillRect/>
                          </a:stretch>
                        </pic:blipFill>
                        <pic:spPr bwMode="auto">
                          <a:xfrm>
                            <a:off x="0" y="0"/>
                            <a:ext cx="447675" cy="447675"/>
                          </a:xfrm>
                          <a:prstGeom prst="rect">
                            <a:avLst/>
                          </a:prstGeom>
                          <a:noFill/>
                          <a:ln>
                            <a:noFill/>
                          </a:ln>
                        </pic:spPr>
                      </pic:pic>
                    </a:graphicData>
                  </a:graphic>
                </wp:inline>
              </w:drawing>
            </w:r>
          </w:p>
        </w:tc>
        <w:tc>
          <w:tcPr>
            <w:tcW w:w="9221" w:type="dxa"/>
            <w:gridSpan w:val="2"/>
            <w:tcBorders>
              <w:top w:val="single" w:sz="4" w:space="0" w:color="4A8958"/>
              <w:left w:val="single" w:sz="4" w:space="0" w:color="4A8958"/>
              <w:bottom w:val="single" w:sz="4" w:space="0" w:color="4A8958"/>
              <w:right w:val="single" w:sz="4" w:space="0" w:color="4A8958"/>
            </w:tcBorders>
            <w:shd w:val="clear" w:color="auto" w:fill="auto"/>
          </w:tcPr>
          <w:p w14:paraId="2008488B" w14:textId="7B20E704" w:rsidR="006F19E3" w:rsidRPr="00EB32BB" w:rsidRDefault="006F19E3" w:rsidP="006F19E3">
            <w:pPr>
              <w:pStyle w:val="BodyText3"/>
              <w:ind w:left="113" w:right="113"/>
              <w:rPr>
                <w:rFonts w:cs="Arial"/>
              </w:rPr>
            </w:pPr>
            <w:r w:rsidRPr="00EB32BB">
              <w:rPr>
                <w:rFonts w:cs="Arial"/>
              </w:rPr>
              <w:t>Medium Impact:</w:t>
            </w:r>
          </w:p>
          <w:p w14:paraId="78D3BE0E" w14:textId="2BA8EF17" w:rsidR="006F19E3" w:rsidRPr="00EB32BB" w:rsidRDefault="00CF66BC" w:rsidP="006F19E3">
            <w:pPr>
              <w:ind w:left="113" w:right="113"/>
              <w:rPr>
                <w:rFonts w:cs="Arial"/>
              </w:rPr>
            </w:pPr>
            <w:r>
              <w:rPr>
                <w:sz w:val="24"/>
              </w:rPr>
              <w:t xml:space="preserve">Generators </w:t>
            </w:r>
            <w:r w:rsidR="00552164">
              <w:rPr>
                <w:sz w:val="24"/>
              </w:rPr>
              <w:t xml:space="preserve">(particularly </w:t>
            </w:r>
            <w:r w:rsidR="00E8326F">
              <w:rPr>
                <w:sz w:val="24"/>
              </w:rPr>
              <w:t xml:space="preserve">Electricity Storage </w:t>
            </w:r>
            <w:r w:rsidR="00552164">
              <w:rPr>
                <w:sz w:val="24"/>
              </w:rPr>
              <w:t>operators)</w:t>
            </w:r>
          </w:p>
        </w:tc>
      </w:tr>
      <w:tr w:rsidR="006F19E3" w:rsidRPr="00EB32BB" w14:paraId="22C6E73C" w14:textId="77777777" w:rsidTr="006F19E3">
        <w:trPr>
          <w:trHeight w:val="484"/>
        </w:trPr>
        <w:tc>
          <w:tcPr>
            <w:tcW w:w="913" w:type="dxa"/>
            <w:tcBorders>
              <w:top w:val="single" w:sz="4" w:space="0" w:color="4A8958"/>
              <w:left w:val="single" w:sz="4" w:space="0" w:color="4A8958"/>
              <w:bottom w:val="single" w:sz="4" w:space="0" w:color="4A8958"/>
              <w:right w:val="single" w:sz="4" w:space="0" w:color="4A8958"/>
            </w:tcBorders>
            <w:shd w:val="clear" w:color="auto" w:fill="auto"/>
          </w:tcPr>
          <w:p w14:paraId="20714FF9" w14:textId="2EF2BA21" w:rsidR="006F19E3" w:rsidRPr="00EB32BB" w:rsidRDefault="005438E7" w:rsidP="006F19E3">
            <w:pPr>
              <w:spacing w:before="60" w:after="60"/>
              <w:ind w:firstLine="11"/>
              <w:jc w:val="center"/>
              <w:rPr>
                <w:rFonts w:cs="Arial"/>
              </w:rPr>
            </w:pPr>
            <w:r>
              <w:rPr>
                <w:rFonts w:cs="Arial"/>
                <w:noProof/>
              </w:rPr>
              <w:drawing>
                <wp:inline distT="0" distB="0" distL="0" distR="0" wp14:anchorId="7956B039" wp14:editId="646FC558">
                  <wp:extent cx="466725" cy="466725"/>
                  <wp:effectExtent l="0" t="0" r="0" b="0"/>
                  <wp:docPr id="5" name="Picture 2" descr="Description: Description: Medium_Impa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Description: Medium_Impact"/>
                          <pic:cNvPicPr>
                            <a:picLocks noChangeAspect="1" noChangeArrowheads="1"/>
                          </pic:cNvPicPr>
                        </pic:nvPicPr>
                        <pic:blipFill>
                          <a:blip r:embed="rId19">
                            <a:clrChange>
                              <a:clrFrom>
                                <a:srgbClr val="CDE2DB"/>
                              </a:clrFrom>
                              <a:clrTo>
                                <a:srgbClr val="CDE2DB">
                                  <a:alpha val="0"/>
                                </a:srgbClr>
                              </a:clrTo>
                            </a:clrChange>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inline>
              </w:drawing>
            </w:r>
          </w:p>
        </w:tc>
        <w:tc>
          <w:tcPr>
            <w:tcW w:w="9221" w:type="dxa"/>
            <w:gridSpan w:val="2"/>
            <w:tcBorders>
              <w:top w:val="single" w:sz="4" w:space="0" w:color="4A8958"/>
              <w:left w:val="single" w:sz="4" w:space="0" w:color="4A8958"/>
              <w:bottom w:val="single" w:sz="4" w:space="0" w:color="4A8958"/>
              <w:right w:val="single" w:sz="4" w:space="0" w:color="4A8958"/>
            </w:tcBorders>
            <w:shd w:val="clear" w:color="auto" w:fill="auto"/>
          </w:tcPr>
          <w:p w14:paraId="3615D967" w14:textId="347637D3" w:rsidR="006F19E3" w:rsidRPr="00EB32BB" w:rsidRDefault="006F19E3" w:rsidP="006F19E3">
            <w:pPr>
              <w:pStyle w:val="BodyText3"/>
              <w:ind w:left="113" w:right="113"/>
              <w:rPr>
                <w:rFonts w:cs="Arial"/>
              </w:rPr>
            </w:pPr>
            <w:r w:rsidRPr="00EB32BB">
              <w:rPr>
                <w:rFonts w:cs="Arial"/>
              </w:rPr>
              <w:t>Low Impact:</w:t>
            </w:r>
          </w:p>
          <w:p w14:paraId="7F420501" w14:textId="3DB191E0" w:rsidR="006F19E3" w:rsidRPr="002D7712" w:rsidRDefault="002D7712" w:rsidP="006F19E3">
            <w:pPr>
              <w:ind w:left="113" w:right="113"/>
              <w:rPr>
                <w:rFonts w:cs="Arial"/>
              </w:rPr>
            </w:pPr>
            <w:r w:rsidRPr="002D7712">
              <w:rPr>
                <w:sz w:val="24"/>
              </w:rPr>
              <w:t>Demand Side Response providers</w:t>
            </w:r>
          </w:p>
        </w:tc>
      </w:tr>
    </w:tbl>
    <w:p w14:paraId="43A1A39E" w14:textId="08F02E5B" w:rsidR="005079E0" w:rsidRPr="00EB32BB" w:rsidRDefault="005079E0" w:rsidP="005B378E">
      <w:pPr>
        <w:rPr>
          <w:rFonts w:cs="Arial"/>
        </w:rPr>
      </w:pPr>
    </w:p>
    <w:tbl>
      <w:tblPr>
        <w:tblW w:w="10207" w:type="dxa"/>
        <w:tblInd w:w="-176" w:type="dxa"/>
        <w:tblLayout w:type="fixed"/>
        <w:tblLook w:val="04A0" w:firstRow="1" w:lastRow="0" w:firstColumn="1" w:lastColumn="0" w:noHBand="0" w:noVBand="1"/>
      </w:tblPr>
      <w:tblGrid>
        <w:gridCol w:w="7939"/>
        <w:gridCol w:w="2268"/>
      </w:tblGrid>
      <w:tr w:rsidR="00F10E14" w:rsidRPr="00EB32BB" w14:paraId="4F2FD33D" w14:textId="77777777" w:rsidTr="004D430C">
        <w:trPr>
          <w:trHeight w:val="617"/>
        </w:trPr>
        <w:tc>
          <w:tcPr>
            <w:tcW w:w="7939" w:type="dxa"/>
            <w:vMerge w:val="restart"/>
            <w:tcBorders>
              <w:top w:val="single" w:sz="4" w:space="0" w:color="4A8958"/>
              <w:left w:val="single" w:sz="4" w:space="0" w:color="4A8958"/>
              <w:bottom w:val="single" w:sz="4" w:space="0" w:color="4A8958"/>
              <w:right w:val="single" w:sz="4" w:space="0" w:color="4A8958"/>
            </w:tcBorders>
            <w:shd w:val="clear" w:color="auto" w:fill="auto"/>
          </w:tcPr>
          <w:p w14:paraId="2B0EAE6E" w14:textId="77777777" w:rsidR="00F10E14" w:rsidRPr="00EB32BB" w:rsidRDefault="00F10E14" w:rsidP="004D430C">
            <w:pPr>
              <w:pStyle w:val="Contents01"/>
              <w:ind w:right="198"/>
              <w:rPr>
                <w:noProof/>
              </w:rPr>
            </w:pPr>
            <w:r w:rsidRPr="00EB32BB">
              <w:rPr>
                <w:noProof/>
              </w:rPr>
              <w:lastRenderedPageBreak/>
              <w:t>Contents</w:t>
            </w:r>
          </w:p>
          <w:p w14:paraId="028E4F42" w14:textId="5E884A7F" w:rsidR="00FB49C7" w:rsidRDefault="00F10E14" w:rsidP="00FB49C7">
            <w:pPr>
              <w:pStyle w:val="TOC1"/>
              <w:framePr w:wrap="around"/>
              <w:rPr>
                <w:rFonts w:asciiTheme="minorHAnsi" w:eastAsiaTheme="minorEastAsia" w:hAnsiTheme="minorHAnsi" w:cstheme="minorBidi"/>
                <w:b w:val="0"/>
                <w:bCs w:val="0"/>
                <w:color w:val="auto"/>
                <w:sz w:val="22"/>
                <w:szCs w:val="22"/>
              </w:rPr>
            </w:pPr>
            <w:r w:rsidRPr="00EB32BB">
              <w:fldChar w:fldCharType="begin"/>
            </w:r>
            <w:r w:rsidRPr="00EB32BB">
              <w:instrText xml:space="preserve"> TOC \o "1-1" </w:instrText>
            </w:r>
            <w:r w:rsidRPr="00EB32BB">
              <w:fldChar w:fldCharType="separate"/>
            </w:r>
            <w:r w:rsidR="00FB49C7">
              <w:t>1</w:t>
            </w:r>
            <w:r w:rsidR="00FB49C7">
              <w:rPr>
                <w:rFonts w:asciiTheme="minorHAnsi" w:eastAsiaTheme="minorEastAsia" w:hAnsiTheme="minorHAnsi" w:cstheme="minorBidi"/>
                <w:b w:val="0"/>
                <w:bCs w:val="0"/>
                <w:color w:val="auto"/>
                <w:sz w:val="22"/>
                <w:szCs w:val="22"/>
              </w:rPr>
              <w:tab/>
            </w:r>
            <w:r w:rsidR="00FB49C7">
              <w:t>Summary</w:t>
            </w:r>
            <w:r w:rsidR="00FB49C7">
              <w:tab/>
            </w:r>
            <w:r w:rsidR="00FB49C7">
              <w:fldChar w:fldCharType="begin"/>
            </w:r>
            <w:r w:rsidR="00FB49C7">
              <w:instrText xml:space="preserve"> PAGEREF _Toc139880661 \h </w:instrText>
            </w:r>
            <w:r w:rsidR="00FB49C7">
              <w:fldChar w:fldCharType="separate"/>
            </w:r>
            <w:r w:rsidR="00FB49C7">
              <w:t>3</w:t>
            </w:r>
            <w:r w:rsidR="00FB49C7">
              <w:fldChar w:fldCharType="end"/>
            </w:r>
          </w:p>
          <w:p w14:paraId="2883583E" w14:textId="0D1A3F4C" w:rsidR="00FB49C7" w:rsidRDefault="00FB49C7" w:rsidP="00FB49C7">
            <w:pPr>
              <w:pStyle w:val="TOC1"/>
              <w:framePr w:wrap="around"/>
              <w:rPr>
                <w:rFonts w:asciiTheme="minorHAnsi" w:eastAsiaTheme="minorEastAsia" w:hAnsiTheme="minorHAnsi" w:cstheme="minorBidi"/>
                <w:b w:val="0"/>
                <w:bCs w:val="0"/>
                <w:color w:val="auto"/>
                <w:sz w:val="22"/>
                <w:szCs w:val="22"/>
              </w:rPr>
            </w:pPr>
            <w:r>
              <w:t>2</w:t>
            </w:r>
            <w:r>
              <w:rPr>
                <w:rFonts w:asciiTheme="minorHAnsi" w:eastAsiaTheme="minorEastAsia" w:hAnsiTheme="minorHAnsi" w:cstheme="minorBidi"/>
                <w:b w:val="0"/>
                <w:bCs w:val="0"/>
                <w:color w:val="auto"/>
                <w:sz w:val="22"/>
                <w:szCs w:val="22"/>
              </w:rPr>
              <w:tab/>
            </w:r>
            <w:r>
              <w:t>Governance</w:t>
            </w:r>
            <w:r>
              <w:tab/>
            </w:r>
            <w:r>
              <w:fldChar w:fldCharType="begin"/>
            </w:r>
            <w:r>
              <w:instrText xml:space="preserve"> PAGEREF _Toc139880662 \h </w:instrText>
            </w:r>
            <w:r>
              <w:fldChar w:fldCharType="separate"/>
            </w:r>
            <w:r>
              <w:t>3</w:t>
            </w:r>
            <w:r>
              <w:fldChar w:fldCharType="end"/>
            </w:r>
          </w:p>
          <w:p w14:paraId="51DCFE05" w14:textId="558286BA" w:rsidR="00FB49C7" w:rsidRDefault="00FB49C7" w:rsidP="00FB49C7">
            <w:pPr>
              <w:pStyle w:val="TOC1"/>
              <w:framePr w:wrap="around"/>
              <w:rPr>
                <w:rFonts w:asciiTheme="minorHAnsi" w:eastAsiaTheme="minorEastAsia" w:hAnsiTheme="minorHAnsi" w:cstheme="minorBidi"/>
                <w:b w:val="0"/>
                <w:bCs w:val="0"/>
                <w:color w:val="auto"/>
                <w:sz w:val="22"/>
                <w:szCs w:val="22"/>
              </w:rPr>
            </w:pPr>
            <w:r>
              <w:t>3</w:t>
            </w:r>
            <w:r>
              <w:rPr>
                <w:rFonts w:asciiTheme="minorHAnsi" w:eastAsiaTheme="minorEastAsia" w:hAnsiTheme="minorHAnsi" w:cstheme="minorBidi"/>
                <w:b w:val="0"/>
                <w:bCs w:val="0"/>
                <w:color w:val="auto"/>
                <w:sz w:val="22"/>
                <w:szCs w:val="22"/>
              </w:rPr>
              <w:tab/>
            </w:r>
            <w:r>
              <w:t>Why Change?</w:t>
            </w:r>
            <w:r>
              <w:tab/>
            </w:r>
            <w:r>
              <w:fldChar w:fldCharType="begin"/>
            </w:r>
            <w:r>
              <w:instrText xml:space="preserve"> PAGEREF _Toc139880663 \h </w:instrText>
            </w:r>
            <w:r>
              <w:fldChar w:fldCharType="separate"/>
            </w:r>
            <w:r>
              <w:t>3</w:t>
            </w:r>
            <w:r>
              <w:fldChar w:fldCharType="end"/>
            </w:r>
          </w:p>
          <w:p w14:paraId="2609D8D7" w14:textId="6D830927" w:rsidR="00FB49C7" w:rsidRDefault="00FB49C7" w:rsidP="00FB49C7">
            <w:pPr>
              <w:pStyle w:val="TOC1"/>
              <w:framePr w:wrap="around"/>
              <w:rPr>
                <w:rFonts w:asciiTheme="minorHAnsi" w:eastAsiaTheme="minorEastAsia" w:hAnsiTheme="minorHAnsi" w:cstheme="minorBidi"/>
                <w:b w:val="0"/>
                <w:bCs w:val="0"/>
                <w:color w:val="auto"/>
                <w:sz w:val="22"/>
                <w:szCs w:val="22"/>
              </w:rPr>
            </w:pPr>
            <w:r>
              <w:t>4</w:t>
            </w:r>
            <w:r>
              <w:rPr>
                <w:rFonts w:asciiTheme="minorHAnsi" w:eastAsiaTheme="minorEastAsia" w:hAnsiTheme="minorHAnsi" w:cstheme="minorBidi"/>
                <w:b w:val="0"/>
                <w:bCs w:val="0"/>
                <w:color w:val="auto"/>
                <w:sz w:val="22"/>
                <w:szCs w:val="22"/>
              </w:rPr>
              <w:tab/>
            </w:r>
            <w:r>
              <w:t>Code Specific Matters</w:t>
            </w:r>
            <w:r>
              <w:tab/>
            </w:r>
            <w:r>
              <w:fldChar w:fldCharType="begin"/>
            </w:r>
            <w:r>
              <w:instrText xml:space="preserve"> PAGEREF _Toc139880664 \h </w:instrText>
            </w:r>
            <w:r>
              <w:fldChar w:fldCharType="separate"/>
            </w:r>
            <w:r>
              <w:t>5</w:t>
            </w:r>
            <w:r>
              <w:fldChar w:fldCharType="end"/>
            </w:r>
          </w:p>
          <w:p w14:paraId="62D06D78" w14:textId="178B9165" w:rsidR="00FB49C7" w:rsidRDefault="00FB49C7" w:rsidP="00FB49C7">
            <w:pPr>
              <w:pStyle w:val="TOC1"/>
              <w:framePr w:wrap="around"/>
              <w:rPr>
                <w:rFonts w:asciiTheme="minorHAnsi" w:eastAsiaTheme="minorEastAsia" w:hAnsiTheme="minorHAnsi" w:cstheme="minorBidi"/>
                <w:b w:val="0"/>
                <w:bCs w:val="0"/>
                <w:color w:val="auto"/>
                <w:sz w:val="22"/>
                <w:szCs w:val="22"/>
              </w:rPr>
            </w:pPr>
            <w:r>
              <w:t>5</w:t>
            </w:r>
            <w:r>
              <w:rPr>
                <w:rFonts w:asciiTheme="minorHAnsi" w:eastAsiaTheme="minorEastAsia" w:hAnsiTheme="minorHAnsi" w:cstheme="minorBidi"/>
                <w:b w:val="0"/>
                <w:bCs w:val="0"/>
                <w:color w:val="auto"/>
                <w:sz w:val="22"/>
                <w:szCs w:val="22"/>
              </w:rPr>
              <w:tab/>
            </w:r>
            <w:r>
              <w:t>Solution</w:t>
            </w:r>
            <w:r>
              <w:tab/>
            </w:r>
            <w:r>
              <w:fldChar w:fldCharType="begin"/>
            </w:r>
            <w:r>
              <w:instrText xml:space="preserve"> PAGEREF _Toc139880665 \h </w:instrText>
            </w:r>
            <w:r>
              <w:fldChar w:fldCharType="separate"/>
            </w:r>
            <w:r>
              <w:t>5</w:t>
            </w:r>
            <w:r>
              <w:fldChar w:fldCharType="end"/>
            </w:r>
          </w:p>
          <w:p w14:paraId="71048BBA" w14:textId="4C42B5EE" w:rsidR="00FB49C7" w:rsidRDefault="00FB49C7" w:rsidP="00FB49C7">
            <w:pPr>
              <w:pStyle w:val="TOC1"/>
              <w:framePr w:wrap="around"/>
              <w:rPr>
                <w:rFonts w:asciiTheme="minorHAnsi" w:eastAsiaTheme="minorEastAsia" w:hAnsiTheme="minorHAnsi" w:cstheme="minorBidi"/>
                <w:b w:val="0"/>
                <w:bCs w:val="0"/>
                <w:color w:val="auto"/>
                <w:sz w:val="22"/>
                <w:szCs w:val="22"/>
              </w:rPr>
            </w:pPr>
            <w:r>
              <w:t>6</w:t>
            </w:r>
            <w:r>
              <w:rPr>
                <w:rFonts w:asciiTheme="minorHAnsi" w:eastAsiaTheme="minorEastAsia" w:hAnsiTheme="minorHAnsi" w:cstheme="minorBidi"/>
                <w:b w:val="0"/>
                <w:bCs w:val="0"/>
                <w:color w:val="auto"/>
                <w:sz w:val="22"/>
                <w:szCs w:val="22"/>
              </w:rPr>
              <w:tab/>
            </w:r>
            <w:r>
              <w:t>Impacts &amp; Other Considerations</w:t>
            </w:r>
            <w:r>
              <w:tab/>
            </w:r>
            <w:r>
              <w:fldChar w:fldCharType="begin"/>
            </w:r>
            <w:r>
              <w:instrText xml:space="preserve"> PAGEREF _Toc139880666 \h </w:instrText>
            </w:r>
            <w:r>
              <w:fldChar w:fldCharType="separate"/>
            </w:r>
            <w:r>
              <w:t>5</w:t>
            </w:r>
            <w:r>
              <w:fldChar w:fldCharType="end"/>
            </w:r>
          </w:p>
          <w:p w14:paraId="5671576E" w14:textId="087C7CB2" w:rsidR="00FB49C7" w:rsidRDefault="00FB49C7" w:rsidP="00FB49C7">
            <w:pPr>
              <w:pStyle w:val="TOC1"/>
              <w:framePr w:wrap="around"/>
              <w:rPr>
                <w:rFonts w:asciiTheme="minorHAnsi" w:eastAsiaTheme="minorEastAsia" w:hAnsiTheme="minorHAnsi" w:cstheme="minorBidi"/>
                <w:b w:val="0"/>
                <w:bCs w:val="0"/>
                <w:color w:val="auto"/>
                <w:sz w:val="22"/>
                <w:szCs w:val="22"/>
              </w:rPr>
            </w:pPr>
            <w:r>
              <w:t>7</w:t>
            </w:r>
            <w:r>
              <w:rPr>
                <w:rFonts w:asciiTheme="minorHAnsi" w:eastAsiaTheme="minorEastAsia" w:hAnsiTheme="minorHAnsi" w:cstheme="minorBidi"/>
                <w:b w:val="0"/>
                <w:bCs w:val="0"/>
                <w:color w:val="auto"/>
                <w:sz w:val="22"/>
                <w:szCs w:val="22"/>
              </w:rPr>
              <w:tab/>
            </w:r>
            <w:r>
              <w:t>Relevant Objectives</w:t>
            </w:r>
            <w:r>
              <w:tab/>
            </w:r>
            <w:r>
              <w:fldChar w:fldCharType="begin"/>
            </w:r>
            <w:r>
              <w:instrText xml:space="preserve"> PAGEREF _Toc139880667 \h </w:instrText>
            </w:r>
            <w:r>
              <w:fldChar w:fldCharType="separate"/>
            </w:r>
            <w:r>
              <w:t>6</w:t>
            </w:r>
            <w:r>
              <w:fldChar w:fldCharType="end"/>
            </w:r>
          </w:p>
          <w:p w14:paraId="5533F059" w14:textId="29E74EE6" w:rsidR="00FB49C7" w:rsidRDefault="00FB49C7" w:rsidP="00FB49C7">
            <w:pPr>
              <w:pStyle w:val="TOC1"/>
              <w:framePr w:wrap="around"/>
              <w:rPr>
                <w:rFonts w:asciiTheme="minorHAnsi" w:eastAsiaTheme="minorEastAsia" w:hAnsiTheme="minorHAnsi" w:cstheme="minorBidi"/>
                <w:b w:val="0"/>
                <w:bCs w:val="0"/>
                <w:color w:val="auto"/>
                <w:sz w:val="22"/>
                <w:szCs w:val="22"/>
              </w:rPr>
            </w:pPr>
            <w:r>
              <w:t>8</w:t>
            </w:r>
            <w:r>
              <w:rPr>
                <w:rFonts w:asciiTheme="minorHAnsi" w:eastAsiaTheme="minorEastAsia" w:hAnsiTheme="minorHAnsi" w:cstheme="minorBidi"/>
                <w:b w:val="0"/>
                <w:bCs w:val="0"/>
                <w:color w:val="auto"/>
                <w:sz w:val="22"/>
                <w:szCs w:val="22"/>
              </w:rPr>
              <w:tab/>
            </w:r>
            <w:r>
              <w:t>Implementation</w:t>
            </w:r>
            <w:r>
              <w:tab/>
            </w:r>
            <w:r>
              <w:fldChar w:fldCharType="begin"/>
            </w:r>
            <w:r>
              <w:instrText xml:space="preserve"> PAGEREF _Toc139880668 \h </w:instrText>
            </w:r>
            <w:r>
              <w:fldChar w:fldCharType="separate"/>
            </w:r>
            <w:r>
              <w:t>7</w:t>
            </w:r>
            <w:r>
              <w:fldChar w:fldCharType="end"/>
            </w:r>
          </w:p>
          <w:p w14:paraId="44987AEC" w14:textId="2CA93BE1" w:rsidR="00FB49C7" w:rsidRDefault="00FB49C7" w:rsidP="00FB49C7">
            <w:pPr>
              <w:pStyle w:val="TOC1"/>
              <w:framePr w:wrap="around"/>
              <w:rPr>
                <w:rFonts w:asciiTheme="minorHAnsi" w:eastAsiaTheme="minorEastAsia" w:hAnsiTheme="minorHAnsi" w:cstheme="minorBidi"/>
                <w:b w:val="0"/>
                <w:bCs w:val="0"/>
                <w:color w:val="auto"/>
                <w:sz w:val="22"/>
                <w:szCs w:val="22"/>
              </w:rPr>
            </w:pPr>
            <w:r>
              <w:t>9</w:t>
            </w:r>
            <w:r>
              <w:rPr>
                <w:rFonts w:asciiTheme="minorHAnsi" w:eastAsiaTheme="minorEastAsia" w:hAnsiTheme="minorHAnsi" w:cstheme="minorBidi"/>
                <w:b w:val="0"/>
                <w:bCs w:val="0"/>
                <w:color w:val="auto"/>
                <w:sz w:val="22"/>
                <w:szCs w:val="22"/>
              </w:rPr>
              <w:tab/>
            </w:r>
            <w:r>
              <w:t>Legal Text</w:t>
            </w:r>
            <w:r>
              <w:tab/>
            </w:r>
            <w:r>
              <w:fldChar w:fldCharType="begin"/>
            </w:r>
            <w:r>
              <w:instrText xml:space="preserve"> PAGEREF _Toc139880669 \h </w:instrText>
            </w:r>
            <w:r>
              <w:fldChar w:fldCharType="separate"/>
            </w:r>
            <w:r>
              <w:t>7</w:t>
            </w:r>
            <w:r>
              <w:fldChar w:fldCharType="end"/>
            </w:r>
          </w:p>
          <w:p w14:paraId="28B07B7D" w14:textId="3CF0968B" w:rsidR="00FB49C7" w:rsidRDefault="00FB49C7" w:rsidP="00FB49C7">
            <w:pPr>
              <w:pStyle w:val="TOC1"/>
              <w:framePr w:wrap="around"/>
              <w:rPr>
                <w:rFonts w:asciiTheme="minorHAnsi" w:eastAsiaTheme="minorEastAsia" w:hAnsiTheme="minorHAnsi" w:cstheme="minorBidi"/>
                <w:b w:val="0"/>
                <w:bCs w:val="0"/>
                <w:color w:val="auto"/>
                <w:sz w:val="22"/>
                <w:szCs w:val="22"/>
              </w:rPr>
            </w:pPr>
            <w:r>
              <w:t>10</w:t>
            </w:r>
            <w:r>
              <w:rPr>
                <w:rFonts w:asciiTheme="minorHAnsi" w:eastAsiaTheme="minorEastAsia" w:hAnsiTheme="minorHAnsi" w:cstheme="minorBidi"/>
                <w:b w:val="0"/>
                <w:bCs w:val="0"/>
                <w:color w:val="auto"/>
                <w:sz w:val="22"/>
                <w:szCs w:val="22"/>
              </w:rPr>
              <w:tab/>
            </w:r>
            <w:r>
              <w:t>Recommendations</w:t>
            </w:r>
            <w:r>
              <w:tab/>
            </w:r>
            <w:r>
              <w:fldChar w:fldCharType="begin"/>
            </w:r>
            <w:r>
              <w:instrText xml:space="preserve"> PAGEREF _Toc139880670 \h </w:instrText>
            </w:r>
            <w:r>
              <w:fldChar w:fldCharType="separate"/>
            </w:r>
            <w:r>
              <w:t>7</w:t>
            </w:r>
            <w:r>
              <w:fldChar w:fldCharType="end"/>
            </w:r>
          </w:p>
          <w:p w14:paraId="22CE871E" w14:textId="157E3664" w:rsidR="00F10E14" w:rsidRPr="00EB32BB" w:rsidRDefault="00F10E14" w:rsidP="00B52044">
            <w:pPr>
              <w:pStyle w:val="TOCMOD"/>
              <w:framePr w:wrap="around"/>
              <w:rPr>
                <w:rFonts w:cs="Arial"/>
              </w:rPr>
            </w:pPr>
            <w:r w:rsidRPr="00EB32BB">
              <w:rPr>
                <w:rFonts w:cs="Arial"/>
              </w:rPr>
              <w:fldChar w:fldCharType="end"/>
            </w:r>
          </w:p>
          <w:p w14:paraId="08B56E38" w14:textId="7287C5D1" w:rsidR="007E718E" w:rsidRPr="008077CE" w:rsidRDefault="008F48D5" w:rsidP="008077CE">
            <w:pPr>
              <w:pStyle w:val="About01"/>
            </w:pPr>
            <w:r>
              <w:t>Timetable</w:t>
            </w:r>
          </w:p>
          <w:tbl>
            <w:tblPr>
              <w:tblpPr w:leftFromText="180" w:rightFromText="180" w:vertAnchor="text" w:tblpX="-103" w:tblpY="1"/>
              <w:tblOverlap w:val="never"/>
              <w:tblW w:w="7933" w:type="dxa"/>
              <w:tblBorders>
                <w:top w:val="single" w:sz="4" w:space="0" w:color="F2F2F2"/>
                <w:left w:val="single" w:sz="4" w:space="0" w:color="F2F2F2"/>
                <w:bottom w:val="single" w:sz="4" w:space="0" w:color="F2F2F2"/>
                <w:right w:val="single" w:sz="4" w:space="0" w:color="F2F2F2"/>
                <w:insideH w:val="single" w:sz="4" w:space="0" w:color="F2F2F2"/>
                <w:insideV w:val="single" w:sz="4" w:space="0" w:color="F2F2F2"/>
              </w:tblBorders>
              <w:tblLayout w:type="fixed"/>
              <w:tblLook w:val="04A0" w:firstRow="1" w:lastRow="0" w:firstColumn="1" w:lastColumn="0" w:noHBand="0" w:noVBand="1"/>
            </w:tblPr>
            <w:tblGrid>
              <w:gridCol w:w="4673"/>
              <w:gridCol w:w="3260"/>
            </w:tblGrid>
            <w:tr w:rsidR="00AA69EF" w:rsidRPr="00EB32BB" w14:paraId="6C0618AF" w14:textId="77777777" w:rsidTr="00E81739">
              <w:tc>
                <w:tcPr>
                  <w:tcW w:w="7933" w:type="dxa"/>
                  <w:gridSpan w:val="2"/>
                  <w:shd w:val="clear" w:color="auto" w:fill="auto"/>
                </w:tcPr>
                <w:p w14:paraId="3352013C" w14:textId="0ED798C3" w:rsidR="00AA69EF" w:rsidRPr="00EB32BB" w:rsidRDefault="00AA69EF" w:rsidP="000B5CFC">
                  <w:pPr>
                    <w:spacing w:before="40" w:after="40"/>
                    <w:rPr>
                      <w:rFonts w:cs="Arial"/>
                      <w:szCs w:val="20"/>
                    </w:rPr>
                  </w:pPr>
                  <w:r w:rsidRPr="000B5CFC">
                    <w:rPr>
                      <w:rFonts w:cs="Arial"/>
                      <w:b/>
                      <w:szCs w:val="20"/>
                    </w:rPr>
                    <w:t>The Proposer recommends the following timetable</w:t>
                  </w:r>
                  <w:r w:rsidR="000B5CFC">
                    <w:rPr>
                      <w:rFonts w:cs="Arial"/>
                      <w:b/>
                      <w:szCs w:val="20"/>
                    </w:rPr>
                    <w:t>:</w:t>
                  </w:r>
                </w:p>
              </w:tc>
            </w:tr>
            <w:tr w:rsidR="007E718E" w:rsidRPr="00EB32BB" w14:paraId="03969F07" w14:textId="77777777" w:rsidTr="00E81739">
              <w:tc>
                <w:tcPr>
                  <w:tcW w:w="4673" w:type="dxa"/>
                  <w:shd w:val="clear" w:color="auto" w:fill="auto"/>
                </w:tcPr>
                <w:p w14:paraId="40EDF320" w14:textId="77777777" w:rsidR="007E718E" w:rsidRPr="00EB32BB" w:rsidRDefault="007E718E" w:rsidP="00F14EC4">
                  <w:pPr>
                    <w:tabs>
                      <w:tab w:val="left" w:pos="171"/>
                    </w:tabs>
                    <w:spacing w:before="40" w:after="40"/>
                    <w:rPr>
                      <w:rFonts w:cs="Arial"/>
                      <w:szCs w:val="20"/>
                    </w:rPr>
                  </w:pPr>
                  <w:r w:rsidRPr="00EB32BB">
                    <w:rPr>
                      <w:rFonts w:cs="Arial"/>
                      <w:szCs w:val="20"/>
                    </w:rPr>
                    <w:t>Initial consideration by Workgroup</w:t>
                  </w:r>
                </w:p>
              </w:tc>
              <w:tc>
                <w:tcPr>
                  <w:tcW w:w="3260" w:type="dxa"/>
                  <w:shd w:val="clear" w:color="auto" w:fill="auto"/>
                  <w:vAlign w:val="center"/>
                </w:tcPr>
                <w:p w14:paraId="0394EEB7" w14:textId="267A8B51" w:rsidR="007E718E" w:rsidRPr="00EB32BB" w:rsidRDefault="001F5A33" w:rsidP="00F14EC4">
                  <w:pPr>
                    <w:spacing w:before="40" w:after="40"/>
                    <w:rPr>
                      <w:rFonts w:cs="Arial"/>
                      <w:szCs w:val="20"/>
                    </w:rPr>
                  </w:pPr>
                  <w:r>
                    <w:rPr>
                      <w:rFonts w:cs="Arial"/>
                      <w:szCs w:val="20"/>
                    </w:rPr>
                    <w:t>25 August 2023</w:t>
                  </w:r>
                </w:p>
              </w:tc>
            </w:tr>
            <w:tr w:rsidR="007E718E" w:rsidRPr="00EB32BB" w14:paraId="30768FF0" w14:textId="77777777" w:rsidTr="00E81739">
              <w:tc>
                <w:tcPr>
                  <w:tcW w:w="4673" w:type="dxa"/>
                  <w:shd w:val="clear" w:color="auto" w:fill="auto"/>
                </w:tcPr>
                <w:p w14:paraId="77C01A5D" w14:textId="77777777" w:rsidR="007E718E" w:rsidRPr="00EB32BB" w:rsidRDefault="007E718E" w:rsidP="00F14EC4">
                  <w:pPr>
                    <w:tabs>
                      <w:tab w:val="left" w:pos="171"/>
                    </w:tabs>
                    <w:spacing w:before="40" w:after="40"/>
                    <w:rPr>
                      <w:rFonts w:cs="Arial"/>
                      <w:szCs w:val="20"/>
                    </w:rPr>
                  </w:pPr>
                  <w:r w:rsidRPr="00EB32BB">
                    <w:rPr>
                      <w:rFonts w:cs="Arial"/>
                      <w:szCs w:val="20"/>
                    </w:rPr>
                    <w:t>Workgroup Report presented to Panel</w:t>
                  </w:r>
                </w:p>
              </w:tc>
              <w:tc>
                <w:tcPr>
                  <w:tcW w:w="3260" w:type="dxa"/>
                  <w:shd w:val="clear" w:color="auto" w:fill="auto"/>
                  <w:vAlign w:val="center"/>
                </w:tcPr>
                <w:p w14:paraId="1FC05481" w14:textId="7C36EBE3" w:rsidR="007E718E" w:rsidRPr="00EB32BB" w:rsidRDefault="006D44CA" w:rsidP="00F14EC4">
                  <w:pPr>
                    <w:spacing w:before="40" w:after="40"/>
                    <w:rPr>
                      <w:rFonts w:cs="Arial"/>
                      <w:szCs w:val="20"/>
                    </w:rPr>
                  </w:pPr>
                  <w:r>
                    <w:rPr>
                      <w:rFonts w:cs="Arial"/>
                      <w:szCs w:val="20"/>
                    </w:rPr>
                    <w:t>0</w:t>
                  </w:r>
                  <w:r w:rsidR="006C408C">
                    <w:rPr>
                      <w:rFonts w:cs="Arial"/>
                      <w:szCs w:val="20"/>
                    </w:rPr>
                    <w:t>5</w:t>
                  </w:r>
                  <w:r>
                    <w:rPr>
                      <w:rFonts w:cs="Arial"/>
                      <w:szCs w:val="20"/>
                    </w:rPr>
                    <w:t xml:space="preserve"> </w:t>
                  </w:r>
                  <w:r w:rsidR="00010FF9">
                    <w:rPr>
                      <w:rFonts w:cs="Arial"/>
                      <w:szCs w:val="20"/>
                    </w:rPr>
                    <w:t>October</w:t>
                  </w:r>
                  <w:r>
                    <w:rPr>
                      <w:rFonts w:cs="Arial"/>
                      <w:szCs w:val="20"/>
                    </w:rPr>
                    <w:t xml:space="preserve"> 2023</w:t>
                  </w:r>
                </w:p>
              </w:tc>
            </w:tr>
            <w:tr w:rsidR="007E718E" w:rsidRPr="00EB32BB" w14:paraId="4425FB08" w14:textId="77777777" w:rsidTr="00E81739">
              <w:tc>
                <w:tcPr>
                  <w:tcW w:w="4673" w:type="dxa"/>
                  <w:shd w:val="clear" w:color="auto" w:fill="auto"/>
                </w:tcPr>
                <w:p w14:paraId="4F7CB112" w14:textId="69812655" w:rsidR="007E718E" w:rsidRPr="00EB32BB" w:rsidRDefault="009F7C0B" w:rsidP="00F14EC4">
                  <w:pPr>
                    <w:tabs>
                      <w:tab w:val="left" w:pos="171"/>
                    </w:tabs>
                    <w:spacing w:before="40" w:after="40"/>
                    <w:rPr>
                      <w:rFonts w:cs="Arial"/>
                      <w:szCs w:val="20"/>
                    </w:rPr>
                  </w:pPr>
                  <w:r>
                    <w:rPr>
                      <w:rFonts w:cs="Arial"/>
                      <w:szCs w:val="20"/>
                    </w:rPr>
                    <w:t>Consultation opens</w:t>
                  </w:r>
                </w:p>
              </w:tc>
              <w:tc>
                <w:tcPr>
                  <w:tcW w:w="3260" w:type="dxa"/>
                  <w:shd w:val="clear" w:color="auto" w:fill="auto"/>
                  <w:vAlign w:val="center"/>
                </w:tcPr>
                <w:p w14:paraId="7DA1D2EE" w14:textId="50CAD40D" w:rsidR="007E718E" w:rsidRPr="00EB32BB" w:rsidRDefault="00ED74FF" w:rsidP="00F14EC4">
                  <w:pPr>
                    <w:spacing w:before="40" w:after="40"/>
                    <w:rPr>
                      <w:rFonts w:cs="Arial"/>
                      <w:szCs w:val="20"/>
                    </w:rPr>
                  </w:pPr>
                  <w:r>
                    <w:rPr>
                      <w:rFonts w:cs="Arial"/>
                      <w:szCs w:val="20"/>
                    </w:rPr>
                    <w:t>11 December</w:t>
                  </w:r>
                  <w:r w:rsidR="006C34A5">
                    <w:rPr>
                      <w:rFonts w:cs="Arial"/>
                      <w:szCs w:val="20"/>
                    </w:rPr>
                    <w:t xml:space="preserve"> 2023</w:t>
                  </w:r>
                </w:p>
              </w:tc>
            </w:tr>
            <w:tr w:rsidR="007E718E" w:rsidRPr="00EB32BB" w14:paraId="0A847429" w14:textId="77777777" w:rsidTr="00E81739">
              <w:tc>
                <w:tcPr>
                  <w:tcW w:w="4673" w:type="dxa"/>
                  <w:shd w:val="clear" w:color="auto" w:fill="auto"/>
                </w:tcPr>
                <w:p w14:paraId="001C4471" w14:textId="77777777" w:rsidR="007E718E" w:rsidRPr="00EB32BB" w:rsidRDefault="007E718E" w:rsidP="00F14EC4">
                  <w:pPr>
                    <w:tabs>
                      <w:tab w:val="left" w:pos="171"/>
                    </w:tabs>
                    <w:spacing w:before="40" w:after="40"/>
                    <w:rPr>
                      <w:rFonts w:cs="Arial"/>
                      <w:szCs w:val="20"/>
                    </w:rPr>
                  </w:pPr>
                  <w:r w:rsidRPr="00EB32BB">
                    <w:rPr>
                      <w:rFonts w:cs="Arial"/>
                      <w:szCs w:val="20"/>
                    </w:rPr>
                    <w:t>Consultation Close-out for representations</w:t>
                  </w:r>
                </w:p>
              </w:tc>
              <w:tc>
                <w:tcPr>
                  <w:tcW w:w="3260" w:type="dxa"/>
                  <w:shd w:val="clear" w:color="auto" w:fill="auto"/>
                  <w:vAlign w:val="center"/>
                </w:tcPr>
                <w:p w14:paraId="577A510E" w14:textId="6B00C163" w:rsidR="007E718E" w:rsidRPr="00EB32BB" w:rsidRDefault="0055449A" w:rsidP="00F14EC4">
                  <w:pPr>
                    <w:spacing w:before="40" w:after="40"/>
                    <w:rPr>
                      <w:rFonts w:cs="Arial"/>
                      <w:szCs w:val="20"/>
                    </w:rPr>
                  </w:pPr>
                  <w:r>
                    <w:rPr>
                      <w:rFonts w:cs="Arial"/>
                      <w:szCs w:val="20"/>
                    </w:rPr>
                    <w:t>1</w:t>
                  </w:r>
                  <w:r w:rsidR="00DD68AB">
                    <w:rPr>
                      <w:rFonts w:cs="Arial"/>
                      <w:szCs w:val="20"/>
                    </w:rPr>
                    <w:t>2 January</w:t>
                  </w:r>
                  <w:r w:rsidR="00675D16">
                    <w:rPr>
                      <w:rFonts w:cs="Arial"/>
                      <w:szCs w:val="20"/>
                    </w:rPr>
                    <w:t xml:space="preserve"> 2023</w:t>
                  </w:r>
                </w:p>
              </w:tc>
            </w:tr>
            <w:tr w:rsidR="007E718E" w:rsidRPr="00EB32BB" w14:paraId="0F66CE22" w14:textId="77777777" w:rsidTr="00E81739">
              <w:tc>
                <w:tcPr>
                  <w:tcW w:w="4673" w:type="dxa"/>
                  <w:shd w:val="clear" w:color="auto" w:fill="auto"/>
                </w:tcPr>
                <w:p w14:paraId="1BFE46C0" w14:textId="77777777" w:rsidR="007E718E" w:rsidRPr="00EB32BB" w:rsidRDefault="007E718E" w:rsidP="00B81F70">
                  <w:pPr>
                    <w:tabs>
                      <w:tab w:val="left" w:pos="171"/>
                    </w:tabs>
                    <w:spacing w:before="40" w:after="40"/>
                    <w:rPr>
                      <w:rFonts w:cs="Arial"/>
                      <w:szCs w:val="20"/>
                    </w:rPr>
                  </w:pPr>
                  <w:r w:rsidRPr="00EB32BB">
                    <w:rPr>
                      <w:rFonts w:cs="Arial"/>
                      <w:szCs w:val="20"/>
                    </w:rPr>
                    <w:t xml:space="preserve">Final Modification Report </w:t>
                  </w:r>
                  <w:r w:rsidR="00B81F70">
                    <w:rPr>
                      <w:rFonts w:cs="Arial"/>
                      <w:szCs w:val="20"/>
                    </w:rPr>
                    <w:t>available for</w:t>
                  </w:r>
                  <w:r w:rsidRPr="00EB32BB">
                    <w:rPr>
                      <w:rFonts w:cs="Arial"/>
                      <w:szCs w:val="20"/>
                    </w:rPr>
                    <w:t xml:space="preserve"> Panel</w:t>
                  </w:r>
                </w:p>
              </w:tc>
              <w:tc>
                <w:tcPr>
                  <w:tcW w:w="3260" w:type="dxa"/>
                  <w:shd w:val="clear" w:color="auto" w:fill="auto"/>
                  <w:vAlign w:val="center"/>
                </w:tcPr>
                <w:p w14:paraId="04ECE701" w14:textId="60906C9E" w:rsidR="007E718E" w:rsidRPr="00EB32BB" w:rsidRDefault="00853F6E" w:rsidP="00F14EC4">
                  <w:pPr>
                    <w:spacing w:before="40" w:after="40"/>
                    <w:rPr>
                      <w:rFonts w:cs="Arial"/>
                      <w:szCs w:val="20"/>
                    </w:rPr>
                  </w:pPr>
                  <w:r>
                    <w:rPr>
                      <w:rFonts w:cs="Arial"/>
                      <w:szCs w:val="20"/>
                    </w:rPr>
                    <w:t xml:space="preserve">01 </w:t>
                  </w:r>
                  <w:r w:rsidR="00AF56D9">
                    <w:rPr>
                      <w:rFonts w:cs="Arial"/>
                      <w:szCs w:val="20"/>
                    </w:rPr>
                    <w:t>February</w:t>
                  </w:r>
                  <w:r>
                    <w:rPr>
                      <w:rFonts w:cs="Arial"/>
                      <w:szCs w:val="20"/>
                    </w:rPr>
                    <w:t xml:space="preserve"> 2023</w:t>
                  </w:r>
                </w:p>
              </w:tc>
            </w:tr>
            <w:tr w:rsidR="007E718E" w:rsidRPr="00EB32BB" w14:paraId="5722E504" w14:textId="77777777" w:rsidTr="00E81739">
              <w:trPr>
                <w:trHeight w:val="93"/>
              </w:trPr>
              <w:tc>
                <w:tcPr>
                  <w:tcW w:w="4673" w:type="dxa"/>
                  <w:shd w:val="clear" w:color="auto" w:fill="auto"/>
                </w:tcPr>
                <w:p w14:paraId="75FEADBD" w14:textId="77777777" w:rsidR="007E718E" w:rsidRPr="00EB32BB" w:rsidRDefault="007E718E" w:rsidP="00F14EC4">
                  <w:pPr>
                    <w:tabs>
                      <w:tab w:val="left" w:pos="171"/>
                    </w:tabs>
                    <w:spacing w:before="40" w:after="40"/>
                    <w:rPr>
                      <w:rFonts w:cs="Arial"/>
                      <w:szCs w:val="20"/>
                    </w:rPr>
                  </w:pPr>
                  <w:r w:rsidRPr="00EB32BB">
                    <w:rPr>
                      <w:rFonts w:cs="Arial"/>
                      <w:szCs w:val="20"/>
                    </w:rPr>
                    <w:t>Modification Panel decision</w:t>
                  </w:r>
                </w:p>
              </w:tc>
              <w:tc>
                <w:tcPr>
                  <w:tcW w:w="3260" w:type="dxa"/>
                  <w:shd w:val="clear" w:color="auto" w:fill="auto"/>
                  <w:vAlign w:val="center"/>
                </w:tcPr>
                <w:p w14:paraId="465C1F20" w14:textId="33B152C3" w:rsidR="008F48D5" w:rsidRPr="00EB32BB" w:rsidRDefault="00DD3AAC" w:rsidP="00F14EC4">
                  <w:pPr>
                    <w:spacing w:before="40" w:after="40"/>
                    <w:rPr>
                      <w:rFonts w:cs="Arial"/>
                      <w:szCs w:val="20"/>
                    </w:rPr>
                  </w:pPr>
                  <w:r>
                    <w:rPr>
                      <w:rFonts w:cs="Arial"/>
                      <w:szCs w:val="20"/>
                    </w:rPr>
                    <w:t xml:space="preserve">01 </w:t>
                  </w:r>
                  <w:r w:rsidR="00AF56D9">
                    <w:rPr>
                      <w:rFonts w:cs="Arial"/>
                      <w:szCs w:val="20"/>
                    </w:rPr>
                    <w:t>May</w:t>
                  </w:r>
                  <w:r>
                    <w:rPr>
                      <w:rFonts w:cs="Arial"/>
                      <w:szCs w:val="20"/>
                    </w:rPr>
                    <w:t xml:space="preserve"> 2023</w:t>
                  </w:r>
                </w:p>
              </w:tc>
            </w:tr>
          </w:tbl>
          <w:p w14:paraId="70B8B4D9" w14:textId="77777777" w:rsidR="006551B8" w:rsidRDefault="006551B8" w:rsidP="007E718E">
            <w:pPr>
              <w:pStyle w:val="BodyTextFirstIndent"/>
              <w:ind w:firstLine="0"/>
              <w:rPr>
                <w:rFonts w:cs="Arial"/>
              </w:rPr>
            </w:pPr>
          </w:p>
          <w:p w14:paraId="78FEE655" w14:textId="77777777" w:rsidR="008F48D5" w:rsidRDefault="008F48D5" w:rsidP="007E718E">
            <w:pPr>
              <w:pStyle w:val="BodyTextFirstIndent"/>
              <w:ind w:firstLine="0"/>
              <w:rPr>
                <w:rFonts w:cs="Arial"/>
              </w:rPr>
            </w:pPr>
          </w:p>
          <w:p w14:paraId="65D754AC" w14:textId="77777777" w:rsidR="008F48D5" w:rsidRPr="00EB32BB" w:rsidRDefault="008F48D5" w:rsidP="007E718E">
            <w:pPr>
              <w:pStyle w:val="BodyTextFirstIndent"/>
              <w:ind w:firstLine="0"/>
              <w:rPr>
                <w:rFonts w:cs="Arial"/>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10D825D3" w14:textId="24A537C8" w:rsidR="00F10E14" w:rsidRPr="00EB32BB" w:rsidRDefault="005438E7" w:rsidP="00291083">
            <w:pPr>
              <w:pStyle w:val="BodyText"/>
              <w:spacing w:before="60" w:after="60" w:line="240" w:lineRule="auto"/>
              <w:rPr>
                <w:rFonts w:cs="Arial"/>
                <w:szCs w:val="20"/>
              </w:rPr>
            </w:pPr>
            <w:r>
              <w:rPr>
                <w:rFonts w:cs="Arial"/>
                <w:noProof/>
                <w:szCs w:val="20"/>
              </w:rPr>
              <w:drawing>
                <wp:inline distT="0" distB="0" distL="0" distR="0" wp14:anchorId="0DB36EC6" wp14:editId="609DE69E">
                  <wp:extent cx="285750" cy="285750"/>
                  <wp:effectExtent l="0" t="0" r="0" b="0"/>
                  <wp:docPr id="6"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00F10E14" w:rsidRPr="00EB32BB">
              <w:rPr>
                <w:rFonts w:cs="Arial"/>
                <w:b/>
                <w:color w:val="008576"/>
                <w:szCs w:val="20"/>
              </w:rPr>
              <w:t xml:space="preserve"> Any questions?</w:t>
            </w:r>
          </w:p>
        </w:tc>
      </w:tr>
      <w:tr w:rsidR="00F10E14" w:rsidRPr="00EB32BB" w14:paraId="1B89C3FA"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78C79EDA" w14:textId="77777777" w:rsidR="00F10E14" w:rsidRPr="00EB32BB" w:rsidRDefault="00F10E14" w:rsidP="00A809BC">
            <w:pPr>
              <w:pStyle w:val="Contents01"/>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1D260D47" w14:textId="77777777" w:rsidR="00F10E14" w:rsidRPr="00EB32BB" w:rsidRDefault="00F10E14" w:rsidP="00A81AA5">
            <w:pPr>
              <w:spacing w:before="60" w:after="60" w:line="240" w:lineRule="auto"/>
              <w:rPr>
                <w:rFonts w:cs="Arial"/>
                <w:color w:val="008576"/>
                <w:szCs w:val="20"/>
              </w:rPr>
            </w:pPr>
            <w:r w:rsidRPr="00EB32BB">
              <w:rPr>
                <w:rFonts w:cs="Arial"/>
                <w:color w:val="008576"/>
                <w:szCs w:val="20"/>
              </w:rPr>
              <w:t>Contact:</w:t>
            </w:r>
          </w:p>
          <w:p w14:paraId="57D82ED7" w14:textId="77777777" w:rsidR="00F10E14" w:rsidRPr="00EB32BB" w:rsidRDefault="00F10E14" w:rsidP="00A81AA5">
            <w:pPr>
              <w:pStyle w:val="BodyText"/>
              <w:spacing w:before="60" w:after="60" w:line="240" w:lineRule="auto"/>
              <w:rPr>
                <w:rFonts w:cs="Arial"/>
                <w:color w:val="008576"/>
                <w:szCs w:val="20"/>
              </w:rPr>
            </w:pPr>
            <w:r w:rsidRPr="00EB32BB">
              <w:rPr>
                <w:rFonts w:cs="Arial"/>
                <w:b/>
                <w:color w:val="008576"/>
                <w:szCs w:val="20"/>
              </w:rPr>
              <w:t>Code Administrator</w:t>
            </w:r>
          </w:p>
        </w:tc>
      </w:tr>
      <w:tr w:rsidR="00F10E14" w:rsidRPr="00EB32BB" w14:paraId="79BC9894"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0F300772" w14:textId="77777777" w:rsidR="00F10E14" w:rsidRPr="00EB32BB" w:rsidRDefault="00F10E14" w:rsidP="00A809BC">
            <w:pPr>
              <w:pStyle w:val="Contents01"/>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409A47AD" w14:textId="162F9E6C" w:rsidR="00F10E14" w:rsidRPr="00EB32BB" w:rsidRDefault="005438E7" w:rsidP="00011F5C">
            <w:pPr>
              <w:pStyle w:val="BodyText"/>
              <w:spacing w:before="60" w:after="60" w:line="240" w:lineRule="auto"/>
              <w:rPr>
                <w:rFonts w:cs="Arial"/>
                <w:color w:val="008576"/>
                <w:szCs w:val="20"/>
              </w:rPr>
            </w:pPr>
            <w:r>
              <w:rPr>
                <w:rFonts w:cs="Arial"/>
                <w:b/>
                <w:noProof/>
                <w:color w:val="008576"/>
                <w:szCs w:val="20"/>
              </w:rPr>
              <w:drawing>
                <wp:inline distT="0" distB="0" distL="0" distR="0" wp14:anchorId="37AD6358" wp14:editId="15310F96">
                  <wp:extent cx="285750" cy="285750"/>
                  <wp:effectExtent l="0" t="0" r="0" b="0"/>
                  <wp:docPr id="7" name="Picture 11" descr="Description: Description: email_us_go_o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escription: Description: email_us_go_online"/>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00011F5C">
              <w:rPr>
                <w:rFonts w:cs="Arial"/>
                <w:b/>
                <w:color w:val="008576"/>
                <w:szCs w:val="20"/>
                <w:lang w:val="en-US"/>
              </w:rPr>
              <w:t>www.dcode.org</w:t>
            </w:r>
          </w:p>
        </w:tc>
      </w:tr>
      <w:tr w:rsidR="00F10E14" w:rsidRPr="00EB32BB" w14:paraId="0C302670"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533652B6" w14:textId="77777777" w:rsidR="00F10E14" w:rsidRPr="00EB32BB" w:rsidRDefault="00F10E14" w:rsidP="00A809BC">
            <w:pPr>
              <w:pStyle w:val="Contents01"/>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660FEE26" w14:textId="5BBAE7B3" w:rsidR="00F10E14" w:rsidRPr="00EB32BB" w:rsidRDefault="005438E7" w:rsidP="005B0B30">
            <w:pPr>
              <w:pStyle w:val="BodyText"/>
              <w:spacing w:before="60" w:after="60" w:line="240" w:lineRule="auto"/>
              <w:rPr>
                <w:rFonts w:cs="Arial"/>
                <w:color w:val="008576"/>
                <w:szCs w:val="20"/>
              </w:rPr>
            </w:pPr>
            <w:r>
              <w:rPr>
                <w:rFonts w:cs="Arial"/>
                <w:b/>
                <w:noProof/>
                <w:color w:val="008576"/>
                <w:szCs w:val="20"/>
              </w:rPr>
              <w:drawing>
                <wp:inline distT="0" distB="0" distL="0" distR="0" wp14:anchorId="11C8F067" wp14:editId="0FAF862B">
                  <wp:extent cx="285750" cy="285750"/>
                  <wp:effectExtent l="0" t="0" r="0" b="0"/>
                  <wp:docPr id="8" name="Picture 12" descr="Description: Description: call_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escription: Description: call_us"/>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00011F5C">
              <w:rPr>
                <w:rFonts w:cs="Arial"/>
                <w:b/>
                <w:color w:val="008576"/>
                <w:szCs w:val="20"/>
              </w:rPr>
              <w:t>020 7706 5124</w:t>
            </w:r>
          </w:p>
        </w:tc>
      </w:tr>
      <w:tr w:rsidR="00F10E14" w:rsidRPr="00EB32BB" w14:paraId="19CC1B96"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2E3F491E" w14:textId="77777777" w:rsidR="00F10E14" w:rsidRPr="00EB32BB" w:rsidRDefault="00F10E14" w:rsidP="00A809BC">
            <w:pPr>
              <w:pStyle w:val="Contents01"/>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4CE4C0BD" w14:textId="77777777" w:rsidR="00F10E14" w:rsidRPr="00EB32BB" w:rsidRDefault="00F10E14" w:rsidP="00A81AA5">
            <w:pPr>
              <w:spacing w:before="60" w:after="60" w:line="240" w:lineRule="auto"/>
              <w:rPr>
                <w:rFonts w:cs="Arial"/>
                <w:color w:val="008576"/>
                <w:szCs w:val="20"/>
              </w:rPr>
            </w:pPr>
            <w:r w:rsidRPr="00EB32BB">
              <w:rPr>
                <w:rFonts w:cs="Arial"/>
                <w:color w:val="008576"/>
                <w:szCs w:val="20"/>
              </w:rPr>
              <w:t>Proposer:</w:t>
            </w:r>
          </w:p>
          <w:p w14:paraId="7EC2FF61" w14:textId="2CC7BB13" w:rsidR="00F10E14" w:rsidRPr="00EB32BB" w:rsidRDefault="004E0DBD" w:rsidP="00A81AA5">
            <w:pPr>
              <w:spacing w:before="60" w:after="60" w:line="240" w:lineRule="auto"/>
              <w:rPr>
                <w:rFonts w:cs="Arial"/>
                <w:b/>
                <w:color w:val="008576"/>
                <w:szCs w:val="20"/>
              </w:rPr>
            </w:pPr>
            <w:r>
              <w:rPr>
                <w:rFonts w:cs="Arial"/>
                <w:b/>
                <w:color w:val="008576"/>
                <w:szCs w:val="20"/>
              </w:rPr>
              <w:t>Steve Quinn</w:t>
            </w:r>
          </w:p>
        </w:tc>
      </w:tr>
      <w:tr w:rsidR="00F10E14" w:rsidRPr="00EB32BB" w14:paraId="3D7FB7F7"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464AF9F9" w14:textId="77777777" w:rsidR="00F10E14" w:rsidRPr="00EB32BB" w:rsidRDefault="00F10E14" w:rsidP="00A809BC">
            <w:pPr>
              <w:pStyle w:val="Contents01"/>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45648CF0" w14:textId="012C356B" w:rsidR="00F10E14" w:rsidRPr="00EB32BB" w:rsidRDefault="005438E7" w:rsidP="00A81AA5">
            <w:pPr>
              <w:pStyle w:val="BodyText"/>
              <w:spacing w:before="60" w:after="60" w:line="240" w:lineRule="auto"/>
              <w:rPr>
                <w:rFonts w:cs="Arial"/>
                <w:b/>
                <w:color w:val="008576"/>
                <w:szCs w:val="20"/>
              </w:rPr>
            </w:pPr>
            <w:r>
              <w:rPr>
                <w:rFonts w:cs="Arial"/>
                <w:b/>
                <w:noProof/>
                <w:color w:val="008576"/>
                <w:szCs w:val="20"/>
              </w:rPr>
              <w:drawing>
                <wp:inline distT="0" distB="0" distL="0" distR="0" wp14:anchorId="64BB5331" wp14:editId="7A28951E">
                  <wp:extent cx="285750" cy="285750"/>
                  <wp:effectExtent l="0" t="0" r="0" b="0"/>
                  <wp:docPr id="9" name="Picture 9" descr="Description: Description: email_us_go_o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escription: Description: email_us_go_online"/>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00F10E14" w:rsidRPr="00EB32BB">
              <w:rPr>
                <w:rFonts w:cs="Arial"/>
                <w:b/>
                <w:color w:val="008576"/>
                <w:szCs w:val="20"/>
              </w:rPr>
              <w:t xml:space="preserve"> </w:t>
            </w:r>
            <w:r w:rsidR="004E0DBD">
              <w:rPr>
                <w:rFonts w:cs="Arial"/>
                <w:b/>
                <w:color w:val="008576"/>
                <w:szCs w:val="20"/>
              </w:rPr>
              <w:t>s</w:t>
            </w:r>
            <w:r w:rsidR="001717BE">
              <w:rPr>
                <w:rFonts w:cs="Arial"/>
                <w:b/>
                <w:color w:val="008576"/>
                <w:szCs w:val="20"/>
              </w:rPr>
              <w:t>quinn@nationalgrid.co.uk</w:t>
            </w:r>
          </w:p>
        </w:tc>
      </w:tr>
      <w:tr w:rsidR="00F10E14" w:rsidRPr="00EB32BB" w14:paraId="1B23D258"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67C16455" w14:textId="77777777" w:rsidR="00F10E14" w:rsidRPr="00EB32BB" w:rsidRDefault="00F10E14" w:rsidP="00A809BC">
            <w:pPr>
              <w:pStyle w:val="Contents01"/>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0132F669" w14:textId="2FD84897" w:rsidR="00F10E14" w:rsidRPr="00EB32BB" w:rsidRDefault="005438E7" w:rsidP="00A81AA5">
            <w:pPr>
              <w:pStyle w:val="BodyText"/>
              <w:spacing w:before="60" w:after="60" w:line="240" w:lineRule="auto"/>
              <w:rPr>
                <w:rFonts w:cs="Arial"/>
                <w:color w:val="008576"/>
                <w:szCs w:val="20"/>
              </w:rPr>
            </w:pPr>
            <w:r>
              <w:rPr>
                <w:rFonts w:cs="Arial"/>
                <w:b/>
                <w:noProof/>
                <w:color w:val="008576"/>
                <w:szCs w:val="20"/>
              </w:rPr>
              <w:drawing>
                <wp:inline distT="0" distB="0" distL="0" distR="0" wp14:anchorId="01736C5A" wp14:editId="25082B0D">
                  <wp:extent cx="285750" cy="285750"/>
                  <wp:effectExtent l="0" t="0" r="0" b="0"/>
                  <wp:docPr id="10" name="Picture 29" descr="Description: Description: call_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Description: Description: call_us"/>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00F10E14" w:rsidRPr="00EB32BB">
              <w:rPr>
                <w:rFonts w:cs="Arial"/>
                <w:b/>
                <w:color w:val="008576"/>
                <w:szCs w:val="20"/>
              </w:rPr>
              <w:t xml:space="preserve"> </w:t>
            </w:r>
            <w:r w:rsidR="004E0DBD">
              <w:rPr>
                <w:rFonts w:cs="Arial"/>
                <w:b/>
                <w:color w:val="008576"/>
                <w:szCs w:val="20"/>
              </w:rPr>
              <w:t>0117 933 2164</w:t>
            </w:r>
          </w:p>
        </w:tc>
      </w:tr>
      <w:tr w:rsidR="005B0B30" w:rsidRPr="00EB32BB" w14:paraId="4C8946BA" w14:textId="77777777" w:rsidTr="004D430C">
        <w:trPr>
          <w:trHeight w:val="540"/>
        </w:trPr>
        <w:tc>
          <w:tcPr>
            <w:tcW w:w="7939" w:type="dxa"/>
            <w:vMerge/>
            <w:tcBorders>
              <w:left w:val="single" w:sz="4" w:space="0" w:color="4A8958"/>
              <w:bottom w:val="single" w:sz="4" w:space="0" w:color="4A8958"/>
              <w:right w:val="single" w:sz="4" w:space="0" w:color="4A8958"/>
            </w:tcBorders>
            <w:shd w:val="clear" w:color="auto" w:fill="auto"/>
          </w:tcPr>
          <w:p w14:paraId="77AABDDB" w14:textId="77777777" w:rsidR="005B0B30" w:rsidRPr="00EB32BB" w:rsidRDefault="005B0B30" w:rsidP="004A3386">
            <w:pPr>
              <w:pStyle w:val="BodyText"/>
              <w:spacing w:line="240" w:lineRule="auto"/>
              <w:rPr>
                <w:rFonts w:cs="Arial"/>
                <w:szCs w:val="20"/>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6C4274D7" w14:textId="774C8ACE" w:rsidR="005B0B30" w:rsidRPr="00EB32BB" w:rsidRDefault="005B0B30" w:rsidP="005649CA">
            <w:pPr>
              <w:pStyle w:val="BodyText"/>
              <w:spacing w:before="60" w:after="60"/>
              <w:rPr>
                <w:rFonts w:cs="Arial"/>
                <w:b/>
                <w:noProof/>
                <w:color w:val="008576"/>
                <w:szCs w:val="20"/>
                <w:lang w:val="en-US" w:eastAsia="en-US"/>
              </w:rPr>
            </w:pPr>
          </w:p>
        </w:tc>
      </w:tr>
    </w:tbl>
    <w:p w14:paraId="496B39B1" w14:textId="77777777" w:rsidR="00435CF2" w:rsidRPr="00EB32BB" w:rsidRDefault="00435CF2">
      <w:pPr>
        <w:rPr>
          <w:rFonts w:cs="Arial"/>
        </w:rPr>
      </w:pPr>
    </w:p>
    <w:p w14:paraId="31911943" w14:textId="77777777" w:rsidR="00FA4B61" w:rsidRPr="00EB32BB" w:rsidRDefault="00FA4B61">
      <w:pPr>
        <w:rPr>
          <w:rFonts w:cs="Arial"/>
        </w:rPr>
      </w:pPr>
    </w:p>
    <w:p w14:paraId="2682F0A4" w14:textId="77777777" w:rsidR="00FA4B61" w:rsidRPr="00EB32BB" w:rsidRDefault="00FA4B61">
      <w:pPr>
        <w:rPr>
          <w:rFonts w:cs="Arial"/>
        </w:rPr>
      </w:pPr>
    </w:p>
    <w:p w14:paraId="08567A21" w14:textId="77777777" w:rsidR="00FA4B61" w:rsidRPr="00EB32BB" w:rsidRDefault="00FA4B61">
      <w:pPr>
        <w:rPr>
          <w:rFonts w:cs="Arial"/>
        </w:rPr>
      </w:pPr>
    </w:p>
    <w:p w14:paraId="78980074" w14:textId="77777777" w:rsidR="00FD0418" w:rsidRDefault="00FD0418">
      <w:pPr>
        <w:rPr>
          <w:rFonts w:cs="Arial"/>
        </w:rPr>
      </w:pPr>
    </w:p>
    <w:p w14:paraId="7A565261" w14:textId="77777777" w:rsidR="00A968AB" w:rsidRDefault="00A968AB">
      <w:pPr>
        <w:rPr>
          <w:rFonts w:cs="Arial"/>
        </w:rPr>
      </w:pPr>
    </w:p>
    <w:p w14:paraId="5CA35756" w14:textId="77777777" w:rsidR="0067455A" w:rsidRDefault="0067455A" w:rsidP="0037034E">
      <w:bookmarkStart w:id="0" w:name="_Toc188527263"/>
    </w:p>
    <w:p w14:paraId="015A6114" w14:textId="77777777" w:rsidR="00143041" w:rsidRPr="00EB32BB" w:rsidRDefault="004C6117" w:rsidP="00143041">
      <w:pPr>
        <w:pStyle w:val="Heading1"/>
      </w:pPr>
      <w:bookmarkStart w:id="1" w:name="_Toc139880661"/>
      <w:r>
        <w:lastRenderedPageBreak/>
        <w:t>Summary</w:t>
      </w:r>
      <w:bookmarkEnd w:id="0"/>
      <w:bookmarkEnd w:id="1"/>
    </w:p>
    <w:p w14:paraId="6A77D93E" w14:textId="77777777" w:rsidR="004C6117" w:rsidRDefault="004C6117" w:rsidP="002B210C">
      <w:pPr>
        <w:pStyle w:val="Heading2"/>
        <w:rPr>
          <w:i/>
          <w:iCs/>
        </w:rPr>
      </w:pPr>
      <w:r w:rsidRPr="004C6117">
        <w:t>What</w:t>
      </w:r>
    </w:p>
    <w:p w14:paraId="36C4C44E" w14:textId="1DAE2182" w:rsidR="004C6117" w:rsidRDefault="007F1B96" w:rsidP="004C6117">
      <w:r>
        <w:t xml:space="preserve">Annex 1 Standard </w:t>
      </w:r>
      <w:r w:rsidR="00C710D6">
        <w:t>EREC P2</w:t>
      </w:r>
      <w:r w:rsidR="00032FA3">
        <w:t xml:space="preserve"> (</w:t>
      </w:r>
      <w:r w:rsidR="00032FA3" w:rsidRPr="00032FA3">
        <w:rPr>
          <w:i/>
          <w:iCs/>
        </w:rPr>
        <w:t>Security of Supply</w:t>
      </w:r>
      <w:r w:rsidR="00032FA3">
        <w:t>)</w:t>
      </w:r>
      <w:r w:rsidR="00C710D6">
        <w:t xml:space="preserve"> </w:t>
      </w:r>
      <w:r w:rsidR="000835BE">
        <w:t xml:space="preserve">sets </w:t>
      </w:r>
      <w:r w:rsidR="008077CE">
        <w:t xml:space="preserve">out </w:t>
      </w:r>
      <w:r w:rsidR="000835BE">
        <w:t>engineering</w:t>
      </w:r>
      <w:r w:rsidR="004E2D87">
        <w:t xml:space="preserve"> requirements to </w:t>
      </w:r>
      <w:r w:rsidR="00103BA2">
        <w:t xml:space="preserve">limit the socioeconomic disruption that would </w:t>
      </w:r>
      <w:r w:rsidR="0055586A">
        <w:t xml:space="preserve">result from </w:t>
      </w:r>
      <w:r w:rsidR="00E37B89">
        <w:t xml:space="preserve">reasonably foreseeable </w:t>
      </w:r>
      <w:r w:rsidR="004C1DCD">
        <w:t xml:space="preserve">distribution </w:t>
      </w:r>
      <w:r w:rsidR="002A5B4C">
        <w:t>system outages.</w:t>
      </w:r>
      <w:r w:rsidR="00563091">
        <w:t xml:space="preserve"> Although intended </w:t>
      </w:r>
      <w:r w:rsidR="00F415F9">
        <w:t xml:space="preserve">to benefit </w:t>
      </w:r>
      <w:r w:rsidR="00463916">
        <w:t>final demand customers (</w:t>
      </w:r>
      <w:r w:rsidR="00F92BA0">
        <w:t xml:space="preserve">i.e., </w:t>
      </w:r>
      <w:r w:rsidR="00F415F9">
        <w:t>electricity consumers</w:t>
      </w:r>
      <w:r w:rsidR="00463916">
        <w:t>)</w:t>
      </w:r>
      <w:r w:rsidR="00F415F9">
        <w:t>, the current</w:t>
      </w:r>
      <w:r w:rsidR="0034300A">
        <w:t xml:space="preserve"> version</w:t>
      </w:r>
      <w:r w:rsidR="00F415F9">
        <w:t xml:space="preserve"> (EREC P2</w:t>
      </w:r>
      <w:r w:rsidR="007E25AD">
        <w:t xml:space="preserve"> Issue </w:t>
      </w:r>
      <w:r w:rsidR="00F415F9">
        <w:t xml:space="preserve">8) extends the same security of supply to </w:t>
      </w:r>
      <w:r w:rsidR="000F3700">
        <w:t>electricity imported by Electricity Storage customers.</w:t>
      </w:r>
    </w:p>
    <w:p w14:paraId="35ABBF13" w14:textId="77777777" w:rsidR="004C6117" w:rsidRDefault="004C6117" w:rsidP="002B210C">
      <w:pPr>
        <w:pStyle w:val="Heading2"/>
        <w:rPr>
          <w:i/>
          <w:iCs/>
        </w:rPr>
      </w:pPr>
      <w:r w:rsidRPr="004C6117">
        <w:t>Why</w:t>
      </w:r>
    </w:p>
    <w:p w14:paraId="0A61C2AC" w14:textId="13FE9391" w:rsidR="00CA4896" w:rsidRDefault="00CA4896" w:rsidP="00CA4896">
      <w:pPr>
        <w:rPr>
          <w:b/>
          <w:bCs/>
        </w:rPr>
      </w:pPr>
      <w:r w:rsidRPr="00CA4896">
        <w:t xml:space="preserve">Applying </w:t>
      </w:r>
      <w:r w:rsidR="0034300A">
        <w:t xml:space="preserve">EREC </w:t>
      </w:r>
      <w:r w:rsidRPr="00CA4896">
        <w:t xml:space="preserve">P2 to </w:t>
      </w:r>
      <w:r w:rsidR="00BD4E23">
        <w:t xml:space="preserve">the import of </w:t>
      </w:r>
      <w:r w:rsidRPr="00CA4896">
        <w:t xml:space="preserve">fungible customers such as </w:t>
      </w:r>
      <w:r w:rsidR="00DD31C4">
        <w:t>Electricity Storage</w:t>
      </w:r>
      <w:r w:rsidR="001C18C6" w:rsidRPr="001C18C6">
        <w:t xml:space="preserve"> </w:t>
      </w:r>
      <w:r w:rsidR="001C18C6">
        <w:t xml:space="preserve">can result in a requirement to reinforce the system to provide enhanced security of supply which may </w:t>
      </w:r>
      <w:r w:rsidR="002538CA">
        <w:t>be</w:t>
      </w:r>
      <w:r w:rsidR="00735C26">
        <w:t xml:space="preserve"> uneconomic</w:t>
      </w:r>
      <w:r w:rsidR="00660FE4">
        <w:t xml:space="preserve">. </w:t>
      </w:r>
      <w:r w:rsidR="00380AF9">
        <w:t>This is in part because the security standards in EREC P2 were justified for the Value of Lost Load (i.e., the socio</w:t>
      </w:r>
      <w:r w:rsidR="00842F0F">
        <w:t>economic detriment caused by power cuts</w:t>
      </w:r>
      <w:r w:rsidR="00380AF9">
        <w:t xml:space="preserve">) for final demand customers. </w:t>
      </w:r>
      <w:r w:rsidR="0088198B">
        <w:t xml:space="preserve">The </w:t>
      </w:r>
      <w:r w:rsidR="00842F0F">
        <w:t xml:space="preserve">Value of Lost Load </w:t>
      </w:r>
      <w:r w:rsidR="00C84DE6">
        <w:t>for Electricity Storage customers has been estimated</w:t>
      </w:r>
      <w:r w:rsidR="00567A68">
        <w:t xml:space="preserve"> to be two orders of magnitude lower than that of final demand customers, so securing </w:t>
      </w:r>
      <w:r w:rsidR="00435F10">
        <w:t>both to the same standard is unlikely to be economical.</w:t>
      </w:r>
      <w:r w:rsidR="00C84DE6">
        <w:t xml:space="preserve"> </w:t>
      </w:r>
      <w:r w:rsidR="00567A68">
        <w:t xml:space="preserve">This issue is most profound when Electricity Storage customers come to dominate groups. </w:t>
      </w:r>
      <w:r w:rsidR="005721F6">
        <w:t>The final demand customers in groups</w:t>
      </w:r>
      <w:r w:rsidR="005B2BA8">
        <w:t xml:space="preserve"> </w:t>
      </w:r>
      <w:r w:rsidR="00142795">
        <w:t>with</w:t>
      </w:r>
      <w:r w:rsidR="00470824">
        <w:t>out</w:t>
      </w:r>
      <w:r w:rsidR="00142795">
        <w:t xml:space="preserve"> significant Electricity Storage capacity receive </w:t>
      </w:r>
      <w:r w:rsidR="00470824">
        <w:t>lower</w:t>
      </w:r>
      <w:r w:rsidR="00142795">
        <w:t xml:space="preserve"> security of supply than those in otherwise similar groups </w:t>
      </w:r>
      <w:r w:rsidR="00470824">
        <w:t>with</w:t>
      </w:r>
      <w:r w:rsidR="00D317E5">
        <w:t xml:space="preserve"> Electricity Storage; this is a source of inconsistency.</w:t>
      </w:r>
      <w:r w:rsidR="00142795">
        <w:t xml:space="preserve"> </w:t>
      </w:r>
      <w:r w:rsidR="00272F4D" w:rsidRPr="00142795">
        <w:t>The</w:t>
      </w:r>
      <w:r w:rsidR="00272F4D">
        <w:t xml:space="preserve"> unprecedented </w:t>
      </w:r>
      <w:r w:rsidR="00D363C3">
        <w:t xml:space="preserve">growth in </w:t>
      </w:r>
      <w:r w:rsidR="006242D6">
        <w:t>Electricity Storage projects</w:t>
      </w:r>
      <w:r w:rsidR="00F92BA0">
        <w:t>, and the application of EREC P2</w:t>
      </w:r>
      <w:r w:rsidR="00C92CE2">
        <w:t>,</w:t>
      </w:r>
      <w:r w:rsidR="006242D6">
        <w:t xml:space="preserve"> </w:t>
      </w:r>
      <w:r w:rsidR="00341CBE">
        <w:t xml:space="preserve">has triggered extensive reinforcement, </w:t>
      </w:r>
      <w:r w:rsidR="008462D6">
        <w:t xml:space="preserve">preventing </w:t>
      </w:r>
      <w:r w:rsidR="00463916">
        <w:t xml:space="preserve">the </w:t>
      </w:r>
      <w:r w:rsidR="008462D6">
        <w:t>timely and economic connection of</w:t>
      </w:r>
      <w:r w:rsidR="00994F27">
        <w:t xml:space="preserve"> subsequent</w:t>
      </w:r>
      <w:r w:rsidR="008462D6">
        <w:t xml:space="preserve"> </w:t>
      </w:r>
      <w:r w:rsidR="00463916">
        <w:t>final demand customers</w:t>
      </w:r>
      <w:r w:rsidR="00341CBE">
        <w:t xml:space="preserve">. This has the potential </w:t>
      </w:r>
      <w:r w:rsidR="00992B92">
        <w:t>to delay societal decarbonisation.</w:t>
      </w:r>
    </w:p>
    <w:p w14:paraId="11C5DCEA" w14:textId="3E4579E3" w:rsidR="004C6117" w:rsidRDefault="004C6117" w:rsidP="002B210C">
      <w:pPr>
        <w:pStyle w:val="Heading2"/>
        <w:rPr>
          <w:i/>
          <w:iCs/>
        </w:rPr>
      </w:pPr>
      <w:r w:rsidRPr="004C6117">
        <w:t>How</w:t>
      </w:r>
    </w:p>
    <w:p w14:paraId="5AA0DE3C" w14:textId="4EC80762" w:rsidR="002F5DE3" w:rsidRDefault="00623EB4" w:rsidP="0077328D">
      <w:r>
        <w:t>Redefine Group Demand</w:t>
      </w:r>
      <w:r w:rsidR="0024590B">
        <w:t xml:space="preserve"> in Annex 1 Standards EREC P2 and EREP 130 </w:t>
      </w:r>
      <w:r w:rsidR="002F5DE3">
        <w:t xml:space="preserve">to </w:t>
      </w:r>
      <w:r w:rsidR="008A381E">
        <w:t>not count</w:t>
      </w:r>
      <w:r w:rsidR="002F5DE3">
        <w:t xml:space="preserve"> the import </w:t>
      </w:r>
      <w:commentRangeStart w:id="2"/>
      <w:commentRangeStart w:id="3"/>
      <w:r w:rsidR="00741CE5">
        <w:t>behaviour</w:t>
      </w:r>
      <w:commentRangeEnd w:id="2"/>
      <w:r w:rsidR="008C13CB">
        <w:rPr>
          <w:rStyle w:val="CommentReference"/>
        </w:rPr>
        <w:commentReference w:id="2"/>
      </w:r>
      <w:commentRangeEnd w:id="3"/>
      <w:r w:rsidR="00F7524D">
        <w:rPr>
          <w:rStyle w:val="CommentReference"/>
        </w:rPr>
        <w:commentReference w:id="3"/>
      </w:r>
      <w:r w:rsidR="00741CE5">
        <w:t xml:space="preserve"> of premises whose </w:t>
      </w:r>
      <w:r w:rsidR="0077328D">
        <w:t>primary purpose is</w:t>
      </w:r>
      <w:r w:rsidR="0077328D" w:rsidRPr="00962A3E">
        <w:t xml:space="preserve"> wholly or mainly Electricity Storage</w:t>
      </w:r>
      <w:r w:rsidR="00106042">
        <w:t xml:space="preserve"> </w:t>
      </w:r>
      <w:r w:rsidR="008A381E">
        <w:t>towards</w:t>
      </w:r>
      <w:r w:rsidR="00106042">
        <w:t xml:space="preserve"> Group Demand</w:t>
      </w:r>
      <w:r w:rsidR="0077328D" w:rsidRPr="00962A3E">
        <w:t>. </w:t>
      </w:r>
    </w:p>
    <w:p w14:paraId="258EE1C4" w14:textId="5104738B" w:rsidR="003B7452" w:rsidRDefault="002442C3" w:rsidP="0077328D">
      <w:commentRangeStart w:id="4"/>
      <w:commentRangeStart w:id="5"/>
      <w:r>
        <w:t xml:space="preserve">A wider review </w:t>
      </w:r>
      <w:commentRangeEnd w:id="4"/>
      <w:r w:rsidR="00057467">
        <w:rPr>
          <w:rStyle w:val="CommentReference"/>
        </w:rPr>
        <w:commentReference w:id="4"/>
      </w:r>
      <w:commentRangeEnd w:id="5"/>
      <w:r w:rsidR="00F7524D">
        <w:rPr>
          <w:rStyle w:val="CommentReference"/>
        </w:rPr>
        <w:commentReference w:id="5"/>
      </w:r>
      <w:r>
        <w:t xml:space="preserve">of how access rights are defined and governed for different types of </w:t>
      </w:r>
      <w:r w:rsidR="00183D20">
        <w:t>customers</w:t>
      </w:r>
      <w:r>
        <w:t xml:space="preserve"> </w:t>
      </w:r>
      <w:r w:rsidR="009D0CC4">
        <w:t>might prove necessary.</w:t>
      </w:r>
      <w:ins w:id="6" w:author="Stephen Quinn" w:date="2023-07-27T10:53:00Z">
        <w:r w:rsidR="005F5165">
          <w:t xml:space="preserve"> This is detailed in </w:t>
        </w:r>
        <w:r w:rsidR="005F5165">
          <w:fldChar w:fldCharType="begin"/>
        </w:r>
        <w:r w:rsidR="005F5165">
          <w:instrText xml:space="preserve"> REF _Ref141261215 \h </w:instrText>
        </w:r>
      </w:ins>
      <w:r w:rsidR="005F5165">
        <w:fldChar w:fldCharType="separate"/>
      </w:r>
      <w:ins w:id="7" w:author="Stephen Quinn" w:date="2023-07-27T10:53:00Z">
        <w:r w:rsidR="005F5165">
          <w:t>Cross-Code Impacts</w:t>
        </w:r>
        <w:r w:rsidR="005F5165">
          <w:fldChar w:fldCharType="end"/>
        </w:r>
        <w:r w:rsidR="005F5165">
          <w:t>.</w:t>
        </w:r>
      </w:ins>
    </w:p>
    <w:p w14:paraId="5EFADD1B" w14:textId="434CD3E3" w:rsidR="00E6212D" w:rsidRPr="00EB32BB" w:rsidRDefault="00E6212D" w:rsidP="00E6212D">
      <w:pPr>
        <w:pStyle w:val="Heading1"/>
      </w:pPr>
      <w:bookmarkStart w:id="8" w:name="_Toc139880662"/>
      <w:r>
        <w:t>Governance</w:t>
      </w:r>
      <w:bookmarkEnd w:id="8"/>
    </w:p>
    <w:p w14:paraId="2512BC62" w14:textId="48BC152D" w:rsidR="00E6212D" w:rsidRPr="00EB32BB" w:rsidRDefault="00AC3705" w:rsidP="00E6212D">
      <w:r>
        <w:t>This proposal seeks to modify Annex 1 Standards, so will require approval from the Authority</w:t>
      </w:r>
      <w:r w:rsidR="00F13524">
        <w:t xml:space="preserve"> in due course</w:t>
      </w:r>
      <w:r>
        <w:t>.</w:t>
      </w:r>
      <w:r w:rsidR="002615E3">
        <w:t xml:space="preserve"> </w:t>
      </w:r>
    </w:p>
    <w:p w14:paraId="0F9462DB" w14:textId="77777777" w:rsidR="00E6212D" w:rsidRPr="00206CCF" w:rsidRDefault="00E6212D" w:rsidP="00206CCF">
      <w:pPr>
        <w:pStyle w:val="Heading2"/>
      </w:pPr>
      <w:r>
        <w:t>Requested Next Steps</w:t>
      </w:r>
    </w:p>
    <w:p w14:paraId="246DAE3B" w14:textId="3EA78099" w:rsidR="00E6212D" w:rsidRDefault="00E6212D" w:rsidP="00DE1588">
      <w:pPr>
        <w:pStyle w:val="BodyText3"/>
        <w:ind w:right="113"/>
        <w:rPr>
          <w:rFonts w:cs="Arial"/>
          <w:sz w:val="20"/>
          <w:szCs w:val="20"/>
        </w:rPr>
      </w:pPr>
      <w:r w:rsidRPr="00F20FAB">
        <w:rPr>
          <w:sz w:val="20"/>
          <w:szCs w:val="20"/>
        </w:rPr>
        <w:t>This modi</w:t>
      </w:r>
      <w:r w:rsidR="000D2D4A">
        <w:rPr>
          <w:sz w:val="20"/>
          <w:szCs w:val="20"/>
        </w:rPr>
        <w:t>fication should</w:t>
      </w:r>
      <w:r w:rsidR="00866A83">
        <w:rPr>
          <w:sz w:val="20"/>
          <w:szCs w:val="20"/>
        </w:rPr>
        <w:t xml:space="preserve"> </w:t>
      </w:r>
      <w:r w:rsidR="000D2D4A">
        <w:rPr>
          <w:rFonts w:cs="Arial"/>
          <w:sz w:val="20"/>
          <w:szCs w:val="20"/>
        </w:rPr>
        <w:t xml:space="preserve">be </w:t>
      </w:r>
      <w:r w:rsidRPr="00F20FAB">
        <w:rPr>
          <w:rFonts w:cs="Arial"/>
          <w:sz w:val="20"/>
          <w:szCs w:val="20"/>
        </w:rPr>
        <w:t>assessed by a Workgroup</w:t>
      </w:r>
      <w:r w:rsidR="00DE1588">
        <w:rPr>
          <w:rFonts w:cs="Arial"/>
          <w:sz w:val="20"/>
          <w:szCs w:val="20"/>
        </w:rPr>
        <w:t xml:space="preserve">. </w:t>
      </w:r>
      <w:r w:rsidR="00DD58BB" w:rsidRPr="00DD58BB">
        <w:rPr>
          <w:rFonts w:cs="Arial"/>
          <w:sz w:val="20"/>
          <w:szCs w:val="20"/>
        </w:rPr>
        <w:t>The defect is a pressing matter; the Proposer seeks the Panel’s support in prioritising it.</w:t>
      </w:r>
      <w:r w:rsidR="00EE38A7">
        <w:rPr>
          <w:rFonts w:cs="Arial"/>
          <w:sz w:val="20"/>
          <w:szCs w:val="20"/>
        </w:rPr>
        <w:t xml:space="preserve"> </w:t>
      </w:r>
    </w:p>
    <w:p w14:paraId="20AFB729" w14:textId="2F7F564B" w:rsidR="00EE38A7" w:rsidRDefault="00EE38A7" w:rsidP="00DE1588">
      <w:pPr>
        <w:pStyle w:val="BodyText3"/>
        <w:ind w:right="113"/>
        <w:rPr>
          <w:rFonts w:cs="Arial"/>
          <w:sz w:val="20"/>
          <w:szCs w:val="20"/>
        </w:rPr>
      </w:pPr>
      <w:r>
        <w:rPr>
          <w:rFonts w:cs="Arial"/>
          <w:sz w:val="20"/>
          <w:szCs w:val="20"/>
        </w:rPr>
        <w:t xml:space="preserve">Since </w:t>
      </w:r>
      <w:r w:rsidR="00D27668">
        <w:rPr>
          <w:rFonts w:cs="Arial"/>
          <w:sz w:val="20"/>
          <w:szCs w:val="20"/>
        </w:rPr>
        <w:t xml:space="preserve">the defect affects two Annex 1 Standards (EREC P2 and EREP 130), the Proposer seeks the Panel’s guidance </w:t>
      </w:r>
      <w:r w:rsidR="005E79E3">
        <w:rPr>
          <w:rFonts w:cs="Arial"/>
          <w:sz w:val="20"/>
          <w:szCs w:val="20"/>
        </w:rPr>
        <w:t xml:space="preserve">on whether </w:t>
      </w:r>
      <w:r w:rsidR="00A833A3">
        <w:rPr>
          <w:rFonts w:cs="Arial"/>
          <w:sz w:val="20"/>
          <w:szCs w:val="20"/>
        </w:rPr>
        <w:t>it should be treated as:</w:t>
      </w:r>
    </w:p>
    <w:p w14:paraId="79B3ACB3" w14:textId="58D6C69D" w:rsidR="00A833A3" w:rsidRDefault="00A833A3" w:rsidP="00A833A3">
      <w:pPr>
        <w:pStyle w:val="BodyText3"/>
        <w:numPr>
          <w:ilvl w:val="0"/>
          <w:numId w:val="30"/>
        </w:numPr>
        <w:ind w:right="113"/>
        <w:rPr>
          <w:rFonts w:cs="Arial"/>
          <w:sz w:val="20"/>
          <w:szCs w:val="20"/>
        </w:rPr>
      </w:pPr>
      <w:commentRangeStart w:id="9"/>
      <w:commentRangeStart w:id="10"/>
      <w:r>
        <w:rPr>
          <w:rFonts w:cs="Arial"/>
          <w:sz w:val="20"/>
          <w:szCs w:val="20"/>
        </w:rPr>
        <w:t xml:space="preserve">A single Modification </w:t>
      </w:r>
      <w:commentRangeEnd w:id="9"/>
      <w:r w:rsidR="005B69C3">
        <w:rPr>
          <w:rStyle w:val="CommentReference"/>
        </w:rPr>
        <w:commentReference w:id="9"/>
      </w:r>
      <w:commentRangeEnd w:id="10"/>
      <w:r w:rsidR="00F7524D">
        <w:rPr>
          <w:rStyle w:val="CommentReference"/>
        </w:rPr>
        <w:commentReference w:id="10"/>
      </w:r>
      <w:r>
        <w:rPr>
          <w:rFonts w:cs="Arial"/>
          <w:sz w:val="20"/>
          <w:szCs w:val="20"/>
        </w:rPr>
        <w:t>affecting both Annex 1 Standards; or</w:t>
      </w:r>
    </w:p>
    <w:p w14:paraId="6888D824" w14:textId="068D770A" w:rsidR="00A833A3" w:rsidRPr="00F20FAB" w:rsidRDefault="00A833A3" w:rsidP="00A833A3">
      <w:pPr>
        <w:pStyle w:val="BodyText3"/>
        <w:numPr>
          <w:ilvl w:val="0"/>
          <w:numId w:val="30"/>
        </w:numPr>
        <w:ind w:right="113"/>
        <w:rPr>
          <w:rFonts w:cs="Arial"/>
          <w:sz w:val="20"/>
          <w:szCs w:val="20"/>
        </w:rPr>
      </w:pPr>
      <w:r>
        <w:rPr>
          <w:rFonts w:cs="Arial"/>
          <w:sz w:val="20"/>
          <w:szCs w:val="20"/>
        </w:rPr>
        <w:t>Two Modifications</w:t>
      </w:r>
      <w:r w:rsidR="00527D0D">
        <w:rPr>
          <w:rFonts w:cs="Arial"/>
          <w:sz w:val="20"/>
          <w:szCs w:val="20"/>
        </w:rPr>
        <w:t xml:space="preserve">, one for each Annex 1 Standard. If this </w:t>
      </w:r>
      <w:r w:rsidR="00496E1F">
        <w:rPr>
          <w:rFonts w:cs="Arial"/>
          <w:sz w:val="20"/>
          <w:szCs w:val="20"/>
        </w:rPr>
        <w:t>option is chosen, it will be necessary to ensure that both modifications stand or fall together</w:t>
      </w:r>
      <w:r w:rsidR="00824B05">
        <w:rPr>
          <w:rFonts w:cs="Arial"/>
          <w:sz w:val="20"/>
          <w:szCs w:val="20"/>
        </w:rPr>
        <w:t xml:space="preserve"> to prevent inconsistency.</w:t>
      </w:r>
    </w:p>
    <w:p w14:paraId="255645CB" w14:textId="77777777" w:rsidR="004C6117" w:rsidRPr="00EB32BB" w:rsidRDefault="004C6117" w:rsidP="004C6117">
      <w:pPr>
        <w:pStyle w:val="Heading1"/>
      </w:pPr>
      <w:bookmarkStart w:id="11" w:name="_Toc139880663"/>
      <w:r w:rsidRPr="00EB32BB">
        <w:lastRenderedPageBreak/>
        <w:t>Why Change?</w:t>
      </w:r>
      <w:bookmarkEnd w:id="11"/>
    </w:p>
    <w:p w14:paraId="74658102" w14:textId="18E9C55B" w:rsidR="00F23492" w:rsidRDefault="00AF44C4" w:rsidP="00AF44C4">
      <w:bookmarkStart w:id="12" w:name="_Toc139880664"/>
      <w:r w:rsidRPr="00CA4896">
        <w:t xml:space="preserve">Applying P2 to </w:t>
      </w:r>
      <w:r>
        <w:t xml:space="preserve">the import of </w:t>
      </w:r>
      <w:r w:rsidRPr="00CA4896">
        <w:t xml:space="preserve">fungible customers such as </w:t>
      </w:r>
      <w:r>
        <w:t>Electricity Storage</w:t>
      </w:r>
      <w:r w:rsidRPr="001C18C6">
        <w:t xml:space="preserve"> </w:t>
      </w:r>
      <w:r>
        <w:t xml:space="preserve">can result in a requirement to reinforce the system to provide enhanced security of supply which may be uneconomic. </w:t>
      </w:r>
      <w:r w:rsidR="00087D0E" w:rsidRPr="00087D0E">
        <w:t xml:space="preserve">Storage, like generation, is broadly fungible, </w:t>
      </w:r>
      <w:r w:rsidR="00672074" w:rsidRPr="00087D0E">
        <w:t>i.e.,</w:t>
      </w:r>
      <w:r w:rsidR="00087D0E" w:rsidRPr="00087D0E">
        <w:t xml:space="preserve"> so long as sufficient storage with appropriate technical parameters </w:t>
      </w:r>
      <w:r w:rsidR="00672074" w:rsidRPr="00087D0E">
        <w:t>can</w:t>
      </w:r>
      <w:r w:rsidR="00087D0E" w:rsidRPr="00087D0E">
        <w:t xml:space="preserve"> operate across the system, which particular units are operating is not critical. In contrast, final demand is broadly non-fungible: electricity used for societal or economic purposes such as heating, transport, or manufacturing would be hindered by insufficient access rights. Whilst some reduction or time-shifting of electricity consumption is possible for some final demand customers, this tends to be limited before it becomes unacceptable. </w:t>
      </w:r>
      <w:r w:rsidR="00672074" w:rsidRPr="00087D0E">
        <w:t>Locational shifting</w:t>
      </w:r>
      <w:r w:rsidR="00087D0E" w:rsidRPr="00087D0E">
        <w:t xml:space="preserve"> is rarely possible as it is with storage or generation.</w:t>
      </w:r>
    </w:p>
    <w:p w14:paraId="7C4A950C" w14:textId="476DAC65" w:rsidR="00F23492" w:rsidRDefault="00AF44C4" w:rsidP="00AF44C4">
      <w:r>
        <w:t>This is in part because the security standards in EREC P2 were justified for the</w:t>
      </w:r>
      <w:r w:rsidR="00B056A6">
        <w:t xml:space="preserve"> VoLL</w:t>
      </w:r>
      <w:r>
        <w:t xml:space="preserve"> </w:t>
      </w:r>
      <w:r w:rsidR="00B056A6">
        <w:t>(</w:t>
      </w:r>
      <w:r>
        <w:t>Value of Lost Load</w:t>
      </w:r>
      <w:r w:rsidR="00B056A6">
        <w:t xml:space="preserve">, </w:t>
      </w:r>
      <w:r>
        <w:t xml:space="preserve">i.e., the socioeconomic detriment caused by power cuts) for final demand customers. </w:t>
      </w:r>
      <w:r w:rsidR="005372C0" w:rsidRPr="005372C0">
        <w:t xml:space="preserve">Value of Lost Load (VoLL) is a good measure of the socio-economic value of access rights and supply security. The RIIO-ED2 VoLL for demand is £21,000/MWh. There is no official VoLL for generation, but it’s likely to equate to the wholesale value of lost export - usually &lt;£300/MWh (source: </w:t>
      </w:r>
      <w:hyperlink r:id="rId25" w:history="1">
        <w:r w:rsidR="002F3C33" w:rsidRPr="0042367A">
          <w:rPr>
            <w:rStyle w:val="Hyperlink"/>
          </w:rPr>
          <w:t>https://www.ofgem.gov.uk/energy-data-and-research/data-portal/wholesale-market-indicators</w:t>
        </w:r>
      </w:hyperlink>
      <w:r w:rsidR="005372C0" w:rsidRPr="005372C0">
        <w:t xml:space="preserve">). There is no official VoLL for storage, but it’s likely to equate to lost service revenue or a less optimal arbitrage value – this is unlikely to be more than a few hundred pounds per MWh. This </w:t>
      </w:r>
      <w:r w:rsidR="000D36D7">
        <w:t>suggests</w:t>
      </w:r>
      <w:r w:rsidR="005372C0" w:rsidRPr="005372C0">
        <w:t xml:space="preserve"> the VoLL for storage is two orders of magnitude lower than that of final demand, and like that of generation.</w:t>
      </w:r>
    </w:p>
    <w:p w14:paraId="7D9EB277" w14:textId="4C23093B" w:rsidR="00FD0507" w:rsidRDefault="00AF44C4" w:rsidP="00AF44C4">
      <w:r>
        <w:t>This issue is most profound when Electricity Storage customers come to dominate groups. The final demand customers in groups without significant Electricity Storage capacity receive lower security of supply than those in otherwise similar groups with Electricity Storage; this is a source of inconsistency.</w:t>
      </w:r>
      <w:r w:rsidR="005372C0">
        <w:t xml:space="preserve"> This </w:t>
      </w:r>
      <w:r w:rsidR="00DE6957">
        <w:t xml:space="preserve">is detailed in </w:t>
      </w:r>
      <w:r w:rsidR="00DE6957">
        <w:fldChar w:fldCharType="begin"/>
      </w:r>
      <w:r w:rsidR="00DE6957">
        <w:instrText xml:space="preserve"> REF _Ref141269925 \h </w:instrText>
      </w:r>
      <w:r w:rsidR="00DE6957">
        <w:fldChar w:fldCharType="separate"/>
      </w:r>
      <w:r w:rsidR="00DE6957">
        <w:t>Consumer Impacts</w:t>
      </w:r>
      <w:r w:rsidR="00DE6957">
        <w:fldChar w:fldCharType="end"/>
      </w:r>
      <w:r w:rsidR="00DE6957">
        <w:t>.</w:t>
      </w:r>
    </w:p>
    <w:p w14:paraId="688AF21C" w14:textId="7D6A99E4" w:rsidR="00AF44C4" w:rsidRDefault="00AF44C4" w:rsidP="00AF44C4">
      <w:pPr>
        <w:rPr>
          <w:b/>
          <w:bCs/>
        </w:rPr>
      </w:pPr>
      <w:r w:rsidRPr="00142795">
        <w:t>The</w:t>
      </w:r>
      <w:r>
        <w:t xml:space="preserve"> unprecedented growth in Electricity Storage projects, and the application of EREC P2, has triggered extensive reinforcement, preventing the timely and economic connection of subsequent final demand customers. This has the potential to delay societal decarbonisation.</w:t>
      </w:r>
    </w:p>
    <w:p w14:paraId="06A9864B" w14:textId="77777777" w:rsidR="00F20FAB" w:rsidRPr="00EB32BB" w:rsidRDefault="00F20FAB" w:rsidP="00AE5F4A">
      <w:pPr>
        <w:pStyle w:val="Heading1"/>
        <w:spacing w:before="120"/>
        <w:ind w:left="431" w:hanging="431"/>
      </w:pPr>
      <w:r>
        <w:t>Code Specific Matters</w:t>
      </w:r>
      <w:bookmarkEnd w:id="12"/>
    </w:p>
    <w:p w14:paraId="3481EF1A" w14:textId="15CD9670" w:rsidR="004D4973" w:rsidRPr="004D4973" w:rsidRDefault="003A6CCA" w:rsidP="004D4973">
      <w:pPr>
        <w:pStyle w:val="Heading2"/>
      </w:pPr>
      <w:r>
        <w:t>Technical Skillsets</w:t>
      </w:r>
    </w:p>
    <w:p w14:paraId="50233990" w14:textId="218B20BC" w:rsidR="003A6CCA" w:rsidRDefault="008D5E45" w:rsidP="00E63AC9">
      <w:pPr>
        <w:pStyle w:val="ListParagraph"/>
        <w:numPr>
          <w:ilvl w:val="0"/>
          <w:numId w:val="25"/>
        </w:numPr>
        <w:rPr>
          <w:szCs w:val="20"/>
        </w:rPr>
      </w:pPr>
      <w:r>
        <w:rPr>
          <w:szCs w:val="20"/>
        </w:rPr>
        <w:t>Security of Supply standards (e.g. members of previous EREC P2 modification Workgroups)</w:t>
      </w:r>
    </w:p>
    <w:p w14:paraId="7C1865A0" w14:textId="029E748A" w:rsidR="008D5E45" w:rsidRDefault="008D5E45" w:rsidP="00E63AC9">
      <w:pPr>
        <w:pStyle w:val="ListParagraph"/>
        <w:numPr>
          <w:ilvl w:val="0"/>
          <w:numId w:val="25"/>
        </w:numPr>
        <w:rPr>
          <w:szCs w:val="20"/>
        </w:rPr>
      </w:pPr>
      <w:r>
        <w:rPr>
          <w:szCs w:val="20"/>
        </w:rPr>
        <w:t>Electricity Storage connections and access rights (e.g. members of the ENA’s Battery Storage Connections subgroup)</w:t>
      </w:r>
    </w:p>
    <w:p w14:paraId="13E9719B" w14:textId="794FCCBB" w:rsidR="004D4973" w:rsidRPr="00E63AC9" w:rsidRDefault="004D4973" w:rsidP="00E63AC9">
      <w:pPr>
        <w:pStyle w:val="ListParagraph"/>
        <w:numPr>
          <w:ilvl w:val="0"/>
          <w:numId w:val="25"/>
        </w:numPr>
        <w:rPr>
          <w:szCs w:val="20"/>
        </w:rPr>
      </w:pPr>
      <w:commentRangeStart w:id="13"/>
      <w:commentRangeStart w:id="14"/>
      <w:del w:id="15" w:author="Stephen Quinn" w:date="2023-07-27T11:12:00Z">
        <w:r w:rsidDel="0029091E">
          <w:rPr>
            <w:szCs w:val="20"/>
          </w:rPr>
          <w:delText>People</w:delText>
        </w:r>
        <w:commentRangeEnd w:id="13"/>
        <w:r w:rsidR="00F36FA3" w:rsidDel="0029091E">
          <w:rPr>
            <w:rStyle w:val="CommentReference"/>
          </w:rPr>
          <w:commentReference w:id="13"/>
        </w:r>
        <w:commentRangeEnd w:id="14"/>
        <w:r w:rsidR="0029091E" w:rsidDel="0029091E">
          <w:rPr>
            <w:rStyle w:val="CommentReference"/>
          </w:rPr>
          <w:commentReference w:id="14"/>
        </w:r>
        <w:r w:rsidDel="0029091E">
          <w:rPr>
            <w:szCs w:val="20"/>
          </w:rPr>
          <w:delText xml:space="preserve"> </w:delText>
        </w:r>
      </w:del>
      <w:ins w:id="16" w:author="Stephen Quinn" w:date="2023-07-27T11:12:00Z">
        <w:r w:rsidR="0029091E">
          <w:rPr>
            <w:szCs w:val="20"/>
          </w:rPr>
          <w:t>Stakeholders</w:t>
        </w:r>
        <w:r w:rsidR="0029091E">
          <w:rPr>
            <w:szCs w:val="20"/>
          </w:rPr>
          <w:t xml:space="preserve"> </w:t>
        </w:r>
      </w:ins>
      <w:r>
        <w:rPr>
          <w:szCs w:val="20"/>
        </w:rPr>
        <w:t>with experience of designing, developing and operating electricity storage sites</w:t>
      </w:r>
    </w:p>
    <w:p w14:paraId="72642E17" w14:textId="77777777" w:rsidR="003A6CCA" w:rsidRDefault="003A6CCA" w:rsidP="002B210C">
      <w:pPr>
        <w:pStyle w:val="Heading2"/>
        <w:rPr>
          <w:i/>
          <w:iCs/>
        </w:rPr>
      </w:pPr>
      <w:r>
        <w:t>Reference Documents</w:t>
      </w:r>
    </w:p>
    <w:p w14:paraId="75A95587" w14:textId="4259915C" w:rsidR="003A6CCA" w:rsidRDefault="00A00AF0" w:rsidP="009416D6">
      <w:pPr>
        <w:pStyle w:val="ListParagraph"/>
        <w:numPr>
          <w:ilvl w:val="0"/>
          <w:numId w:val="21"/>
        </w:numPr>
        <w:rPr>
          <w:szCs w:val="20"/>
        </w:rPr>
      </w:pPr>
      <w:r w:rsidRPr="009416D6">
        <w:rPr>
          <w:szCs w:val="20"/>
        </w:rPr>
        <w:t>Current and past issues of ER</w:t>
      </w:r>
      <w:r w:rsidR="00FE1F59" w:rsidRPr="009416D6">
        <w:rPr>
          <w:szCs w:val="20"/>
        </w:rPr>
        <w:t>EC P2 and EREP 130</w:t>
      </w:r>
    </w:p>
    <w:p w14:paraId="515E349A" w14:textId="37CFEE0F" w:rsidR="009416D6" w:rsidRDefault="00907FC0" w:rsidP="009416D6">
      <w:pPr>
        <w:pStyle w:val="ListParagraph"/>
        <w:numPr>
          <w:ilvl w:val="0"/>
          <w:numId w:val="21"/>
        </w:numPr>
        <w:rPr>
          <w:szCs w:val="20"/>
        </w:rPr>
      </w:pPr>
      <w:r>
        <w:rPr>
          <w:szCs w:val="20"/>
        </w:rPr>
        <w:t>The Security and Quality of Supply Standard (SQSS)</w:t>
      </w:r>
    </w:p>
    <w:p w14:paraId="6B28E46B" w14:textId="22BD4F71" w:rsidR="00027805" w:rsidRPr="009416D6" w:rsidRDefault="00E1668E" w:rsidP="009416D6">
      <w:pPr>
        <w:pStyle w:val="ListParagraph"/>
        <w:numPr>
          <w:ilvl w:val="0"/>
          <w:numId w:val="21"/>
        </w:numPr>
        <w:rPr>
          <w:szCs w:val="20"/>
        </w:rPr>
      </w:pPr>
      <w:r>
        <w:rPr>
          <w:szCs w:val="20"/>
        </w:rPr>
        <w:t>Ofgem’s Access SCR Final Decision</w:t>
      </w:r>
      <w:r w:rsidR="00FE48D1">
        <w:rPr>
          <w:szCs w:val="20"/>
        </w:rPr>
        <w:t xml:space="preserve"> (May 2022)</w:t>
      </w:r>
    </w:p>
    <w:p w14:paraId="19D27142" w14:textId="77777777" w:rsidR="00985FC1" w:rsidRPr="00EB32BB" w:rsidRDefault="00AF5B6E" w:rsidP="00D06875">
      <w:pPr>
        <w:pStyle w:val="Heading1"/>
        <w:ind w:left="431" w:hanging="431"/>
      </w:pPr>
      <w:bookmarkStart w:id="17" w:name="_Toc139880665"/>
      <w:r w:rsidRPr="00EB32BB">
        <w:lastRenderedPageBreak/>
        <w:t>Solution</w:t>
      </w:r>
      <w:bookmarkEnd w:id="17"/>
    </w:p>
    <w:p w14:paraId="6F7E51E8" w14:textId="0964C2D6" w:rsidR="00096C4E" w:rsidRPr="00EB32BB" w:rsidRDefault="000374F4" w:rsidP="002B210C">
      <w:pPr>
        <w:pStyle w:val="Heading2"/>
        <w:rPr>
          <w:i/>
          <w:iCs/>
        </w:rPr>
      </w:pPr>
      <w:r>
        <w:t xml:space="preserve">Proposer’s </w:t>
      </w:r>
      <w:r w:rsidR="00436710">
        <w:t>Core Solution</w:t>
      </w:r>
    </w:p>
    <w:p w14:paraId="2E11062B" w14:textId="5C57F5B3" w:rsidR="00436710" w:rsidRDefault="00436710" w:rsidP="00436710">
      <w:r>
        <w:t xml:space="preserve">Redefine Group Demand in Annex 1 Standards EREC P2 and EREP 130 to </w:t>
      </w:r>
      <w:r w:rsidR="008A381E">
        <w:t>not count</w:t>
      </w:r>
      <w:r>
        <w:t xml:space="preserve"> the import behaviour of premises whose primary purpose is</w:t>
      </w:r>
      <w:r w:rsidRPr="00EA6D7E">
        <w:t xml:space="preserve"> wholly or mainly Electricity Storage</w:t>
      </w:r>
      <w:r w:rsidR="00EA6D7E">
        <w:t xml:space="preserve"> </w:t>
      </w:r>
      <w:r w:rsidR="008A381E">
        <w:t>towards</w:t>
      </w:r>
      <w:r w:rsidR="00EA6D7E">
        <w:t xml:space="preserve"> Group Demand</w:t>
      </w:r>
      <w:r w:rsidRPr="00EA6D7E">
        <w:t>. </w:t>
      </w:r>
    </w:p>
    <w:p w14:paraId="7E75E015" w14:textId="597E3A26" w:rsidR="001E4E7F" w:rsidRPr="007C038B" w:rsidRDefault="001E4E7F" w:rsidP="00436710">
      <w:r>
        <w:rPr>
          <w:i/>
          <w:iCs/>
        </w:rPr>
        <w:t xml:space="preserve">This proposed solution is subject to further development </w:t>
      </w:r>
      <w:r w:rsidR="007C038B">
        <w:rPr>
          <w:i/>
          <w:iCs/>
        </w:rPr>
        <w:t>by the Workgroup, where alternative solutions may also be presented.</w:t>
      </w:r>
    </w:p>
    <w:p w14:paraId="6F85B6BB" w14:textId="17914DF2" w:rsidR="00436710" w:rsidRDefault="00FB0E3E" w:rsidP="00436710">
      <w:pPr>
        <w:pStyle w:val="Heading2"/>
      </w:pPr>
      <w:r>
        <w:t>Further Implications</w:t>
      </w:r>
      <w:r w:rsidR="00D1717F">
        <w:t xml:space="preserve"> and Considerations</w:t>
      </w:r>
      <w:r w:rsidR="00304920">
        <w:t xml:space="preserve"> for the Workgroup</w:t>
      </w:r>
    </w:p>
    <w:p w14:paraId="03464191" w14:textId="7B064785" w:rsidR="00D1717F" w:rsidRDefault="00C524C2" w:rsidP="00D1717F">
      <w:pPr>
        <w:pStyle w:val="ListParagraph"/>
        <w:numPr>
          <w:ilvl w:val="0"/>
          <w:numId w:val="26"/>
        </w:numPr>
      </w:pPr>
      <w:r>
        <w:t>To</w:t>
      </w:r>
      <w:r w:rsidR="000564A7">
        <w:t xml:space="preserve"> avoid undue discrimination between different types of customers,</w:t>
      </w:r>
      <w:r w:rsidR="00304920">
        <w:t xml:space="preserve"> </w:t>
      </w:r>
      <w:r w:rsidR="009E450A">
        <w:t xml:space="preserve">it might be appropriate to extend the scope to include the import supplies to </w:t>
      </w:r>
      <w:r w:rsidR="00304920">
        <w:t>premises</w:t>
      </w:r>
      <w:r w:rsidR="006414BA">
        <w:t xml:space="preserve"> whose purpose is wholly or mainly </w:t>
      </w:r>
      <w:r w:rsidR="003A5A58">
        <w:t xml:space="preserve">Electricity </w:t>
      </w:r>
      <w:commentRangeStart w:id="18"/>
      <w:commentRangeStart w:id="19"/>
      <w:r w:rsidR="003A5A58">
        <w:rPr>
          <w:i/>
          <w:iCs/>
        </w:rPr>
        <w:t>Generation</w:t>
      </w:r>
      <w:commentRangeEnd w:id="18"/>
      <w:r w:rsidR="00756E15">
        <w:rPr>
          <w:rStyle w:val="CommentReference"/>
        </w:rPr>
        <w:commentReference w:id="18"/>
      </w:r>
      <w:commentRangeEnd w:id="19"/>
      <w:r w:rsidR="00F7524D">
        <w:rPr>
          <w:rStyle w:val="CommentReference"/>
        </w:rPr>
        <w:commentReference w:id="19"/>
      </w:r>
      <w:r w:rsidR="0045715D">
        <w:t>. This would ensure consistent treatment of</w:t>
      </w:r>
      <w:r w:rsidR="005924CC">
        <w:t>:</w:t>
      </w:r>
    </w:p>
    <w:p w14:paraId="71DC6BE2" w14:textId="3A66FA52" w:rsidR="0045715D" w:rsidRDefault="00F7524D" w:rsidP="00F7524D">
      <w:pPr>
        <w:pStyle w:val="ListParagraph"/>
        <w:numPr>
          <w:ilvl w:val="1"/>
          <w:numId w:val="26"/>
        </w:numPr>
      </w:pPr>
      <w:r>
        <w:t>Electricity Storage sites,</w:t>
      </w:r>
    </w:p>
    <w:p w14:paraId="745E1D0B" w14:textId="58F2BE11" w:rsidR="005924CC" w:rsidRDefault="002522BB" w:rsidP="005924CC">
      <w:pPr>
        <w:pStyle w:val="ListParagraph"/>
        <w:numPr>
          <w:ilvl w:val="1"/>
          <w:numId w:val="26"/>
        </w:numPr>
      </w:pPr>
      <w:r>
        <w:t>“Hybrid” sites that combine both Electricity Storage and Electricity Generation</w:t>
      </w:r>
      <w:r w:rsidR="00F7524D">
        <w:t>, and</w:t>
      </w:r>
    </w:p>
    <w:p w14:paraId="4A5AFBBE" w14:textId="62EA131C" w:rsidR="002522BB" w:rsidRDefault="00154B1F" w:rsidP="005924CC">
      <w:pPr>
        <w:pStyle w:val="ListParagraph"/>
        <w:numPr>
          <w:ilvl w:val="1"/>
          <w:numId w:val="26"/>
        </w:numPr>
      </w:pPr>
      <w:r>
        <w:t xml:space="preserve">Electricity Generation sites that </w:t>
      </w:r>
      <w:r w:rsidR="00035140">
        <w:t>have significant import capacity</w:t>
      </w:r>
      <w:r w:rsidR="00ED5EB9">
        <w:t xml:space="preserve"> </w:t>
      </w:r>
      <w:r w:rsidR="00FD7DC3">
        <w:t xml:space="preserve">necessary to </w:t>
      </w:r>
      <w:r w:rsidR="00ED5EB9">
        <w:t>their generating plant such as fuel processing</w:t>
      </w:r>
      <w:ins w:id="20" w:author="Stephen Quinn" w:date="2023-07-27T11:02:00Z">
        <w:r w:rsidR="00F7524D">
          <w:t>.</w:t>
        </w:r>
      </w:ins>
    </w:p>
    <w:p w14:paraId="6320CA16" w14:textId="75C95821" w:rsidR="009F6D9C" w:rsidRDefault="002675A8" w:rsidP="009F6D9C">
      <w:pPr>
        <w:pStyle w:val="ListParagraph"/>
        <w:numPr>
          <w:ilvl w:val="0"/>
          <w:numId w:val="26"/>
        </w:numPr>
      </w:pPr>
      <w:r>
        <w:t xml:space="preserve">It might </w:t>
      </w:r>
      <w:r w:rsidR="00D008F2">
        <w:t xml:space="preserve">remain necessary to secure that fraction of an Electricity Storage customer’s </w:t>
      </w:r>
      <w:r w:rsidR="00F540E9">
        <w:t xml:space="preserve">import as is necessary for safety, </w:t>
      </w:r>
      <w:r w:rsidR="00C524C2">
        <w:t>security,</w:t>
      </w:r>
      <w:r w:rsidR="00F540E9">
        <w:t xml:space="preserve"> and staff welfare. </w:t>
      </w:r>
      <w:r w:rsidR="002736B3">
        <w:t>This might be via alternative exit points (akin to station transformers) rather than via the main exit point (akin to unit transformers).</w:t>
      </w:r>
    </w:p>
    <w:p w14:paraId="0C9B603C" w14:textId="5C777171" w:rsidR="002736B3" w:rsidRDefault="002736B3" w:rsidP="009F6D9C">
      <w:pPr>
        <w:pStyle w:val="ListParagraph"/>
        <w:numPr>
          <w:ilvl w:val="0"/>
          <w:numId w:val="26"/>
        </w:numPr>
      </w:pPr>
      <w:r>
        <w:t xml:space="preserve">The examples and guidance in EREP 130 that refer to </w:t>
      </w:r>
      <w:r w:rsidR="00693A55">
        <w:t xml:space="preserve">Electricity Storage will need to be updated to align to the new definition of Group Demand. It might also be necessary to create new examples to explain </w:t>
      </w:r>
      <w:r w:rsidR="00A87ADA">
        <w:t>the new definition.</w:t>
      </w:r>
    </w:p>
    <w:p w14:paraId="7752C418" w14:textId="32CAD016" w:rsidR="00A87ADA" w:rsidRDefault="00C6141B" w:rsidP="009F6D9C">
      <w:pPr>
        <w:pStyle w:val="ListParagraph"/>
        <w:numPr>
          <w:ilvl w:val="0"/>
          <w:numId w:val="26"/>
        </w:numPr>
      </w:pPr>
      <w:r>
        <w:t xml:space="preserve">The </w:t>
      </w:r>
      <w:r w:rsidR="00BB48A6">
        <w:t xml:space="preserve">effect on customer access rights will need to be considered. The proposed solution </w:t>
      </w:r>
      <w:r w:rsidR="00D26FE9">
        <w:t>is not intended to</w:t>
      </w:r>
      <w:r w:rsidR="00BB48A6">
        <w:t xml:space="preserve"> </w:t>
      </w:r>
      <w:r w:rsidR="007B492F">
        <w:t xml:space="preserve">change individual customers’ access rights in connection </w:t>
      </w:r>
      <w:r w:rsidR="00D26FE9">
        <w:t>agreements but</w:t>
      </w:r>
      <w:r w:rsidR="00E54932">
        <w:t xml:space="preserve"> would affect aggregate security of supply to groups of customers.</w:t>
      </w:r>
      <w:r w:rsidR="00CA47E9">
        <w:t xml:space="preserve"> As </w:t>
      </w:r>
      <w:r w:rsidR="00B82BCD">
        <w:t>detailed</w:t>
      </w:r>
      <w:r w:rsidR="00CA47E9">
        <w:t xml:space="preserve"> in</w:t>
      </w:r>
      <w:r w:rsidR="00F42F53">
        <w:t xml:space="preserve"> </w:t>
      </w:r>
      <w:r w:rsidR="00F42F53">
        <w:fldChar w:fldCharType="begin"/>
      </w:r>
      <w:r w:rsidR="00F42F53">
        <w:instrText xml:space="preserve"> REF _Ref141261215 \h </w:instrText>
      </w:r>
      <w:r w:rsidR="00F42F53">
        <w:fldChar w:fldCharType="separate"/>
      </w:r>
      <w:r w:rsidR="00F42F53">
        <w:t>Cross-Code Impacts</w:t>
      </w:r>
      <w:r w:rsidR="00F42F53">
        <w:fldChar w:fldCharType="end"/>
      </w:r>
      <w:r w:rsidR="00CA47E9">
        <w:t xml:space="preserve">, this </w:t>
      </w:r>
      <w:r w:rsidR="00BA7C9C">
        <w:t>might necessitate a wider review of how access rights are defined and governed for different types of customers.</w:t>
      </w:r>
      <w:r w:rsidR="005B5AB9">
        <w:t xml:space="preserve"> </w:t>
      </w:r>
      <w:r w:rsidR="00F47E10">
        <w:t xml:space="preserve">The </w:t>
      </w:r>
      <w:r w:rsidR="000A18E9">
        <w:t>widespread use</w:t>
      </w:r>
      <w:r w:rsidR="00F47E10">
        <w:t xml:space="preserve"> of curtailment </w:t>
      </w:r>
      <w:r w:rsidR="006D6577">
        <w:t>makes the description of access rights more complex</w:t>
      </w:r>
      <w:r w:rsidR="000A18E9">
        <w:t xml:space="preserve"> than the traditional </w:t>
      </w:r>
      <w:r w:rsidR="00265C8F">
        <w:t>dichotomy between on and off</w:t>
      </w:r>
      <w:r w:rsidR="006D6577">
        <w:t xml:space="preserve">; it may also be necessary to </w:t>
      </w:r>
      <w:r w:rsidR="00F2583C">
        <w:t>define access rights for system intact conditions</w:t>
      </w:r>
      <w:r w:rsidR="00814024">
        <w:t>.</w:t>
      </w:r>
    </w:p>
    <w:p w14:paraId="2947834D" w14:textId="31C19CD6" w:rsidR="00F409B3" w:rsidRDefault="0089453E" w:rsidP="009F6D9C">
      <w:pPr>
        <w:pStyle w:val="ListParagraph"/>
        <w:numPr>
          <w:ilvl w:val="0"/>
          <w:numId w:val="26"/>
        </w:numPr>
      </w:pPr>
      <w:r>
        <w:t xml:space="preserve">The proposed solution would increase the distinction between EREC P2 compliance and </w:t>
      </w:r>
      <w:r w:rsidR="006A6C2F">
        <w:t xml:space="preserve">ensuring that network capability is not exceeded. </w:t>
      </w:r>
      <w:r w:rsidR="002D6C6E">
        <w:t xml:space="preserve">This is a </w:t>
      </w:r>
      <w:r w:rsidR="009D4355">
        <w:t>pre-existing</w:t>
      </w:r>
      <w:r w:rsidR="002D6C6E">
        <w:t xml:space="preserve"> </w:t>
      </w:r>
      <w:r w:rsidR="00E54C7F">
        <w:t>issue, best demonstrated by</w:t>
      </w:r>
      <w:r w:rsidR="00144EC9">
        <w:t xml:space="preserve"> </w:t>
      </w:r>
      <w:r w:rsidR="004D4BAC">
        <w:t xml:space="preserve">groups of less than 100MW </w:t>
      </w:r>
      <w:r w:rsidR="002925B1">
        <w:t xml:space="preserve">that are supplied by </w:t>
      </w:r>
      <w:r w:rsidR="002035AA">
        <w:t xml:space="preserve">three or more circuits in parallel: </w:t>
      </w:r>
      <w:r w:rsidR="00D94662">
        <w:t xml:space="preserve">while EREC P2 </w:t>
      </w:r>
      <w:r w:rsidR="004F483E">
        <w:t xml:space="preserve">places no obligation to secure demand for a second circuit outage, this does not </w:t>
      </w:r>
      <w:r w:rsidR="002F6032">
        <w:t>mitigate the risk that a circuit is overloaded during the second circuit outage of its partner circuits</w:t>
      </w:r>
      <w:r w:rsidR="002035AA">
        <w:t>.</w:t>
      </w:r>
      <w:r w:rsidR="00E54C7F">
        <w:t xml:space="preserve"> </w:t>
      </w:r>
      <w:r w:rsidR="006A6C2F">
        <w:t xml:space="preserve">It might be necessary to set a general </w:t>
      </w:r>
      <w:r w:rsidR="00241382">
        <w:t>requirement</w:t>
      </w:r>
      <w:r w:rsidR="006A6C2F">
        <w:t xml:space="preserve"> </w:t>
      </w:r>
      <w:r w:rsidR="002035AA">
        <w:t>to ensure that network capability</w:t>
      </w:r>
      <w:r w:rsidR="00241382">
        <w:t xml:space="preserve"> </w:t>
      </w:r>
      <w:r w:rsidR="006F31B5">
        <w:t xml:space="preserve">is not exceeded for reasonably foreseeable </w:t>
      </w:r>
      <w:r w:rsidR="00604B58">
        <w:t xml:space="preserve">combinations of </w:t>
      </w:r>
      <w:r w:rsidR="00C94B7F">
        <w:t>network loading and outages.</w:t>
      </w:r>
    </w:p>
    <w:p w14:paraId="16B101A2" w14:textId="3D640E72" w:rsidR="00E5675F" w:rsidRDefault="00E5675F" w:rsidP="009F6D9C">
      <w:pPr>
        <w:pStyle w:val="ListParagraph"/>
        <w:numPr>
          <w:ilvl w:val="0"/>
          <w:numId w:val="26"/>
        </w:numPr>
      </w:pPr>
      <w:r>
        <w:t xml:space="preserve">It might be necessary to clarify the treatment of </w:t>
      </w:r>
      <w:r w:rsidR="00D30419">
        <w:t>Demand Side Response (DSR)</w:t>
      </w:r>
      <w:r>
        <w:t xml:space="preserve"> to distinguish between:</w:t>
      </w:r>
    </w:p>
    <w:p w14:paraId="351E9B9A" w14:textId="2C7F53E1" w:rsidR="00E5675F" w:rsidRDefault="002D02FD" w:rsidP="00E5675F">
      <w:pPr>
        <w:pStyle w:val="ListParagraph"/>
        <w:numPr>
          <w:ilvl w:val="1"/>
          <w:numId w:val="26"/>
        </w:numPr>
      </w:pPr>
      <w:r>
        <w:t>Visibility and control of</w:t>
      </w:r>
      <w:r w:rsidR="00E5675F">
        <w:t xml:space="preserve"> </w:t>
      </w:r>
      <w:r w:rsidR="00C82DCB">
        <w:t>final demand; and</w:t>
      </w:r>
    </w:p>
    <w:p w14:paraId="50B79662" w14:textId="4ADFD254" w:rsidR="00436710" w:rsidRPr="00EB32BB" w:rsidRDefault="002D02FD" w:rsidP="00D06875">
      <w:pPr>
        <w:pStyle w:val="ListParagraph"/>
        <w:numPr>
          <w:ilvl w:val="1"/>
          <w:numId w:val="26"/>
        </w:numPr>
      </w:pPr>
      <w:r>
        <w:t>Visibility and control of</w:t>
      </w:r>
      <w:r w:rsidR="00C82DCB">
        <w:t xml:space="preserve"> </w:t>
      </w:r>
      <w:r w:rsidR="001B1A50">
        <w:t>import to</w:t>
      </w:r>
      <w:r w:rsidR="00C82DCB">
        <w:t xml:space="preserve"> Electricity Storage</w:t>
      </w:r>
      <w:r w:rsidR="001B1A50">
        <w:t>.</w:t>
      </w:r>
    </w:p>
    <w:p w14:paraId="4919E702" w14:textId="77777777" w:rsidR="006D75CD" w:rsidRPr="00EB32BB" w:rsidRDefault="006D75CD" w:rsidP="006D75CD">
      <w:pPr>
        <w:pStyle w:val="Heading01"/>
        <w:ind w:left="431" w:hanging="431"/>
        <w:rPr>
          <w:noProof/>
        </w:rPr>
      </w:pPr>
      <w:bookmarkStart w:id="21" w:name="_Toc139880666"/>
      <w:r w:rsidRPr="00EB32BB">
        <w:rPr>
          <w:noProof/>
        </w:rPr>
        <w:lastRenderedPageBreak/>
        <w:t xml:space="preserve">Impacts </w:t>
      </w:r>
      <w:r w:rsidR="00784486">
        <w:rPr>
          <w:noProof/>
        </w:rPr>
        <w:t>&amp; Other Considerations</w:t>
      </w:r>
      <w:bookmarkEnd w:id="21"/>
    </w:p>
    <w:p w14:paraId="658CBF9D" w14:textId="541B3E6F" w:rsidR="00631EBB" w:rsidRPr="00EB32BB" w:rsidRDefault="00631EBB" w:rsidP="002B210C">
      <w:pPr>
        <w:pStyle w:val="Heading2"/>
        <w:rPr>
          <w:i/>
          <w:iCs/>
        </w:rPr>
      </w:pPr>
      <w:r w:rsidRPr="00EB32BB">
        <w:t>Does this modification impact a Significant Code Review (SCR) or other significant industry change projects, if so, how?</w:t>
      </w:r>
    </w:p>
    <w:p w14:paraId="085FFE0B" w14:textId="2CBB1E86" w:rsidR="002D6272" w:rsidRDefault="000319C9" w:rsidP="002D6272">
      <w:r>
        <w:t xml:space="preserve">The Proposer is not aware of any current Significant Code Reviews that would be substantially impacted by this </w:t>
      </w:r>
      <w:r w:rsidR="003B4CE0">
        <w:t>m</w:t>
      </w:r>
      <w:r>
        <w:t>odification.</w:t>
      </w:r>
    </w:p>
    <w:p w14:paraId="05446D10" w14:textId="77777777" w:rsidR="00765357" w:rsidRPr="00EB32BB" w:rsidRDefault="00765357" w:rsidP="002B210C">
      <w:pPr>
        <w:pStyle w:val="Heading2"/>
        <w:rPr>
          <w:i/>
          <w:iCs/>
        </w:rPr>
      </w:pPr>
      <w:bookmarkStart w:id="22" w:name="_Ref141269925"/>
      <w:r>
        <w:t>Consumer Impacts</w:t>
      </w:r>
      <w:bookmarkEnd w:id="22"/>
    </w:p>
    <w:p w14:paraId="408D0F17" w14:textId="21307248" w:rsidR="008C6960" w:rsidRDefault="00957E68" w:rsidP="00765357">
      <w:r>
        <w:t xml:space="preserve">If this </w:t>
      </w:r>
      <w:r w:rsidR="003B4CE0">
        <w:t>m</w:t>
      </w:r>
      <w:r>
        <w:t>odification were accepted</w:t>
      </w:r>
      <w:r w:rsidR="008C6960">
        <w:t>:</w:t>
      </w:r>
    </w:p>
    <w:p w14:paraId="0CBD7860" w14:textId="6B08C150" w:rsidR="001B5BA6" w:rsidRDefault="00892C16" w:rsidP="008C6960">
      <w:pPr>
        <w:pStyle w:val="ListParagraph"/>
        <w:numPr>
          <w:ilvl w:val="0"/>
          <w:numId w:val="24"/>
        </w:numPr>
      </w:pPr>
      <w:r>
        <w:t>Customers</w:t>
      </w:r>
      <w:r w:rsidR="001B5BA6">
        <w:t xml:space="preserve"> applying for new or augmented connections would be less likely to be subject to long delays and/or expensive reinforcement </w:t>
      </w:r>
      <w:r>
        <w:t>because of</w:t>
      </w:r>
      <w:r w:rsidR="001B5BA6">
        <w:t xml:space="preserve"> capacity contracted to Electricity Storage sites.</w:t>
      </w:r>
    </w:p>
    <w:p w14:paraId="1B478B6D" w14:textId="7C832852" w:rsidR="0038053E" w:rsidRDefault="008C6960" w:rsidP="008C6960">
      <w:pPr>
        <w:pStyle w:val="ListParagraph"/>
        <w:numPr>
          <w:ilvl w:val="0"/>
          <w:numId w:val="24"/>
        </w:numPr>
      </w:pPr>
      <w:r>
        <w:t>T</w:t>
      </w:r>
      <w:r w:rsidR="00E00E5B">
        <w:t xml:space="preserve">he </w:t>
      </w:r>
      <w:r w:rsidR="00B62F8C">
        <w:t xml:space="preserve">EREC P2 </w:t>
      </w:r>
      <w:r w:rsidR="00C43642">
        <w:t xml:space="preserve">Class of Supply (and so level of </w:t>
      </w:r>
      <w:r w:rsidR="00E00E5B">
        <w:t>security</w:t>
      </w:r>
      <w:r w:rsidR="00C43642">
        <w:t>)</w:t>
      </w:r>
      <w:r w:rsidR="00E00E5B">
        <w:t xml:space="preserve"> afforded to </w:t>
      </w:r>
      <w:r w:rsidR="00C620C6">
        <w:t xml:space="preserve">groups of </w:t>
      </w:r>
      <w:r w:rsidR="00055167">
        <w:t>final demand customers</w:t>
      </w:r>
      <w:r w:rsidR="00E00E5B">
        <w:t xml:space="preserve"> would</w:t>
      </w:r>
      <w:r w:rsidR="006D2CEB">
        <w:t xml:space="preserve"> not depend upon whether there happens to be significant Electricity Storage connected </w:t>
      </w:r>
      <w:r w:rsidR="00C620C6">
        <w:t>within the group. As such</w:t>
      </w:r>
      <w:r w:rsidR="00DC02FD">
        <w:t xml:space="preserve"> it would be possible to apply </w:t>
      </w:r>
      <w:r w:rsidR="00857FE7">
        <w:t xml:space="preserve">the intended principles of EREC P2 more consistently </w:t>
      </w:r>
      <w:r w:rsidR="00D8768B">
        <w:t>between groups with and without Electricity Storage</w:t>
      </w:r>
      <w:r w:rsidR="00857FE7">
        <w:t>.</w:t>
      </w:r>
      <w:r w:rsidR="006E2CAB">
        <w:t xml:space="preserve"> Consider </w:t>
      </w:r>
      <w:r w:rsidR="0038053E">
        <w:t xml:space="preserve">the </w:t>
      </w:r>
      <w:r w:rsidR="006E2CAB">
        <w:t xml:space="preserve">example of </w:t>
      </w:r>
      <w:r w:rsidR="0038053E">
        <w:t>two similar substations:</w:t>
      </w:r>
    </w:p>
    <w:p w14:paraId="63F62E72" w14:textId="592DAEAC" w:rsidR="008606D7" w:rsidRDefault="0038053E" w:rsidP="0038053E">
      <w:pPr>
        <w:pStyle w:val="ListParagraph"/>
        <w:numPr>
          <w:ilvl w:val="1"/>
          <w:numId w:val="24"/>
        </w:numPr>
      </w:pPr>
      <w:r>
        <w:t>Substation A</w:t>
      </w:r>
      <w:r w:rsidR="008606D7">
        <w:t xml:space="preserve"> </w:t>
      </w:r>
      <w:r w:rsidR="00176B6E">
        <w:t xml:space="preserve">has a Group Demand of 210MW normally supplied by two 132kV circuits operating in parallel. </w:t>
      </w:r>
      <w:r w:rsidR="008606D7">
        <w:t>It is a Class D group, where the Second Circuit Outage requirements can be met by 70MW of Transfer Capacity that is available within 3 hours. The circuit(s) that provide the Transfer Capacity do not need to be capable of operating in parallel with either of the normal circuits.</w:t>
      </w:r>
    </w:p>
    <w:p w14:paraId="4D11934A" w14:textId="1454BB7D" w:rsidR="00E9024C" w:rsidRDefault="008606D7" w:rsidP="007D7492">
      <w:pPr>
        <w:pStyle w:val="ListParagraph"/>
        <w:numPr>
          <w:ilvl w:val="1"/>
          <w:numId w:val="24"/>
        </w:numPr>
      </w:pPr>
      <w:r>
        <w:t>Substation B</w:t>
      </w:r>
      <w:r w:rsidR="00176B6E">
        <w:t xml:space="preserve"> also</w:t>
      </w:r>
      <w:r w:rsidR="00F044A4">
        <w:t xml:space="preserve"> has</w:t>
      </w:r>
      <w:r>
        <w:t xml:space="preserve"> a Group Demand of 210MW</w:t>
      </w:r>
      <w:r w:rsidR="00176B6E">
        <w:t xml:space="preserve"> normally supplied by two 132kV circuits operating in parallel</w:t>
      </w:r>
      <w:r>
        <w:t>.</w:t>
      </w:r>
      <w:r w:rsidR="00BF45E8">
        <w:t xml:space="preserve"> </w:t>
      </w:r>
      <w:r w:rsidR="001302C2">
        <w:t>An application to connect</w:t>
      </w:r>
      <w:r w:rsidR="004B30FE">
        <w:t xml:space="preserve"> 100MW Electricity Storage </w:t>
      </w:r>
      <w:r w:rsidR="00273541">
        <w:t xml:space="preserve">customer to </w:t>
      </w:r>
      <w:r w:rsidR="001302C2">
        <w:t>substation B</w:t>
      </w:r>
      <w:r w:rsidR="00D8768B">
        <w:t xml:space="preserve"> increases Group Demand to more than 300MW. This makes it</w:t>
      </w:r>
      <w:r w:rsidR="00273541">
        <w:t xml:space="preserve"> </w:t>
      </w:r>
      <w:r w:rsidR="007348E3">
        <w:t xml:space="preserve">a Class E group, where the Second Circuit Outage </w:t>
      </w:r>
      <w:r w:rsidR="000233CF">
        <w:t>requires a third circuit that can</w:t>
      </w:r>
      <w:r w:rsidR="00E9024C">
        <w:t>:</w:t>
      </w:r>
    </w:p>
    <w:p w14:paraId="5472CD1D" w14:textId="7A88356C" w:rsidR="00E9024C" w:rsidRDefault="00E9024C" w:rsidP="00E9024C">
      <w:pPr>
        <w:pStyle w:val="ListParagraph"/>
        <w:numPr>
          <w:ilvl w:val="2"/>
          <w:numId w:val="24"/>
        </w:numPr>
      </w:pPr>
      <w:r>
        <w:t>O</w:t>
      </w:r>
      <w:r w:rsidR="007B7BE3">
        <w:t>perate in parallel with each of the normal circuits</w:t>
      </w:r>
      <w:r w:rsidR="00176B6E">
        <w:t xml:space="preserve"> to prevent </w:t>
      </w:r>
      <w:r w:rsidR="00515C4B">
        <w:t>interruption</w:t>
      </w:r>
      <w:r>
        <w:t>,</w:t>
      </w:r>
      <w:r w:rsidR="007B7BE3">
        <w:t xml:space="preserve"> and </w:t>
      </w:r>
    </w:p>
    <w:p w14:paraId="3EB5395E" w14:textId="02CC5FE6" w:rsidR="006E2CAB" w:rsidRDefault="00E9024C" w:rsidP="00E9024C">
      <w:pPr>
        <w:pStyle w:val="ListParagraph"/>
        <w:numPr>
          <w:ilvl w:val="2"/>
          <w:numId w:val="24"/>
        </w:numPr>
      </w:pPr>
      <w:r>
        <w:t>S</w:t>
      </w:r>
      <w:r w:rsidR="007B7BE3">
        <w:t xml:space="preserve">upply the greater of 2/3 Group Demand </w:t>
      </w:r>
      <w:r>
        <w:t>and the maintenance period demand</w:t>
      </w:r>
      <w:r w:rsidR="00D3462E">
        <w:t>.</w:t>
      </w:r>
    </w:p>
    <w:p w14:paraId="7AFFEC7A" w14:textId="73DACF7B" w:rsidR="00BE1DE0" w:rsidRDefault="00BE1DE0" w:rsidP="00BE1DE0">
      <w:pPr>
        <w:ind w:left="720"/>
      </w:pPr>
      <w:r>
        <w:t xml:space="preserve">While this </w:t>
      </w:r>
      <w:r w:rsidR="00DC06A4">
        <w:t>confe</w:t>
      </w:r>
      <w:r w:rsidR="00D8768B">
        <w:t xml:space="preserve">rs </w:t>
      </w:r>
      <w:r w:rsidR="00322239">
        <w:t>additional</w:t>
      </w:r>
      <w:r w:rsidR="00DC06A4">
        <w:t xml:space="preserve"> security of supply on </w:t>
      </w:r>
      <w:r w:rsidR="00D8768B">
        <w:t>the</w:t>
      </w:r>
      <w:r w:rsidR="00DC06A4">
        <w:t xml:space="preserve"> </w:t>
      </w:r>
      <w:r w:rsidR="00055167">
        <w:t>final demand customers</w:t>
      </w:r>
      <w:r w:rsidR="00D8768B">
        <w:t xml:space="preserve"> supplied by substation B</w:t>
      </w:r>
      <w:r w:rsidR="00F044A4">
        <w:t>,</w:t>
      </w:r>
      <w:r w:rsidR="008038D3">
        <w:t xml:space="preserve"> </w:t>
      </w:r>
      <w:r w:rsidR="00322239">
        <w:t>it comes at considerable expense</w:t>
      </w:r>
      <w:r w:rsidR="00055167">
        <w:t xml:space="preserve"> that</w:t>
      </w:r>
      <w:r w:rsidR="00EF5E9D">
        <w:t xml:space="preserve"> is likely to be at least partially DUoS-funded, but is of no benefit to other customers such as those supplied by substation A.</w:t>
      </w:r>
      <w:r w:rsidR="000259EA">
        <w:t xml:space="preserve"> </w:t>
      </w:r>
    </w:p>
    <w:p w14:paraId="440A767E" w14:textId="7F9D3807" w:rsidR="00272979" w:rsidRPr="00DE1825" w:rsidRDefault="00D84C46" w:rsidP="002B210C">
      <w:pPr>
        <w:pStyle w:val="Heading2"/>
      </w:pPr>
      <w:bookmarkStart w:id="23" w:name="_Ref141261215"/>
      <w:r>
        <w:t>Cross-Code Impacts</w:t>
      </w:r>
      <w:bookmarkEnd w:id="23"/>
      <w:r>
        <w:t xml:space="preserve"> </w:t>
      </w:r>
    </w:p>
    <w:p w14:paraId="607095A4" w14:textId="6316CDDB" w:rsidR="00272979" w:rsidRDefault="00D06FAC" w:rsidP="00272979">
      <w:r>
        <w:t xml:space="preserve">Ongoing </w:t>
      </w:r>
      <w:r w:rsidR="003730D8">
        <w:t xml:space="preserve">SQSS modification </w:t>
      </w:r>
      <w:r w:rsidR="00D94C65">
        <w:t xml:space="preserve">GSR029 </w:t>
      </w:r>
      <w:r w:rsidR="0020148F">
        <w:t>(</w:t>
      </w:r>
      <w:r w:rsidR="008F7AE8">
        <w:rPr>
          <w:i/>
          <w:iCs/>
        </w:rPr>
        <w:t>“</w:t>
      </w:r>
      <w:r w:rsidR="0020148F" w:rsidRPr="0020148F">
        <w:rPr>
          <w:i/>
          <w:iCs/>
        </w:rPr>
        <w:t>Review of Demand Connection Criteria to Align with EREC P2/7</w:t>
      </w:r>
      <w:r w:rsidR="0020148F">
        <w:rPr>
          <w:i/>
          <w:iCs/>
        </w:rPr>
        <w:t>”</w:t>
      </w:r>
      <w:r w:rsidR="00E23108">
        <w:t xml:space="preserve">) </w:t>
      </w:r>
      <w:r w:rsidR="009D16D5">
        <w:t xml:space="preserve">is intended to </w:t>
      </w:r>
      <w:r w:rsidR="00F70312">
        <w:t xml:space="preserve">amend the </w:t>
      </w:r>
      <w:r w:rsidR="00EF46B5">
        <w:t xml:space="preserve">demand data provided by Network Operators used by NGESO when undertaking a SQSS Section 3 compliance assessment to better align to that in EREC P2/7 (now P2/8). </w:t>
      </w:r>
      <w:r w:rsidR="00A02AA2">
        <w:t>is understood that the treatment of Electricity Storage is under consideration as part of this modification.</w:t>
      </w:r>
      <w:r w:rsidR="00FA6D6B">
        <w:t xml:space="preserve"> The Proposer recommends that </w:t>
      </w:r>
      <w:r w:rsidR="00056876">
        <w:t xml:space="preserve">this </w:t>
      </w:r>
      <w:r w:rsidR="003B4CE0">
        <w:t>m</w:t>
      </w:r>
      <w:r w:rsidR="00056876">
        <w:t xml:space="preserve">odification’s </w:t>
      </w:r>
      <w:r w:rsidR="007C0B1B">
        <w:t xml:space="preserve">Workgroup coordinates with GSR029’s Workgroup </w:t>
      </w:r>
      <w:r w:rsidR="008E48E4">
        <w:t xml:space="preserve">to promote cross-code consistency where </w:t>
      </w:r>
      <w:r w:rsidR="007579C2">
        <w:t>appropriate.</w:t>
      </w:r>
    </w:p>
    <w:p w14:paraId="26376E91" w14:textId="691FB1A3" w:rsidR="00CA0F8D" w:rsidRPr="00E23108" w:rsidRDefault="00CA0F8D" w:rsidP="00272979">
      <w:r w:rsidRPr="00CA0F8D">
        <w:t xml:space="preserve">The Minimum Scheme criteria in schedule 22 (CCCM) </w:t>
      </w:r>
      <w:r>
        <w:t xml:space="preserve">of DCUSA </w:t>
      </w:r>
      <w:r w:rsidRPr="00CA0F8D">
        <w:t xml:space="preserve">do not directly cover access rights, but the criterion </w:t>
      </w:r>
      <w:r w:rsidRPr="00CA0F8D">
        <w:rPr>
          <w:i/>
          <w:iCs/>
        </w:rPr>
        <w:t>“accepted industry standards, including the requirements of the Distribution Code”</w:t>
      </w:r>
      <w:r w:rsidRPr="00CA0F8D">
        <w:t xml:space="preserve"> is generally taken to confer such access rights on</w:t>
      </w:r>
      <w:r w:rsidR="000A34B8">
        <w:t xml:space="preserve"> </w:t>
      </w:r>
      <w:r w:rsidRPr="00CA0F8D">
        <w:t xml:space="preserve">customers </w:t>
      </w:r>
      <w:r w:rsidR="000E71BD">
        <w:t xml:space="preserve">importing electricity </w:t>
      </w:r>
      <w:r w:rsidRPr="00CA0F8D">
        <w:t xml:space="preserve">as can be expected if the upstream network meets EREC P2 (as a DCode Annex 1 </w:t>
      </w:r>
      <w:r>
        <w:t>Standard</w:t>
      </w:r>
      <w:r w:rsidRPr="00CA0F8D">
        <w:t xml:space="preserve">). In contrast, there is no </w:t>
      </w:r>
      <w:r w:rsidRPr="00CA0F8D">
        <w:rPr>
          <w:i/>
          <w:iCs/>
        </w:rPr>
        <w:t xml:space="preserve">“accepted industry standard” </w:t>
      </w:r>
      <w:r w:rsidRPr="00CA0F8D">
        <w:t xml:space="preserve">that directly or indirectly </w:t>
      </w:r>
      <w:r>
        <w:t xml:space="preserve">confers </w:t>
      </w:r>
      <w:r w:rsidRPr="00CA0F8D">
        <w:t>access rights on customers</w:t>
      </w:r>
      <w:r w:rsidR="00566E1B">
        <w:t xml:space="preserve"> exporting electricity</w:t>
      </w:r>
      <w:r w:rsidRPr="00CA0F8D">
        <w:t>.</w:t>
      </w:r>
      <w:r>
        <w:t xml:space="preserve"> </w:t>
      </w:r>
      <w:r w:rsidR="00431339">
        <w:t xml:space="preserve">This </w:t>
      </w:r>
      <w:r w:rsidR="00FA6D6B">
        <w:t xml:space="preserve">modification </w:t>
      </w:r>
      <w:commentRangeStart w:id="24"/>
      <w:commentRangeStart w:id="25"/>
      <w:r w:rsidR="00450220">
        <w:t xml:space="preserve">would </w:t>
      </w:r>
      <w:r w:rsidR="00523B3A">
        <w:t xml:space="preserve">clarify the </w:t>
      </w:r>
      <w:r w:rsidR="005C0846">
        <w:t>applicability</w:t>
      </w:r>
      <w:r w:rsidR="00523B3A">
        <w:t xml:space="preserve"> of EREC P2 to</w:t>
      </w:r>
      <w:r w:rsidR="00FA16F2">
        <w:t xml:space="preserve"> the</w:t>
      </w:r>
      <w:r w:rsidR="00450220">
        <w:t xml:space="preserve"> </w:t>
      </w:r>
      <w:r w:rsidR="002C6020">
        <w:t xml:space="preserve">import </w:t>
      </w:r>
      <w:r w:rsidR="00450220">
        <w:t xml:space="preserve">access rights of </w:t>
      </w:r>
      <w:r w:rsidR="004D2906">
        <w:t>Electricity Storage</w:t>
      </w:r>
      <w:commentRangeEnd w:id="24"/>
      <w:r w:rsidR="004866CF">
        <w:rPr>
          <w:rStyle w:val="CommentReference"/>
        </w:rPr>
        <w:commentReference w:id="24"/>
      </w:r>
      <w:commentRangeEnd w:id="25"/>
      <w:r w:rsidR="0014776E">
        <w:rPr>
          <w:rStyle w:val="CommentReference"/>
        </w:rPr>
        <w:commentReference w:id="25"/>
      </w:r>
      <w:r w:rsidR="004D2906">
        <w:t xml:space="preserve"> </w:t>
      </w:r>
      <w:r w:rsidR="004D2906">
        <w:lastRenderedPageBreak/>
        <w:t xml:space="preserve">and </w:t>
      </w:r>
      <w:r w:rsidR="00FA16F2">
        <w:t xml:space="preserve">potentially </w:t>
      </w:r>
      <w:r w:rsidR="002C6020">
        <w:t>Distribut</w:t>
      </w:r>
      <w:r w:rsidR="00FA16F2">
        <w:t>ed</w:t>
      </w:r>
      <w:r w:rsidR="002C6020">
        <w:t xml:space="preserve"> Generation customers</w:t>
      </w:r>
      <w:r w:rsidR="00FA16F2">
        <w:t>.</w:t>
      </w:r>
      <w:r w:rsidR="005C0846">
        <w:t xml:space="preserve"> </w:t>
      </w:r>
      <w:r w:rsidR="004E31C8">
        <w:t xml:space="preserve">It is </w:t>
      </w:r>
      <w:r w:rsidR="00A3386C">
        <w:t xml:space="preserve">not entirely clear whether access rights </w:t>
      </w:r>
      <w:r w:rsidR="006F01EB">
        <w:t>are</w:t>
      </w:r>
      <w:r w:rsidR="00A3386C">
        <w:t xml:space="preserve"> a DCode or DCUSA matter</w:t>
      </w:r>
      <w:r w:rsidR="0066761E">
        <w:t>,</w:t>
      </w:r>
      <w:r w:rsidR="0066761E" w:rsidRPr="0066761E">
        <w:t xml:space="preserve"> </w:t>
      </w:r>
      <w:r w:rsidR="0066761E">
        <w:t>however it is important that the access rights</w:t>
      </w:r>
      <w:r w:rsidR="003C23C9">
        <w:t>, security of supply</w:t>
      </w:r>
      <w:r w:rsidR="0066761E">
        <w:t xml:space="preserve"> and Minimum Scheme implications stated or implied by these two codes </w:t>
      </w:r>
      <w:r w:rsidR="003C23C9">
        <w:t>are</w:t>
      </w:r>
      <w:r w:rsidR="0066761E">
        <w:t xml:space="preserve"> harmonised</w:t>
      </w:r>
      <w:r w:rsidR="00A3386C">
        <w:t xml:space="preserve">. </w:t>
      </w:r>
      <w:r w:rsidR="00811768">
        <w:t xml:space="preserve">The Proposer recommends that </w:t>
      </w:r>
      <w:r w:rsidR="002A01A4">
        <w:t xml:space="preserve">this </w:t>
      </w:r>
      <w:r w:rsidR="003B4CE0">
        <w:t>m</w:t>
      </w:r>
      <w:r w:rsidR="002A01A4">
        <w:t xml:space="preserve">odification’s Workgroup considers </w:t>
      </w:r>
      <w:r w:rsidR="00FE7455">
        <w:t>this issue in more detail and</w:t>
      </w:r>
      <w:r w:rsidR="000841C0">
        <w:t xml:space="preserve">, if appropriate, raises a consequential </w:t>
      </w:r>
      <w:r w:rsidR="003C23C9">
        <w:t>m</w:t>
      </w:r>
      <w:r w:rsidR="000841C0">
        <w:t xml:space="preserve">odification proposal to </w:t>
      </w:r>
      <w:commentRangeStart w:id="26"/>
      <w:commentRangeStart w:id="27"/>
      <w:r w:rsidR="000841C0">
        <w:t>DCode</w:t>
      </w:r>
      <w:commentRangeEnd w:id="26"/>
      <w:r w:rsidR="009C3B07">
        <w:rPr>
          <w:rStyle w:val="CommentReference"/>
        </w:rPr>
        <w:commentReference w:id="26"/>
      </w:r>
      <w:commentRangeEnd w:id="27"/>
      <w:r w:rsidR="006E3798">
        <w:rPr>
          <w:rStyle w:val="CommentReference"/>
        </w:rPr>
        <w:commentReference w:id="27"/>
      </w:r>
      <w:r w:rsidR="000841C0">
        <w:t xml:space="preserve"> or DCUSA.</w:t>
      </w:r>
    </w:p>
    <w:p w14:paraId="5A29948F" w14:textId="77777777" w:rsidR="00263600" w:rsidRPr="00EB32BB" w:rsidRDefault="00263600" w:rsidP="00263600">
      <w:pPr>
        <w:pStyle w:val="Heading01"/>
      </w:pPr>
      <w:bookmarkStart w:id="28" w:name="_Toc139880667"/>
      <w:r w:rsidRPr="00EB32BB">
        <w:t>Relevant Objectives</w:t>
      </w:r>
      <w:bookmarkEnd w:id="28"/>
    </w:p>
    <w:tbl>
      <w:tblPr>
        <w:tblW w:w="0" w:type="auto"/>
        <w:tblBorders>
          <w:top w:val="single" w:sz="8" w:space="0" w:color="CCE0DA"/>
          <w:left w:val="single" w:sz="12" w:space="0" w:color="CCE0DA"/>
          <w:bottom w:val="single" w:sz="12" w:space="0" w:color="CCE0DA"/>
          <w:right w:val="single" w:sz="12" w:space="0" w:color="CCE0DA"/>
          <w:insideH w:val="single" w:sz="8" w:space="0" w:color="CCE0DA"/>
          <w:insideV w:val="single" w:sz="8" w:space="0" w:color="CCE0DA"/>
        </w:tblBorders>
        <w:tblCellMar>
          <w:left w:w="0" w:type="dxa"/>
          <w:right w:w="0" w:type="dxa"/>
        </w:tblCellMar>
        <w:tblLook w:val="01E0" w:firstRow="1" w:lastRow="1" w:firstColumn="1" w:lastColumn="1" w:noHBand="0" w:noVBand="0"/>
      </w:tblPr>
      <w:tblGrid>
        <w:gridCol w:w="4905"/>
        <w:gridCol w:w="1246"/>
        <w:gridCol w:w="3185"/>
      </w:tblGrid>
      <w:tr w:rsidR="006173F3" w:rsidRPr="00EB32BB" w14:paraId="79FD48EB" w14:textId="146E100B" w:rsidTr="00277252">
        <w:trPr>
          <w:trHeight w:hRule="exact" w:val="397"/>
        </w:trPr>
        <w:tc>
          <w:tcPr>
            <w:tcW w:w="0" w:type="auto"/>
            <w:gridSpan w:val="2"/>
            <w:tcBorders>
              <w:left w:val="single" w:sz="8" w:space="0" w:color="CCE0DA"/>
              <w:bottom w:val="single" w:sz="8" w:space="0" w:color="CCE0DA"/>
              <w:right w:val="single" w:sz="8" w:space="0" w:color="CCE0DA"/>
            </w:tcBorders>
            <w:shd w:val="clear" w:color="auto" w:fill="CCE0DA"/>
            <w:vAlign w:val="center"/>
          </w:tcPr>
          <w:p w14:paraId="083525F1" w14:textId="77777777" w:rsidR="006173F3" w:rsidRPr="00EB32BB" w:rsidRDefault="006173F3" w:rsidP="00C867BC">
            <w:pPr>
              <w:pStyle w:val="TableHeading"/>
              <w:rPr>
                <w:rFonts w:cs="Arial"/>
              </w:rPr>
            </w:pPr>
            <w:r w:rsidRPr="00EB32BB">
              <w:rPr>
                <w:rFonts w:cs="Arial"/>
              </w:rPr>
              <w:t>Impact of the modification on the Relevant Objectives:</w:t>
            </w:r>
          </w:p>
        </w:tc>
        <w:tc>
          <w:tcPr>
            <w:tcW w:w="0" w:type="auto"/>
            <w:tcBorders>
              <w:left w:val="single" w:sz="8" w:space="0" w:color="CCE0DA"/>
              <w:bottom w:val="single" w:sz="8" w:space="0" w:color="CCE0DA"/>
              <w:right w:val="single" w:sz="8" w:space="0" w:color="CCE0DA"/>
            </w:tcBorders>
            <w:shd w:val="clear" w:color="auto" w:fill="CCE0DA"/>
          </w:tcPr>
          <w:p w14:paraId="5D6A4040" w14:textId="77777777" w:rsidR="006173F3" w:rsidRPr="00EB32BB" w:rsidRDefault="006173F3" w:rsidP="00C867BC">
            <w:pPr>
              <w:pStyle w:val="TableHeading"/>
              <w:rPr>
                <w:rFonts w:cs="Arial"/>
              </w:rPr>
            </w:pPr>
          </w:p>
        </w:tc>
      </w:tr>
      <w:tr w:rsidR="006173F3" w:rsidRPr="00EB32BB" w14:paraId="02EC9023" w14:textId="5F00D09A" w:rsidTr="00277252">
        <w:trPr>
          <w:trHeight w:val="397"/>
        </w:trPr>
        <w:tc>
          <w:tcPr>
            <w:tcW w:w="0" w:type="auto"/>
            <w:tcBorders>
              <w:top w:val="single" w:sz="8" w:space="0" w:color="CCE0DA"/>
              <w:left w:val="single" w:sz="8" w:space="0" w:color="CCE0DA"/>
              <w:bottom w:val="single" w:sz="8" w:space="0" w:color="CCE0DA"/>
            </w:tcBorders>
          </w:tcPr>
          <w:p w14:paraId="04E34C52" w14:textId="77777777" w:rsidR="006173F3" w:rsidRPr="00FB5842" w:rsidRDefault="006173F3" w:rsidP="00BB2CD6">
            <w:pPr>
              <w:ind w:left="113" w:right="113"/>
              <w:rPr>
                <w:rFonts w:cs="Arial"/>
                <w:b/>
                <w:bCs/>
              </w:rPr>
            </w:pPr>
            <w:r w:rsidRPr="00FB5842">
              <w:rPr>
                <w:b/>
                <w:bCs/>
              </w:rPr>
              <w:t>Relevant Objective</w:t>
            </w:r>
          </w:p>
        </w:tc>
        <w:tc>
          <w:tcPr>
            <w:tcW w:w="0" w:type="auto"/>
            <w:tcBorders>
              <w:top w:val="single" w:sz="8" w:space="0" w:color="CCE0DA"/>
            </w:tcBorders>
          </w:tcPr>
          <w:p w14:paraId="1EF39D77" w14:textId="77777777" w:rsidR="006173F3" w:rsidRPr="00FB5842" w:rsidRDefault="006173F3" w:rsidP="00C867BC">
            <w:pPr>
              <w:ind w:left="113" w:right="113"/>
              <w:rPr>
                <w:b/>
                <w:bCs/>
              </w:rPr>
            </w:pPr>
            <w:r w:rsidRPr="00FB5842">
              <w:rPr>
                <w:b/>
                <w:bCs/>
              </w:rPr>
              <w:t>Identified impact</w:t>
            </w:r>
          </w:p>
        </w:tc>
        <w:tc>
          <w:tcPr>
            <w:tcW w:w="0" w:type="auto"/>
            <w:tcBorders>
              <w:top w:val="single" w:sz="8" w:space="0" w:color="CCE0DA"/>
            </w:tcBorders>
          </w:tcPr>
          <w:p w14:paraId="3D4F99A8" w14:textId="5FD8F663" w:rsidR="006173F3" w:rsidRPr="00FB5842" w:rsidRDefault="006173F3" w:rsidP="00C867BC">
            <w:pPr>
              <w:ind w:left="113" w:right="113"/>
              <w:rPr>
                <w:b/>
                <w:bCs/>
              </w:rPr>
            </w:pPr>
            <w:r>
              <w:rPr>
                <w:b/>
                <w:bCs/>
              </w:rPr>
              <w:t>Rationale</w:t>
            </w:r>
          </w:p>
        </w:tc>
      </w:tr>
      <w:tr w:rsidR="006173F3" w:rsidRPr="00EB32BB" w14:paraId="058DFEE2" w14:textId="068F43F5" w:rsidTr="00277252">
        <w:trPr>
          <w:trHeight w:val="397"/>
        </w:trPr>
        <w:tc>
          <w:tcPr>
            <w:tcW w:w="0" w:type="auto"/>
            <w:tcBorders>
              <w:left w:val="single" w:sz="8" w:space="0" w:color="CCE0DA"/>
              <w:bottom w:val="single" w:sz="8" w:space="0" w:color="CCE0DA"/>
            </w:tcBorders>
          </w:tcPr>
          <w:p w14:paraId="48624124" w14:textId="7ED06EFC" w:rsidR="006173F3" w:rsidRPr="00BB2CD6" w:rsidRDefault="006173F3" w:rsidP="00BB2CD6">
            <w:pPr>
              <w:spacing w:before="40"/>
              <w:ind w:left="140"/>
              <w:rPr>
                <w:rFonts w:eastAsia="Calibri" w:cs="Arial"/>
                <w:noProof/>
                <w:szCs w:val="20"/>
              </w:rPr>
            </w:pPr>
            <w:r w:rsidRPr="00BB2CD6">
              <w:rPr>
                <w:rFonts w:eastAsia="Calibri" w:cs="Arial"/>
                <w:noProof/>
                <w:szCs w:val="20"/>
              </w:rPr>
              <w:t>permit the development, maintenance, and operation of an efficient, co-ordinated, and economical system for the distribution of electricity; and</w:t>
            </w:r>
          </w:p>
        </w:tc>
        <w:tc>
          <w:tcPr>
            <w:tcW w:w="0" w:type="auto"/>
          </w:tcPr>
          <w:p w14:paraId="7C69E548" w14:textId="4DBC474C" w:rsidR="006173F3" w:rsidRPr="00EB32BB" w:rsidRDefault="006173F3" w:rsidP="00C867BC">
            <w:pPr>
              <w:spacing w:before="40"/>
              <w:ind w:left="113"/>
            </w:pPr>
            <w:r w:rsidRPr="00EB32BB">
              <w:t>Positive</w:t>
            </w:r>
          </w:p>
        </w:tc>
        <w:tc>
          <w:tcPr>
            <w:tcW w:w="0" w:type="auto"/>
          </w:tcPr>
          <w:p w14:paraId="121CC79E" w14:textId="77777777" w:rsidR="006173F3" w:rsidRDefault="00277252" w:rsidP="00C867BC">
            <w:pPr>
              <w:spacing w:before="40"/>
              <w:ind w:left="113"/>
            </w:pPr>
            <w:r>
              <w:t>The distribution system would be made more economical by avoiding inappropriate reinforcement.</w:t>
            </w:r>
          </w:p>
          <w:p w14:paraId="412ED410" w14:textId="5A313472" w:rsidR="00277252" w:rsidRPr="00EB32BB" w:rsidRDefault="002B6899" w:rsidP="00C867BC">
            <w:pPr>
              <w:spacing w:before="40"/>
              <w:ind w:left="113"/>
            </w:pPr>
            <w:r>
              <w:t xml:space="preserve">It would be made more coordinated by </w:t>
            </w:r>
            <w:r w:rsidR="00BB7E82">
              <w:t xml:space="preserve">better alignment with </w:t>
            </w:r>
            <w:commentRangeStart w:id="29"/>
            <w:commentRangeStart w:id="30"/>
            <w:r w:rsidR="00BB7E82">
              <w:t>SQSS</w:t>
            </w:r>
            <w:commentRangeEnd w:id="29"/>
            <w:r w:rsidR="00AA3C4C">
              <w:rPr>
                <w:rStyle w:val="CommentReference"/>
              </w:rPr>
              <w:commentReference w:id="29"/>
            </w:r>
            <w:commentRangeEnd w:id="30"/>
            <w:r w:rsidR="008F0221">
              <w:rPr>
                <w:rStyle w:val="CommentReference"/>
              </w:rPr>
              <w:commentReference w:id="30"/>
            </w:r>
            <w:r w:rsidR="00BB7E82">
              <w:t>.</w:t>
            </w:r>
          </w:p>
        </w:tc>
      </w:tr>
      <w:tr w:rsidR="006173F3" w:rsidRPr="00EB32BB" w14:paraId="52B691B5" w14:textId="118DCD4B" w:rsidTr="00277252">
        <w:trPr>
          <w:trHeight w:val="397"/>
        </w:trPr>
        <w:tc>
          <w:tcPr>
            <w:tcW w:w="0" w:type="auto"/>
            <w:tcBorders>
              <w:left w:val="single" w:sz="8" w:space="0" w:color="CCE0DA"/>
              <w:bottom w:val="single" w:sz="8" w:space="0" w:color="CCE0DA"/>
            </w:tcBorders>
          </w:tcPr>
          <w:p w14:paraId="3377E42B" w14:textId="4D2224AD" w:rsidR="006173F3" w:rsidRPr="00BB2CD6" w:rsidRDefault="006173F3" w:rsidP="00BB2CD6">
            <w:pPr>
              <w:spacing w:before="40"/>
              <w:ind w:left="140"/>
              <w:rPr>
                <w:rFonts w:eastAsia="Calibri" w:cs="Arial"/>
                <w:noProof/>
                <w:szCs w:val="20"/>
              </w:rPr>
            </w:pPr>
            <w:r w:rsidRPr="00BB2CD6">
              <w:rPr>
                <w:rFonts w:eastAsia="Calibri" w:cs="Arial"/>
                <w:noProof/>
                <w:szCs w:val="20"/>
              </w:rPr>
              <w:t>facilitate competition in the generation and supply of electricity; and</w:t>
            </w:r>
          </w:p>
        </w:tc>
        <w:tc>
          <w:tcPr>
            <w:tcW w:w="0" w:type="auto"/>
          </w:tcPr>
          <w:p w14:paraId="197904B7" w14:textId="3E683C38" w:rsidR="006173F3" w:rsidRPr="00EB32BB" w:rsidRDefault="006173F3" w:rsidP="00C867BC">
            <w:pPr>
              <w:spacing w:before="40"/>
              <w:ind w:left="113" w:right="113"/>
            </w:pPr>
            <w:r>
              <w:t>Neutral</w:t>
            </w:r>
            <w:r w:rsidR="00D33686">
              <w:t xml:space="preserve"> to Positive</w:t>
            </w:r>
          </w:p>
        </w:tc>
        <w:tc>
          <w:tcPr>
            <w:tcW w:w="0" w:type="auto"/>
          </w:tcPr>
          <w:p w14:paraId="080964A1" w14:textId="635D9F8B" w:rsidR="006173F3" w:rsidRDefault="00DA5B56" w:rsidP="00C867BC">
            <w:pPr>
              <w:spacing w:before="40"/>
              <w:ind w:left="113" w:right="113"/>
            </w:pPr>
            <w:r>
              <w:t xml:space="preserve">A more economical distribution system </w:t>
            </w:r>
            <w:r w:rsidR="006132B0">
              <w:t>is likely to lead to less onerous Minimum Schemes,</w:t>
            </w:r>
            <w:r>
              <w:t xml:space="preserve"> </w:t>
            </w:r>
            <w:r w:rsidR="006132B0">
              <w:t>so reducing barriers</w:t>
            </w:r>
            <w:r w:rsidR="00EE3DCB">
              <w:t xml:space="preserve"> to entry.</w:t>
            </w:r>
          </w:p>
        </w:tc>
      </w:tr>
      <w:tr w:rsidR="006173F3" w:rsidRPr="00EB32BB" w14:paraId="50197038" w14:textId="482A8680" w:rsidTr="00277252">
        <w:trPr>
          <w:trHeight w:val="397"/>
        </w:trPr>
        <w:tc>
          <w:tcPr>
            <w:tcW w:w="0" w:type="auto"/>
            <w:tcBorders>
              <w:left w:val="single" w:sz="8" w:space="0" w:color="CCE0DA"/>
              <w:bottom w:val="single" w:sz="8" w:space="0" w:color="CCE0DA"/>
            </w:tcBorders>
          </w:tcPr>
          <w:p w14:paraId="46B062E5" w14:textId="30884CF3" w:rsidR="006173F3" w:rsidRPr="00BB2CD6" w:rsidRDefault="006173F3" w:rsidP="00BB2CD6">
            <w:pPr>
              <w:spacing w:before="40"/>
              <w:ind w:left="140"/>
              <w:rPr>
                <w:rFonts w:eastAsia="Calibri" w:cs="Arial"/>
                <w:noProof/>
                <w:szCs w:val="20"/>
              </w:rPr>
            </w:pPr>
            <w:r w:rsidRPr="00BB2CD6">
              <w:rPr>
                <w:rFonts w:eastAsia="Calibri" w:cs="Arial"/>
                <w:noProof/>
                <w:szCs w:val="20"/>
              </w:rPr>
              <w:t>efficiently discharge the obligations imposed upon distribution licensees by the distribution licences and comply with the Regulation and any relevant legally binding decision of the European Commission and/or the Agency for the Co-operation of Energy Regulators; and</w:t>
            </w:r>
          </w:p>
        </w:tc>
        <w:tc>
          <w:tcPr>
            <w:tcW w:w="0" w:type="auto"/>
          </w:tcPr>
          <w:p w14:paraId="77CEB598" w14:textId="76240CB7" w:rsidR="006173F3" w:rsidRPr="00EB32BB" w:rsidRDefault="006173F3" w:rsidP="00C867BC">
            <w:pPr>
              <w:spacing w:before="40"/>
              <w:ind w:left="113" w:right="113"/>
            </w:pPr>
            <w:r>
              <w:t>Neutral</w:t>
            </w:r>
          </w:p>
        </w:tc>
        <w:tc>
          <w:tcPr>
            <w:tcW w:w="0" w:type="auto"/>
          </w:tcPr>
          <w:p w14:paraId="2276B884" w14:textId="287367AB" w:rsidR="006173F3" w:rsidRPr="00BA0B2E" w:rsidRDefault="00BA0B2E" w:rsidP="00C867BC">
            <w:pPr>
              <w:spacing w:before="40"/>
              <w:ind w:left="113" w:right="113"/>
            </w:pPr>
            <w:r>
              <w:t>No impact identified by the Proposer.</w:t>
            </w:r>
          </w:p>
        </w:tc>
      </w:tr>
      <w:tr w:rsidR="00BA0B2E" w:rsidRPr="00EB32BB" w14:paraId="2353214E" w14:textId="7E4CD92D" w:rsidTr="00277252">
        <w:trPr>
          <w:trHeight w:val="397"/>
        </w:trPr>
        <w:tc>
          <w:tcPr>
            <w:tcW w:w="0" w:type="auto"/>
            <w:tcBorders>
              <w:left w:val="single" w:sz="8" w:space="0" w:color="CCE0DA"/>
              <w:bottom w:val="single" w:sz="8" w:space="0" w:color="CCE0DA"/>
            </w:tcBorders>
          </w:tcPr>
          <w:p w14:paraId="4100B38E" w14:textId="2884AAEC" w:rsidR="00BA0B2E" w:rsidRPr="00BB2CD6" w:rsidRDefault="00BA0B2E" w:rsidP="00BA0B2E">
            <w:pPr>
              <w:spacing w:before="40"/>
              <w:ind w:left="140"/>
              <w:rPr>
                <w:rFonts w:eastAsia="Calibri" w:cs="Arial"/>
                <w:noProof/>
                <w:szCs w:val="20"/>
              </w:rPr>
            </w:pPr>
            <w:r w:rsidRPr="00BB2CD6">
              <w:rPr>
                <w:rFonts w:eastAsia="Calibri" w:cs="Arial"/>
                <w:noProof/>
                <w:szCs w:val="20"/>
              </w:rPr>
              <w:t>promote efficiency in the implementation and administration of the Distribution Code.</w:t>
            </w:r>
          </w:p>
        </w:tc>
        <w:tc>
          <w:tcPr>
            <w:tcW w:w="0" w:type="auto"/>
          </w:tcPr>
          <w:p w14:paraId="52F53084" w14:textId="1C71B4F9" w:rsidR="00BA0B2E" w:rsidRPr="00EB32BB" w:rsidRDefault="00BA0B2E" w:rsidP="00BA0B2E">
            <w:pPr>
              <w:spacing w:before="40"/>
              <w:ind w:left="113" w:right="113"/>
            </w:pPr>
            <w:r>
              <w:t>Neutral</w:t>
            </w:r>
          </w:p>
        </w:tc>
        <w:tc>
          <w:tcPr>
            <w:tcW w:w="0" w:type="auto"/>
          </w:tcPr>
          <w:p w14:paraId="6534926D" w14:textId="4DECCB11" w:rsidR="00BA0B2E" w:rsidRDefault="00BA0B2E" w:rsidP="00BA0B2E">
            <w:pPr>
              <w:spacing w:before="40"/>
              <w:ind w:left="113" w:right="113"/>
            </w:pPr>
            <w:r>
              <w:t>No impact identified by the Proposer.</w:t>
            </w:r>
          </w:p>
        </w:tc>
      </w:tr>
    </w:tbl>
    <w:p w14:paraId="7C6B1B23" w14:textId="77777777" w:rsidR="00450385" w:rsidRPr="00EB32BB" w:rsidRDefault="00C31A20" w:rsidP="00CD719F">
      <w:pPr>
        <w:pStyle w:val="Heading01"/>
        <w:rPr>
          <w:noProof/>
        </w:rPr>
      </w:pPr>
      <w:bookmarkStart w:id="31" w:name="_Toc139880668"/>
      <w:r w:rsidRPr="00EB32BB">
        <w:rPr>
          <w:noProof/>
        </w:rPr>
        <w:t>Imple</w:t>
      </w:r>
      <w:r w:rsidR="00461C2F" w:rsidRPr="00EB32BB">
        <w:rPr>
          <w:noProof/>
        </w:rPr>
        <w:t>me</w:t>
      </w:r>
      <w:r w:rsidRPr="00EB32BB">
        <w:rPr>
          <w:noProof/>
        </w:rPr>
        <w:t>ntation</w:t>
      </w:r>
      <w:bookmarkEnd w:id="31"/>
    </w:p>
    <w:p w14:paraId="201A42D6" w14:textId="4E1C634B" w:rsidR="004A22E8" w:rsidRDefault="00311467" w:rsidP="00F306DA">
      <w:r>
        <w:t xml:space="preserve">Implementation </w:t>
      </w:r>
      <w:r w:rsidR="00C1720B">
        <w:t xml:space="preserve">should be reasonably </w:t>
      </w:r>
      <w:r w:rsidR="000D748E">
        <w:t>straightforward but</w:t>
      </w:r>
      <w:r w:rsidR="00C1720B">
        <w:t xml:space="preserve"> will require some changes to DNOs’ internal </w:t>
      </w:r>
      <w:r w:rsidR="000D7E5F">
        <w:t xml:space="preserve">system </w:t>
      </w:r>
      <w:r w:rsidR="00C1720B">
        <w:t xml:space="preserve">planning </w:t>
      </w:r>
      <w:r w:rsidR="000D7E5F">
        <w:t xml:space="preserve">and network design </w:t>
      </w:r>
      <w:r w:rsidR="00C1720B">
        <w:t xml:space="preserve">processes. </w:t>
      </w:r>
      <w:r w:rsidR="000D748E">
        <w:t xml:space="preserve">The Proposer </w:t>
      </w:r>
      <w:r w:rsidR="000D7E5F">
        <w:t xml:space="preserve">suggests that implementation should be </w:t>
      </w:r>
      <w:r w:rsidR="00BF3EB3">
        <w:t>implemented 10 working days from issue.</w:t>
      </w:r>
    </w:p>
    <w:p w14:paraId="4F65C41A" w14:textId="77777777" w:rsidR="00F007A0" w:rsidRPr="00EB32BB" w:rsidRDefault="00F007A0" w:rsidP="00CD719F">
      <w:pPr>
        <w:pStyle w:val="Heading01"/>
      </w:pPr>
      <w:bookmarkStart w:id="32" w:name="_Toc156882583"/>
      <w:bookmarkStart w:id="33" w:name="_Toc163008071"/>
      <w:bookmarkStart w:id="34" w:name="_Toc139880669"/>
      <w:r w:rsidRPr="00EB32BB">
        <w:t>Legal Text</w:t>
      </w:r>
      <w:bookmarkEnd w:id="32"/>
      <w:bookmarkEnd w:id="33"/>
      <w:bookmarkEnd w:id="34"/>
    </w:p>
    <w:p w14:paraId="117BD0F3" w14:textId="0C26B22D" w:rsidR="00F14EC4" w:rsidRPr="00EB32BB" w:rsidRDefault="00D22AA9" w:rsidP="00F14EC4">
      <w:r>
        <w:t xml:space="preserve">The Proposer is keen to contribute to the legal </w:t>
      </w:r>
      <w:r w:rsidR="00765EFA">
        <w:t>text but</w:t>
      </w:r>
      <w:r>
        <w:t xml:space="preserve"> </w:t>
      </w:r>
      <w:r w:rsidR="00765EFA">
        <w:t>would prefer to do so at the Workgroup stage.</w:t>
      </w:r>
    </w:p>
    <w:p w14:paraId="6A1EA403" w14:textId="77777777" w:rsidR="00F73FD6" w:rsidRPr="00EB32BB" w:rsidRDefault="00A00B4A" w:rsidP="00F73FD6">
      <w:pPr>
        <w:pStyle w:val="Heading1"/>
        <w:pBdr>
          <w:right w:val="single" w:sz="48" w:space="0" w:color="00B274"/>
        </w:pBdr>
      </w:pPr>
      <w:bookmarkStart w:id="35" w:name="_Toc139880670"/>
      <w:r w:rsidRPr="00EB32BB">
        <w:lastRenderedPageBreak/>
        <w:t>Recommendation</w:t>
      </w:r>
      <w:r w:rsidR="006D75CD">
        <w:t>s</w:t>
      </w:r>
      <w:bookmarkEnd w:id="35"/>
      <w:r w:rsidRPr="00EB32BB">
        <w:t xml:space="preserve"> </w:t>
      </w:r>
    </w:p>
    <w:p w14:paraId="3486F7A2" w14:textId="77777777" w:rsidR="00AB4DE5" w:rsidRPr="00EB32BB" w:rsidRDefault="00AB4DE5" w:rsidP="002B210C">
      <w:pPr>
        <w:pStyle w:val="Heading2"/>
        <w:rPr>
          <w:i/>
          <w:iCs/>
        </w:rPr>
      </w:pPr>
      <w:r>
        <w:t>Proposer’s Recommendation to Panel</w:t>
      </w:r>
    </w:p>
    <w:p w14:paraId="38D6D4F3" w14:textId="1315FE40" w:rsidR="00AB4DE5" w:rsidRPr="00AB4DE5" w:rsidRDefault="00A27B15" w:rsidP="00AB4DE5">
      <w:pPr>
        <w:rPr>
          <w:rFonts w:cs="Arial"/>
          <w:i/>
          <w:color w:val="00B274"/>
        </w:rPr>
      </w:pPr>
      <w:r>
        <w:t xml:space="preserve">The </w:t>
      </w:r>
      <w:r w:rsidR="00AB4DE5">
        <w:t>Panel is asked to:</w:t>
      </w:r>
    </w:p>
    <w:p w14:paraId="5F1AD753" w14:textId="4B9F89D6" w:rsidR="00B47F01" w:rsidRDefault="00B47F01" w:rsidP="00B47F01">
      <w:pPr>
        <w:pStyle w:val="ListBullet2"/>
        <w:rPr>
          <w:ins w:id="36" w:author="Stephen Quinn" w:date="2023-07-27T11:31:00Z"/>
        </w:rPr>
      </w:pPr>
      <w:ins w:id="37" w:author="Stephen Quinn" w:date="2023-07-27T11:31:00Z">
        <w:r>
          <w:t xml:space="preserve">Agree </w:t>
        </w:r>
      </w:ins>
      <w:ins w:id="38" w:author="Stephen Quinn" w:date="2023-07-27T11:33:00Z">
        <w:r>
          <w:t>that the Distribution Code</w:t>
        </w:r>
      </w:ins>
      <w:ins w:id="39" w:author="Stephen Quinn" w:date="2023-07-27T11:31:00Z">
        <w:r>
          <w:t xml:space="preserve"> gov</w:t>
        </w:r>
        <w:r>
          <w:t>ernance procedures should apply</w:t>
        </w:r>
      </w:ins>
      <w:ins w:id="40" w:author="Stephen Quinn" w:date="2023-07-27T11:32:00Z">
        <w:r>
          <w:t>; and</w:t>
        </w:r>
      </w:ins>
    </w:p>
    <w:p w14:paraId="63C8FF39" w14:textId="53FC50B7" w:rsidR="00B47F01" w:rsidDel="00B47F01" w:rsidRDefault="00AB4DE5" w:rsidP="00AB4DE5">
      <w:pPr>
        <w:pStyle w:val="ListBullet2"/>
        <w:rPr>
          <w:del w:id="41" w:author="Stephen Quinn" w:date="2023-07-27T11:31:00Z"/>
        </w:rPr>
      </w:pPr>
      <w:del w:id="42" w:author="Stephen Quinn" w:date="2023-07-27T11:31:00Z">
        <w:r w:rsidDel="00B47F01">
          <w:delText xml:space="preserve">Agree that </w:delText>
        </w:r>
        <w:r w:rsidR="00DE1D7E" w:rsidDel="00B47F01">
          <w:delText xml:space="preserve">either Normal or </w:delText>
        </w:r>
        <w:commentRangeStart w:id="43"/>
        <w:commentRangeStart w:id="44"/>
        <w:r w:rsidR="00DE1D7E" w:rsidDel="00B47F01">
          <w:delText>Urgent</w:delText>
        </w:r>
        <w:commentRangeEnd w:id="43"/>
        <w:r w:rsidR="00AA3C4C" w:rsidDel="00B47F01">
          <w:rPr>
            <w:rStyle w:val="CommentReference"/>
          </w:rPr>
          <w:commentReference w:id="43"/>
        </w:r>
      </w:del>
      <w:commentRangeEnd w:id="44"/>
      <w:r w:rsidR="002A3587">
        <w:rPr>
          <w:rStyle w:val="CommentReference"/>
        </w:rPr>
        <w:commentReference w:id="44"/>
      </w:r>
      <w:del w:id="46" w:author="Stephen Quinn" w:date="2023-07-27T11:31:00Z">
        <w:r w:rsidDel="00B47F01">
          <w:delText xml:space="preserve"> governance procedures should apply</w:delText>
        </w:r>
        <w:r w:rsidR="00DE1D7E" w:rsidDel="00B47F01">
          <w:delText>, and recommend which of the two is most suitable</w:delText>
        </w:r>
        <w:r w:rsidR="007B742F" w:rsidDel="00B47F01">
          <w:delText>; then</w:delText>
        </w:r>
      </w:del>
    </w:p>
    <w:p w14:paraId="35687CF0" w14:textId="6F2F064F" w:rsidR="00D22CEB" w:rsidRPr="0002309B" w:rsidRDefault="00AB4DE5" w:rsidP="0002309B">
      <w:pPr>
        <w:pStyle w:val="ListBullet2"/>
      </w:pPr>
      <w:r>
        <w:t>Refer this proposal to a Workgroup for assessment</w:t>
      </w:r>
      <w:ins w:id="47" w:author="Stephen Quinn" w:date="2023-07-27T11:32:00Z">
        <w:r w:rsidR="00B47F01">
          <w:t xml:space="preserve"> as a matter of priority</w:t>
        </w:r>
      </w:ins>
      <w:r w:rsidRPr="008C182E">
        <w:t>.</w:t>
      </w:r>
    </w:p>
    <w:sectPr w:rsidR="00D22CEB" w:rsidRPr="0002309B" w:rsidSect="006F19E3">
      <w:headerReference w:type="default" r:id="rId26"/>
      <w:footerReference w:type="default" r:id="rId27"/>
      <w:type w:val="continuous"/>
      <w:pgSz w:w="11906" w:h="16838"/>
      <w:pgMar w:top="1113" w:right="1416" w:bottom="567" w:left="1134" w:header="142" w:footer="70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 w:author="Christopher McCann (he/him)" w:date="2023-07-27T09:25:00Z" w:initials="CM(">
    <w:p w14:paraId="4BCD1CD5" w14:textId="77777777" w:rsidR="008C13CB" w:rsidRDefault="008C13CB" w:rsidP="00BC4BA5">
      <w:pPr>
        <w:pStyle w:val="CommentText"/>
      </w:pPr>
      <w:r>
        <w:rPr>
          <w:rStyle w:val="CommentReference"/>
        </w:rPr>
        <w:annotationRef/>
      </w:r>
      <w:r>
        <w:t xml:space="preserve">Import behaviour </w:t>
      </w:r>
      <w:r>
        <w:rPr>
          <w:highlight w:val="yellow"/>
        </w:rPr>
        <w:t xml:space="preserve">only </w:t>
      </w:r>
      <w:r>
        <w:t>of premises…?</w:t>
      </w:r>
    </w:p>
  </w:comment>
  <w:comment w:id="3" w:author="Stephen Quinn" w:date="2023-07-27T10:54:00Z" w:initials="SQ">
    <w:p w14:paraId="5280CE4A" w14:textId="44400F40" w:rsidR="00F7524D" w:rsidRDefault="00F7524D">
      <w:pPr>
        <w:pStyle w:val="CommentText"/>
      </w:pPr>
      <w:r>
        <w:rPr>
          <w:rStyle w:val="CommentReference"/>
        </w:rPr>
        <w:annotationRef/>
      </w:r>
      <w:r>
        <w:t xml:space="preserve">No customer’s export behaviour counts towards Group Demand, I’m happy with the wording as it is. </w:t>
      </w:r>
    </w:p>
  </w:comment>
  <w:comment w:id="4" w:author="Christopher McCann (he/him)" w:date="2023-07-27T09:26:00Z" w:initials="CM(">
    <w:p w14:paraId="7219CCA5" w14:textId="77777777" w:rsidR="001961A8" w:rsidRDefault="00057467">
      <w:pPr>
        <w:pStyle w:val="CommentText"/>
      </w:pPr>
      <w:r>
        <w:rPr>
          <w:rStyle w:val="CommentReference"/>
        </w:rPr>
        <w:annotationRef/>
      </w:r>
      <w:r w:rsidR="001961A8">
        <w:t>A wider review of access rights will entail proposals to modify other codes?</w:t>
      </w:r>
    </w:p>
    <w:p w14:paraId="62CCBB51" w14:textId="77777777" w:rsidR="001961A8" w:rsidRDefault="001961A8">
      <w:pPr>
        <w:pStyle w:val="CommentText"/>
      </w:pPr>
    </w:p>
    <w:p w14:paraId="5864C246" w14:textId="77777777" w:rsidR="001961A8" w:rsidRDefault="001961A8" w:rsidP="00CE4A40">
      <w:pPr>
        <w:pStyle w:val="CommentText"/>
      </w:pPr>
      <w:r>
        <w:t>If so reference cross code impacts section further into the document.</w:t>
      </w:r>
    </w:p>
  </w:comment>
  <w:comment w:id="5" w:author="Stephen Quinn" w:date="2023-07-27T10:53:00Z" w:initials="SQ">
    <w:p w14:paraId="7DF564D8" w14:textId="4250D5D9" w:rsidR="00F7524D" w:rsidRDefault="00F7524D">
      <w:pPr>
        <w:pStyle w:val="CommentText"/>
      </w:pPr>
      <w:r>
        <w:rPr>
          <w:rStyle w:val="CommentReference"/>
        </w:rPr>
        <w:annotationRef/>
      </w:r>
      <w:r>
        <w:t>Reference added.</w:t>
      </w:r>
    </w:p>
  </w:comment>
  <w:comment w:id="9" w:author="Christopher McCann (he/him)" w:date="2023-07-27T09:30:00Z" w:initials="CM(">
    <w:p w14:paraId="47011EFE" w14:textId="6AE7CBF0" w:rsidR="005B69C3" w:rsidRDefault="005B69C3" w:rsidP="00C02C94">
      <w:pPr>
        <w:pStyle w:val="CommentText"/>
      </w:pPr>
      <w:r>
        <w:rPr>
          <w:rStyle w:val="CommentReference"/>
        </w:rPr>
        <w:annotationRef/>
      </w:r>
      <w:r>
        <w:t>As code admin this would be the preferred option, lets see what panel's thoughts are though.</w:t>
      </w:r>
    </w:p>
  </w:comment>
  <w:comment w:id="10" w:author="Stephen Quinn" w:date="2023-07-27T11:00:00Z" w:initials="SQ">
    <w:p w14:paraId="25C4AEF8" w14:textId="79582689" w:rsidR="00F7524D" w:rsidRDefault="00F7524D">
      <w:pPr>
        <w:pStyle w:val="CommentText"/>
      </w:pPr>
      <w:r>
        <w:rPr>
          <w:rStyle w:val="CommentReference"/>
        </w:rPr>
        <w:annotationRef/>
      </w:r>
      <w:r>
        <w:t>Agreed.</w:t>
      </w:r>
    </w:p>
  </w:comment>
  <w:comment w:id="13" w:author="Christopher McCann (he/him)" w:date="2023-07-27T09:55:00Z" w:initials="CM(">
    <w:p w14:paraId="3C74AEE4" w14:textId="77777777" w:rsidR="00F36FA3" w:rsidRDefault="00F36FA3" w:rsidP="00630972">
      <w:pPr>
        <w:pStyle w:val="CommentText"/>
      </w:pPr>
      <w:r>
        <w:rPr>
          <w:rStyle w:val="CommentReference"/>
        </w:rPr>
        <w:annotationRef/>
      </w:r>
      <w:r>
        <w:t>Is this proposing Stakeholders involvement? If so Stakeholders with experience...</w:t>
      </w:r>
    </w:p>
  </w:comment>
  <w:comment w:id="14" w:author="Stephen Quinn" w:date="2023-07-27T11:12:00Z" w:initials="SQ">
    <w:p w14:paraId="08F1754B" w14:textId="1F18CA8D" w:rsidR="0029091E" w:rsidRDefault="0029091E">
      <w:pPr>
        <w:pStyle w:val="CommentText"/>
      </w:pPr>
      <w:r>
        <w:rPr>
          <w:rStyle w:val="CommentReference"/>
        </w:rPr>
        <w:annotationRef/>
      </w:r>
      <w:r>
        <w:t>Yes, changed.</w:t>
      </w:r>
    </w:p>
  </w:comment>
  <w:comment w:id="18" w:author="Christopher McCann (he/him)" w:date="2023-07-27T10:08:00Z" w:initials="CM(">
    <w:p w14:paraId="56C7AC02" w14:textId="77777777" w:rsidR="009862D7" w:rsidRDefault="00756E15" w:rsidP="007377FD">
      <w:pPr>
        <w:pStyle w:val="CommentText"/>
      </w:pPr>
      <w:r>
        <w:rPr>
          <w:rStyle w:val="CommentReference"/>
        </w:rPr>
        <w:annotationRef/>
      </w:r>
      <w:r w:rsidR="009862D7">
        <w:t>Why italic? For Generation? This proposal is concerned with import behaviour of premises for Electricity Storage...</w:t>
      </w:r>
    </w:p>
  </w:comment>
  <w:comment w:id="19" w:author="Stephen Quinn" w:date="2023-07-27T11:00:00Z" w:initials="SQ">
    <w:p w14:paraId="3ED0576E" w14:textId="667C0DC1" w:rsidR="00F7524D" w:rsidRDefault="00F7524D">
      <w:pPr>
        <w:pStyle w:val="CommentText"/>
      </w:pPr>
      <w:r>
        <w:rPr>
          <w:rStyle w:val="CommentReference"/>
        </w:rPr>
        <w:annotationRef/>
      </w:r>
      <w:r>
        <w:t xml:space="preserve">To distinguish Electricity </w:t>
      </w:r>
      <w:r w:rsidR="00B970CA">
        <w:t>Storage (core scope of the mod)</w:t>
      </w:r>
      <w:r>
        <w:t xml:space="preserve"> from Electricity</w:t>
      </w:r>
      <w:r w:rsidR="00B970CA">
        <w:t xml:space="preserve"> Generation (which it might be appropriate to bring into scope). I’d omitted the first sub-bullet point, hopefully this makes more sense now.</w:t>
      </w:r>
    </w:p>
  </w:comment>
  <w:comment w:id="24" w:author="Christopher McCann (he/him)" w:date="2023-07-27T10:26:00Z" w:initials="CM(">
    <w:p w14:paraId="4FA798A4" w14:textId="77777777" w:rsidR="004866CF" w:rsidRDefault="004866CF" w:rsidP="00620E2B">
      <w:pPr>
        <w:pStyle w:val="CommentText"/>
      </w:pPr>
      <w:r>
        <w:rPr>
          <w:rStyle w:val="CommentReference"/>
        </w:rPr>
        <w:annotationRef/>
      </w:r>
      <w:r>
        <w:t>This means changes to import behaviour only? Ie, excluding BESS operating in Export mode?</w:t>
      </w:r>
    </w:p>
  </w:comment>
  <w:comment w:id="25" w:author="Stephen Quinn" w:date="2023-07-27T11:28:00Z" w:initials="SQ">
    <w:p w14:paraId="09978E31" w14:textId="773A3F19" w:rsidR="0014776E" w:rsidRDefault="0014776E">
      <w:pPr>
        <w:pStyle w:val="CommentText"/>
      </w:pPr>
      <w:r>
        <w:rPr>
          <w:rStyle w:val="CommentReference"/>
        </w:rPr>
        <w:annotationRef/>
      </w:r>
      <w:r>
        <w:t xml:space="preserve"> EREC P2 doesn’t confer security of supply on the export behaviour of any customer</w:t>
      </w:r>
    </w:p>
  </w:comment>
  <w:comment w:id="26" w:author="Christopher McCann (he/him)" w:date="2023-07-27T10:28:00Z" w:initials="CM(">
    <w:p w14:paraId="50E67CA1" w14:textId="77777777" w:rsidR="009C3B07" w:rsidRDefault="009C3B07">
      <w:pPr>
        <w:pStyle w:val="CommentText"/>
      </w:pPr>
      <w:r>
        <w:rPr>
          <w:rStyle w:val="CommentReference"/>
        </w:rPr>
        <w:annotationRef/>
      </w:r>
      <w:r>
        <w:t>Does this statement mean a further modification proposal to the relevant code?</w:t>
      </w:r>
    </w:p>
    <w:p w14:paraId="35481191" w14:textId="77777777" w:rsidR="009C3B07" w:rsidRDefault="009C3B07">
      <w:pPr>
        <w:pStyle w:val="CommentText"/>
      </w:pPr>
    </w:p>
    <w:p w14:paraId="41866AD7" w14:textId="77777777" w:rsidR="009C3B07" w:rsidRDefault="009C3B07" w:rsidP="001D5F65">
      <w:pPr>
        <w:pStyle w:val="CommentText"/>
      </w:pPr>
      <w:r>
        <w:t>If DCode effected this will be included in the scope for this modification piece.</w:t>
      </w:r>
    </w:p>
  </w:comment>
  <w:comment w:id="27" w:author="Stephen Quinn" w:date="2023-07-27T11:29:00Z" w:initials="SQ">
    <w:p w14:paraId="41192EB3" w14:textId="667A3C24" w:rsidR="006E3798" w:rsidRDefault="006E3798">
      <w:pPr>
        <w:pStyle w:val="CommentText"/>
      </w:pPr>
      <w:r>
        <w:rPr>
          <w:rStyle w:val="CommentReference"/>
        </w:rPr>
        <w:annotationRef/>
      </w:r>
      <w:r>
        <w:t>Yes, if the case for change is agreed and once the relevant code is identified.</w:t>
      </w:r>
    </w:p>
  </w:comment>
  <w:comment w:id="29" w:author="Christopher McCann (he/him)" w:date="2023-07-27T10:31:00Z" w:initials="CM(">
    <w:p w14:paraId="2CAF4EFB" w14:textId="77777777" w:rsidR="00AA3C4C" w:rsidRDefault="00AA3C4C" w:rsidP="00A76EE3">
      <w:pPr>
        <w:pStyle w:val="CommentText"/>
      </w:pPr>
      <w:r>
        <w:rPr>
          <w:rStyle w:val="CommentReference"/>
        </w:rPr>
        <w:annotationRef/>
      </w:r>
      <w:r>
        <w:t>This infers changes to the DCode, and possible changes to DCUSA and SQSS to facilitate this modification.</w:t>
      </w:r>
    </w:p>
  </w:comment>
  <w:comment w:id="30" w:author="Stephen Quinn" w:date="2023-07-27T11:29:00Z" w:initials="SQ">
    <w:p w14:paraId="678E7971" w14:textId="196D4597" w:rsidR="008F0221" w:rsidRDefault="008F0221">
      <w:pPr>
        <w:pStyle w:val="CommentText"/>
      </w:pPr>
      <w:r>
        <w:rPr>
          <w:rStyle w:val="CommentReference"/>
        </w:rPr>
        <w:annotationRef/>
      </w:r>
      <w:r>
        <w:t>I’d argue that my proposed solution is reasonably well aligned to the draft legal text of SQSS mod GSR029, so hopefully no further changes required.</w:t>
      </w:r>
    </w:p>
  </w:comment>
  <w:comment w:id="43" w:author="Christopher McCann (he/him)" w:date="2023-07-27T10:32:00Z" w:initials="CM(">
    <w:p w14:paraId="7CBBF1F8" w14:textId="77777777" w:rsidR="00AA3C4C" w:rsidRDefault="00AA3C4C">
      <w:pPr>
        <w:pStyle w:val="CommentText"/>
      </w:pPr>
      <w:r>
        <w:rPr>
          <w:rStyle w:val="CommentReference"/>
        </w:rPr>
        <w:annotationRef/>
      </w:r>
      <w:r>
        <w:t>No recognition of 'Urgency' in the DCode.</w:t>
      </w:r>
    </w:p>
    <w:p w14:paraId="513EA3F7" w14:textId="77777777" w:rsidR="00AA3C4C" w:rsidRDefault="00AA3C4C">
      <w:pPr>
        <w:pStyle w:val="CommentText"/>
      </w:pPr>
    </w:p>
    <w:p w14:paraId="272903F0" w14:textId="77777777" w:rsidR="00AA3C4C" w:rsidRDefault="00AA3C4C" w:rsidP="00C30DAF">
      <w:pPr>
        <w:pStyle w:val="CommentText"/>
      </w:pPr>
      <w:r>
        <w:t>'Agree the DCode governance procedures should apply'</w:t>
      </w:r>
    </w:p>
  </w:comment>
  <w:comment w:id="44" w:author="Stephen Quinn" w:date="2023-07-27T11:33:00Z" w:initials="SQ">
    <w:p w14:paraId="7391794B" w14:textId="0A798A2C" w:rsidR="002A3587" w:rsidRDefault="002A3587">
      <w:pPr>
        <w:pStyle w:val="CommentText"/>
      </w:pPr>
      <w:r>
        <w:rPr>
          <w:rStyle w:val="CommentReference"/>
        </w:rPr>
        <w:annotationRef/>
      </w:r>
      <w:r>
        <w:t>Good point. Revised to suit.</w:t>
      </w:r>
      <w:bookmarkStart w:id="45" w:name="_GoBack"/>
      <w:bookmarkEnd w:id="45"/>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BCD1CD5" w15:done="0"/>
  <w15:commentEx w15:paraId="5280CE4A" w15:paraIdParent="4BCD1CD5" w15:done="0"/>
  <w15:commentEx w15:paraId="5864C246" w15:done="0"/>
  <w15:commentEx w15:paraId="7DF564D8" w15:paraIdParent="5864C246" w15:done="0"/>
  <w15:commentEx w15:paraId="47011EFE" w15:done="0"/>
  <w15:commentEx w15:paraId="25C4AEF8" w15:paraIdParent="47011EFE" w15:done="0"/>
  <w15:commentEx w15:paraId="3C74AEE4" w15:done="0"/>
  <w15:commentEx w15:paraId="08F1754B" w15:paraIdParent="3C74AEE4" w15:done="0"/>
  <w15:commentEx w15:paraId="56C7AC02" w15:done="0"/>
  <w15:commentEx w15:paraId="3ED0576E" w15:paraIdParent="56C7AC02" w15:done="0"/>
  <w15:commentEx w15:paraId="4FA798A4" w15:done="0"/>
  <w15:commentEx w15:paraId="09978E31" w15:paraIdParent="4FA798A4" w15:done="0"/>
  <w15:commentEx w15:paraId="41866AD7" w15:done="0"/>
  <w15:commentEx w15:paraId="41192EB3" w15:paraIdParent="41866AD7" w15:done="0"/>
  <w15:commentEx w15:paraId="2CAF4EFB" w15:done="0"/>
  <w15:commentEx w15:paraId="678E7971" w15:paraIdParent="2CAF4EFB" w15:done="0"/>
  <w15:commentEx w15:paraId="272903F0" w15:done="0"/>
  <w15:commentEx w15:paraId="7391794B" w15:paraIdParent="272903F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6CB66C" w16cex:dateUtc="2023-07-27T08:25:00Z"/>
  <w16cex:commentExtensible w16cex:durableId="286CB6B7" w16cex:dateUtc="2023-07-27T08:26:00Z"/>
  <w16cex:commentExtensible w16cex:durableId="286CB7A1" w16cex:dateUtc="2023-07-27T08:30:00Z"/>
  <w16cex:commentExtensible w16cex:durableId="286CBDAF" w16cex:dateUtc="2023-07-27T08:55:00Z"/>
  <w16cex:commentExtensible w16cex:durableId="286CC083" w16cex:dateUtc="2023-07-27T09:08:00Z"/>
  <w16cex:commentExtensible w16cex:durableId="286CC1B9" w16cex:dateUtc="2023-07-27T09:13:00Z"/>
  <w16cex:commentExtensible w16cex:durableId="286CC4D8" w16cex:dateUtc="2023-07-27T09:26:00Z"/>
  <w16cex:commentExtensible w16cex:durableId="286CC564" w16cex:dateUtc="2023-07-27T09:28:00Z"/>
  <w16cex:commentExtensible w16cex:durableId="286CC5E5" w16cex:dateUtc="2023-07-27T09:31:00Z"/>
  <w16cex:commentExtensible w16cex:durableId="286CC640" w16cex:dateUtc="2023-07-27T09: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BCD1CD5" w16cid:durableId="286CB66C"/>
  <w16cid:commentId w16cid:paraId="5864C246" w16cid:durableId="286CB6B7"/>
  <w16cid:commentId w16cid:paraId="47011EFE" w16cid:durableId="286CB7A1"/>
  <w16cid:commentId w16cid:paraId="3C74AEE4" w16cid:durableId="286CBDAF"/>
  <w16cid:commentId w16cid:paraId="56C7AC02" w16cid:durableId="286CC083"/>
  <w16cid:commentId w16cid:paraId="60E260B9" w16cid:durableId="286CC1B9"/>
  <w16cid:commentId w16cid:paraId="4FA798A4" w16cid:durableId="286CC4D8"/>
  <w16cid:commentId w16cid:paraId="41866AD7" w16cid:durableId="286CC564"/>
  <w16cid:commentId w16cid:paraId="2CAF4EFB" w16cid:durableId="286CC5E5"/>
  <w16cid:commentId w16cid:paraId="272903F0" w16cid:durableId="286CC64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9DB2FA" w14:textId="77777777" w:rsidR="00CC3A01" w:rsidRDefault="00CC3A01">
      <w:pPr>
        <w:spacing w:line="240" w:lineRule="auto"/>
      </w:pPr>
      <w:r>
        <w:separator/>
      </w:r>
    </w:p>
    <w:p w14:paraId="10E7FCE9" w14:textId="77777777" w:rsidR="00CC3A01" w:rsidRDefault="00CC3A01"/>
  </w:endnote>
  <w:endnote w:type="continuationSeparator" w:id="0">
    <w:p w14:paraId="1D5E894A" w14:textId="77777777" w:rsidR="00CC3A01" w:rsidRDefault="00CC3A01">
      <w:pPr>
        <w:spacing w:line="240" w:lineRule="auto"/>
      </w:pPr>
      <w:r>
        <w:continuationSeparator/>
      </w:r>
    </w:p>
    <w:p w14:paraId="4EC58EFC" w14:textId="77777777" w:rsidR="00CC3A01" w:rsidRDefault="00CC3A01"/>
  </w:endnote>
  <w:endnote w:type="continuationNotice" w:id="1">
    <w:p w14:paraId="240CF6A8" w14:textId="77777777" w:rsidR="00CC3A01" w:rsidRDefault="00CC3A01">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561C1C" w14:textId="29CA65DD" w:rsidR="00710E92" w:rsidRDefault="00011F5C" w:rsidP="00EA3F0B">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lang w:val="en-US"/>
      </w:rPr>
    </w:pPr>
    <w:r>
      <w:rPr>
        <w:rFonts w:cs="Arial"/>
        <w:sz w:val="16"/>
        <w:szCs w:val="16"/>
      </w:rPr>
      <w:t>DCRP</w:t>
    </w:r>
    <w:r w:rsidR="00D0411F">
      <w:rPr>
        <w:rFonts w:cs="Arial"/>
        <w:sz w:val="16"/>
        <w:szCs w:val="16"/>
      </w:rPr>
      <w:t>/MP/23/</w:t>
    </w:r>
    <w:r w:rsidR="008077CE">
      <w:rPr>
        <w:rFonts w:cs="Arial"/>
        <w:sz w:val="16"/>
        <w:szCs w:val="16"/>
      </w:rPr>
      <w:t>04</w:t>
    </w:r>
    <w:r w:rsidR="00710E92">
      <w:rPr>
        <w:rFonts w:cs="Arial"/>
        <w:sz w:val="16"/>
        <w:szCs w:val="16"/>
      </w:rPr>
      <w:tab/>
    </w:r>
    <w:r w:rsidR="00710E92">
      <w:rPr>
        <w:rFonts w:cs="Arial"/>
        <w:sz w:val="16"/>
        <w:szCs w:val="16"/>
      </w:rPr>
      <w:tab/>
    </w:r>
    <w:r w:rsidR="00710E92" w:rsidRPr="000660DF">
      <w:rPr>
        <w:rFonts w:cs="Arial"/>
        <w:sz w:val="16"/>
        <w:szCs w:val="16"/>
        <w:lang w:val="en-US"/>
      </w:rPr>
      <w:t xml:space="preserve">Page </w:t>
    </w:r>
    <w:r w:rsidR="00710E92" w:rsidRPr="000660DF">
      <w:rPr>
        <w:rFonts w:cs="Arial"/>
        <w:sz w:val="16"/>
        <w:szCs w:val="16"/>
        <w:lang w:val="en-US"/>
      </w:rPr>
      <w:fldChar w:fldCharType="begin"/>
    </w:r>
    <w:r w:rsidR="00710E92" w:rsidRPr="000660DF">
      <w:rPr>
        <w:rFonts w:cs="Arial"/>
        <w:sz w:val="16"/>
        <w:szCs w:val="16"/>
        <w:lang w:val="en-US"/>
      </w:rPr>
      <w:instrText xml:space="preserve"> PAGE </w:instrText>
    </w:r>
    <w:r w:rsidR="00710E92" w:rsidRPr="000660DF">
      <w:rPr>
        <w:rFonts w:cs="Arial"/>
        <w:sz w:val="16"/>
        <w:szCs w:val="16"/>
        <w:lang w:val="en-US"/>
      </w:rPr>
      <w:fldChar w:fldCharType="separate"/>
    </w:r>
    <w:r w:rsidR="002A3587">
      <w:rPr>
        <w:rFonts w:cs="Arial"/>
        <w:noProof/>
        <w:sz w:val="16"/>
        <w:szCs w:val="16"/>
        <w:lang w:val="en-US"/>
      </w:rPr>
      <w:t>8</w:t>
    </w:r>
    <w:r w:rsidR="00710E92" w:rsidRPr="000660DF">
      <w:rPr>
        <w:rFonts w:cs="Arial"/>
        <w:sz w:val="16"/>
        <w:szCs w:val="16"/>
        <w:lang w:val="en-US"/>
      </w:rPr>
      <w:fldChar w:fldCharType="end"/>
    </w:r>
    <w:r w:rsidR="00710E92" w:rsidRPr="000660DF">
      <w:rPr>
        <w:rFonts w:cs="Arial"/>
        <w:sz w:val="16"/>
        <w:szCs w:val="16"/>
        <w:lang w:val="en-US"/>
      </w:rPr>
      <w:t xml:space="preserve"> of </w:t>
    </w:r>
    <w:r w:rsidR="00710E92" w:rsidRPr="000660DF">
      <w:rPr>
        <w:rFonts w:cs="Arial"/>
        <w:sz w:val="16"/>
        <w:szCs w:val="16"/>
        <w:lang w:val="en-US"/>
      </w:rPr>
      <w:fldChar w:fldCharType="begin"/>
    </w:r>
    <w:r w:rsidR="00710E92" w:rsidRPr="000660DF">
      <w:rPr>
        <w:rFonts w:cs="Arial"/>
        <w:sz w:val="16"/>
        <w:szCs w:val="16"/>
        <w:lang w:val="en-US"/>
      </w:rPr>
      <w:instrText xml:space="preserve"> NUMPAGES </w:instrText>
    </w:r>
    <w:r w:rsidR="00710E92" w:rsidRPr="000660DF">
      <w:rPr>
        <w:rFonts w:cs="Arial"/>
        <w:sz w:val="16"/>
        <w:szCs w:val="16"/>
        <w:lang w:val="en-US"/>
      </w:rPr>
      <w:fldChar w:fldCharType="separate"/>
    </w:r>
    <w:r w:rsidR="002A3587">
      <w:rPr>
        <w:rFonts w:cs="Arial"/>
        <w:noProof/>
        <w:sz w:val="16"/>
        <w:szCs w:val="16"/>
        <w:lang w:val="en-US"/>
      </w:rPr>
      <w:t>8</w:t>
    </w:r>
    <w:r w:rsidR="00710E92" w:rsidRPr="000660DF">
      <w:rPr>
        <w:rFonts w:cs="Arial"/>
        <w:sz w:val="16"/>
        <w:szCs w:val="16"/>
        <w:lang w:val="en-US"/>
      </w:rPr>
      <w:fldChar w:fldCharType="end"/>
    </w:r>
    <w:r w:rsidR="001D5C1B">
      <w:rPr>
        <w:rFonts w:cs="Arial"/>
        <w:sz w:val="16"/>
        <w:szCs w:val="16"/>
        <w:lang w:val="en-US"/>
      </w:rPr>
      <w:tab/>
    </w:r>
  </w:p>
  <w:p w14:paraId="41812C06" w14:textId="187A7242" w:rsidR="00710E92" w:rsidRPr="000660DF" w:rsidRDefault="00710E92" w:rsidP="00FD0418">
    <w:pPr>
      <w:pStyle w:val="Footer"/>
      <w:pBdr>
        <w:top w:val="single" w:sz="4" w:space="1" w:color="auto"/>
      </w:pBdr>
      <w:tabs>
        <w:tab w:val="clear" w:pos="4320"/>
        <w:tab w:val="clear" w:pos="8640"/>
        <w:tab w:val="center" w:pos="4962"/>
        <w:tab w:val="right" w:pos="9356"/>
      </w:tabs>
      <w:spacing w:before="0" w:after="0" w:line="240" w:lineRule="auto"/>
      <w:jc w:val="center"/>
      <w:rPr>
        <w:rFonts w:cs="Arial"/>
        <w:sz w:val="16"/>
        <w:szCs w:val="16"/>
      </w:rPr>
    </w:pPr>
    <w:r>
      <w:rPr>
        <w:rFonts w:cs="Arial"/>
        <w:sz w:val="16"/>
        <w:szCs w:val="16"/>
        <w:lang w:val="en-US"/>
      </w:rPr>
      <w:t>Modification</w:t>
    </w:r>
    <w:r>
      <w:rPr>
        <w:rFonts w:cs="Arial"/>
        <w:sz w:val="16"/>
        <w:szCs w:val="16"/>
        <w:lang w:val="en-US"/>
      </w:rPr>
      <w:tab/>
    </w:r>
    <w:r w:rsidRPr="000660DF">
      <w:rPr>
        <w:rFonts w:cs="Arial"/>
        <w:sz w:val="16"/>
        <w:szCs w:val="16"/>
      </w:rPr>
      <w:t xml:space="preserve">© </w:t>
    </w:r>
    <w:r>
      <w:rPr>
        <w:rFonts w:cs="Arial"/>
        <w:sz w:val="16"/>
        <w:szCs w:val="16"/>
      </w:rPr>
      <w:t xml:space="preserve">2016 </w:t>
    </w:r>
    <w:r w:rsidRPr="000660DF">
      <w:rPr>
        <w:rFonts w:cs="Arial"/>
        <w:sz w:val="16"/>
        <w:szCs w:val="16"/>
      </w:rPr>
      <w:t>all rights reserved</w:t>
    </w:r>
    <w:r>
      <w:rPr>
        <w:rFonts w:cs="Arial"/>
        <w:sz w:val="16"/>
        <w:szCs w:val="16"/>
      </w:rPr>
      <w:tab/>
    </w:r>
    <w:r w:rsidR="00BB2CD6">
      <w:rPr>
        <w:rFonts w:cs="Arial"/>
        <w:sz w:val="16"/>
        <w:szCs w:val="16"/>
        <w:lang w:val="en-US"/>
      </w:rPr>
      <w:t>03 August 2023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B16723" w14:textId="77777777" w:rsidR="00CC3A01" w:rsidRDefault="00CC3A01">
      <w:pPr>
        <w:spacing w:line="240" w:lineRule="auto"/>
      </w:pPr>
      <w:r>
        <w:separator/>
      </w:r>
    </w:p>
    <w:p w14:paraId="0DCE4D16" w14:textId="77777777" w:rsidR="00CC3A01" w:rsidRDefault="00CC3A01"/>
  </w:footnote>
  <w:footnote w:type="continuationSeparator" w:id="0">
    <w:p w14:paraId="67150DDB" w14:textId="77777777" w:rsidR="00CC3A01" w:rsidRDefault="00CC3A01">
      <w:pPr>
        <w:spacing w:line="240" w:lineRule="auto"/>
      </w:pPr>
      <w:r>
        <w:continuationSeparator/>
      </w:r>
    </w:p>
    <w:p w14:paraId="2DC17243" w14:textId="77777777" w:rsidR="00CC3A01" w:rsidRDefault="00CC3A01"/>
  </w:footnote>
  <w:footnote w:type="continuationNotice" w:id="1">
    <w:p w14:paraId="20C834BC" w14:textId="77777777" w:rsidR="00CC3A01" w:rsidRDefault="00CC3A01">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6E400D" w14:textId="77777777" w:rsidR="001D5C1B" w:rsidRPr="00011F5C" w:rsidRDefault="00011F5C" w:rsidP="009D62BF">
    <w:pPr>
      <w:pStyle w:val="Header"/>
      <w:tabs>
        <w:tab w:val="clear" w:pos="4320"/>
        <w:tab w:val="clear" w:pos="8640"/>
        <w:tab w:val="left" w:pos="1595"/>
      </w:tabs>
      <w:jc w:val="center"/>
      <w:rPr>
        <w:sz w:val="56"/>
        <w:szCs w:val="56"/>
      </w:rPr>
    </w:pPr>
    <w:r w:rsidRPr="00011F5C">
      <w:rPr>
        <w:rFonts w:ascii="Times New Roman" w:hAnsi="Times New Roman"/>
        <w:b/>
        <w:color w:val="4F6228"/>
        <w:sz w:val="56"/>
        <w:szCs w:val="56"/>
      </w:rPr>
      <w:t>DCode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5E8591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21EF464"/>
    <w:lvl w:ilvl="0">
      <w:start w:val="1"/>
      <w:numFmt w:val="decimal"/>
      <w:lvlText w:val="%1."/>
      <w:lvlJc w:val="left"/>
      <w:pPr>
        <w:tabs>
          <w:tab w:val="num" w:pos="1209"/>
        </w:tabs>
        <w:ind w:left="1209" w:hanging="360"/>
      </w:pPr>
    </w:lvl>
  </w:abstractNum>
  <w:abstractNum w:abstractNumId="2" w15:restartNumberingAfterBreak="0">
    <w:nsid w:val="016C30C4"/>
    <w:multiLevelType w:val="hybridMultilevel"/>
    <w:tmpl w:val="7C403114"/>
    <w:lvl w:ilvl="0" w:tplc="35DECF26">
      <w:start w:val="1"/>
      <w:numFmt w:val="lowerRoman"/>
      <w:lvlText w:val="%1."/>
      <w:lvlJc w:val="left"/>
      <w:pPr>
        <w:ind w:left="914" w:hanging="720"/>
      </w:pPr>
      <w:rPr>
        <w:rFonts w:hint="default"/>
        <w:sz w:val="20"/>
      </w:rPr>
    </w:lvl>
    <w:lvl w:ilvl="1" w:tplc="04090019" w:tentative="1">
      <w:start w:val="1"/>
      <w:numFmt w:val="lowerLetter"/>
      <w:lvlText w:val="%2."/>
      <w:lvlJc w:val="left"/>
      <w:pPr>
        <w:ind w:left="1274" w:hanging="360"/>
      </w:pPr>
    </w:lvl>
    <w:lvl w:ilvl="2" w:tplc="0409001B" w:tentative="1">
      <w:start w:val="1"/>
      <w:numFmt w:val="lowerRoman"/>
      <w:lvlText w:val="%3."/>
      <w:lvlJc w:val="right"/>
      <w:pPr>
        <w:ind w:left="1994" w:hanging="180"/>
      </w:pPr>
    </w:lvl>
    <w:lvl w:ilvl="3" w:tplc="0409000F" w:tentative="1">
      <w:start w:val="1"/>
      <w:numFmt w:val="decimal"/>
      <w:lvlText w:val="%4."/>
      <w:lvlJc w:val="left"/>
      <w:pPr>
        <w:ind w:left="2714" w:hanging="360"/>
      </w:pPr>
    </w:lvl>
    <w:lvl w:ilvl="4" w:tplc="04090019" w:tentative="1">
      <w:start w:val="1"/>
      <w:numFmt w:val="lowerLetter"/>
      <w:lvlText w:val="%5."/>
      <w:lvlJc w:val="left"/>
      <w:pPr>
        <w:ind w:left="3434" w:hanging="360"/>
      </w:pPr>
    </w:lvl>
    <w:lvl w:ilvl="5" w:tplc="0409001B" w:tentative="1">
      <w:start w:val="1"/>
      <w:numFmt w:val="lowerRoman"/>
      <w:lvlText w:val="%6."/>
      <w:lvlJc w:val="right"/>
      <w:pPr>
        <w:ind w:left="4154" w:hanging="180"/>
      </w:pPr>
    </w:lvl>
    <w:lvl w:ilvl="6" w:tplc="0409000F" w:tentative="1">
      <w:start w:val="1"/>
      <w:numFmt w:val="decimal"/>
      <w:lvlText w:val="%7."/>
      <w:lvlJc w:val="left"/>
      <w:pPr>
        <w:ind w:left="4874" w:hanging="360"/>
      </w:pPr>
    </w:lvl>
    <w:lvl w:ilvl="7" w:tplc="04090019" w:tentative="1">
      <w:start w:val="1"/>
      <w:numFmt w:val="lowerLetter"/>
      <w:lvlText w:val="%8."/>
      <w:lvlJc w:val="left"/>
      <w:pPr>
        <w:ind w:left="5594" w:hanging="360"/>
      </w:pPr>
    </w:lvl>
    <w:lvl w:ilvl="8" w:tplc="0409001B" w:tentative="1">
      <w:start w:val="1"/>
      <w:numFmt w:val="lowerRoman"/>
      <w:lvlText w:val="%9."/>
      <w:lvlJc w:val="right"/>
      <w:pPr>
        <w:ind w:left="6314" w:hanging="180"/>
      </w:pPr>
    </w:lvl>
  </w:abstractNum>
  <w:abstractNum w:abstractNumId="3" w15:restartNumberingAfterBreak="0">
    <w:nsid w:val="06314909"/>
    <w:multiLevelType w:val="multilevel"/>
    <w:tmpl w:val="340CFED8"/>
    <w:lvl w:ilvl="0">
      <w:start w:val="1"/>
      <w:numFmt w:val="decimal"/>
      <w:pStyle w:val="Heading1"/>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4" w15:restartNumberingAfterBreak="0">
    <w:nsid w:val="09287E6A"/>
    <w:multiLevelType w:val="hybridMultilevel"/>
    <w:tmpl w:val="FFFFFFFF"/>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094418A0"/>
    <w:multiLevelType w:val="hybridMultilevel"/>
    <w:tmpl w:val="DC460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0C3282"/>
    <w:multiLevelType w:val="hybridMultilevel"/>
    <w:tmpl w:val="343A0958"/>
    <w:lvl w:ilvl="0" w:tplc="9DF441A8">
      <w:start w:val="1"/>
      <w:numFmt w:val="bullet"/>
      <w:pStyle w:val="ListContinue5"/>
      <w:lvlText w:val=""/>
      <w:lvlJc w:val="left"/>
      <w:pPr>
        <w:tabs>
          <w:tab w:val="num" w:pos="2835"/>
        </w:tabs>
        <w:ind w:left="2835" w:hanging="2835"/>
      </w:pPr>
      <w:rPr>
        <w:rFonts w:ascii="Symbol" w:hAnsi="Symbol" w:hint="default"/>
        <w:b w:val="0"/>
        <w:i w:val="0"/>
        <w:color w:val="EEB211"/>
        <w:sz w:val="32"/>
      </w:rPr>
    </w:lvl>
    <w:lvl w:ilvl="1" w:tplc="23D04494" w:tentative="1">
      <w:start w:val="1"/>
      <w:numFmt w:val="bullet"/>
      <w:lvlText w:val="o"/>
      <w:lvlJc w:val="left"/>
      <w:pPr>
        <w:tabs>
          <w:tab w:val="num" w:pos="1440"/>
        </w:tabs>
        <w:ind w:left="1440" w:hanging="360"/>
      </w:pPr>
      <w:rPr>
        <w:rFonts w:ascii="Courier New" w:hAnsi="Courier New" w:cs="Wingdings" w:hint="default"/>
      </w:rPr>
    </w:lvl>
    <w:lvl w:ilvl="2" w:tplc="6E80AE8C" w:tentative="1">
      <w:start w:val="1"/>
      <w:numFmt w:val="bullet"/>
      <w:lvlText w:val=""/>
      <w:lvlJc w:val="left"/>
      <w:pPr>
        <w:tabs>
          <w:tab w:val="num" w:pos="2160"/>
        </w:tabs>
        <w:ind w:left="2160" w:hanging="360"/>
      </w:pPr>
      <w:rPr>
        <w:rFonts w:ascii="Wingdings" w:hAnsi="Wingdings" w:hint="default"/>
      </w:rPr>
    </w:lvl>
    <w:lvl w:ilvl="3" w:tplc="B68A4F2E" w:tentative="1">
      <w:start w:val="1"/>
      <w:numFmt w:val="bullet"/>
      <w:lvlText w:val=""/>
      <w:lvlJc w:val="left"/>
      <w:pPr>
        <w:tabs>
          <w:tab w:val="num" w:pos="2880"/>
        </w:tabs>
        <w:ind w:left="2880" w:hanging="360"/>
      </w:pPr>
      <w:rPr>
        <w:rFonts w:ascii="Symbol" w:hAnsi="Symbol" w:hint="default"/>
      </w:rPr>
    </w:lvl>
    <w:lvl w:ilvl="4" w:tplc="F59855C6" w:tentative="1">
      <w:start w:val="1"/>
      <w:numFmt w:val="bullet"/>
      <w:lvlText w:val="o"/>
      <w:lvlJc w:val="left"/>
      <w:pPr>
        <w:tabs>
          <w:tab w:val="num" w:pos="3600"/>
        </w:tabs>
        <w:ind w:left="3600" w:hanging="360"/>
      </w:pPr>
      <w:rPr>
        <w:rFonts w:ascii="Courier New" w:hAnsi="Courier New" w:cs="Wingdings" w:hint="default"/>
      </w:rPr>
    </w:lvl>
    <w:lvl w:ilvl="5" w:tplc="231C2B90" w:tentative="1">
      <w:start w:val="1"/>
      <w:numFmt w:val="bullet"/>
      <w:lvlText w:val=""/>
      <w:lvlJc w:val="left"/>
      <w:pPr>
        <w:tabs>
          <w:tab w:val="num" w:pos="4320"/>
        </w:tabs>
        <w:ind w:left="4320" w:hanging="360"/>
      </w:pPr>
      <w:rPr>
        <w:rFonts w:ascii="Wingdings" w:hAnsi="Wingdings" w:hint="default"/>
      </w:rPr>
    </w:lvl>
    <w:lvl w:ilvl="6" w:tplc="B9A6BA0C" w:tentative="1">
      <w:start w:val="1"/>
      <w:numFmt w:val="bullet"/>
      <w:lvlText w:val=""/>
      <w:lvlJc w:val="left"/>
      <w:pPr>
        <w:tabs>
          <w:tab w:val="num" w:pos="5040"/>
        </w:tabs>
        <w:ind w:left="5040" w:hanging="360"/>
      </w:pPr>
      <w:rPr>
        <w:rFonts w:ascii="Symbol" w:hAnsi="Symbol" w:hint="default"/>
      </w:rPr>
    </w:lvl>
    <w:lvl w:ilvl="7" w:tplc="D9A87C10" w:tentative="1">
      <w:start w:val="1"/>
      <w:numFmt w:val="bullet"/>
      <w:lvlText w:val="o"/>
      <w:lvlJc w:val="left"/>
      <w:pPr>
        <w:tabs>
          <w:tab w:val="num" w:pos="5760"/>
        </w:tabs>
        <w:ind w:left="5760" w:hanging="360"/>
      </w:pPr>
      <w:rPr>
        <w:rFonts w:ascii="Courier New" w:hAnsi="Courier New" w:cs="Wingdings" w:hint="default"/>
      </w:rPr>
    </w:lvl>
    <w:lvl w:ilvl="8" w:tplc="16B4647C"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D3D1A4F"/>
    <w:multiLevelType w:val="hybridMultilevel"/>
    <w:tmpl w:val="8606184E"/>
    <w:lvl w:ilvl="0" w:tplc="35520E32">
      <w:start w:val="1"/>
      <w:numFmt w:val="bullet"/>
      <w:pStyle w:val="ListContinue6"/>
      <w:lvlText w:val=""/>
      <w:lvlJc w:val="left"/>
      <w:pPr>
        <w:tabs>
          <w:tab w:val="num" w:pos="2968"/>
        </w:tabs>
        <w:ind w:left="2968" w:hanging="2835"/>
      </w:pPr>
      <w:rPr>
        <w:rFonts w:ascii="Symbol" w:hAnsi="Symbol" w:hint="default"/>
        <w:b w:val="0"/>
        <w:i w:val="0"/>
        <w:color w:val="00B274"/>
        <w:sz w:val="32"/>
      </w:rPr>
    </w:lvl>
    <w:lvl w:ilvl="1" w:tplc="E8D28288" w:tentative="1">
      <w:start w:val="1"/>
      <w:numFmt w:val="bullet"/>
      <w:lvlText w:val="o"/>
      <w:lvlJc w:val="left"/>
      <w:pPr>
        <w:tabs>
          <w:tab w:val="num" w:pos="2855"/>
        </w:tabs>
        <w:ind w:left="2855" w:hanging="360"/>
      </w:pPr>
      <w:rPr>
        <w:rFonts w:ascii="Courier New" w:hAnsi="Courier New" w:cs="Wingdings" w:hint="default"/>
      </w:rPr>
    </w:lvl>
    <w:lvl w:ilvl="2" w:tplc="1226A236" w:tentative="1">
      <w:start w:val="1"/>
      <w:numFmt w:val="bullet"/>
      <w:lvlText w:val=""/>
      <w:lvlJc w:val="left"/>
      <w:pPr>
        <w:tabs>
          <w:tab w:val="num" w:pos="3575"/>
        </w:tabs>
        <w:ind w:left="3575" w:hanging="360"/>
      </w:pPr>
      <w:rPr>
        <w:rFonts w:ascii="Wingdings" w:hAnsi="Wingdings" w:hint="default"/>
      </w:rPr>
    </w:lvl>
    <w:lvl w:ilvl="3" w:tplc="7F3EEBB8" w:tentative="1">
      <w:start w:val="1"/>
      <w:numFmt w:val="bullet"/>
      <w:lvlText w:val=""/>
      <w:lvlJc w:val="left"/>
      <w:pPr>
        <w:tabs>
          <w:tab w:val="num" w:pos="4295"/>
        </w:tabs>
        <w:ind w:left="4295" w:hanging="360"/>
      </w:pPr>
      <w:rPr>
        <w:rFonts w:ascii="Symbol" w:hAnsi="Symbol" w:hint="default"/>
      </w:rPr>
    </w:lvl>
    <w:lvl w:ilvl="4" w:tplc="BAE22870" w:tentative="1">
      <w:start w:val="1"/>
      <w:numFmt w:val="bullet"/>
      <w:lvlText w:val="o"/>
      <w:lvlJc w:val="left"/>
      <w:pPr>
        <w:tabs>
          <w:tab w:val="num" w:pos="5015"/>
        </w:tabs>
        <w:ind w:left="5015" w:hanging="360"/>
      </w:pPr>
      <w:rPr>
        <w:rFonts w:ascii="Courier New" w:hAnsi="Courier New" w:cs="Wingdings" w:hint="default"/>
      </w:rPr>
    </w:lvl>
    <w:lvl w:ilvl="5" w:tplc="9354A5D4" w:tentative="1">
      <w:start w:val="1"/>
      <w:numFmt w:val="bullet"/>
      <w:lvlText w:val=""/>
      <w:lvlJc w:val="left"/>
      <w:pPr>
        <w:tabs>
          <w:tab w:val="num" w:pos="5735"/>
        </w:tabs>
        <w:ind w:left="5735" w:hanging="360"/>
      </w:pPr>
      <w:rPr>
        <w:rFonts w:ascii="Wingdings" w:hAnsi="Wingdings" w:hint="default"/>
      </w:rPr>
    </w:lvl>
    <w:lvl w:ilvl="6" w:tplc="34B20C2A" w:tentative="1">
      <w:start w:val="1"/>
      <w:numFmt w:val="bullet"/>
      <w:lvlText w:val=""/>
      <w:lvlJc w:val="left"/>
      <w:pPr>
        <w:tabs>
          <w:tab w:val="num" w:pos="6455"/>
        </w:tabs>
        <w:ind w:left="6455" w:hanging="360"/>
      </w:pPr>
      <w:rPr>
        <w:rFonts w:ascii="Symbol" w:hAnsi="Symbol" w:hint="default"/>
      </w:rPr>
    </w:lvl>
    <w:lvl w:ilvl="7" w:tplc="FE5A870A" w:tentative="1">
      <w:start w:val="1"/>
      <w:numFmt w:val="bullet"/>
      <w:lvlText w:val="o"/>
      <w:lvlJc w:val="left"/>
      <w:pPr>
        <w:tabs>
          <w:tab w:val="num" w:pos="7175"/>
        </w:tabs>
        <w:ind w:left="7175" w:hanging="360"/>
      </w:pPr>
      <w:rPr>
        <w:rFonts w:ascii="Courier New" w:hAnsi="Courier New" w:cs="Wingdings" w:hint="default"/>
      </w:rPr>
    </w:lvl>
    <w:lvl w:ilvl="8" w:tplc="19B69DDC" w:tentative="1">
      <w:start w:val="1"/>
      <w:numFmt w:val="bullet"/>
      <w:lvlText w:val=""/>
      <w:lvlJc w:val="left"/>
      <w:pPr>
        <w:tabs>
          <w:tab w:val="num" w:pos="7895"/>
        </w:tabs>
        <w:ind w:left="7895" w:hanging="360"/>
      </w:pPr>
      <w:rPr>
        <w:rFonts w:ascii="Wingdings" w:hAnsi="Wingdings" w:hint="default"/>
      </w:rPr>
    </w:lvl>
  </w:abstractNum>
  <w:abstractNum w:abstractNumId="8" w15:restartNumberingAfterBreak="0">
    <w:nsid w:val="0F0855C0"/>
    <w:multiLevelType w:val="hybridMultilevel"/>
    <w:tmpl w:val="D4BEFFF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45E041D"/>
    <w:multiLevelType w:val="hybridMultilevel"/>
    <w:tmpl w:val="D7AA1D1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5A74B7E"/>
    <w:multiLevelType w:val="multilevel"/>
    <w:tmpl w:val="08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1D656FF6"/>
    <w:multiLevelType w:val="hybridMultilevel"/>
    <w:tmpl w:val="1DD0374A"/>
    <w:lvl w:ilvl="0" w:tplc="C0586B34">
      <w:start w:val="1"/>
      <w:numFmt w:val="bullet"/>
      <w:pStyle w:val="ListBullet4"/>
      <w:lvlText w:val=""/>
      <w:lvlJc w:val="left"/>
      <w:pPr>
        <w:tabs>
          <w:tab w:val="num" w:pos="2835"/>
        </w:tabs>
        <w:ind w:left="2835" w:hanging="2835"/>
      </w:pPr>
      <w:rPr>
        <w:rFonts w:ascii="Symbol" w:hAnsi="Symbol" w:hint="default"/>
        <w:b w:val="0"/>
        <w:i w:val="0"/>
        <w:color w:val="EEB211"/>
        <w:sz w:val="32"/>
      </w:rPr>
    </w:lvl>
    <w:lvl w:ilvl="1" w:tplc="2BB2A476" w:tentative="1">
      <w:start w:val="1"/>
      <w:numFmt w:val="bullet"/>
      <w:lvlText w:val="o"/>
      <w:lvlJc w:val="left"/>
      <w:pPr>
        <w:tabs>
          <w:tab w:val="num" w:pos="1440"/>
        </w:tabs>
        <w:ind w:left="1440" w:hanging="360"/>
      </w:pPr>
      <w:rPr>
        <w:rFonts w:ascii="Courier New" w:hAnsi="Courier New" w:cs="Wingdings" w:hint="default"/>
      </w:rPr>
    </w:lvl>
    <w:lvl w:ilvl="2" w:tplc="C0E6DEC4" w:tentative="1">
      <w:start w:val="1"/>
      <w:numFmt w:val="bullet"/>
      <w:lvlText w:val=""/>
      <w:lvlJc w:val="left"/>
      <w:pPr>
        <w:tabs>
          <w:tab w:val="num" w:pos="2160"/>
        </w:tabs>
        <w:ind w:left="2160" w:hanging="360"/>
      </w:pPr>
      <w:rPr>
        <w:rFonts w:ascii="Wingdings" w:hAnsi="Wingdings" w:hint="default"/>
      </w:rPr>
    </w:lvl>
    <w:lvl w:ilvl="3" w:tplc="B478F992" w:tentative="1">
      <w:start w:val="1"/>
      <w:numFmt w:val="bullet"/>
      <w:lvlText w:val=""/>
      <w:lvlJc w:val="left"/>
      <w:pPr>
        <w:tabs>
          <w:tab w:val="num" w:pos="2880"/>
        </w:tabs>
        <w:ind w:left="2880" w:hanging="360"/>
      </w:pPr>
      <w:rPr>
        <w:rFonts w:ascii="Symbol" w:hAnsi="Symbol" w:hint="default"/>
      </w:rPr>
    </w:lvl>
    <w:lvl w:ilvl="4" w:tplc="F7ECA076" w:tentative="1">
      <w:start w:val="1"/>
      <w:numFmt w:val="bullet"/>
      <w:lvlText w:val="o"/>
      <w:lvlJc w:val="left"/>
      <w:pPr>
        <w:tabs>
          <w:tab w:val="num" w:pos="3600"/>
        </w:tabs>
        <w:ind w:left="3600" w:hanging="360"/>
      </w:pPr>
      <w:rPr>
        <w:rFonts w:ascii="Courier New" w:hAnsi="Courier New" w:cs="Wingdings" w:hint="default"/>
      </w:rPr>
    </w:lvl>
    <w:lvl w:ilvl="5" w:tplc="7D78F700" w:tentative="1">
      <w:start w:val="1"/>
      <w:numFmt w:val="bullet"/>
      <w:lvlText w:val=""/>
      <w:lvlJc w:val="left"/>
      <w:pPr>
        <w:tabs>
          <w:tab w:val="num" w:pos="4320"/>
        </w:tabs>
        <w:ind w:left="4320" w:hanging="360"/>
      </w:pPr>
      <w:rPr>
        <w:rFonts w:ascii="Wingdings" w:hAnsi="Wingdings" w:hint="default"/>
      </w:rPr>
    </w:lvl>
    <w:lvl w:ilvl="6" w:tplc="7A02FCFA" w:tentative="1">
      <w:start w:val="1"/>
      <w:numFmt w:val="bullet"/>
      <w:lvlText w:val=""/>
      <w:lvlJc w:val="left"/>
      <w:pPr>
        <w:tabs>
          <w:tab w:val="num" w:pos="5040"/>
        </w:tabs>
        <w:ind w:left="5040" w:hanging="360"/>
      </w:pPr>
      <w:rPr>
        <w:rFonts w:ascii="Symbol" w:hAnsi="Symbol" w:hint="default"/>
      </w:rPr>
    </w:lvl>
    <w:lvl w:ilvl="7" w:tplc="8EB07C18" w:tentative="1">
      <w:start w:val="1"/>
      <w:numFmt w:val="bullet"/>
      <w:lvlText w:val="o"/>
      <w:lvlJc w:val="left"/>
      <w:pPr>
        <w:tabs>
          <w:tab w:val="num" w:pos="5760"/>
        </w:tabs>
        <w:ind w:left="5760" w:hanging="360"/>
      </w:pPr>
      <w:rPr>
        <w:rFonts w:ascii="Courier New" w:hAnsi="Courier New" w:cs="Wingdings" w:hint="default"/>
      </w:rPr>
    </w:lvl>
    <w:lvl w:ilvl="8" w:tplc="1152B58A"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AD02B91"/>
    <w:multiLevelType w:val="multilevel"/>
    <w:tmpl w:val="0C4062CE"/>
    <w:lvl w:ilvl="0">
      <w:start w:val="1"/>
      <w:numFmt w:val="decimal"/>
      <w:pStyle w:val="ListNumb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2FF202C8"/>
    <w:multiLevelType w:val="hybridMultilevel"/>
    <w:tmpl w:val="A5E6DF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3C54DF9"/>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374C0BD4"/>
    <w:multiLevelType w:val="hybridMultilevel"/>
    <w:tmpl w:val="B9405604"/>
    <w:lvl w:ilvl="0" w:tplc="814CE6F2">
      <w:start w:val="1"/>
      <w:numFmt w:val="bullet"/>
      <w:pStyle w:val="ListBullet5"/>
      <w:lvlText w:val=""/>
      <w:lvlJc w:val="left"/>
      <w:pPr>
        <w:tabs>
          <w:tab w:val="num" w:pos="2835"/>
        </w:tabs>
        <w:ind w:left="2835" w:hanging="2835"/>
      </w:pPr>
      <w:rPr>
        <w:rFonts w:ascii="Symbol" w:hAnsi="Symbol" w:hint="default"/>
        <w:b w:val="0"/>
        <w:i w:val="0"/>
        <w:color w:val="00B274"/>
        <w:sz w:val="32"/>
      </w:rPr>
    </w:lvl>
    <w:lvl w:ilvl="1" w:tplc="5640548C" w:tentative="1">
      <w:start w:val="1"/>
      <w:numFmt w:val="bullet"/>
      <w:lvlText w:val="o"/>
      <w:lvlJc w:val="left"/>
      <w:pPr>
        <w:tabs>
          <w:tab w:val="num" w:pos="1440"/>
        </w:tabs>
        <w:ind w:left="1440" w:hanging="360"/>
      </w:pPr>
      <w:rPr>
        <w:rFonts w:ascii="Courier New" w:hAnsi="Courier New" w:cs="Wingdings" w:hint="default"/>
      </w:rPr>
    </w:lvl>
    <w:lvl w:ilvl="2" w:tplc="12E05CFC" w:tentative="1">
      <w:start w:val="1"/>
      <w:numFmt w:val="bullet"/>
      <w:lvlText w:val=""/>
      <w:lvlJc w:val="left"/>
      <w:pPr>
        <w:tabs>
          <w:tab w:val="num" w:pos="2160"/>
        </w:tabs>
        <w:ind w:left="2160" w:hanging="360"/>
      </w:pPr>
      <w:rPr>
        <w:rFonts w:ascii="Wingdings" w:hAnsi="Wingdings" w:hint="default"/>
      </w:rPr>
    </w:lvl>
    <w:lvl w:ilvl="3" w:tplc="C88C389E" w:tentative="1">
      <w:start w:val="1"/>
      <w:numFmt w:val="bullet"/>
      <w:lvlText w:val=""/>
      <w:lvlJc w:val="left"/>
      <w:pPr>
        <w:tabs>
          <w:tab w:val="num" w:pos="2880"/>
        </w:tabs>
        <w:ind w:left="2880" w:hanging="360"/>
      </w:pPr>
      <w:rPr>
        <w:rFonts w:ascii="Symbol" w:hAnsi="Symbol" w:hint="default"/>
      </w:rPr>
    </w:lvl>
    <w:lvl w:ilvl="4" w:tplc="853E1428" w:tentative="1">
      <w:start w:val="1"/>
      <w:numFmt w:val="bullet"/>
      <w:lvlText w:val="o"/>
      <w:lvlJc w:val="left"/>
      <w:pPr>
        <w:tabs>
          <w:tab w:val="num" w:pos="3600"/>
        </w:tabs>
        <w:ind w:left="3600" w:hanging="360"/>
      </w:pPr>
      <w:rPr>
        <w:rFonts w:ascii="Courier New" w:hAnsi="Courier New" w:cs="Wingdings" w:hint="default"/>
      </w:rPr>
    </w:lvl>
    <w:lvl w:ilvl="5" w:tplc="CAD25856" w:tentative="1">
      <w:start w:val="1"/>
      <w:numFmt w:val="bullet"/>
      <w:lvlText w:val=""/>
      <w:lvlJc w:val="left"/>
      <w:pPr>
        <w:tabs>
          <w:tab w:val="num" w:pos="4320"/>
        </w:tabs>
        <w:ind w:left="4320" w:hanging="360"/>
      </w:pPr>
      <w:rPr>
        <w:rFonts w:ascii="Wingdings" w:hAnsi="Wingdings" w:hint="default"/>
      </w:rPr>
    </w:lvl>
    <w:lvl w:ilvl="6" w:tplc="56488116" w:tentative="1">
      <w:start w:val="1"/>
      <w:numFmt w:val="bullet"/>
      <w:lvlText w:val=""/>
      <w:lvlJc w:val="left"/>
      <w:pPr>
        <w:tabs>
          <w:tab w:val="num" w:pos="5040"/>
        </w:tabs>
        <w:ind w:left="5040" w:hanging="360"/>
      </w:pPr>
      <w:rPr>
        <w:rFonts w:ascii="Symbol" w:hAnsi="Symbol" w:hint="default"/>
      </w:rPr>
    </w:lvl>
    <w:lvl w:ilvl="7" w:tplc="AFC8058E" w:tentative="1">
      <w:start w:val="1"/>
      <w:numFmt w:val="bullet"/>
      <w:lvlText w:val="o"/>
      <w:lvlJc w:val="left"/>
      <w:pPr>
        <w:tabs>
          <w:tab w:val="num" w:pos="5760"/>
        </w:tabs>
        <w:ind w:left="5760" w:hanging="360"/>
      </w:pPr>
      <w:rPr>
        <w:rFonts w:ascii="Courier New" w:hAnsi="Courier New" w:cs="Wingdings" w:hint="default"/>
      </w:rPr>
    </w:lvl>
    <w:lvl w:ilvl="8" w:tplc="926E013A"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ABE3989"/>
    <w:multiLevelType w:val="hybridMultilevel"/>
    <w:tmpl w:val="86F4E5A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B541BD9"/>
    <w:multiLevelType w:val="hybridMultilevel"/>
    <w:tmpl w:val="F00ED9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6D44DA0"/>
    <w:multiLevelType w:val="hybridMultilevel"/>
    <w:tmpl w:val="86F4E5A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DC5215B"/>
    <w:multiLevelType w:val="hybridMultilevel"/>
    <w:tmpl w:val="FF96C85C"/>
    <w:lvl w:ilvl="0" w:tplc="4DD69928">
      <w:start w:val="1"/>
      <w:numFmt w:val="bullet"/>
      <w:pStyle w:val="ListContinue4"/>
      <w:lvlText w:val=""/>
      <w:lvlJc w:val="left"/>
      <w:pPr>
        <w:tabs>
          <w:tab w:val="num" w:pos="3967"/>
        </w:tabs>
        <w:ind w:left="3967" w:hanging="2835"/>
      </w:pPr>
      <w:rPr>
        <w:rFonts w:ascii="Symbol" w:hAnsi="Symbol" w:hint="default"/>
        <w:b w:val="0"/>
        <w:i w:val="0"/>
        <w:color w:val="B30838"/>
        <w:sz w:val="32"/>
      </w:rPr>
    </w:lvl>
    <w:lvl w:ilvl="1" w:tplc="2696A49E" w:tentative="1">
      <w:start w:val="1"/>
      <w:numFmt w:val="bullet"/>
      <w:lvlText w:val="o"/>
      <w:lvlJc w:val="left"/>
      <w:pPr>
        <w:tabs>
          <w:tab w:val="num" w:pos="2572"/>
        </w:tabs>
        <w:ind w:left="2572" w:hanging="360"/>
      </w:pPr>
      <w:rPr>
        <w:rFonts w:ascii="Courier New" w:hAnsi="Courier New" w:cs="Wingdings" w:hint="default"/>
      </w:rPr>
    </w:lvl>
    <w:lvl w:ilvl="2" w:tplc="F3664ED2" w:tentative="1">
      <w:start w:val="1"/>
      <w:numFmt w:val="bullet"/>
      <w:lvlText w:val=""/>
      <w:lvlJc w:val="left"/>
      <w:pPr>
        <w:tabs>
          <w:tab w:val="num" w:pos="3292"/>
        </w:tabs>
        <w:ind w:left="3292" w:hanging="360"/>
      </w:pPr>
      <w:rPr>
        <w:rFonts w:ascii="Wingdings" w:hAnsi="Wingdings" w:hint="default"/>
      </w:rPr>
    </w:lvl>
    <w:lvl w:ilvl="3" w:tplc="291EEC8C" w:tentative="1">
      <w:start w:val="1"/>
      <w:numFmt w:val="bullet"/>
      <w:lvlText w:val=""/>
      <w:lvlJc w:val="left"/>
      <w:pPr>
        <w:tabs>
          <w:tab w:val="num" w:pos="4012"/>
        </w:tabs>
        <w:ind w:left="4012" w:hanging="360"/>
      </w:pPr>
      <w:rPr>
        <w:rFonts w:ascii="Symbol" w:hAnsi="Symbol" w:hint="default"/>
      </w:rPr>
    </w:lvl>
    <w:lvl w:ilvl="4" w:tplc="7B062576" w:tentative="1">
      <w:start w:val="1"/>
      <w:numFmt w:val="bullet"/>
      <w:lvlText w:val="o"/>
      <w:lvlJc w:val="left"/>
      <w:pPr>
        <w:tabs>
          <w:tab w:val="num" w:pos="4732"/>
        </w:tabs>
        <w:ind w:left="4732" w:hanging="360"/>
      </w:pPr>
      <w:rPr>
        <w:rFonts w:ascii="Courier New" w:hAnsi="Courier New" w:cs="Wingdings" w:hint="default"/>
      </w:rPr>
    </w:lvl>
    <w:lvl w:ilvl="5" w:tplc="9612C70E" w:tentative="1">
      <w:start w:val="1"/>
      <w:numFmt w:val="bullet"/>
      <w:lvlText w:val=""/>
      <w:lvlJc w:val="left"/>
      <w:pPr>
        <w:tabs>
          <w:tab w:val="num" w:pos="5452"/>
        </w:tabs>
        <w:ind w:left="5452" w:hanging="360"/>
      </w:pPr>
      <w:rPr>
        <w:rFonts w:ascii="Wingdings" w:hAnsi="Wingdings" w:hint="default"/>
      </w:rPr>
    </w:lvl>
    <w:lvl w:ilvl="6" w:tplc="0F5C967C" w:tentative="1">
      <w:start w:val="1"/>
      <w:numFmt w:val="bullet"/>
      <w:lvlText w:val=""/>
      <w:lvlJc w:val="left"/>
      <w:pPr>
        <w:tabs>
          <w:tab w:val="num" w:pos="6172"/>
        </w:tabs>
        <w:ind w:left="6172" w:hanging="360"/>
      </w:pPr>
      <w:rPr>
        <w:rFonts w:ascii="Symbol" w:hAnsi="Symbol" w:hint="default"/>
      </w:rPr>
    </w:lvl>
    <w:lvl w:ilvl="7" w:tplc="921CBC4E" w:tentative="1">
      <w:start w:val="1"/>
      <w:numFmt w:val="bullet"/>
      <w:lvlText w:val="o"/>
      <w:lvlJc w:val="left"/>
      <w:pPr>
        <w:tabs>
          <w:tab w:val="num" w:pos="6892"/>
        </w:tabs>
        <w:ind w:left="6892" w:hanging="360"/>
      </w:pPr>
      <w:rPr>
        <w:rFonts w:ascii="Courier New" w:hAnsi="Courier New" w:cs="Wingdings" w:hint="default"/>
      </w:rPr>
    </w:lvl>
    <w:lvl w:ilvl="8" w:tplc="927E8ED6" w:tentative="1">
      <w:start w:val="1"/>
      <w:numFmt w:val="bullet"/>
      <w:lvlText w:val=""/>
      <w:lvlJc w:val="left"/>
      <w:pPr>
        <w:tabs>
          <w:tab w:val="num" w:pos="7612"/>
        </w:tabs>
        <w:ind w:left="7612" w:hanging="360"/>
      </w:pPr>
      <w:rPr>
        <w:rFonts w:ascii="Wingdings" w:hAnsi="Wingdings" w:hint="default"/>
      </w:rPr>
    </w:lvl>
  </w:abstractNum>
  <w:abstractNum w:abstractNumId="20" w15:restartNumberingAfterBreak="0">
    <w:nsid w:val="5E1B7C4A"/>
    <w:multiLevelType w:val="multilevel"/>
    <w:tmpl w:val="0B54E628"/>
    <w:lvl w:ilvl="0">
      <w:start w:val="1"/>
      <w:numFmt w:val="upperLetter"/>
      <w:pStyle w:val="ListNumber2"/>
      <w:lvlText w:val="%1"/>
      <w:lvlJc w:val="left"/>
      <w:pPr>
        <w:tabs>
          <w:tab w:val="num" w:pos="397"/>
        </w:tabs>
        <w:ind w:left="397" w:hanging="397"/>
      </w:pPr>
      <w:rPr>
        <w:rFonts w:ascii="Tahoma" w:hAnsi="Tahoma" w:hint="default"/>
        <w:b/>
        <w:i w:val="0"/>
        <w:color w:val="00B274"/>
        <w:sz w:val="24"/>
      </w:rPr>
    </w:lvl>
    <w:lvl w:ilvl="1">
      <w:start w:val="1"/>
      <w:numFmt w:val="lowerLetter"/>
      <w:lvlText w:val="%2"/>
      <w:lvlJc w:val="left"/>
      <w:pPr>
        <w:tabs>
          <w:tab w:val="num" w:pos="567"/>
        </w:tabs>
        <w:ind w:left="567" w:hanging="567"/>
      </w:pPr>
      <w:rPr>
        <w:rFonts w:ascii="Tahoma" w:hAnsi="Tahoma" w:hint="default"/>
        <w:b/>
        <w:i w:val="0"/>
        <w:sz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5EFB047E"/>
    <w:multiLevelType w:val="hybridMultilevel"/>
    <w:tmpl w:val="D80AB038"/>
    <w:lvl w:ilvl="0" w:tplc="A342973A">
      <w:start w:val="1"/>
      <w:numFmt w:val="bullet"/>
      <w:pStyle w:val="ListContinue2"/>
      <w:lvlText w:val=""/>
      <w:lvlJc w:val="left"/>
      <w:pPr>
        <w:tabs>
          <w:tab w:val="num" w:pos="284"/>
        </w:tabs>
        <w:ind w:left="284" w:hanging="284"/>
      </w:pPr>
      <w:rPr>
        <w:rFonts w:ascii="Symbol" w:hAnsi="Symbol" w:hint="default"/>
        <w:color w:val="008576"/>
        <w:sz w:val="32"/>
      </w:rPr>
    </w:lvl>
    <w:lvl w:ilvl="1" w:tplc="395A8240" w:tentative="1">
      <w:start w:val="1"/>
      <w:numFmt w:val="bullet"/>
      <w:lvlText w:val="o"/>
      <w:lvlJc w:val="left"/>
      <w:pPr>
        <w:tabs>
          <w:tab w:val="num" w:pos="1440"/>
        </w:tabs>
        <w:ind w:left="1440" w:hanging="360"/>
      </w:pPr>
      <w:rPr>
        <w:rFonts w:ascii="Courier New" w:hAnsi="Courier New" w:cs="Wingdings" w:hint="default"/>
      </w:rPr>
    </w:lvl>
    <w:lvl w:ilvl="2" w:tplc="641C16E0" w:tentative="1">
      <w:start w:val="1"/>
      <w:numFmt w:val="bullet"/>
      <w:lvlText w:val=""/>
      <w:lvlJc w:val="left"/>
      <w:pPr>
        <w:tabs>
          <w:tab w:val="num" w:pos="2160"/>
        </w:tabs>
        <w:ind w:left="2160" w:hanging="360"/>
      </w:pPr>
      <w:rPr>
        <w:rFonts w:ascii="Wingdings" w:hAnsi="Wingdings" w:hint="default"/>
      </w:rPr>
    </w:lvl>
    <w:lvl w:ilvl="3" w:tplc="0554BEE4" w:tentative="1">
      <w:start w:val="1"/>
      <w:numFmt w:val="bullet"/>
      <w:lvlText w:val=""/>
      <w:lvlJc w:val="left"/>
      <w:pPr>
        <w:tabs>
          <w:tab w:val="num" w:pos="2880"/>
        </w:tabs>
        <w:ind w:left="2880" w:hanging="360"/>
      </w:pPr>
      <w:rPr>
        <w:rFonts w:ascii="Symbol" w:hAnsi="Symbol" w:hint="default"/>
      </w:rPr>
    </w:lvl>
    <w:lvl w:ilvl="4" w:tplc="B7D4CEA2" w:tentative="1">
      <w:start w:val="1"/>
      <w:numFmt w:val="bullet"/>
      <w:lvlText w:val="o"/>
      <w:lvlJc w:val="left"/>
      <w:pPr>
        <w:tabs>
          <w:tab w:val="num" w:pos="3600"/>
        </w:tabs>
        <w:ind w:left="3600" w:hanging="360"/>
      </w:pPr>
      <w:rPr>
        <w:rFonts w:ascii="Courier New" w:hAnsi="Courier New" w:cs="Wingdings" w:hint="default"/>
      </w:rPr>
    </w:lvl>
    <w:lvl w:ilvl="5" w:tplc="C852839C" w:tentative="1">
      <w:start w:val="1"/>
      <w:numFmt w:val="bullet"/>
      <w:lvlText w:val=""/>
      <w:lvlJc w:val="left"/>
      <w:pPr>
        <w:tabs>
          <w:tab w:val="num" w:pos="4320"/>
        </w:tabs>
        <w:ind w:left="4320" w:hanging="360"/>
      </w:pPr>
      <w:rPr>
        <w:rFonts w:ascii="Wingdings" w:hAnsi="Wingdings" w:hint="default"/>
      </w:rPr>
    </w:lvl>
    <w:lvl w:ilvl="6" w:tplc="914448B6" w:tentative="1">
      <w:start w:val="1"/>
      <w:numFmt w:val="bullet"/>
      <w:lvlText w:val=""/>
      <w:lvlJc w:val="left"/>
      <w:pPr>
        <w:tabs>
          <w:tab w:val="num" w:pos="5040"/>
        </w:tabs>
        <w:ind w:left="5040" w:hanging="360"/>
      </w:pPr>
      <w:rPr>
        <w:rFonts w:ascii="Symbol" w:hAnsi="Symbol" w:hint="default"/>
      </w:rPr>
    </w:lvl>
    <w:lvl w:ilvl="7" w:tplc="F0B87B7C" w:tentative="1">
      <w:start w:val="1"/>
      <w:numFmt w:val="bullet"/>
      <w:lvlText w:val="o"/>
      <w:lvlJc w:val="left"/>
      <w:pPr>
        <w:tabs>
          <w:tab w:val="num" w:pos="5760"/>
        </w:tabs>
        <w:ind w:left="5760" w:hanging="360"/>
      </w:pPr>
      <w:rPr>
        <w:rFonts w:ascii="Courier New" w:hAnsi="Courier New" w:cs="Wingdings" w:hint="default"/>
      </w:rPr>
    </w:lvl>
    <w:lvl w:ilvl="8" w:tplc="A8926530"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1111CDF"/>
    <w:multiLevelType w:val="multilevel"/>
    <w:tmpl w:val="08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15:restartNumberingAfterBreak="0">
    <w:nsid w:val="636B5298"/>
    <w:multiLevelType w:val="hybridMultilevel"/>
    <w:tmpl w:val="A7D658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37C59D8"/>
    <w:multiLevelType w:val="hybridMultilevel"/>
    <w:tmpl w:val="E0FE30C4"/>
    <w:lvl w:ilvl="0" w:tplc="72DAAB02">
      <w:start w:val="1"/>
      <w:numFmt w:val="bullet"/>
      <w:pStyle w:val="ListBullet3"/>
      <w:lvlText w:val=""/>
      <w:lvlJc w:val="left"/>
      <w:pPr>
        <w:tabs>
          <w:tab w:val="num" w:pos="2835"/>
        </w:tabs>
        <w:ind w:left="2835" w:hanging="2835"/>
      </w:pPr>
      <w:rPr>
        <w:rFonts w:ascii="Symbol" w:hAnsi="Symbol" w:hint="default"/>
        <w:b w:val="0"/>
        <w:i w:val="0"/>
        <w:color w:val="B30838"/>
        <w:sz w:val="32"/>
      </w:rPr>
    </w:lvl>
    <w:lvl w:ilvl="1" w:tplc="118685B6" w:tentative="1">
      <w:start w:val="1"/>
      <w:numFmt w:val="bullet"/>
      <w:lvlText w:val="o"/>
      <w:lvlJc w:val="left"/>
      <w:pPr>
        <w:tabs>
          <w:tab w:val="num" w:pos="1440"/>
        </w:tabs>
        <w:ind w:left="1440" w:hanging="360"/>
      </w:pPr>
      <w:rPr>
        <w:rFonts w:ascii="Courier New" w:hAnsi="Courier New" w:cs="Wingdings" w:hint="default"/>
      </w:rPr>
    </w:lvl>
    <w:lvl w:ilvl="2" w:tplc="FCBC4258" w:tentative="1">
      <w:start w:val="1"/>
      <w:numFmt w:val="bullet"/>
      <w:lvlText w:val=""/>
      <w:lvlJc w:val="left"/>
      <w:pPr>
        <w:tabs>
          <w:tab w:val="num" w:pos="2160"/>
        </w:tabs>
        <w:ind w:left="2160" w:hanging="360"/>
      </w:pPr>
      <w:rPr>
        <w:rFonts w:ascii="Wingdings" w:hAnsi="Wingdings" w:hint="default"/>
      </w:rPr>
    </w:lvl>
    <w:lvl w:ilvl="3" w:tplc="A0F6869A" w:tentative="1">
      <w:start w:val="1"/>
      <w:numFmt w:val="bullet"/>
      <w:lvlText w:val=""/>
      <w:lvlJc w:val="left"/>
      <w:pPr>
        <w:tabs>
          <w:tab w:val="num" w:pos="2880"/>
        </w:tabs>
        <w:ind w:left="2880" w:hanging="360"/>
      </w:pPr>
      <w:rPr>
        <w:rFonts w:ascii="Symbol" w:hAnsi="Symbol" w:hint="default"/>
      </w:rPr>
    </w:lvl>
    <w:lvl w:ilvl="4" w:tplc="3B383C20" w:tentative="1">
      <w:start w:val="1"/>
      <w:numFmt w:val="bullet"/>
      <w:lvlText w:val="o"/>
      <w:lvlJc w:val="left"/>
      <w:pPr>
        <w:tabs>
          <w:tab w:val="num" w:pos="3600"/>
        </w:tabs>
        <w:ind w:left="3600" w:hanging="360"/>
      </w:pPr>
      <w:rPr>
        <w:rFonts w:ascii="Courier New" w:hAnsi="Courier New" w:cs="Wingdings" w:hint="default"/>
      </w:rPr>
    </w:lvl>
    <w:lvl w:ilvl="5" w:tplc="E9BA0D3E" w:tentative="1">
      <w:start w:val="1"/>
      <w:numFmt w:val="bullet"/>
      <w:lvlText w:val=""/>
      <w:lvlJc w:val="left"/>
      <w:pPr>
        <w:tabs>
          <w:tab w:val="num" w:pos="4320"/>
        </w:tabs>
        <w:ind w:left="4320" w:hanging="360"/>
      </w:pPr>
      <w:rPr>
        <w:rFonts w:ascii="Wingdings" w:hAnsi="Wingdings" w:hint="default"/>
      </w:rPr>
    </w:lvl>
    <w:lvl w:ilvl="6" w:tplc="62E8E238" w:tentative="1">
      <w:start w:val="1"/>
      <w:numFmt w:val="bullet"/>
      <w:lvlText w:val=""/>
      <w:lvlJc w:val="left"/>
      <w:pPr>
        <w:tabs>
          <w:tab w:val="num" w:pos="5040"/>
        </w:tabs>
        <w:ind w:left="5040" w:hanging="360"/>
      </w:pPr>
      <w:rPr>
        <w:rFonts w:ascii="Symbol" w:hAnsi="Symbol" w:hint="default"/>
      </w:rPr>
    </w:lvl>
    <w:lvl w:ilvl="7" w:tplc="10B42B4E" w:tentative="1">
      <w:start w:val="1"/>
      <w:numFmt w:val="bullet"/>
      <w:lvlText w:val="o"/>
      <w:lvlJc w:val="left"/>
      <w:pPr>
        <w:tabs>
          <w:tab w:val="num" w:pos="5760"/>
        </w:tabs>
        <w:ind w:left="5760" w:hanging="360"/>
      </w:pPr>
      <w:rPr>
        <w:rFonts w:ascii="Courier New" w:hAnsi="Courier New" w:cs="Wingdings" w:hint="default"/>
      </w:rPr>
    </w:lvl>
    <w:lvl w:ilvl="8" w:tplc="B360E8AC"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5D601F1"/>
    <w:multiLevelType w:val="hybridMultilevel"/>
    <w:tmpl w:val="49DAA4A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7CC48B2"/>
    <w:multiLevelType w:val="hybridMultilevel"/>
    <w:tmpl w:val="21C6F2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C037C1A"/>
    <w:multiLevelType w:val="hybridMultilevel"/>
    <w:tmpl w:val="9048991A"/>
    <w:lvl w:ilvl="0" w:tplc="0809000F">
      <w:start w:val="1"/>
      <w:numFmt w:val="decimal"/>
      <w:lvlText w:val="%1."/>
      <w:lvlJc w:val="left"/>
      <w:pPr>
        <w:ind w:left="774" w:hanging="360"/>
      </w:pPr>
    </w:lvl>
    <w:lvl w:ilvl="1" w:tplc="08090019">
      <w:start w:val="1"/>
      <w:numFmt w:val="lowerLetter"/>
      <w:lvlText w:val="%2."/>
      <w:lvlJc w:val="left"/>
      <w:pPr>
        <w:ind w:left="1494" w:hanging="360"/>
      </w:pPr>
    </w:lvl>
    <w:lvl w:ilvl="2" w:tplc="0809001B">
      <w:start w:val="1"/>
      <w:numFmt w:val="lowerRoman"/>
      <w:lvlText w:val="%3."/>
      <w:lvlJc w:val="right"/>
      <w:pPr>
        <w:ind w:left="2214" w:hanging="180"/>
      </w:pPr>
    </w:lvl>
    <w:lvl w:ilvl="3" w:tplc="0809000F" w:tentative="1">
      <w:start w:val="1"/>
      <w:numFmt w:val="decimal"/>
      <w:lvlText w:val="%4."/>
      <w:lvlJc w:val="left"/>
      <w:pPr>
        <w:ind w:left="2934" w:hanging="360"/>
      </w:pPr>
    </w:lvl>
    <w:lvl w:ilvl="4" w:tplc="08090019" w:tentative="1">
      <w:start w:val="1"/>
      <w:numFmt w:val="lowerLetter"/>
      <w:lvlText w:val="%5."/>
      <w:lvlJc w:val="left"/>
      <w:pPr>
        <w:ind w:left="3654" w:hanging="360"/>
      </w:pPr>
    </w:lvl>
    <w:lvl w:ilvl="5" w:tplc="0809001B" w:tentative="1">
      <w:start w:val="1"/>
      <w:numFmt w:val="lowerRoman"/>
      <w:lvlText w:val="%6."/>
      <w:lvlJc w:val="right"/>
      <w:pPr>
        <w:ind w:left="4374" w:hanging="180"/>
      </w:pPr>
    </w:lvl>
    <w:lvl w:ilvl="6" w:tplc="0809000F" w:tentative="1">
      <w:start w:val="1"/>
      <w:numFmt w:val="decimal"/>
      <w:lvlText w:val="%7."/>
      <w:lvlJc w:val="left"/>
      <w:pPr>
        <w:ind w:left="5094" w:hanging="360"/>
      </w:pPr>
    </w:lvl>
    <w:lvl w:ilvl="7" w:tplc="08090019" w:tentative="1">
      <w:start w:val="1"/>
      <w:numFmt w:val="lowerLetter"/>
      <w:lvlText w:val="%8."/>
      <w:lvlJc w:val="left"/>
      <w:pPr>
        <w:ind w:left="5814" w:hanging="360"/>
      </w:pPr>
    </w:lvl>
    <w:lvl w:ilvl="8" w:tplc="0809001B" w:tentative="1">
      <w:start w:val="1"/>
      <w:numFmt w:val="lowerRoman"/>
      <w:lvlText w:val="%9."/>
      <w:lvlJc w:val="right"/>
      <w:pPr>
        <w:ind w:left="6534" w:hanging="180"/>
      </w:pPr>
    </w:lvl>
  </w:abstractNum>
  <w:abstractNum w:abstractNumId="28" w15:restartNumberingAfterBreak="0">
    <w:nsid w:val="76A86190"/>
    <w:multiLevelType w:val="multilevel"/>
    <w:tmpl w:val="B1A6CED0"/>
    <w:lvl w:ilvl="0">
      <w:start w:val="1"/>
      <w:numFmt w:val="bullet"/>
      <w:pStyle w:val="ListBullet2"/>
      <w:lvlText w:val=""/>
      <w:lvlJc w:val="left"/>
      <w:pPr>
        <w:tabs>
          <w:tab w:val="num" w:pos="284"/>
        </w:tabs>
        <w:ind w:left="284" w:hanging="284"/>
      </w:pPr>
      <w:rPr>
        <w:rFonts w:ascii="Symbol" w:hAnsi="Symbol" w:hint="default"/>
        <w:b w:val="0"/>
        <w:i w:val="0"/>
        <w:color w:val="008DA8"/>
        <w:sz w:val="20"/>
      </w:rPr>
    </w:lvl>
    <w:lvl w:ilvl="1">
      <w:start w:val="1"/>
      <w:numFmt w:val="bullet"/>
      <w:pStyle w:val="TableList"/>
      <w:lvlText w:val=""/>
      <w:lvlJc w:val="left"/>
      <w:pPr>
        <w:tabs>
          <w:tab w:val="num" w:pos="454"/>
        </w:tabs>
        <w:ind w:left="454" w:hanging="341"/>
      </w:pPr>
      <w:rPr>
        <w:rFonts w:ascii="Symbol" w:hAnsi="Symbol" w:hint="default"/>
        <w:b w:val="0"/>
        <w:i w:val="0"/>
        <w:color w:val="008DA8"/>
        <w:sz w:val="20"/>
      </w:rPr>
    </w:lvl>
    <w:lvl w:ilvl="2">
      <w:start w:val="1"/>
      <w:numFmt w:val="bullet"/>
      <w:lvlText w:val=""/>
      <w:lvlJc w:val="left"/>
      <w:pPr>
        <w:tabs>
          <w:tab w:val="num" w:pos="737"/>
        </w:tabs>
        <w:ind w:left="737" w:hanging="283"/>
      </w:pPr>
      <w:rPr>
        <w:rFonts w:ascii="Symbol" w:hAnsi="Symbol" w:hint="default"/>
        <w:b w:val="0"/>
        <w:i w:val="0"/>
        <w:color w:val="008DA8"/>
        <w:sz w:val="20"/>
      </w:rPr>
    </w:lvl>
    <w:lvl w:ilvl="3">
      <w:start w:val="1"/>
      <w:numFmt w:val="bullet"/>
      <w:lvlText w:val=""/>
      <w:lvlJc w:val="left"/>
      <w:pPr>
        <w:tabs>
          <w:tab w:val="num" w:pos="1191"/>
        </w:tabs>
        <w:ind w:left="1191" w:hanging="454"/>
      </w:pPr>
      <w:rPr>
        <w:rFonts w:ascii="Symbol" w:hAnsi="Symbol" w:hint="default"/>
        <w:b w:val="0"/>
        <w:i w:val="0"/>
        <w:color w:val="008DA8"/>
        <w:sz w:val="20"/>
      </w:rPr>
    </w:lvl>
    <w:lvl w:ilvl="4">
      <w:start w:val="1"/>
      <w:numFmt w:val="bullet"/>
      <w:lvlText w:val=""/>
      <w:lvlJc w:val="left"/>
      <w:pPr>
        <w:tabs>
          <w:tab w:val="num" w:pos="3119"/>
        </w:tabs>
        <w:ind w:left="3119" w:hanging="964"/>
      </w:pPr>
      <w:rPr>
        <w:rFonts w:ascii="Symbol" w:hAnsi="Symbol" w:hint="default"/>
        <w:b w:val="0"/>
        <w:i w:val="0"/>
        <w:color w:val="008DA8"/>
        <w:sz w:val="20"/>
      </w:rPr>
    </w:lvl>
    <w:lvl w:ilvl="5">
      <w:start w:val="1"/>
      <w:numFmt w:val="bullet"/>
      <w:lvlText w:val=""/>
      <w:lvlJc w:val="left"/>
      <w:pPr>
        <w:tabs>
          <w:tab w:val="num" w:pos="4253"/>
        </w:tabs>
        <w:ind w:left="4253" w:hanging="1134"/>
      </w:pPr>
      <w:rPr>
        <w:rFonts w:ascii="Symbol" w:hAnsi="Symbol" w:hint="default"/>
        <w:b w:val="0"/>
        <w:i w:val="0"/>
        <w:color w:val="008DA8"/>
        <w:sz w:val="20"/>
      </w:rPr>
    </w:lvl>
    <w:lvl w:ilvl="6">
      <w:start w:val="1"/>
      <w:numFmt w:val="bullet"/>
      <w:lvlText w:val=""/>
      <w:lvlJc w:val="left"/>
      <w:pPr>
        <w:tabs>
          <w:tab w:val="num" w:pos="5557"/>
        </w:tabs>
        <w:ind w:left="5557" w:hanging="1304"/>
      </w:pPr>
      <w:rPr>
        <w:rFonts w:ascii="Symbol" w:hAnsi="Symbol" w:hint="default"/>
        <w:b w:val="0"/>
        <w:i w:val="0"/>
        <w:color w:val="008DA8"/>
        <w:sz w:val="20"/>
      </w:rPr>
    </w:lvl>
    <w:lvl w:ilvl="7">
      <w:start w:val="1"/>
      <w:numFmt w:val="bullet"/>
      <w:lvlText w:val=""/>
      <w:lvlJc w:val="left"/>
      <w:pPr>
        <w:tabs>
          <w:tab w:val="num" w:pos="4706"/>
        </w:tabs>
        <w:ind w:left="4706" w:hanging="1077"/>
      </w:pPr>
      <w:rPr>
        <w:rFonts w:ascii="Symbol" w:hAnsi="Symbol" w:hint="default"/>
        <w:b w:val="0"/>
        <w:i w:val="0"/>
        <w:color w:val="008DA8"/>
        <w:sz w:val="20"/>
      </w:rPr>
    </w:lvl>
    <w:lvl w:ilvl="8">
      <w:start w:val="1"/>
      <w:numFmt w:val="bullet"/>
      <w:lvlText w:val=""/>
      <w:lvlJc w:val="left"/>
      <w:pPr>
        <w:tabs>
          <w:tab w:val="num" w:pos="7144"/>
        </w:tabs>
        <w:ind w:left="7144" w:hanging="1587"/>
      </w:pPr>
      <w:rPr>
        <w:rFonts w:ascii="Symbol" w:hAnsi="Symbol" w:hint="default"/>
        <w:b w:val="0"/>
        <w:i w:val="0"/>
        <w:color w:val="008DA8"/>
        <w:sz w:val="20"/>
      </w:rPr>
    </w:lvl>
  </w:abstractNum>
  <w:num w:numId="1">
    <w:abstractNumId w:val="28"/>
  </w:num>
  <w:num w:numId="2">
    <w:abstractNumId w:val="22"/>
  </w:num>
  <w:num w:numId="3">
    <w:abstractNumId w:val="12"/>
  </w:num>
  <w:num w:numId="4">
    <w:abstractNumId w:val="14"/>
  </w:num>
  <w:num w:numId="5">
    <w:abstractNumId w:val="10"/>
  </w:num>
  <w:num w:numId="6">
    <w:abstractNumId w:val="24"/>
  </w:num>
  <w:num w:numId="7">
    <w:abstractNumId w:val="15"/>
  </w:num>
  <w:num w:numId="8">
    <w:abstractNumId w:val="11"/>
  </w:num>
  <w:num w:numId="9">
    <w:abstractNumId w:val="21"/>
  </w:num>
  <w:num w:numId="10">
    <w:abstractNumId w:val="19"/>
  </w:num>
  <w:num w:numId="11">
    <w:abstractNumId w:val="7"/>
  </w:num>
  <w:num w:numId="12">
    <w:abstractNumId w:val="6"/>
  </w:num>
  <w:num w:numId="13">
    <w:abstractNumId w:val="20"/>
  </w:num>
  <w:num w:numId="14">
    <w:abstractNumId w:val="3"/>
  </w:num>
  <w:num w:numId="15">
    <w:abstractNumId w:val="5"/>
  </w:num>
  <w:num w:numId="16">
    <w:abstractNumId w:val="2"/>
  </w:num>
  <w:num w:numId="17">
    <w:abstractNumId w:val="1"/>
  </w:num>
  <w:num w:numId="18">
    <w:abstractNumId w:val="0"/>
  </w:num>
  <w:num w:numId="19">
    <w:abstractNumId w:val="17"/>
  </w:num>
  <w:num w:numId="20">
    <w:abstractNumId w:val="8"/>
  </w:num>
  <w:num w:numId="21">
    <w:abstractNumId w:val="13"/>
  </w:num>
  <w:num w:numId="22">
    <w:abstractNumId w:val="4"/>
  </w:num>
  <w:num w:numId="23">
    <w:abstractNumId w:val="4"/>
  </w:num>
  <w:num w:numId="24">
    <w:abstractNumId w:val="27"/>
  </w:num>
  <w:num w:numId="25">
    <w:abstractNumId w:val="23"/>
  </w:num>
  <w:num w:numId="26">
    <w:abstractNumId w:val="9"/>
  </w:num>
  <w:num w:numId="27">
    <w:abstractNumId w:val="26"/>
  </w:num>
  <w:num w:numId="28">
    <w:abstractNumId w:val="18"/>
  </w:num>
  <w:num w:numId="29">
    <w:abstractNumId w:val="16"/>
  </w:num>
  <w:num w:numId="30">
    <w:abstractNumId w:val="25"/>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hristopher McCann (he/him)">
    <w15:presenceInfo w15:providerId="AD" w15:userId="S::Christopher.McCann@energynetworks.org::27bff9ba-64e9-43e9-8a5c-085905bcefee"/>
  </w15:person>
  <w15:person w15:author="Stephen Quinn">
    <w15:presenceInfo w15:providerId="None" w15:userId="Stephen Quin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trackRevisions/>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1B99"/>
    <w:rsid w:val="00003462"/>
    <w:rsid w:val="00004426"/>
    <w:rsid w:val="00004A78"/>
    <w:rsid w:val="00005C2A"/>
    <w:rsid w:val="00010FF9"/>
    <w:rsid w:val="00011F5C"/>
    <w:rsid w:val="0001312A"/>
    <w:rsid w:val="000131C0"/>
    <w:rsid w:val="00014A06"/>
    <w:rsid w:val="00021E27"/>
    <w:rsid w:val="0002309B"/>
    <w:rsid w:val="000233CF"/>
    <w:rsid w:val="000259EA"/>
    <w:rsid w:val="00026A6A"/>
    <w:rsid w:val="00027805"/>
    <w:rsid w:val="000319C9"/>
    <w:rsid w:val="00032FA3"/>
    <w:rsid w:val="000337FF"/>
    <w:rsid w:val="00035140"/>
    <w:rsid w:val="000363FA"/>
    <w:rsid w:val="00036530"/>
    <w:rsid w:val="000374F4"/>
    <w:rsid w:val="00041A17"/>
    <w:rsid w:val="000427B0"/>
    <w:rsid w:val="000546C7"/>
    <w:rsid w:val="00055167"/>
    <w:rsid w:val="00055793"/>
    <w:rsid w:val="0005617C"/>
    <w:rsid w:val="000561DC"/>
    <w:rsid w:val="000564A7"/>
    <w:rsid w:val="00056876"/>
    <w:rsid w:val="00057467"/>
    <w:rsid w:val="00057C9D"/>
    <w:rsid w:val="00062E0D"/>
    <w:rsid w:val="00081B63"/>
    <w:rsid w:val="00082674"/>
    <w:rsid w:val="00082F1D"/>
    <w:rsid w:val="000835BE"/>
    <w:rsid w:val="00083F33"/>
    <w:rsid w:val="000841C0"/>
    <w:rsid w:val="00087D0E"/>
    <w:rsid w:val="00092D84"/>
    <w:rsid w:val="00096C4E"/>
    <w:rsid w:val="00096FE2"/>
    <w:rsid w:val="000A00B0"/>
    <w:rsid w:val="000A18E9"/>
    <w:rsid w:val="000A34B8"/>
    <w:rsid w:val="000A36A8"/>
    <w:rsid w:val="000B007D"/>
    <w:rsid w:val="000B25F8"/>
    <w:rsid w:val="000B2E3D"/>
    <w:rsid w:val="000B5CFC"/>
    <w:rsid w:val="000B5D6C"/>
    <w:rsid w:val="000C4E44"/>
    <w:rsid w:val="000C692A"/>
    <w:rsid w:val="000D1ECA"/>
    <w:rsid w:val="000D2D4A"/>
    <w:rsid w:val="000D36D7"/>
    <w:rsid w:val="000D5720"/>
    <w:rsid w:val="000D748E"/>
    <w:rsid w:val="000D7E5F"/>
    <w:rsid w:val="000E0100"/>
    <w:rsid w:val="000E034A"/>
    <w:rsid w:val="000E19DC"/>
    <w:rsid w:val="000E2E48"/>
    <w:rsid w:val="000E3F5B"/>
    <w:rsid w:val="000E415E"/>
    <w:rsid w:val="000E71BD"/>
    <w:rsid w:val="000E76BF"/>
    <w:rsid w:val="000F3700"/>
    <w:rsid w:val="00103BA2"/>
    <w:rsid w:val="00106042"/>
    <w:rsid w:val="001060C1"/>
    <w:rsid w:val="00107407"/>
    <w:rsid w:val="001108F4"/>
    <w:rsid w:val="00111CE9"/>
    <w:rsid w:val="00111F27"/>
    <w:rsid w:val="00112C3E"/>
    <w:rsid w:val="00112F45"/>
    <w:rsid w:val="00116E9B"/>
    <w:rsid w:val="001216C5"/>
    <w:rsid w:val="001247EE"/>
    <w:rsid w:val="0012496E"/>
    <w:rsid w:val="001302C2"/>
    <w:rsid w:val="00142795"/>
    <w:rsid w:val="00142FDE"/>
    <w:rsid w:val="00143041"/>
    <w:rsid w:val="0014327C"/>
    <w:rsid w:val="001445A0"/>
    <w:rsid w:val="00144EC9"/>
    <w:rsid w:val="001451F4"/>
    <w:rsid w:val="0014776E"/>
    <w:rsid w:val="001509AD"/>
    <w:rsid w:val="00150AE6"/>
    <w:rsid w:val="00153B49"/>
    <w:rsid w:val="00153B91"/>
    <w:rsid w:val="00154B1F"/>
    <w:rsid w:val="00163F73"/>
    <w:rsid w:val="00164E30"/>
    <w:rsid w:val="0017045B"/>
    <w:rsid w:val="001717BE"/>
    <w:rsid w:val="001725A9"/>
    <w:rsid w:val="00174D21"/>
    <w:rsid w:val="00176B6E"/>
    <w:rsid w:val="00182A0C"/>
    <w:rsid w:val="00183D20"/>
    <w:rsid w:val="0018581B"/>
    <w:rsid w:val="00186836"/>
    <w:rsid w:val="00187E2F"/>
    <w:rsid w:val="001937A0"/>
    <w:rsid w:val="00193F47"/>
    <w:rsid w:val="001956CC"/>
    <w:rsid w:val="001961A8"/>
    <w:rsid w:val="00197A37"/>
    <w:rsid w:val="001A0B42"/>
    <w:rsid w:val="001A3A47"/>
    <w:rsid w:val="001A5839"/>
    <w:rsid w:val="001A6F74"/>
    <w:rsid w:val="001B1A50"/>
    <w:rsid w:val="001B2D7A"/>
    <w:rsid w:val="001B5BA6"/>
    <w:rsid w:val="001C01D5"/>
    <w:rsid w:val="001C0608"/>
    <w:rsid w:val="001C0AAE"/>
    <w:rsid w:val="001C0C6E"/>
    <w:rsid w:val="001C18C6"/>
    <w:rsid w:val="001C207A"/>
    <w:rsid w:val="001C37E0"/>
    <w:rsid w:val="001C665E"/>
    <w:rsid w:val="001D0B92"/>
    <w:rsid w:val="001D3EFD"/>
    <w:rsid w:val="001D5C1B"/>
    <w:rsid w:val="001D7EC5"/>
    <w:rsid w:val="001E1E5A"/>
    <w:rsid w:val="001E32D7"/>
    <w:rsid w:val="001E4E7F"/>
    <w:rsid w:val="001E5D9F"/>
    <w:rsid w:val="001E6DCF"/>
    <w:rsid w:val="001F36FC"/>
    <w:rsid w:val="001F3812"/>
    <w:rsid w:val="001F4DA0"/>
    <w:rsid w:val="001F5A33"/>
    <w:rsid w:val="001F6DA9"/>
    <w:rsid w:val="001F7908"/>
    <w:rsid w:val="001F7D0E"/>
    <w:rsid w:val="0020148F"/>
    <w:rsid w:val="002035AA"/>
    <w:rsid w:val="002036BB"/>
    <w:rsid w:val="00204607"/>
    <w:rsid w:val="002047E2"/>
    <w:rsid w:val="00205E60"/>
    <w:rsid w:val="00206CCF"/>
    <w:rsid w:val="002109F7"/>
    <w:rsid w:val="002112ED"/>
    <w:rsid w:val="002126D4"/>
    <w:rsid w:val="00212BF5"/>
    <w:rsid w:val="0021418F"/>
    <w:rsid w:val="002148B6"/>
    <w:rsid w:val="00215877"/>
    <w:rsid w:val="00215F70"/>
    <w:rsid w:val="002161A4"/>
    <w:rsid w:val="0022337E"/>
    <w:rsid w:val="00225F2B"/>
    <w:rsid w:val="002272EF"/>
    <w:rsid w:val="00236DCB"/>
    <w:rsid w:val="0024000A"/>
    <w:rsid w:val="00241382"/>
    <w:rsid w:val="002426A7"/>
    <w:rsid w:val="002442C3"/>
    <w:rsid w:val="0024590B"/>
    <w:rsid w:val="00251F86"/>
    <w:rsid w:val="002522BB"/>
    <w:rsid w:val="00252AEA"/>
    <w:rsid w:val="002538CA"/>
    <w:rsid w:val="002540F8"/>
    <w:rsid w:val="00254690"/>
    <w:rsid w:val="00256075"/>
    <w:rsid w:val="00256566"/>
    <w:rsid w:val="00260BAE"/>
    <w:rsid w:val="00260C2C"/>
    <w:rsid w:val="00260E0F"/>
    <w:rsid w:val="002612FD"/>
    <w:rsid w:val="002615E3"/>
    <w:rsid w:val="00263600"/>
    <w:rsid w:val="00265C8F"/>
    <w:rsid w:val="00266BC0"/>
    <w:rsid w:val="002675A8"/>
    <w:rsid w:val="00272979"/>
    <w:rsid w:val="00272F4D"/>
    <w:rsid w:val="00273541"/>
    <w:rsid w:val="002736B3"/>
    <w:rsid w:val="00275058"/>
    <w:rsid w:val="002758A6"/>
    <w:rsid w:val="0027665B"/>
    <w:rsid w:val="00277252"/>
    <w:rsid w:val="00281CF1"/>
    <w:rsid w:val="00281F45"/>
    <w:rsid w:val="00286CBD"/>
    <w:rsid w:val="00287831"/>
    <w:rsid w:val="0029091E"/>
    <w:rsid w:val="00290F86"/>
    <w:rsid w:val="00291083"/>
    <w:rsid w:val="00291347"/>
    <w:rsid w:val="002925B1"/>
    <w:rsid w:val="00293849"/>
    <w:rsid w:val="00295EE3"/>
    <w:rsid w:val="002966A9"/>
    <w:rsid w:val="002A01A4"/>
    <w:rsid w:val="002A3587"/>
    <w:rsid w:val="002A369F"/>
    <w:rsid w:val="002A5B4C"/>
    <w:rsid w:val="002B210C"/>
    <w:rsid w:val="002B4393"/>
    <w:rsid w:val="002B6671"/>
    <w:rsid w:val="002B6899"/>
    <w:rsid w:val="002B68DB"/>
    <w:rsid w:val="002C1553"/>
    <w:rsid w:val="002C6020"/>
    <w:rsid w:val="002D02FD"/>
    <w:rsid w:val="002D25F9"/>
    <w:rsid w:val="002D5DFC"/>
    <w:rsid w:val="002D6272"/>
    <w:rsid w:val="002D6C6E"/>
    <w:rsid w:val="002D7712"/>
    <w:rsid w:val="002E2ECA"/>
    <w:rsid w:val="002F0224"/>
    <w:rsid w:val="002F13B8"/>
    <w:rsid w:val="002F357D"/>
    <w:rsid w:val="002F3C33"/>
    <w:rsid w:val="002F40F9"/>
    <w:rsid w:val="002F5DE3"/>
    <w:rsid w:val="002F5EF5"/>
    <w:rsid w:val="002F6032"/>
    <w:rsid w:val="002F6CD0"/>
    <w:rsid w:val="002F767B"/>
    <w:rsid w:val="002F7AE7"/>
    <w:rsid w:val="003006E9"/>
    <w:rsid w:val="00301DAF"/>
    <w:rsid w:val="00302F67"/>
    <w:rsid w:val="00303246"/>
    <w:rsid w:val="0030347F"/>
    <w:rsid w:val="00304920"/>
    <w:rsid w:val="00305AC5"/>
    <w:rsid w:val="00306BF5"/>
    <w:rsid w:val="003107CE"/>
    <w:rsid w:val="00311467"/>
    <w:rsid w:val="0031194B"/>
    <w:rsid w:val="00313E9E"/>
    <w:rsid w:val="00313FE4"/>
    <w:rsid w:val="00316676"/>
    <w:rsid w:val="00317035"/>
    <w:rsid w:val="00320457"/>
    <w:rsid w:val="003221E9"/>
    <w:rsid w:val="00322239"/>
    <w:rsid w:val="0032290C"/>
    <w:rsid w:val="0033097B"/>
    <w:rsid w:val="00332FE3"/>
    <w:rsid w:val="00336821"/>
    <w:rsid w:val="00340BCF"/>
    <w:rsid w:val="00341CAD"/>
    <w:rsid w:val="00341CBE"/>
    <w:rsid w:val="0034300A"/>
    <w:rsid w:val="00344FDC"/>
    <w:rsid w:val="00351769"/>
    <w:rsid w:val="00351960"/>
    <w:rsid w:val="00352A27"/>
    <w:rsid w:val="0035487C"/>
    <w:rsid w:val="003557B1"/>
    <w:rsid w:val="00357570"/>
    <w:rsid w:val="00357F4A"/>
    <w:rsid w:val="00362030"/>
    <w:rsid w:val="00363FE9"/>
    <w:rsid w:val="00367F60"/>
    <w:rsid w:val="0037034E"/>
    <w:rsid w:val="003711F3"/>
    <w:rsid w:val="00371756"/>
    <w:rsid w:val="00371EA6"/>
    <w:rsid w:val="003730D8"/>
    <w:rsid w:val="00374D71"/>
    <w:rsid w:val="00377752"/>
    <w:rsid w:val="0038053E"/>
    <w:rsid w:val="00380AF9"/>
    <w:rsid w:val="00380C64"/>
    <w:rsid w:val="00381EB7"/>
    <w:rsid w:val="00382814"/>
    <w:rsid w:val="00386096"/>
    <w:rsid w:val="00390D19"/>
    <w:rsid w:val="003920ED"/>
    <w:rsid w:val="00394AE5"/>
    <w:rsid w:val="00396B5B"/>
    <w:rsid w:val="003971AB"/>
    <w:rsid w:val="003A016A"/>
    <w:rsid w:val="003A2AA8"/>
    <w:rsid w:val="003A2BCC"/>
    <w:rsid w:val="003A4FC7"/>
    <w:rsid w:val="003A5A58"/>
    <w:rsid w:val="003A5C76"/>
    <w:rsid w:val="003A6CCA"/>
    <w:rsid w:val="003B0780"/>
    <w:rsid w:val="003B1A71"/>
    <w:rsid w:val="003B4359"/>
    <w:rsid w:val="003B44D0"/>
    <w:rsid w:val="003B4CE0"/>
    <w:rsid w:val="003B5816"/>
    <w:rsid w:val="003B7452"/>
    <w:rsid w:val="003B7C7E"/>
    <w:rsid w:val="003C1BBC"/>
    <w:rsid w:val="003C1E4D"/>
    <w:rsid w:val="003C22DF"/>
    <w:rsid w:val="003C23C9"/>
    <w:rsid w:val="003C457B"/>
    <w:rsid w:val="003C6AB2"/>
    <w:rsid w:val="003D0281"/>
    <w:rsid w:val="003D386E"/>
    <w:rsid w:val="003D41D8"/>
    <w:rsid w:val="003D5877"/>
    <w:rsid w:val="003D6504"/>
    <w:rsid w:val="003E0757"/>
    <w:rsid w:val="003E0A09"/>
    <w:rsid w:val="003E0B53"/>
    <w:rsid w:val="003E16D8"/>
    <w:rsid w:val="003E1B16"/>
    <w:rsid w:val="003F030F"/>
    <w:rsid w:val="003F0B70"/>
    <w:rsid w:val="003F226D"/>
    <w:rsid w:val="003F2A86"/>
    <w:rsid w:val="004028D5"/>
    <w:rsid w:val="00403705"/>
    <w:rsid w:val="004045E4"/>
    <w:rsid w:val="0041135E"/>
    <w:rsid w:val="00413790"/>
    <w:rsid w:val="00416FC8"/>
    <w:rsid w:val="00417D78"/>
    <w:rsid w:val="00420FB8"/>
    <w:rsid w:val="00421B40"/>
    <w:rsid w:val="00422258"/>
    <w:rsid w:val="0042547A"/>
    <w:rsid w:val="0042584E"/>
    <w:rsid w:val="00426FD6"/>
    <w:rsid w:val="00430E90"/>
    <w:rsid w:val="00431339"/>
    <w:rsid w:val="00432081"/>
    <w:rsid w:val="00433909"/>
    <w:rsid w:val="00433CFE"/>
    <w:rsid w:val="00435C42"/>
    <w:rsid w:val="00435CF2"/>
    <w:rsid w:val="00435F10"/>
    <w:rsid w:val="004362EA"/>
    <w:rsid w:val="00436710"/>
    <w:rsid w:val="00436AEA"/>
    <w:rsid w:val="00437F28"/>
    <w:rsid w:val="004428DE"/>
    <w:rsid w:val="00443645"/>
    <w:rsid w:val="004463DD"/>
    <w:rsid w:val="00446636"/>
    <w:rsid w:val="00447064"/>
    <w:rsid w:val="00447FBE"/>
    <w:rsid w:val="00450220"/>
    <w:rsid w:val="00450385"/>
    <w:rsid w:val="004504EA"/>
    <w:rsid w:val="004523DD"/>
    <w:rsid w:val="004570AC"/>
    <w:rsid w:val="0045715D"/>
    <w:rsid w:val="004579CF"/>
    <w:rsid w:val="0046001A"/>
    <w:rsid w:val="00461C2F"/>
    <w:rsid w:val="00463916"/>
    <w:rsid w:val="00463EF6"/>
    <w:rsid w:val="004701A2"/>
    <w:rsid w:val="00470824"/>
    <w:rsid w:val="00473B9D"/>
    <w:rsid w:val="0048657A"/>
    <w:rsid w:val="004866CF"/>
    <w:rsid w:val="00495313"/>
    <w:rsid w:val="004958FC"/>
    <w:rsid w:val="00496E1F"/>
    <w:rsid w:val="004A105A"/>
    <w:rsid w:val="004A22E8"/>
    <w:rsid w:val="004A3386"/>
    <w:rsid w:val="004A5970"/>
    <w:rsid w:val="004A631D"/>
    <w:rsid w:val="004B0EA7"/>
    <w:rsid w:val="004B27FB"/>
    <w:rsid w:val="004B30FE"/>
    <w:rsid w:val="004B376C"/>
    <w:rsid w:val="004B4F5F"/>
    <w:rsid w:val="004B53C8"/>
    <w:rsid w:val="004B7ABF"/>
    <w:rsid w:val="004C1DCD"/>
    <w:rsid w:val="004C2609"/>
    <w:rsid w:val="004C4371"/>
    <w:rsid w:val="004C6117"/>
    <w:rsid w:val="004C66D0"/>
    <w:rsid w:val="004D09F0"/>
    <w:rsid w:val="004D0D74"/>
    <w:rsid w:val="004D149E"/>
    <w:rsid w:val="004D1CB3"/>
    <w:rsid w:val="004D2906"/>
    <w:rsid w:val="004D430C"/>
    <w:rsid w:val="004D4973"/>
    <w:rsid w:val="004D4BAC"/>
    <w:rsid w:val="004D4C5A"/>
    <w:rsid w:val="004E0DBD"/>
    <w:rsid w:val="004E2468"/>
    <w:rsid w:val="004E2D87"/>
    <w:rsid w:val="004E31C8"/>
    <w:rsid w:val="004F483E"/>
    <w:rsid w:val="004F4A12"/>
    <w:rsid w:val="00500707"/>
    <w:rsid w:val="005023B5"/>
    <w:rsid w:val="00502F24"/>
    <w:rsid w:val="00504E6C"/>
    <w:rsid w:val="005079E0"/>
    <w:rsid w:val="00513062"/>
    <w:rsid w:val="00513631"/>
    <w:rsid w:val="0051566C"/>
    <w:rsid w:val="00515C4B"/>
    <w:rsid w:val="00516560"/>
    <w:rsid w:val="005177DA"/>
    <w:rsid w:val="00523B3A"/>
    <w:rsid w:val="00523DCD"/>
    <w:rsid w:val="005251AD"/>
    <w:rsid w:val="00527D0D"/>
    <w:rsid w:val="005310CC"/>
    <w:rsid w:val="00531B35"/>
    <w:rsid w:val="00534702"/>
    <w:rsid w:val="005352A6"/>
    <w:rsid w:val="005357A0"/>
    <w:rsid w:val="005372C0"/>
    <w:rsid w:val="00540357"/>
    <w:rsid w:val="005438E7"/>
    <w:rsid w:val="00545307"/>
    <w:rsid w:val="005469C0"/>
    <w:rsid w:val="005474D0"/>
    <w:rsid w:val="0055068A"/>
    <w:rsid w:val="00552164"/>
    <w:rsid w:val="0055449A"/>
    <w:rsid w:val="0055586A"/>
    <w:rsid w:val="0055672D"/>
    <w:rsid w:val="00560EF2"/>
    <w:rsid w:val="00561BCF"/>
    <w:rsid w:val="00563091"/>
    <w:rsid w:val="005649CA"/>
    <w:rsid w:val="00566E1B"/>
    <w:rsid w:val="00567A68"/>
    <w:rsid w:val="005703B3"/>
    <w:rsid w:val="00572196"/>
    <w:rsid w:val="005721F6"/>
    <w:rsid w:val="005801C1"/>
    <w:rsid w:val="0058201A"/>
    <w:rsid w:val="00587E1E"/>
    <w:rsid w:val="005924CC"/>
    <w:rsid w:val="00596EAF"/>
    <w:rsid w:val="00597D29"/>
    <w:rsid w:val="005A0143"/>
    <w:rsid w:val="005A1E00"/>
    <w:rsid w:val="005A4046"/>
    <w:rsid w:val="005A4F5D"/>
    <w:rsid w:val="005A6174"/>
    <w:rsid w:val="005A7145"/>
    <w:rsid w:val="005B0B30"/>
    <w:rsid w:val="005B105E"/>
    <w:rsid w:val="005B2BA8"/>
    <w:rsid w:val="005B2FFE"/>
    <w:rsid w:val="005B378E"/>
    <w:rsid w:val="005B5AB9"/>
    <w:rsid w:val="005B69C3"/>
    <w:rsid w:val="005C0846"/>
    <w:rsid w:val="005C0C87"/>
    <w:rsid w:val="005C2175"/>
    <w:rsid w:val="005C22EF"/>
    <w:rsid w:val="005D4418"/>
    <w:rsid w:val="005D4631"/>
    <w:rsid w:val="005D4958"/>
    <w:rsid w:val="005D4A2B"/>
    <w:rsid w:val="005D51E1"/>
    <w:rsid w:val="005D72CA"/>
    <w:rsid w:val="005E103C"/>
    <w:rsid w:val="005E3915"/>
    <w:rsid w:val="005E661A"/>
    <w:rsid w:val="005E79E3"/>
    <w:rsid w:val="005F1F9D"/>
    <w:rsid w:val="005F3932"/>
    <w:rsid w:val="005F4AE3"/>
    <w:rsid w:val="005F5165"/>
    <w:rsid w:val="005F585A"/>
    <w:rsid w:val="005F6BC1"/>
    <w:rsid w:val="00600B78"/>
    <w:rsid w:val="00604B58"/>
    <w:rsid w:val="00606F85"/>
    <w:rsid w:val="00610C8D"/>
    <w:rsid w:val="00613074"/>
    <w:rsid w:val="006132B0"/>
    <w:rsid w:val="006173F3"/>
    <w:rsid w:val="0062062A"/>
    <w:rsid w:val="006212AC"/>
    <w:rsid w:val="00622259"/>
    <w:rsid w:val="00622DC8"/>
    <w:rsid w:val="00623022"/>
    <w:rsid w:val="00623EB4"/>
    <w:rsid w:val="006242D6"/>
    <w:rsid w:val="00624FA6"/>
    <w:rsid w:val="00627983"/>
    <w:rsid w:val="00630F15"/>
    <w:rsid w:val="00631710"/>
    <w:rsid w:val="0063186C"/>
    <w:rsid w:val="00631EBB"/>
    <w:rsid w:val="0063239C"/>
    <w:rsid w:val="006361BA"/>
    <w:rsid w:val="006377B6"/>
    <w:rsid w:val="00637CD6"/>
    <w:rsid w:val="006414BA"/>
    <w:rsid w:val="00642460"/>
    <w:rsid w:val="006432A1"/>
    <w:rsid w:val="006446DD"/>
    <w:rsid w:val="00645648"/>
    <w:rsid w:val="00647335"/>
    <w:rsid w:val="00650186"/>
    <w:rsid w:val="00652D78"/>
    <w:rsid w:val="006533C3"/>
    <w:rsid w:val="006551B8"/>
    <w:rsid w:val="00660FE4"/>
    <w:rsid w:val="00665358"/>
    <w:rsid w:val="006653B5"/>
    <w:rsid w:val="0066761E"/>
    <w:rsid w:val="00672074"/>
    <w:rsid w:val="0067455A"/>
    <w:rsid w:val="00674659"/>
    <w:rsid w:val="00675D16"/>
    <w:rsid w:val="00683B07"/>
    <w:rsid w:val="0068509B"/>
    <w:rsid w:val="006876B6"/>
    <w:rsid w:val="0069116A"/>
    <w:rsid w:val="00691A06"/>
    <w:rsid w:val="00693A55"/>
    <w:rsid w:val="00694865"/>
    <w:rsid w:val="00696608"/>
    <w:rsid w:val="00697683"/>
    <w:rsid w:val="00697D31"/>
    <w:rsid w:val="006A0767"/>
    <w:rsid w:val="006A0D54"/>
    <w:rsid w:val="006A4391"/>
    <w:rsid w:val="006A5279"/>
    <w:rsid w:val="006A6C2F"/>
    <w:rsid w:val="006B68D8"/>
    <w:rsid w:val="006B6D83"/>
    <w:rsid w:val="006C0563"/>
    <w:rsid w:val="006C1856"/>
    <w:rsid w:val="006C1AF7"/>
    <w:rsid w:val="006C34A5"/>
    <w:rsid w:val="006C408C"/>
    <w:rsid w:val="006C5617"/>
    <w:rsid w:val="006C5683"/>
    <w:rsid w:val="006C5C82"/>
    <w:rsid w:val="006C6642"/>
    <w:rsid w:val="006D0CC1"/>
    <w:rsid w:val="006D0E98"/>
    <w:rsid w:val="006D0FB6"/>
    <w:rsid w:val="006D1F16"/>
    <w:rsid w:val="006D2CEB"/>
    <w:rsid w:val="006D2DB4"/>
    <w:rsid w:val="006D44CA"/>
    <w:rsid w:val="006D6577"/>
    <w:rsid w:val="006D75CD"/>
    <w:rsid w:val="006E2CAB"/>
    <w:rsid w:val="006E3798"/>
    <w:rsid w:val="006E7327"/>
    <w:rsid w:val="006E7560"/>
    <w:rsid w:val="006E7A7E"/>
    <w:rsid w:val="006F01EB"/>
    <w:rsid w:val="006F19E3"/>
    <w:rsid w:val="006F31B5"/>
    <w:rsid w:val="006F33C1"/>
    <w:rsid w:val="006F379D"/>
    <w:rsid w:val="006F4689"/>
    <w:rsid w:val="006F4798"/>
    <w:rsid w:val="006F7BC0"/>
    <w:rsid w:val="007015FF"/>
    <w:rsid w:val="00701D85"/>
    <w:rsid w:val="00701E18"/>
    <w:rsid w:val="007057A7"/>
    <w:rsid w:val="00706916"/>
    <w:rsid w:val="00710E92"/>
    <w:rsid w:val="007120AE"/>
    <w:rsid w:val="0071547D"/>
    <w:rsid w:val="00722FCE"/>
    <w:rsid w:val="0072385C"/>
    <w:rsid w:val="00726171"/>
    <w:rsid w:val="00731B99"/>
    <w:rsid w:val="00733D46"/>
    <w:rsid w:val="00733F4B"/>
    <w:rsid w:val="00734630"/>
    <w:rsid w:val="007348E3"/>
    <w:rsid w:val="00735C26"/>
    <w:rsid w:val="007374B9"/>
    <w:rsid w:val="00740A8F"/>
    <w:rsid w:val="00741CE5"/>
    <w:rsid w:val="00742876"/>
    <w:rsid w:val="00747A24"/>
    <w:rsid w:val="00751C10"/>
    <w:rsid w:val="00756E15"/>
    <w:rsid w:val="007579C2"/>
    <w:rsid w:val="00757EAF"/>
    <w:rsid w:val="007607E8"/>
    <w:rsid w:val="007608FF"/>
    <w:rsid w:val="00760BD6"/>
    <w:rsid w:val="007626D9"/>
    <w:rsid w:val="00765357"/>
    <w:rsid w:val="00765EFA"/>
    <w:rsid w:val="0077169D"/>
    <w:rsid w:val="00771ACE"/>
    <w:rsid w:val="00772942"/>
    <w:rsid w:val="0077328D"/>
    <w:rsid w:val="00774F15"/>
    <w:rsid w:val="00775EF4"/>
    <w:rsid w:val="00780130"/>
    <w:rsid w:val="00782DBF"/>
    <w:rsid w:val="00784205"/>
    <w:rsid w:val="00784486"/>
    <w:rsid w:val="00784DA8"/>
    <w:rsid w:val="0079113B"/>
    <w:rsid w:val="007928CB"/>
    <w:rsid w:val="0079550F"/>
    <w:rsid w:val="00797315"/>
    <w:rsid w:val="00797AA8"/>
    <w:rsid w:val="007A0FB2"/>
    <w:rsid w:val="007A4F58"/>
    <w:rsid w:val="007A6725"/>
    <w:rsid w:val="007A7ADD"/>
    <w:rsid w:val="007B002D"/>
    <w:rsid w:val="007B2962"/>
    <w:rsid w:val="007B4476"/>
    <w:rsid w:val="007B492F"/>
    <w:rsid w:val="007B742F"/>
    <w:rsid w:val="007B7BE3"/>
    <w:rsid w:val="007C00DA"/>
    <w:rsid w:val="007C038B"/>
    <w:rsid w:val="007C0B1B"/>
    <w:rsid w:val="007C0E16"/>
    <w:rsid w:val="007D47BD"/>
    <w:rsid w:val="007D7C47"/>
    <w:rsid w:val="007E1A43"/>
    <w:rsid w:val="007E25AD"/>
    <w:rsid w:val="007E3C0E"/>
    <w:rsid w:val="007E572E"/>
    <w:rsid w:val="007E718E"/>
    <w:rsid w:val="007F1B96"/>
    <w:rsid w:val="008038D3"/>
    <w:rsid w:val="008077CE"/>
    <w:rsid w:val="008115C5"/>
    <w:rsid w:val="00811768"/>
    <w:rsid w:val="00812C70"/>
    <w:rsid w:val="00814024"/>
    <w:rsid w:val="0081418A"/>
    <w:rsid w:val="008149B0"/>
    <w:rsid w:val="008177D7"/>
    <w:rsid w:val="00822D9F"/>
    <w:rsid w:val="00823617"/>
    <w:rsid w:val="00824B05"/>
    <w:rsid w:val="00825BD4"/>
    <w:rsid w:val="00826203"/>
    <w:rsid w:val="008272A5"/>
    <w:rsid w:val="008277A6"/>
    <w:rsid w:val="00830173"/>
    <w:rsid w:val="00832DC5"/>
    <w:rsid w:val="00833183"/>
    <w:rsid w:val="00836A99"/>
    <w:rsid w:val="008413F9"/>
    <w:rsid w:val="008423A3"/>
    <w:rsid w:val="00842F0F"/>
    <w:rsid w:val="00844255"/>
    <w:rsid w:val="008462D6"/>
    <w:rsid w:val="00846D9D"/>
    <w:rsid w:val="0085211A"/>
    <w:rsid w:val="00853F6E"/>
    <w:rsid w:val="00856C0B"/>
    <w:rsid w:val="00856C63"/>
    <w:rsid w:val="0085705D"/>
    <w:rsid w:val="00857FE7"/>
    <w:rsid w:val="008606D7"/>
    <w:rsid w:val="0086142A"/>
    <w:rsid w:val="00861D88"/>
    <w:rsid w:val="00862D16"/>
    <w:rsid w:val="00863F53"/>
    <w:rsid w:val="00866A83"/>
    <w:rsid w:val="00870243"/>
    <w:rsid w:val="0087362B"/>
    <w:rsid w:val="00876FA4"/>
    <w:rsid w:val="00880168"/>
    <w:rsid w:val="0088198B"/>
    <w:rsid w:val="00882D3C"/>
    <w:rsid w:val="008847ED"/>
    <w:rsid w:val="00887D24"/>
    <w:rsid w:val="00892C16"/>
    <w:rsid w:val="00892C5A"/>
    <w:rsid w:val="00892D3B"/>
    <w:rsid w:val="0089453E"/>
    <w:rsid w:val="00895154"/>
    <w:rsid w:val="00897EDC"/>
    <w:rsid w:val="008A17EB"/>
    <w:rsid w:val="008A2F12"/>
    <w:rsid w:val="008A381E"/>
    <w:rsid w:val="008A5134"/>
    <w:rsid w:val="008B57F6"/>
    <w:rsid w:val="008B6CCD"/>
    <w:rsid w:val="008C13CB"/>
    <w:rsid w:val="008C5774"/>
    <w:rsid w:val="008C579E"/>
    <w:rsid w:val="008C6960"/>
    <w:rsid w:val="008D0FCF"/>
    <w:rsid w:val="008D37F6"/>
    <w:rsid w:val="008D5B54"/>
    <w:rsid w:val="008D5E45"/>
    <w:rsid w:val="008D6266"/>
    <w:rsid w:val="008D7983"/>
    <w:rsid w:val="008E1476"/>
    <w:rsid w:val="008E48E4"/>
    <w:rsid w:val="008F0221"/>
    <w:rsid w:val="008F051C"/>
    <w:rsid w:val="008F09A9"/>
    <w:rsid w:val="008F48D5"/>
    <w:rsid w:val="008F4EF2"/>
    <w:rsid w:val="008F7AE8"/>
    <w:rsid w:val="00900963"/>
    <w:rsid w:val="0090492C"/>
    <w:rsid w:val="00907FC0"/>
    <w:rsid w:val="009121FF"/>
    <w:rsid w:val="009129DC"/>
    <w:rsid w:val="00913148"/>
    <w:rsid w:val="00915159"/>
    <w:rsid w:val="009208D8"/>
    <w:rsid w:val="009210DC"/>
    <w:rsid w:val="00922DBD"/>
    <w:rsid w:val="0092387F"/>
    <w:rsid w:val="00925F3A"/>
    <w:rsid w:val="00926354"/>
    <w:rsid w:val="00926505"/>
    <w:rsid w:val="009265C0"/>
    <w:rsid w:val="00926F0E"/>
    <w:rsid w:val="009313F2"/>
    <w:rsid w:val="00933F4A"/>
    <w:rsid w:val="00935573"/>
    <w:rsid w:val="009356A2"/>
    <w:rsid w:val="009416D6"/>
    <w:rsid w:val="0094487B"/>
    <w:rsid w:val="009469BE"/>
    <w:rsid w:val="0094797C"/>
    <w:rsid w:val="00947DC2"/>
    <w:rsid w:val="00951FDE"/>
    <w:rsid w:val="00954FC6"/>
    <w:rsid w:val="009564D0"/>
    <w:rsid w:val="00957E68"/>
    <w:rsid w:val="00957FBC"/>
    <w:rsid w:val="00960420"/>
    <w:rsid w:val="00960714"/>
    <w:rsid w:val="0096255F"/>
    <w:rsid w:val="00962A3E"/>
    <w:rsid w:val="0096565D"/>
    <w:rsid w:val="00967C6A"/>
    <w:rsid w:val="009704FB"/>
    <w:rsid w:val="0097527E"/>
    <w:rsid w:val="00975EEB"/>
    <w:rsid w:val="00976B66"/>
    <w:rsid w:val="00977A15"/>
    <w:rsid w:val="009832ED"/>
    <w:rsid w:val="0098489F"/>
    <w:rsid w:val="00984EC0"/>
    <w:rsid w:val="00985FC1"/>
    <w:rsid w:val="009862D7"/>
    <w:rsid w:val="0098779F"/>
    <w:rsid w:val="00991785"/>
    <w:rsid w:val="00992B92"/>
    <w:rsid w:val="00993B7C"/>
    <w:rsid w:val="00993E9F"/>
    <w:rsid w:val="00994B34"/>
    <w:rsid w:val="00994EF3"/>
    <w:rsid w:val="00994F27"/>
    <w:rsid w:val="00997577"/>
    <w:rsid w:val="009A03A4"/>
    <w:rsid w:val="009A200B"/>
    <w:rsid w:val="009C1C52"/>
    <w:rsid w:val="009C2EA4"/>
    <w:rsid w:val="009C3B07"/>
    <w:rsid w:val="009C7CDB"/>
    <w:rsid w:val="009D0CC4"/>
    <w:rsid w:val="009D16D5"/>
    <w:rsid w:val="009D1A9A"/>
    <w:rsid w:val="009D4355"/>
    <w:rsid w:val="009D62BF"/>
    <w:rsid w:val="009D7913"/>
    <w:rsid w:val="009D7B56"/>
    <w:rsid w:val="009E1A09"/>
    <w:rsid w:val="009E318C"/>
    <w:rsid w:val="009E450A"/>
    <w:rsid w:val="009E4D2D"/>
    <w:rsid w:val="009E63A4"/>
    <w:rsid w:val="009E7589"/>
    <w:rsid w:val="009F0ABA"/>
    <w:rsid w:val="009F2F77"/>
    <w:rsid w:val="009F3981"/>
    <w:rsid w:val="009F4D87"/>
    <w:rsid w:val="009F6D9C"/>
    <w:rsid w:val="009F70E9"/>
    <w:rsid w:val="009F7C0B"/>
    <w:rsid w:val="00A00AF0"/>
    <w:rsid w:val="00A00B4A"/>
    <w:rsid w:val="00A02AA2"/>
    <w:rsid w:val="00A0625D"/>
    <w:rsid w:val="00A0777B"/>
    <w:rsid w:val="00A10251"/>
    <w:rsid w:val="00A11F10"/>
    <w:rsid w:val="00A13230"/>
    <w:rsid w:val="00A16360"/>
    <w:rsid w:val="00A25D84"/>
    <w:rsid w:val="00A27B15"/>
    <w:rsid w:val="00A31364"/>
    <w:rsid w:val="00A31D12"/>
    <w:rsid w:val="00A3386C"/>
    <w:rsid w:val="00A4337D"/>
    <w:rsid w:val="00A50878"/>
    <w:rsid w:val="00A51787"/>
    <w:rsid w:val="00A5365B"/>
    <w:rsid w:val="00A56ED0"/>
    <w:rsid w:val="00A579D3"/>
    <w:rsid w:val="00A64214"/>
    <w:rsid w:val="00A66894"/>
    <w:rsid w:val="00A704A9"/>
    <w:rsid w:val="00A809BC"/>
    <w:rsid w:val="00A80EE0"/>
    <w:rsid w:val="00A81AA5"/>
    <w:rsid w:val="00A833A3"/>
    <w:rsid w:val="00A85694"/>
    <w:rsid w:val="00A87ADA"/>
    <w:rsid w:val="00A92871"/>
    <w:rsid w:val="00A93BF0"/>
    <w:rsid w:val="00A94C94"/>
    <w:rsid w:val="00A96295"/>
    <w:rsid w:val="00A968AB"/>
    <w:rsid w:val="00A97DD5"/>
    <w:rsid w:val="00AA3C4C"/>
    <w:rsid w:val="00AA463E"/>
    <w:rsid w:val="00AA69EF"/>
    <w:rsid w:val="00AB2DA2"/>
    <w:rsid w:val="00AB3915"/>
    <w:rsid w:val="00AB4DE5"/>
    <w:rsid w:val="00AB5B34"/>
    <w:rsid w:val="00AB5D55"/>
    <w:rsid w:val="00AC0309"/>
    <w:rsid w:val="00AC0716"/>
    <w:rsid w:val="00AC2A10"/>
    <w:rsid w:val="00AC34C6"/>
    <w:rsid w:val="00AC3705"/>
    <w:rsid w:val="00AC5BEF"/>
    <w:rsid w:val="00AC68BE"/>
    <w:rsid w:val="00AD0028"/>
    <w:rsid w:val="00AE3E87"/>
    <w:rsid w:val="00AE4FA9"/>
    <w:rsid w:val="00AE5F4A"/>
    <w:rsid w:val="00AE7C82"/>
    <w:rsid w:val="00AF30A5"/>
    <w:rsid w:val="00AF3186"/>
    <w:rsid w:val="00AF44C4"/>
    <w:rsid w:val="00AF56D9"/>
    <w:rsid w:val="00AF5B6E"/>
    <w:rsid w:val="00AF6D47"/>
    <w:rsid w:val="00B056A6"/>
    <w:rsid w:val="00B057CB"/>
    <w:rsid w:val="00B10136"/>
    <w:rsid w:val="00B11637"/>
    <w:rsid w:val="00B11DF7"/>
    <w:rsid w:val="00B142CA"/>
    <w:rsid w:val="00B16EF2"/>
    <w:rsid w:val="00B200E3"/>
    <w:rsid w:val="00B320DC"/>
    <w:rsid w:val="00B34F94"/>
    <w:rsid w:val="00B35A8E"/>
    <w:rsid w:val="00B35E76"/>
    <w:rsid w:val="00B4014F"/>
    <w:rsid w:val="00B42BE8"/>
    <w:rsid w:val="00B45635"/>
    <w:rsid w:val="00B47F01"/>
    <w:rsid w:val="00B51ED0"/>
    <w:rsid w:val="00B52044"/>
    <w:rsid w:val="00B53898"/>
    <w:rsid w:val="00B539A1"/>
    <w:rsid w:val="00B53C15"/>
    <w:rsid w:val="00B615CC"/>
    <w:rsid w:val="00B6291B"/>
    <w:rsid w:val="00B62F8C"/>
    <w:rsid w:val="00B661E2"/>
    <w:rsid w:val="00B67CA1"/>
    <w:rsid w:val="00B7023F"/>
    <w:rsid w:val="00B70AE3"/>
    <w:rsid w:val="00B72918"/>
    <w:rsid w:val="00B7630C"/>
    <w:rsid w:val="00B80898"/>
    <w:rsid w:val="00B81F70"/>
    <w:rsid w:val="00B82176"/>
    <w:rsid w:val="00B82BCD"/>
    <w:rsid w:val="00B935BB"/>
    <w:rsid w:val="00B9451F"/>
    <w:rsid w:val="00B970CA"/>
    <w:rsid w:val="00BA0B2E"/>
    <w:rsid w:val="00BA7C9C"/>
    <w:rsid w:val="00BB2CD6"/>
    <w:rsid w:val="00BB32F0"/>
    <w:rsid w:val="00BB473F"/>
    <w:rsid w:val="00BB48A6"/>
    <w:rsid w:val="00BB7E82"/>
    <w:rsid w:val="00BC05A6"/>
    <w:rsid w:val="00BC10C2"/>
    <w:rsid w:val="00BC1CFB"/>
    <w:rsid w:val="00BC65DE"/>
    <w:rsid w:val="00BD0DC3"/>
    <w:rsid w:val="00BD10A6"/>
    <w:rsid w:val="00BD3CB9"/>
    <w:rsid w:val="00BD3E31"/>
    <w:rsid w:val="00BD4E23"/>
    <w:rsid w:val="00BD78DB"/>
    <w:rsid w:val="00BE1DE0"/>
    <w:rsid w:val="00BE2DEF"/>
    <w:rsid w:val="00BE50AA"/>
    <w:rsid w:val="00BE6933"/>
    <w:rsid w:val="00BE7316"/>
    <w:rsid w:val="00BE7C55"/>
    <w:rsid w:val="00BF00E3"/>
    <w:rsid w:val="00BF0C5F"/>
    <w:rsid w:val="00BF3CD9"/>
    <w:rsid w:val="00BF3EB3"/>
    <w:rsid w:val="00BF45E8"/>
    <w:rsid w:val="00BF7876"/>
    <w:rsid w:val="00C0210B"/>
    <w:rsid w:val="00C02A72"/>
    <w:rsid w:val="00C10827"/>
    <w:rsid w:val="00C11964"/>
    <w:rsid w:val="00C11F78"/>
    <w:rsid w:val="00C135E0"/>
    <w:rsid w:val="00C14277"/>
    <w:rsid w:val="00C1720B"/>
    <w:rsid w:val="00C236F4"/>
    <w:rsid w:val="00C31A20"/>
    <w:rsid w:val="00C31B56"/>
    <w:rsid w:val="00C3321C"/>
    <w:rsid w:val="00C33294"/>
    <w:rsid w:val="00C356E8"/>
    <w:rsid w:val="00C43642"/>
    <w:rsid w:val="00C471ED"/>
    <w:rsid w:val="00C5056D"/>
    <w:rsid w:val="00C5076B"/>
    <w:rsid w:val="00C50F95"/>
    <w:rsid w:val="00C51D1E"/>
    <w:rsid w:val="00C524C2"/>
    <w:rsid w:val="00C607C9"/>
    <w:rsid w:val="00C6141B"/>
    <w:rsid w:val="00C620C6"/>
    <w:rsid w:val="00C64B15"/>
    <w:rsid w:val="00C65823"/>
    <w:rsid w:val="00C67F24"/>
    <w:rsid w:val="00C710D6"/>
    <w:rsid w:val="00C72782"/>
    <w:rsid w:val="00C730A2"/>
    <w:rsid w:val="00C74A61"/>
    <w:rsid w:val="00C75154"/>
    <w:rsid w:val="00C76D9F"/>
    <w:rsid w:val="00C82DCB"/>
    <w:rsid w:val="00C83898"/>
    <w:rsid w:val="00C84DE6"/>
    <w:rsid w:val="00C867BC"/>
    <w:rsid w:val="00C90F11"/>
    <w:rsid w:val="00C91650"/>
    <w:rsid w:val="00C924ED"/>
    <w:rsid w:val="00C92CE2"/>
    <w:rsid w:val="00C94B7F"/>
    <w:rsid w:val="00C94E7B"/>
    <w:rsid w:val="00C954D7"/>
    <w:rsid w:val="00CA0F8D"/>
    <w:rsid w:val="00CA47E9"/>
    <w:rsid w:val="00CA4896"/>
    <w:rsid w:val="00CA4EA1"/>
    <w:rsid w:val="00CA6F12"/>
    <w:rsid w:val="00CA75DC"/>
    <w:rsid w:val="00CA7800"/>
    <w:rsid w:val="00CA7D25"/>
    <w:rsid w:val="00CB47E0"/>
    <w:rsid w:val="00CB5D46"/>
    <w:rsid w:val="00CB5E98"/>
    <w:rsid w:val="00CB6330"/>
    <w:rsid w:val="00CB7DB5"/>
    <w:rsid w:val="00CC39D2"/>
    <w:rsid w:val="00CC3A01"/>
    <w:rsid w:val="00CD4346"/>
    <w:rsid w:val="00CD70EB"/>
    <w:rsid w:val="00CD719F"/>
    <w:rsid w:val="00CE03CF"/>
    <w:rsid w:val="00CE19AC"/>
    <w:rsid w:val="00CE5938"/>
    <w:rsid w:val="00CE7F33"/>
    <w:rsid w:val="00CF549A"/>
    <w:rsid w:val="00CF5603"/>
    <w:rsid w:val="00CF66BC"/>
    <w:rsid w:val="00D008F2"/>
    <w:rsid w:val="00D03209"/>
    <w:rsid w:val="00D0411F"/>
    <w:rsid w:val="00D05931"/>
    <w:rsid w:val="00D06875"/>
    <w:rsid w:val="00D06FAC"/>
    <w:rsid w:val="00D122BE"/>
    <w:rsid w:val="00D1530C"/>
    <w:rsid w:val="00D1613E"/>
    <w:rsid w:val="00D1717F"/>
    <w:rsid w:val="00D178E7"/>
    <w:rsid w:val="00D20C24"/>
    <w:rsid w:val="00D22AA9"/>
    <w:rsid w:val="00D22CEB"/>
    <w:rsid w:val="00D236D7"/>
    <w:rsid w:val="00D253BF"/>
    <w:rsid w:val="00D26FE9"/>
    <w:rsid w:val="00D27668"/>
    <w:rsid w:val="00D30419"/>
    <w:rsid w:val="00D317E5"/>
    <w:rsid w:val="00D33686"/>
    <w:rsid w:val="00D34225"/>
    <w:rsid w:val="00D3462E"/>
    <w:rsid w:val="00D34E70"/>
    <w:rsid w:val="00D35A55"/>
    <w:rsid w:val="00D363C3"/>
    <w:rsid w:val="00D363E8"/>
    <w:rsid w:val="00D41486"/>
    <w:rsid w:val="00D4173D"/>
    <w:rsid w:val="00D42CA7"/>
    <w:rsid w:val="00D43689"/>
    <w:rsid w:val="00D43A8F"/>
    <w:rsid w:val="00D50089"/>
    <w:rsid w:val="00D54568"/>
    <w:rsid w:val="00D620D5"/>
    <w:rsid w:val="00D635CE"/>
    <w:rsid w:val="00D7092D"/>
    <w:rsid w:val="00D773AD"/>
    <w:rsid w:val="00D80A98"/>
    <w:rsid w:val="00D8468A"/>
    <w:rsid w:val="00D84C46"/>
    <w:rsid w:val="00D86A4F"/>
    <w:rsid w:val="00D8768B"/>
    <w:rsid w:val="00D8769C"/>
    <w:rsid w:val="00D90F5D"/>
    <w:rsid w:val="00D937F6"/>
    <w:rsid w:val="00D94662"/>
    <w:rsid w:val="00D94C65"/>
    <w:rsid w:val="00D97F06"/>
    <w:rsid w:val="00DA5B56"/>
    <w:rsid w:val="00DA5F89"/>
    <w:rsid w:val="00DA6586"/>
    <w:rsid w:val="00DA6C89"/>
    <w:rsid w:val="00DB3C3E"/>
    <w:rsid w:val="00DB5096"/>
    <w:rsid w:val="00DC02FD"/>
    <w:rsid w:val="00DC06A4"/>
    <w:rsid w:val="00DC3562"/>
    <w:rsid w:val="00DD269D"/>
    <w:rsid w:val="00DD31C4"/>
    <w:rsid w:val="00DD3AAC"/>
    <w:rsid w:val="00DD58BB"/>
    <w:rsid w:val="00DD68AB"/>
    <w:rsid w:val="00DD7C82"/>
    <w:rsid w:val="00DE1518"/>
    <w:rsid w:val="00DE1588"/>
    <w:rsid w:val="00DE1825"/>
    <w:rsid w:val="00DE1D7E"/>
    <w:rsid w:val="00DE2088"/>
    <w:rsid w:val="00DE53C4"/>
    <w:rsid w:val="00DE56D7"/>
    <w:rsid w:val="00DE6957"/>
    <w:rsid w:val="00DE6A97"/>
    <w:rsid w:val="00DF184E"/>
    <w:rsid w:val="00DF227C"/>
    <w:rsid w:val="00DF6863"/>
    <w:rsid w:val="00E00E5B"/>
    <w:rsid w:val="00E01028"/>
    <w:rsid w:val="00E02F60"/>
    <w:rsid w:val="00E03B8F"/>
    <w:rsid w:val="00E070F1"/>
    <w:rsid w:val="00E07BA5"/>
    <w:rsid w:val="00E10229"/>
    <w:rsid w:val="00E10A8C"/>
    <w:rsid w:val="00E1668E"/>
    <w:rsid w:val="00E1701D"/>
    <w:rsid w:val="00E22CF0"/>
    <w:rsid w:val="00E23108"/>
    <w:rsid w:val="00E24BDF"/>
    <w:rsid w:val="00E2789D"/>
    <w:rsid w:val="00E37B89"/>
    <w:rsid w:val="00E40304"/>
    <w:rsid w:val="00E41BB9"/>
    <w:rsid w:val="00E4348E"/>
    <w:rsid w:val="00E462DC"/>
    <w:rsid w:val="00E510C9"/>
    <w:rsid w:val="00E52DFD"/>
    <w:rsid w:val="00E54932"/>
    <w:rsid w:val="00E54C7F"/>
    <w:rsid w:val="00E55C4A"/>
    <w:rsid w:val="00E5675F"/>
    <w:rsid w:val="00E5711C"/>
    <w:rsid w:val="00E57A2C"/>
    <w:rsid w:val="00E61D28"/>
    <w:rsid w:val="00E6212D"/>
    <w:rsid w:val="00E63AC9"/>
    <w:rsid w:val="00E666BF"/>
    <w:rsid w:val="00E70BE7"/>
    <w:rsid w:val="00E74111"/>
    <w:rsid w:val="00E80669"/>
    <w:rsid w:val="00E81739"/>
    <w:rsid w:val="00E82BDD"/>
    <w:rsid w:val="00E8326F"/>
    <w:rsid w:val="00E844CC"/>
    <w:rsid w:val="00E855A5"/>
    <w:rsid w:val="00E86EB0"/>
    <w:rsid w:val="00E9024C"/>
    <w:rsid w:val="00E91400"/>
    <w:rsid w:val="00E97DB3"/>
    <w:rsid w:val="00EA1C2B"/>
    <w:rsid w:val="00EA2475"/>
    <w:rsid w:val="00EA3F0B"/>
    <w:rsid w:val="00EA4674"/>
    <w:rsid w:val="00EA632D"/>
    <w:rsid w:val="00EA6D7E"/>
    <w:rsid w:val="00EB1314"/>
    <w:rsid w:val="00EB1FF2"/>
    <w:rsid w:val="00EB32BB"/>
    <w:rsid w:val="00EB362B"/>
    <w:rsid w:val="00EC1BB3"/>
    <w:rsid w:val="00EC36AC"/>
    <w:rsid w:val="00EC5236"/>
    <w:rsid w:val="00EC61CF"/>
    <w:rsid w:val="00EC647D"/>
    <w:rsid w:val="00EC7AFA"/>
    <w:rsid w:val="00ED4330"/>
    <w:rsid w:val="00ED5EB9"/>
    <w:rsid w:val="00ED74FF"/>
    <w:rsid w:val="00EE1190"/>
    <w:rsid w:val="00EE2334"/>
    <w:rsid w:val="00EE2569"/>
    <w:rsid w:val="00EE38A7"/>
    <w:rsid w:val="00EE3DCB"/>
    <w:rsid w:val="00EE4519"/>
    <w:rsid w:val="00EE4CA5"/>
    <w:rsid w:val="00EE5CD9"/>
    <w:rsid w:val="00EF0CE5"/>
    <w:rsid w:val="00EF46B5"/>
    <w:rsid w:val="00EF5E9D"/>
    <w:rsid w:val="00EF698E"/>
    <w:rsid w:val="00EF6CC8"/>
    <w:rsid w:val="00EF789C"/>
    <w:rsid w:val="00F007A0"/>
    <w:rsid w:val="00F044A4"/>
    <w:rsid w:val="00F1043A"/>
    <w:rsid w:val="00F10E14"/>
    <w:rsid w:val="00F1132A"/>
    <w:rsid w:val="00F1175C"/>
    <w:rsid w:val="00F13524"/>
    <w:rsid w:val="00F14070"/>
    <w:rsid w:val="00F14A61"/>
    <w:rsid w:val="00F14EC4"/>
    <w:rsid w:val="00F17B9C"/>
    <w:rsid w:val="00F20FAB"/>
    <w:rsid w:val="00F212C1"/>
    <w:rsid w:val="00F23492"/>
    <w:rsid w:val="00F2583C"/>
    <w:rsid w:val="00F306DA"/>
    <w:rsid w:val="00F32352"/>
    <w:rsid w:val="00F36FA3"/>
    <w:rsid w:val="00F409B3"/>
    <w:rsid w:val="00F415F9"/>
    <w:rsid w:val="00F42F29"/>
    <w:rsid w:val="00F42F53"/>
    <w:rsid w:val="00F4356A"/>
    <w:rsid w:val="00F450E7"/>
    <w:rsid w:val="00F4773B"/>
    <w:rsid w:val="00F47E10"/>
    <w:rsid w:val="00F504AF"/>
    <w:rsid w:val="00F50C02"/>
    <w:rsid w:val="00F511D1"/>
    <w:rsid w:val="00F51FCB"/>
    <w:rsid w:val="00F540E9"/>
    <w:rsid w:val="00F57A16"/>
    <w:rsid w:val="00F61549"/>
    <w:rsid w:val="00F62E4B"/>
    <w:rsid w:val="00F638E3"/>
    <w:rsid w:val="00F70312"/>
    <w:rsid w:val="00F726D8"/>
    <w:rsid w:val="00F73FD6"/>
    <w:rsid w:val="00F751E8"/>
    <w:rsid w:val="00F7524D"/>
    <w:rsid w:val="00F80207"/>
    <w:rsid w:val="00F80510"/>
    <w:rsid w:val="00F81314"/>
    <w:rsid w:val="00F81464"/>
    <w:rsid w:val="00F847DE"/>
    <w:rsid w:val="00F92BA0"/>
    <w:rsid w:val="00F93BAB"/>
    <w:rsid w:val="00F940B1"/>
    <w:rsid w:val="00F94961"/>
    <w:rsid w:val="00F94F85"/>
    <w:rsid w:val="00F962B5"/>
    <w:rsid w:val="00FA16F2"/>
    <w:rsid w:val="00FA22E9"/>
    <w:rsid w:val="00FA4B61"/>
    <w:rsid w:val="00FA6D6B"/>
    <w:rsid w:val="00FA72F0"/>
    <w:rsid w:val="00FB0E3E"/>
    <w:rsid w:val="00FB3016"/>
    <w:rsid w:val="00FB44B2"/>
    <w:rsid w:val="00FB49C7"/>
    <w:rsid w:val="00FB5842"/>
    <w:rsid w:val="00FB71C1"/>
    <w:rsid w:val="00FC1065"/>
    <w:rsid w:val="00FC3166"/>
    <w:rsid w:val="00FC4167"/>
    <w:rsid w:val="00FD0418"/>
    <w:rsid w:val="00FD0507"/>
    <w:rsid w:val="00FD29A2"/>
    <w:rsid w:val="00FD2BFB"/>
    <w:rsid w:val="00FD32A2"/>
    <w:rsid w:val="00FD5BCE"/>
    <w:rsid w:val="00FD60CA"/>
    <w:rsid w:val="00FD7DC3"/>
    <w:rsid w:val="00FE004A"/>
    <w:rsid w:val="00FE03D0"/>
    <w:rsid w:val="00FE1F59"/>
    <w:rsid w:val="00FE3169"/>
    <w:rsid w:val="00FE48D1"/>
    <w:rsid w:val="00FE4A41"/>
    <w:rsid w:val="00FE6F70"/>
    <w:rsid w:val="00FE7455"/>
    <w:rsid w:val="00FF252A"/>
    <w:rsid w:val="00FF617A"/>
    <w:rsid w:val="00FF67BD"/>
    <w:rsid w:val="00FF7985"/>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B0BF98B"/>
  <w15:chartTrackingRefBased/>
  <w15:docId w15:val="{815DC9B0-7533-488D-B600-50681E1CE7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lsdException w:name="head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4EC4"/>
    <w:pPr>
      <w:spacing w:before="120" w:after="120" w:line="300" w:lineRule="atLeast"/>
    </w:pPr>
    <w:rPr>
      <w:rFonts w:ascii="Arial" w:eastAsia="Times New Roman" w:hAnsi="Arial"/>
      <w:szCs w:val="24"/>
    </w:rPr>
  </w:style>
  <w:style w:type="paragraph" w:styleId="Heading1">
    <w:name w:val="heading 1"/>
    <w:basedOn w:val="Normal"/>
    <w:next w:val="Normal"/>
    <w:link w:val="Heading1Char"/>
    <w:qFormat/>
    <w:rsid w:val="00D06875"/>
    <w:pPr>
      <w:keepNext/>
      <w:numPr>
        <w:numId w:val="14"/>
      </w:numPr>
      <w:pBdr>
        <w:top w:val="single" w:sz="48" w:space="1" w:color="00B274"/>
        <w:left w:val="single" w:sz="48" w:space="4" w:color="00B274"/>
        <w:bottom w:val="single" w:sz="48" w:space="1" w:color="00B274"/>
        <w:right w:val="single" w:sz="48" w:space="4" w:color="00B274"/>
      </w:pBdr>
      <w:shd w:val="clear" w:color="auto" w:fill="00B274"/>
      <w:spacing w:before="360" w:line="336" w:lineRule="atLeast"/>
      <w:ind w:right="57"/>
      <w:outlineLvl w:val="0"/>
    </w:pPr>
    <w:rPr>
      <w:rFonts w:cs="Arial"/>
      <w:b/>
      <w:bCs/>
      <w:iCs/>
      <w:color w:val="FFFFFF"/>
      <w:kern w:val="32"/>
      <w:sz w:val="28"/>
      <w:szCs w:val="32"/>
    </w:rPr>
  </w:style>
  <w:style w:type="paragraph" w:styleId="Heading2">
    <w:name w:val="heading 2"/>
    <w:basedOn w:val="Heading4"/>
    <w:next w:val="Normal"/>
    <w:link w:val="Heading2Char"/>
    <w:qFormat/>
    <w:rsid w:val="002B210C"/>
    <w:pPr>
      <w:outlineLvl w:val="1"/>
    </w:pPr>
  </w:style>
  <w:style w:type="paragraph" w:styleId="Heading3">
    <w:name w:val="heading 3"/>
    <w:basedOn w:val="Normal"/>
    <w:next w:val="Normal"/>
    <w:link w:val="Heading3Char"/>
    <w:qFormat/>
    <w:rsid w:val="00313E9E"/>
    <w:pPr>
      <w:keepNext/>
      <w:keepLines/>
      <w:numPr>
        <w:ilvl w:val="2"/>
        <w:numId w:val="14"/>
      </w:numPr>
      <w:spacing w:before="200"/>
      <w:outlineLvl w:val="2"/>
    </w:pPr>
    <w:rPr>
      <w:rFonts w:ascii="Calibri" w:eastAsia="MS Gothic" w:hAnsi="Calibri"/>
      <w:b/>
      <w:bCs/>
      <w:color w:val="4F81BD"/>
    </w:rPr>
  </w:style>
  <w:style w:type="paragraph" w:styleId="Heading4">
    <w:name w:val="heading 4"/>
    <w:basedOn w:val="Normal"/>
    <w:next w:val="Normal"/>
    <w:link w:val="Heading4Char"/>
    <w:qFormat/>
    <w:rsid w:val="00545307"/>
    <w:pPr>
      <w:keepNext/>
      <w:spacing w:before="240"/>
      <w:outlineLvl w:val="3"/>
    </w:pPr>
    <w:rPr>
      <w:rFonts w:cs="Arial"/>
      <w:b/>
      <w:bCs/>
      <w:color w:val="008576"/>
      <w:sz w:val="24"/>
      <w:szCs w:val="28"/>
    </w:rPr>
  </w:style>
  <w:style w:type="paragraph" w:styleId="Heading5">
    <w:name w:val="heading 5"/>
    <w:basedOn w:val="Normal"/>
    <w:next w:val="Normal"/>
    <w:link w:val="Heading5Char"/>
    <w:qFormat/>
    <w:rsid w:val="00313E9E"/>
    <w:pPr>
      <w:keepNext/>
      <w:keepLines/>
      <w:numPr>
        <w:ilvl w:val="4"/>
        <w:numId w:val="14"/>
      </w:numPr>
      <w:spacing w:before="200"/>
      <w:outlineLvl w:val="4"/>
    </w:pPr>
    <w:rPr>
      <w:rFonts w:ascii="Calibri" w:eastAsia="MS Gothic" w:hAnsi="Calibri"/>
      <w:color w:val="244061"/>
    </w:rPr>
  </w:style>
  <w:style w:type="paragraph" w:styleId="Heading6">
    <w:name w:val="heading 6"/>
    <w:basedOn w:val="Normal"/>
    <w:next w:val="Normal"/>
    <w:link w:val="Heading6Char"/>
    <w:qFormat/>
    <w:rsid w:val="00313E9E"/>
    <w:pPr>
      <w:keepNext/>
      <w:keepLines/>
      <w:numPr>
        <w:ilvl w:val="5"/>
        <w:numId w:val="14"/>
      </w:numPr>
      <w:spacing w:before="200"/>
      <w:outlineLvl w:val="5"/>
    </w:pPr>
    <w:rPr>
      <w:rFonts w:ascii="Calibri" w:eastAsia="MS Gothic" w:hAnsi="Calibri"/>
      <w:i/>
      <w:iCs/>
      <w:color w:val="244061"/>
    </w:rPr>
  </w:style>
  <w:style w:type="paragraph" w:styleId="Heading7">
    <w:name w:val="heading 7"/>
    <w:basedOn w:val="Normal"/>
    <w:next w:val="Normal"/>
    <w:link w:val="Heading7Char"/>
    <w:qFormat/>
    <w:rsid w:val="00313E9E"/>
    <w:pPr>
      <w:keepNext/>
      <w:keepLines/>
      <w:numPr>
        <w:ilvl w:val="6"/>
        <w:numId w:val="14"/>
      </w:numPr>
      <w:spacing w:before="200"/>
      <w:outlineLvl w:val="6"/>
    </w:pPr>
    <w:rPr>
      <w:rFonts w:ascii="Calibri" w:eastAsia="MS Gothic" w:hAnsi="Calibri"/>
      <w:i/>
      <w:iCs/>
      <w:color w:val="404040"/>
    </w:rPr>
  </w:style>
  <w:style w:type="paragraph" w:styleId="Heading8">
    <w:name w:val="heading 8"/>
    <w:basedOn w:val="Normal"/>
    <w:next w:val="Normal"/>
    <w:link w:val="Heading8Char"/>
    <w:qFormat/>
    <w:rsid w:val="00313E9E"/>
    <w:pPr>
      <w:keepNext/>
      <w:keepLines/>
      <w:numPr>
        <w:ilvl w:val="7"/>
        <w:numId w:val="14"/>
      </w:numPr>
      <w:spacing w:before="200"/>
      <w:outlineLvl w:val="7"/>
    </w:pPr>
    <w:rPr>
      <w:rFonts w:ascii="Calibri" w:eastAsia="MS Gothic" w:hAnsi="Calibri"/>
      <w:color w:val="363636"/>
      <w:szCs w:val="20"/>
    </w:rPr>
  </w:style>
  <w:style w:type="paragraph" w:styleId="Heading9">
    <w:name w:val="heading 9"/>
    <w:basedOn w:val="Normal"/>
    <w:next w:val="Normal"/>
    <w:link w:val="Heading9Char"/>
    <w:qFormat/>
    <w:rsid w:val="00313E9E"/>
    <w:pPr>
      <w:keepNext/>
      <w:keepLines/>
      <w:numPr>
        <w:ilvl w:val="8"/>
        <w:numId w:val="14"/>
      </w:numPr>
      <w:spacing w:before="200"/>
      <w:outlineLvl w:val="8"/>
    </w:pPr>
    <w:rPr>
      <w:rFonts w:ascii="Calibri" w:eastAsia="MS Gothic" w:hAnsi="Calibri"/>
      <w:i/>
      <w:iCs/>
      <w:color w:val="36363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1">
    <w:name w:val="Heading 01"/>
    <w:basedOn w:val="Heading1"/>
    <w:next w:val="Normal"/>
    <w:qFormat/>
    <w:rsid w:val="00CD719F"/>
    <w:pPr>
      <w:spacing w:line="240" w:lineRule="auto"/>
    </w:pPr>
  </w:style>
  <w:style w:type="paragraph" w:customStyle="1" w:styleId="Level-4a">
    <w:name w:val="Level-4a"/>
    <w:basedOn w:val="Normal"/>
    <w:autoRedefine/>
    <w:rsid w:val="00421B40"/>
    <w:pPr>
      <w:widowControl w:val="0"/>
      <w:autoSpaceDE w:val="0"/>
      <w:autoSpaceDN w:val="0"/>
      <w:adjustRightInd w:val="0"/>
      <w:spacing w:line="240" w:lineRule="auto"/>
      <w:ind w:left="1440" w:hanging="540"/>
    </w:pPr>
    <w:rPr>
      <w:rFonts w:ascii="Times New Roman" w:hAnsi="Times New Roman"/>
      <w:noProof/>
      <w:sz w:val="22"/>
      <w:szCs w:val="20"/>
      <w:u w:val="single"/>
      <w:lang w:eastAsia="en-US"/>
    </w:rPr>
  </w:style>
  <w:style w:type="paragraph" w:styleId="Footer">
    <w:name w:val="footer"/>
    <w:basedOn w:val="Normal"/>
    <w:link w:val="FooterChar"/>
    <w:unhideWhenUsed/>
    <w:rsid w:val="00731B99"/>
    <w:pPr>
      <w:tabs>
        <w:tab w:val="center" w:pos="4320"/>
        <w:tab w:val="right" w:pos="8640"/>
      </w:tabs>
    </w:pPr>
  </w:style>
  <w:style w:type="character" w:customStyle="1" w:styleId="FooterChar">
    <w:name w:val="Footer Char"/>
    <w:basedOn w:val="DefaultParagraphFont"/>
    <w:link w:val="Footer"/>
    <w:rsid w:val="00731B99"/>
  </w:style>
  <w:style w:type="paragraph" w:styleId="BlockText">
    <w:name w:val="Block Text"/>
    <w:basedOn w:val="Footer"/>
    <w:link w:val="BlockTextChar"/>
    <w:rsid w:val="00731B99"/>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731B99"/>
    <w:rPr>
      <w:rFonts w:ascii="Tahoma" w:eastAsia="Times New Roman" w:hAnsi="Tahoma" w:cs="Times New Roman"/>
      <w:color w:val="FFFFFF"/>
      <w:sz w:val="18"/>
      <w:lang w:val="en-GB" w:eastAsia="en-GB"/>
    </w:rPr>
  </w:style>
  <w:style w:type="character" w:customStyle="1" w:styleId="Heading1Char">
    <w:name w:val="Heading 1 Char"/>
    <w:link w:val="Heading1"/>
    <w:rsid w:val="00D06875"/>
    <w:rPr>
      <w:rFonts w:ascii="Arial" w:eastAsia="Times New Roman" w:hAnsi="Arial" w:cs="Arial"/>
      <w:b/>
      <w:bCs/>
      <w:iCs/>
      <w:color w:val="FFFFFF"/>
      <w:kern w:val="32"/>
      <w:sz w:val="28"/>
      <w:szCs w:val="32"/>
      <w:shd w:val="clear" w:color="auto" w:fill="00B274"/>
    </w:rPr>
  </w:style>
  <w:style w:type="character" w:customStyle="1" w:styleId="Heading2Char">
    <w:name w:val="Heading 2 Char"/>
    <w:link w:val="Heading2"/>
    <w:rsid w:val="002B210C"/>
    <w:rPr>
      <w:rFonts w:ascii="Arial" w:eastAsia="Times New Roman" w:hAnsi="Arial" w:cs="Arial"/>
      <w:b/>
      <w:bCs/>
      <w:color w:val="008576"/>
      <w:sz w:val="24"/>
      <w:szCs w:val="28"/>
    </w:rPr>
  </w:style>
  <w:style w:type="paragraph" w:styleId="BodyText2">
    <w:name w:val="Body Text 2"/>
    <w:basedOn w:val="Normal"/>
    <w:link w:val="BodyText2Char"/>
    <w:rsid w:val="00731B99"/>
    <w:pPr>
      <w:spacing w:line="360" w:lineRule="atLeast"/>
    </w:pPr>
    <w:rPr>
      <w:sz w:val="28"/>
    </w:rPr>
  </w:style>
  <w:style w:type="character" w:customStyle="1" w:styleId="BodyText2Char">
    <w:name w:val="Body Text 2 Char"/>
    <w:link w:val="BodyText2"/>
    <w:rsid w:val="00731B99"/>
    <w:rPr>
      <w:rFonts w:ascii="Tahoma" w:eastAsia="Times New Roman" w:hAnsi="Tahoma" w:cs="Times New Roman"/>
      <w:sz w:val="28"/>
      <w:lang w:val="en-GB" w:eastAsia="en-GB"/>
    </w:rPr>
  </w:style>
  <w:style w:type="paragraph" w:styleId="BodyText3">
    <w:name w:val="Body Text 3"/>
    <w:basedOn w:val="Normal"/>
    <w:link w:val="BodyText3Char"/>
    <w:rsid w:val="00731B99"/>
    <w:pPr>
      <w:spacing w:line="280" w:lineRule="atLeast"/>
    </w:pPr>
    <w:rPr>
      <w:sz w:val="24"/>
      <w:szCs w:val="16"/>
    </w:rPr>
  </w:style>
  <w:style w:type="character" w:customStyle="1" w:styleId="BodyText3Char">
    <w:name w:val="Body Text 3 Char"/>
    <w:link w:val="BodyText3"/>
    <w:rsid w:val="00731B99"/>
    <w:rPr>
      <w:rFonts w:ascii="Tahoma" w:eastAsia="Times New Roman" w:hAnsi="Tahoma" w:cs="Times New Roman"/>
      <w:szCs w:val="16"/>
      <w:lang w:val="en-GB" w:eastAsia="en-GB"/>
    </w:rPr>
  </w:style>
  <w:style w:type="character" w:customStyle="1" w:styleId="Heading4Char">
    <w:name w:val="Heading 4 Char"/>
    <w:link w:val="Heading4"/>
    <w:rsid w:val="00545307"/>
    <w:rPr>
      <w:rFonts w:ascii="Arial" w:eastAsia="Times New Roman" w:hAnsi="Arial" w:cs="Arial"/>
      <w:b/>
      <w:bCs/>
      <w:color w:val="008576"/>
      <w:sz w:val="24"/>
      <w:szCs w:val="28"/>
    </w:rPr>
  </w:style>
  <w:style w:type="character" w:customStyle="1" w:styleId="Heading8Char">
    <w:name w:val="Heading 8 Char"/>
    <w:link w:val="Heading8"/>
    <w:rsid w:val="00313E9E"/>
    <w:rPr>
      <w:rFonts w:ascii="Calibri" w:eastAsia="MS Gothic" w:hAnsi="Calibri"/>
      <w:color w:val="363636"/>
    </w:rPr>
  </w:style>
  <w:style w:type="paragraph" w:styleId="ListNumber">
    <w:name w:val="List Number"/>
    <w:basedOn w:val="Normal"/>
    <w:link w:val="ListNumberChar"/>
    <w:rsid w:val="00313E9E"/>
    <w:pPr>
      <w:numPr>
        <w:numId w:val="3"/>
      </w:numPr>
    </w:pPr>
  </w:style>
  <w:style w:type="paragraph" w:styleId="BodyText">
    <w:name w:val="Body Text"/>
    <w:basedOn w:val="Normal"/>
    <w:link w:val="BodyTextChar"/>
    <w:rsid w:val="00313E9E"/>
  </w:style>
  <w:style w:type="character" w:customStyle="1" w:styleId="BodyTextChar">
    <w:name w:val="Body Text Char"/>
    <w:link w:val="BodyText"/>
    <w:rsid w:val="00313E9E"/>
    <w:rPr>
      <w:rFonts w:ascii="Tahoma" w:eastAsia="Times New Roman" w:hAnsi="Tahoma" w:cs="Times New Roman"/>
      <w:sz w:val="20"/>
      <w:lang w:val="en-GB" w:eastAsia="en-GB"/>
    </w:rPr>
  </w:style>
  <w:style w:type="paragraph" w:styleId="ListBullet2">
    <w:name w:val="List Bullet 2"/>
    <w:basedOn w:val="Normal"/>
    <w:link w:val="ListBullet2Char"/>
    <w:rsid w:val="00313E9E"/>
    <w:pPr>
      <w:numPr>
        <w:numId w:val="1"/>
      </w:numPr>
    </w:pPr>
  </w:style>
  <w:style w:type="paragraph" w:customStyle="1" w:styleId="TableHeading">
    <w:name w:val="Table Heading"/>
    <w:basedOn w:val="Normal"/>
    <w:rsid w:val="00313E9E"/>
    <w:pPr>
      <w:spacing w:line="240" w:lineRule="auto"/>
      <w:ind w:left="113"/>
    </w:pPr>
    <w:rPr>
      <w:color w:val="008576"/>
    </w:rPr>
  </w:style>
  <w:style w:type="paragraph" w:customStyle="1" w:styleId="Tablesubheading">
    <w:name w:val="Table subheading"/>
    <w:basedOn w:val="Normal"/>
    <w:rsid w:val="00313E9E"/>
    <w:pPr>
      <w:spacing w:before="40" w:line="240" w:lineRule="auto"/>
      <w:ind w:left="113"/>
    </w:pPr>
  </w:style>
  <w:style w:type="paragraph" w:customStyle="1" w:styleId="Tablebodycopy">
    <w:name w:val="Table body copy"/>
    <w:basedOn w:val="Normal"/>
    <w:rsid w:val="00313E9E"/>
    <w:pPr>
      <w:spacing w:before="40"/>
      <w:ind w:left="113"/>
    </w:pPr>
    <w:rPr>
      <w:color w:val="008576"/>
    </w:rPr>
  </w:style>
  <w:style w:type="character" w:customStyle="1" w:styleId="ListNumberChar">
    <w:name w:val="List Number Char"/>
    <w:link w:val="ListNumber"/>
    <w:rsid w:val="00313E9E"/>
    <w:rPr>
      <w:rFonts w:ascii="Arial" w:eastAsia="Times New Roman" w:hAnsi="Arial"/>
      <w:szCs w:val="24"/>
    </w:rPr>
  </w:style>
  <w:style w:type="character" w:customStyle="1" w:styleId="ListBullet2Char">
    <w:name w:val="List Bullet 2 Char"/>
    <w:link w:val="ListBullet2"/>
    <w:rsid w:val="00313E9E"/>
    <w:rPr>
      <w:rFonts w:ascii="Arial" w:eastAsia="Times New Roman" w:hAnsi="Arial"/>
      <w:szCs w:val="24"/>
    </w:rPr>
  </w:style>
  <w:style w:type="paragraph" w:customStyle="1" w:styleId="TableList">
    <w:name w:val="Table List"/>
    <w:basedOn w:val="ListBullet2"/>
    <w:rsid w:val="00313E9E"/>
    <w:pPr>
      <w:numPr>
        <w:ilvl w:val="1"/>
      </w:numPr>
      <w:tabs>
        <w:tab w:val="clear" w:pos="454"/>
        <w:tab w:val="num" w:pos="360"/>
      </w:tabs>
    </w:pPr>
    <w:rPr>
      <w:color w:val="008576"/>
    </w:rPr>
  </w:style>
  <w:style w:type="character" w:customStyle="1" w:styleId="Heading3Char">
    <w:name w:val="Heading 3 Char"/>
    <w:link w:val="Heading3"/>
    <w:rsid w:val="00313E9E"/>
    <w:rPr>
      <w:rFonts w:ascii="Calibri" w:eastAsia="MS Gothic" w:hAnsi="Calibri"/>
      <w:b/>
      <w:bCs/>
      <w:color w:val="4F81BD"/>
      <w:szCs w:val="24"/>
    </w:rPr>
  </w:style>
  <w:style w:type="character" w:customStyle="1" w:styleId="Heading5Char">
    <w:name w:val="Heading 5 Char"/>
    <w:link w:val="Heading5"/>
    <w:rsid w:val="00313E9E"/>
    <w:rPr>
      <w:rFonts w:ascii="Calibri" w:eastAsia="MS Gothic" w:hAnsi="Calibri"/>
      <w:color w:val="244061"/>
      <w:szCs w:val="24"/>
    </w:rPr>
  </w:style>
  <w:style w:type="character" w:customStyle="1" w:styleId="Heading6Char">
    <w:name w:val="Heading 6 Char"/>
    <w:link w:val="Heading6"/>
    <w:rsid w:val="00313E9E"/>
    <w:rPr>
      <w:rFonts w:ascii="Calibri" w:eastAsia="MS Gothic" w:hAnsi="Calibri"/>
      <w:i/>
      <w:iCs/>
      <w:color w:val="244061"/>
      <w:szCs w:val="24"/>
    </w:rPr>
  </w:style>
  <w:style w:type="character" w:customStyle="1" w:styleId="Heading7Char">
    <w:name w:val="Heading 7 Char"/>
    <w:link w:val="Heading7"/>
    <w:rsid w:val="00313E9E"/>
    <w:rPr>
      <w:rFonts w:ascii="Calibri" w:eastAsia="MS Gothic" w:hAnsi="Calibri"/>
      <w:i/>
      <w:iCs/>
      <w:color w:val="404040"/>
      <w:szCs w:val="24"/>
    </w:rPr>
  </w:style>
  <w:style w:type="character" w:customStyle="1" w:styleId="Heading9Char">
    <w:name w:val="Heading 9 Char"/>
    <w:link w:val="Heading9"/>
    <w:rsid w:val="00313E9E"/>
    <w:rPr>
      <w:rFonts w:ascii="Calibri" w:eastAsia="MS Gothic" w:hAnsi="Calibri"/>
      <w:i/>
      <w:iCs/>
      <w:color w:val="363636"/>
    </w:rPr>
  </w:style>
  <w:style w:type="numbering" w:styleId="ArticleSection">
    <w:name w:val="Outline List 3"/>
    <w:basedOn w:val="NoList"/>
    <w:semiHidden/>
    <w:rsid w:val="00313E9E"/>
    <w:pPr>
      <w:numPr>
        <w:numId w:val="2"/>
      </w:numPr>
    </w:pPr>
  </w:style>
  <w:style w:type="paragraph" w:customStyle="1" w:styleId="TOCMOD">
    <w:name w:val="TOC MOD"/>
    <w:basedOn w:val="TOCDMR"/>
    <w:qFormat/>
    <w:rsid w:val="00205E60"/>
    <w:pPr>
      <w:framePr w:hSpace="181" w:vSpace="181" w:wrap="around" w:vAnchor="text" w:hAnchor="text" w:y="1"/>
    </w:pPr>
    <w:rPr>
      <w:color w:val="008576"/>
    </w:rPr>
  </w:style>
  <w:style w:type="paragraph" w:styleId="TOC2">
    <w:name w:val="toc 2"/>
    <w:basedOn w:val="Heading9"/>
    <w:next w:val="Normal"/>
    <w:link w:val="TOC2Char"/>
    <w:autoRedefine/>
    <w:uiPriority w:val="39"/>
    <w:rsid w:val="0055068A"/>
    <w:pPr>
      <w:keepNext w:val="0"/>
      <w:keepLines w:val="0"/>
      <w:numPr>
        <w:ilvl w:val="0"/>
        <w:numId w:val="0"/>
      </w:numPr>
      <w:spacing w:before="0"/>
      <w:ind w:left="200"/>
      <w:outlineLvl w:val="9"/>
    </w:pPr>
    <w:rPr>
      <w:rFonts w:ascii="Cambria" w:eastAsia="Times New Roman" w:hAnsi="Cambria"/>
      <w:b/>
      <w:i w:val="0"/>
      <w:iCs w:val="0"/>
      <w:color w:val="auto"/>
      <w:sz w:val="22"/>
      <w:szCs w:val="22"/>
    </w:rPr>
  </w:style>
  <w:style w:type="paragraph" w:customStyle="1" w:styleId="Contents01">
    <w:name w:val="Contents 01"/>
    <w:basedOn w:val="Heading8"/>
    <w:rsid w:val="00D06875"/>
    <w:pPr>
      <w:keepLines w:val="0"/>
      <w:numPr>
        <w:numId w:val="0"/>
      </w:numPr>
      <w:pBdr>
        <w:top w:val="single" w:sz="48" w:space="1" w:color="00B274"/>
        <w:left w:val="single" w:sz="48" w:space="4" w:color="00B274"/>
        <w:bottom w:val="single" w:sz="48" w:space="1" w:color="00B274"/>
        <w:right w:val="single" w:sz="48" w:space="4" w:color="00B274"/>
      </w:pBdr>
      <w:shd w:val="clear" w:color="auto" w:fill="00B274"/>
      <w:spacing w:before="0" w:line="240" w:lineRule="auto"/>
      <w:ind w:right="238"/>
    </w:pPr>
    <w:rPr>
      <w:rFonts w:ascii="Arial" w:eastAsia="Times New Roman" w:hAnsi="Arial" w:cs="Arial"/>
      <w:bCs/>
      <w:color w:val="FFFFFF"/>
      <w:kern w:val="32"/>
      <w:sz w:val="28"/>
      <w:szCs w:val="32"/>
    </w:rPr>
  </w:style>
  <w:style w:type="paragraph" w:customStyle="1" w:styleId="About01">
    <w:name w:val="About 01"/>
    <w:basedOn w:val="Contents01"/>
    <w:rsid w:val="0086142A"/>
    <w:pPr>
      <w:pBdr>
        <w:top w:val="none" w:sz="0" w:space="0" w:color="auto"/>
        <w:left w:val="none" w:sz="0" w:space="0" w:color="auto"/>
        <w:bottom w:val="none" w:sz="0" w:space="0" w:color="auto"/>
        <w:right w:val="none" w:sz="0" w:space="0" w:color="auto"/>
      </w:pBdr>
      <w:tabs>
        <w:tab w:val="right" w:pos="7811"/>
      </w:tabs>
      <w:ind w:right="0"/>
    </w:pPr>
    <w:rPr>
      <w:bCs w:val="0"/>
      <w:szCs w:val="28"/>
    </w:rPr>
  </w:style>
  <w:style w:type="character" w:customStyle="1" w:styleId="TOC2Char">
    <w:name w:val="TOC 2 Char"/>
    <w:link w:val="TOC2"/>
    <w:uiPriority w:val="39"/>
    <w:rsid w:val="0055068A"/>
    <w:rPr>
      <w:rFonts w:eastAsia="Times New Roman"/>
      <w:b/>
      <w:sz w:val="22"/>
      <w:szCs w:val="22"/>
      <w:lang w:eastAsia="en-GB"/>
    </w:rPr>
  </w:style>
  <w:style w:type="paragraph" w:styleId="TOC1">
    <w:name w:val="toc 1"/>
    <w:basedOn w:val="TOCMOD"/>
    <w:next w:val="TOCMOD"/>
    <w:autoRedefine/>
    <w:uiPriority w:val="39"/>
    <w:qFormat/>
    <w:rsid w:val="00D06875"/>
    <w:pPr>
      <w:framePr w:wrap="around"/>
    </w:pPr>
  </w:style>
  <w:style w:type="table" w:styleId="TableGrid">
    <w:name w:val="Table Grid"/>
    <w:basedOn w:val="TableNormal"/>
    <w:rsid w:val="005B378E"/>
    <w:pPr>
      <w:spacing w:line="300" w:lineRule="atLeast"/>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4">
    <w:name w:val="Body Text 4"/>
    <w:basedOn w:val="BodyText3"/>
    <w:rsid w:val="005B378E"/>
  </w:style>
  <w:style w:type="numbering" w:styleId="111111">
    <w:name w:val="Outline List 2"/>
    <w:basedOn w:val="NoList"/>
    <w:rsid w:val="005B378E"/>
    <w:pPr>
      <w:numPr>
        <w:numId w:val="4"/>
      </w:numPr>
    </w:pPr>
  </w:style>
  <w:style w:type="numbering" w:styleId="1ai">
    <w:name w:val="Outline List 1"/>
    <w:basedOn w:val="NoList"/>
    <w:rsid w:val="005B378E"/>
    <w:pPr>
      <w:numPr>
        <w:numId w:val="5"/>
      </w:numPr>
    </w:pPr>
  </w:style>
  <w:style w:type="paragraph" w:styleId="BodyTextFirstIndent">
    <w:name w:val="Body Text First Indent"/>
    <w:basedOn w:val="BodyText"/>
    <w:link w:val="BodyTextFirstIndentChar"/>
    <w:rsid w:val="007E718E"/>
    <w:pPr>
      <w:spacing w:after="0"/>
      <w:ind w:firstLine="210"/>
    </w:pPr>
  </w:style>
  <w:style w:type="character" w:customStyle="1" w:styleId="BodyTextFirstIndentChar">
    <w:name w:val="Body Text First Indent Char"/>
    <w:link w:val="BodyTextFirstIndent"/>
    <w:rsid w:val="007E718E"/>
    <w:rPr>
      <w:rFonts w:ascii="Arial" w:eastAsia="Times New Roman" w:hAnsi="Arial"/>
      <w:szCs w:val="24"/>
      <w:lang w:eastAsia="en-GB"/>
    </w:rPr>
  </w:style>
  <w:style w:type="paragraph" w:styleId="BodyTextIndent">
    <w:name w:val="Body Text Indent"/>
    <w:basedOn w:val="Normal"/>
    <w:link w:val="BodyTextIndentChar"/>
    <w:rsid w:val="005B378E"/>
    <w:pPr>
      <w:ind w:left="283"/>
    </w:pPr>
  </w:style>
  <w:style w:type="character" w:customStyle="1" w:styleId="BodyTextIndentChar">
    <w:name w:val="Body Text Indent Char"/>
    <w:link w:val="BodyTextIndent"/>
    <w:rsid w:val="005B378E"/>
    <w:rPr>
      <w:rFonts w:ascii="Tahoma" w:eastAsia="Times New Roman" w:hAnsi="Tahoma" w:cs="Times New Roman"/>
      <w:sz w:val="20"/>
      <w:lang w:val="en-GB" w:eastAsia="en-GB"/>
    </w:rPr>
  </w:style>
  <w:style w:type="paragraph" w:styleId="BodyTextFirstIndent2">
    <w:name w:val="Body Text First Indent 2"/>
    <w:basedOn w:val="BodyTextIndent"/>
    <w:link w:val="BodyTextFirstIndent2Char"/>
    <w:rsid w:val="005B378E"/>
    <w:pPr>
      <w:ind w:firstLine="210"/>
    </w:pPr>
  </w:style>
  <w:style w:type="character" w:customStyle="1" w:styleId="BodyTextFirstIndent2Char">
    <w:name w:val="Body Text First Indent 2 Char"/>
    <w:link w:val="BodyTextFirstIndent2"/>
    <w:rsid w:val="005B378E"/>
    <w:rPr>
      <w:rFonts w:ascii="Tahoma" w:eastAsia="Times New Roman" w:hAnsi="Tahoma" w:cs="Times New Roman"/>
      <w:sz w:val="20"/>
      <w:lang w:val="en-GB" w:eastAsia="en-GB"/>
    </w:rPr>
  </w:style>
  <w:style w:type="paragraph" w:styleId="BodyTextIndent2">
    <w:name w:val="Body Text Indent 2"/>
    <w:basedOn w:val="Normal"/>
    <w:link w:val="BodyTextIndent2Char"/>
    <w:rsid w:val="005B378E"/>
    <w:pPr>
      <w:spacing w:line="480" w:lineRule="auto"/>
      <w:ind w:left="283"/>
    </w:pPr>
  </w:style>
  <w:style w:type="character" w:customStyle="1" w:styleId="BodyTextIndent2Char">
    <w:name w:val="Body Text Indent 2 Char"/>
    <w:link w:val="BodyTextIndent2"/>
    <w:rsid w:val="005B378E"/>
    <w:rPr>
      <w:rFonts w:ascii="Tahoma" w:eastAsia="Times New Roman" w:hAnsi="Tahoma" w:cs="Times New Roman"/>
      <w:sz w:val="20"/>
      <w:lang w:val="en-GB" w:eastAsia="en-GB"/>
    </w:rPr>
  </w:style>
  <w:style w:type="paragraph" w:styleId="BodyTextIndent3">
    <w:name w:val="Body Text Indent 3"/>
    <w:basedOn w:val="Normal"/>
    <w:link w:val="BodyTextIndent3Char"/>
    <w:rsid w:val="005B378E"/>
    <w:pPr>
      <w:ind w:left="283"/>
    </w:pPr>
    <w:rPr>
      <w:sz w:val="16"/>
      <w:szCs w:val="16"/>
    </w:rPr>
  </w:style>
  <w:style w:type="character" w:customStyle="1" w:styleId="BodyTextIndent3Char">
    <w:name w:val="Body Text Indent 3 Char"/>
    <w:link w:val="BodyTextIndent3"/>
    <w:rsid w:val="005B378E"/>
    <w:rPr>
      <w:rFonts w:ascii="Tahoma" w:eastAsia="Times New Roman" w:hAnsi="Tahoma" w:cs="Times New Roman"/>
      <w:sz w:val="16"/>
      <w:szCs w:val="16"/>
      <w:lang w:val="en-GB" w:eastAsia="en-GB"/>
    </w:rPr>
  </w:style>
  <w:style w:type="paragraph" w:styleId="Closing">
    <w:name w:val="Closing"/>
    <w:basedOn w:val="Normal"/>
    <w:link w:val="ClosingChar"/>
    <w:rsid w:val="005B378E"/>
    <w:pPr>
      <w:ind w:left="4252"/>
    </w:pPr>
  </w:style>
  <w:style w:type="character" w:customStyle="1" w:styleId="ClosingChar">
    <w:name w:val="Closing Char"/>
    <w:link w:val="Closing"/>
    <w:rsid w:val="005B378E"/>
    <w:rPr>
      <w:rFonts w:ascii="Tahoma" w:eastAsia="Times New Roman" w:hAnsi="Tahoma" w:cs="Times New Roman"/>
      <w:sz w:val="20"/>
      <w:lang w:val="en-GB" w:eastAsia="en-GB"/>
    </w:rPr>
  </w:style>
  <w:style w:type="paragraph" w:styleId="Date">
    <w:name w:val="Date"/>
    <w:basedOn w:val="Normal"/>
    <w:next w:val="Normal"/>
    <w:link w:val="DateChar"/>
    <w:rsid w:val="005B378E"/>
  </w:style>
  <w:style w:type="character" w:customStyle="1" w:styleId="DateChar">
    <w:name w:val="Date Char"/>
    <w:link w:val="Date"/>
    <w:rsid w:val="005B378E"/>
    <w:rPr>
      <w:rFonts w:ascii="Tahoma" w:eastAsia="Times New Roman" w:hAnsi="Tahoma" w:cs="Times New Roman"/>
      <w:sz w:val="20"/>
      <w:lang w:val="en-GB" w:eastAsia="en-GB"/>
    </w:rPr>
  </w:style>
  <w:style w:type="paragraph" w:styleId="E-mailSignature">
    <w:name w:val="E-mail Signature"/>
    <w:basedOn w:val="Normal"/>
    <w:link w:val="E-mailSignatureChar"/>
    <w:rsid w:val="005B378E"/>
  </w:style>
  <w:style w:type="character" w:customStyle="1" w:styleId="E-mailSignatureChar">
    <w:name w:val="E-mail Signature Char"/>
    <w:link w:val="E-mailSignature"/>
    <w:rsid w:val="005B378E"/>
    <w:rPr>
      <w:rFonts w:ascii="Tahoma" w:eastAsia="Times New Roman" w:hAnsi="Tahoma" w:cs="Times New Roman"/>
      <w:sz w:val="20"/>
      <w:lang w:val="en-GB" w:eastAsia="en-GB"/>
    </w:rPr>
  </w:style>
  <w:style w:type="character" w:styleId="Emphasis">
    <w:name w:val="Emphasis"/>
    <w:qFormat/>
    <w:rsid w:val="005B378E"/>
    <w:rPr>
      <w:i/>
      <w:iCs/>
    </w:rPr>
  </w:style>
  <w:style w:type="paragraph" w:styleId="EnvelopeAddress">
    <w:name w:val="envelope address"/>
    <w:basedOn w:val="Normal"/>
    <w:rsid w:val="005B378E"/>
    <w:pPr>
      <w:framePr w:w="7920" w:h="1980" w:hRule="exact" w:hSpace="180" w:wrap="auto" w:hAnchor="page" w:xAlign="center" w:yAlign="bottom"/>
      <w:ind w:left="2880"/>
    </w:pPr>
    <w:rPr>
      <w:rFonts w:cs="Arial"/>
      <w:sz w:val="24"/>
    </w:rPr>
  </w:style>
  <w:style w:type="paragraph" w:styleId="EnvelopeReturn">
    <w:name w:val="envelope return"/>
    <w:basedOn w:val="Normal"/>
    <w:rsid w:val="005B378E"/>
    <w:rPr>
      <w:rFonts w:cs="Arial"/>
      <w:szCs w:val="20"/>
    </w:rPr>
  </w:style>
  <w:style w:type="character" w:styleId="HTMLAcronym">
    <w:name w:val="HTML Acronym"/>
    <w:basedOn w:val="DefaultParagraphFont"/>
    <w:rsid w:val="005B378E"/>
  </w:style>
  <w:style w:type="paragraph" w:styleId="HTMLAddress">
    <w:name w:val="HTML Address"/>
    <w:basedOn w:val="Normal"/>
    <w:link w:val="HTMLAddressChar"/>
    <w:rsid w:val="005B378E"/>
    <w:rPr>
      <w:i/>
      <w:iCs/>
    </w:rPr>
  </w:style>
  <w:style w:type="character" w:customStyle="1" w:styleId="HTMLAddressChar">
    <w:name w:val="HTML Address Char"/>
    <w:link w:val="HTMLAddress"/>
    <w:rsid w:val="005B378E"/>
    <w:rPr>
      <w:rFonts w:ascii="Tahoma" w:eastAsia="Times New Roman" w:hAnsi="Tahoma" w:cs="Times New Roman"/>
      <w:i/>
      <w:iCs/>
      <w:sz w:val="20"/>
      <w:lang w:val="en-GB" w:eastAsia="en-GB"/>
    </w:rPr>
  </w:style>
  <w:style w:type="character" w:styleId="HTMLCite">
    <w:name w:val="HTML Cite"/>
    <w:rsid w:val="005B378E"/>
    <w:rPr>
      <w:i/>
      <w:iCs/>
    </w:rPr>
  </w:style>
  <w:style w:type="character" w:styleId="HTMLCode">
    <w:name w:val="HTML Code"/>
    <w:rsid w:val="005B378E"/>
    <w:rPr>
      <w:rFonts w:ascii="Courier New" w:hAnsi="Courier New" w:cs="Courier New"/>
      <w:sz w:val="20"/>
      <w:szCs w:val="20"/>
    </w:rPr>
  </w:style>
  <w:style w:type="character" w:styleId="HTMLDefinition">
    <w:name w:val="HTML Definition"/>
    <w:rsid w:val="005B378E"/>
    <w:rPr>
      <w:i/>
      <w:iCs/>
    </w:rPr>
  </w:style>
  <w:style w:type="character" w:styleId="HTMLKeyboard">
    <w:name w:val="HTML Keyboard"/>
    <w:rsid w:val="005B378E"/>
    <w:rPr>
      <w:rFonts w:ascii="Courier New" w:hAnsi="Courier New" w:cs="Courier New"/>
      <w:sz w:val="20"/>
      <w:szCs w:val="20"/>
    </w:rPr>
  </w:style>
  <w:style w:type="paragraph" w:styleId="HTMLPreformatted">
    <w:name w:val="HTML Preformatted"/>
    <w:basedOn w:val="Normal"/>
    <w:link w:val="HTMLPreformattedChar"/>
    <w:rsid w:val="005B378E"/>
    <w:rPr>
      <w:rFonts w:ascii="Courier New" w:hAnsi="Courier New" w:cs="Courier New"/>
      <w:szCs w:val="20"/>
    </w:rPr>
  </w:style>
  <w:style w:type="character" w:customStyle="1" w:styleId="HTMLPreformattedChar">
    <w:name w:val="HTML Preformatted Char"/>
    <w:link w:val="HTMLPreformatted"/>
    <w:rsid w:val="005B378E"/>
    <w:rPr>
      <w:rFonts w:ascii="Courier New" w:eastAsia="Times New Roman" w:hAnsi="Courier New" w:cs="Courier New"/>
      <w:sz w:val="20"/>
      <w:szCs w:val="20"/>
      <w:lang w:val="en-GB" w:eastAsia="en-GB"/>
    </w:rPr>
  </w:style>
  <w:style w:type="character" w:styleId="HTMLSample">
    <w:name w:val="HTML Sample"/>
    <w:rsid w:val="005B378E"/>
    <w:rPr>
      <w:rFonts w:ascii="Courier New" w:hAnsi="Courier New" w:cs="Courier New"/>
    </w:rPr>
  </w:style>
  <w:style w:type="character" w:styleId="HTMLTypewriter">
    <w:name w:val="HTML Typewriter"/>
    <w:rsid w:val="005B378E"/>
    <w:rPr>
      <w:rFonts w:ascii="Courier New" w:hAnsi="Courier New" w:cs="Courier New"/>
      <w:sz w:val="20"/>
      <w:szCs w:val="20"/>
    </w:rPr>
  </w:style>
  <w:style w:type="character" w:styleId="HTMLVariable">
    <w:name w:val="HTML Variable"/>
    <w:rsid w:val="005B378E"/>
    <w:rPr>
      <w:i/>
      <w:iCs/>
    </w:rPr>
  </w:style>
  <w:style w:type="character" w:styleId="LineNumber">
    <w:name w:val="line number"/>
    <w:basedOn w:val="DefaultParagraphFont"/>
    <w:rsid w:val="005B378E"/>
  </w:style>
  <w:style w:type="paragraph" w:styleId="MessageHeader">
    <w:name w:val="Message Header"/>
    <w:basedOn w:val="Normal"/>
    <w:link w:val="MessageHeaderChar"/>
    <w:rsid w:val="005B378E"/>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character" w:customStyle="1" w:styleId="MessageHeaderChar">
    <w:name w:val="Message Header Char"/>
    <w:link w:val="MessageHeader"/>
    <w:rsid w:val="005B378E"/>
    <w:rPr>
      <w:rFonts w:ascii="Arial" w:eastAsia="Times New Roman" w:hAnsi="Arial" w:cs="Arial"/>
      <w:shd w:val="pct20" w:color="auto" w:fill="auto"/>
      <w:lang w:val="en-GB" w:eastAsia="en-GB"/>
    </w:rPr>
  </w:style>
  <w:style w:type="paragraph" w:styleId="NormalWeb">
    <w:name w:val="Normal (Web)"/>
    <w:basedOn w:val="Normal"/>
    <w:rsid w:val="005B378E"/>
    <w:rPr>
      <w:rFonts w:ascii="Times New Roman" w:hAnsi="Times New Roman"/>
      <w:sz w:val="24"/>
    </w:rPr>
  </w:style>
  <w:style w:type="paragraph" w:styleId="NoteHeading">
    <w:name w:val="Note Heading"/>
    <w:basedOn w:val="Normal"/>
    <w:next w:val="Normal"/>
    <w:link w:val="NoteHeadingChar"/>
    <w:rsid w:val="005B378E"/>
  </w:style>
  <w:style w:type="character" w:customStyle="1" w:styleId="NoteHeadingChar">
    <w:name w:val="Note Heading Char"/>
    <w:link w:val="NoteHeading"/>
    <w:rsid w:val="005B378E"/>
    <w:rPr>
      <w:rFonts w:ascii="Tahoma" w:eastAsia="Times New Roman" w:hAnsi="Tahoma" w:cs="Times New Roman"/>
      <w:sz w:val="20"/>
      <w:lang w:val="en-GB" w:eastAsia="en-GB"/>
    </w:rPr>
  </w:style>
  <w:style w:type="paragraph" w:styleId="PlainText">
    <w:name w:val="Plain Text"/>
    <w:basedOn w:val="Normal"/>
    <w:link w:val="PlainTextChar"/>
    <w:rsid w:val="005B378E"/>
    <w:rPr>
      <w:rFonts w:ascii="Courier New" w:hAnsi="Courier New" w:cs="Courier New"/>
      <w:szCs w:val="20"/>
    </w:rPr>
  </w:style>
  <w:style w:type="character" w:customStyle="1" w:styleId="PlainTextChar">
    <w:name w:val="Plain Text Char"/>
    <w:link w:val="PlainText"/>
    <w:rsid w:val="005B378E"/>
    <w:rPr>
      <w:rFonts w:ascii="Courier New" w:eastAsia="Times New Roman" w:hAnsi="Courier New" w:cs="Courier New"/>
      <w:sz w:val="20"/>
      <w:szCs w:val="20"/>
      <w:lang w:val="en-GB" w:eastAsia="en-GB"/>
    </w:rPr>
  </w:style>
  <w:style w:type="paragraph" w:styleId="Salutation">
    <w:name w:val="Salutation"/>
    <w:basedOn w:val="Normal"/>
    <w:next w:val="Normal"/>
    <w:link w:val="SalutationChar"/>
    <w:rsid w:val="005B378E"/>
  </w:style>
  <w:style w:type="character" w:customStyle="1" w:styleId="SalutationChar">
    <w:name w:val="Salutation Char"/>
    <w:link w:val="Salutation"/>
    <w:rsid w:val="005B378E"/>
    <w:rPr>
      <w:rFonts w:ascii="Tahoma" w:eastAsia="Times New Roman" w:hAnsi="Tahoma" w:cs="Times New Roman"/>
      <w:sz w:val="20"/>
      <w:lang w:val="en-GB" w:eastAsia="en-GB"/>
    </w:rPr>
  </w:style>
  <w:style w:type="paragraph" w:styleId="Signature">
    <w:name w:val="Signature"/>
    <w:basedOn w:val="Normal"/>
    <w:link w:val="SignatureChar"/>
    <w:rsid w:val="005B378E"/>
    <w:pPr>
      <w:ind w:left="4252"/>
    </w:pPr>
  </w:style>
  <w:style w:type="character" w:customStyle="1" w:styleId="SignatureChar">
    <w:name w:val="Signature Char"/>
    <w:link w:val="Signature"/>
    <w:rsid w:val="005B378E"/>
    <w:rPr>
      <w:rFonts w:ascii="Tahoma" w:eastAsia="Times New Roman" w:hAnsi="Tahoma" w:cs="Times New Roman"/>
      <w:sz w:val="20"/>
      <w:lang w:val="en-GB" w:eastAsia="en-GB"/>
    </w:rPr>
  </w:style>
  <w:style w:type="character" w:styleId="Strong">
    <w:name w:val="Strong"/>
    <w:qFormat/>
    <w:rsid w:val="005B378E"/>
    <w:rPr>
      <w:b/>
      <w:bCs/>
    </w:rPr>
  </w:style>
  <w:style w:type="table" w:styleId="Table3Deffects1">
    <w:name w:val="Table 3D effects 1"/>
    <w:basedOn w:val="TableNormal"/>
    <w:rsid w:val="005B378E"/>
    <w:pPr>
      <w:spacing w:line="300" w:lineRule="atLeast"/>
    </w:pPr>
    <w:rPr>
      <w:rFonts w:ascii="Times New Roman" w:eastAsia="Times New Roman" w:hAnsi="Times New Roman"/>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B378E"/>
    <w:pPr>
      <w:spacing w:line="300" w:lineRule="atLeast"/>
    </w:pPr>
    <w:rPr>
      <w:rFonts w:ascii="Times New Roman" w:eastAsia="Times New Roman" w:hAnsi="Times New Roman"/>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5B378E"/>
    <w:pPr>
      <w:spacing w:line="300" w:lineRule="atLeast"/>
    </w:pPr>
    <w:rPr>
      <w:rFonts w:ascii="Times New Roman" w:eastAsia="Times New Roman" w:hAnsi="Times New Roma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5B378E"/>
    <w:pPr>
      <w:spacing w:line="300" w:lineRule="atLeast"/>
    </w:pPr>
    <w:rPr>
      <w:rFonts w:ascii="Times New Roman" w:eastAsia="Times New Roman" w:hAnsi="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5B378E"/>
    <w:pPr>
      <w:spacing w:line="300" w:lineRule="atLeast"/>
    </w:pPr>
    <w:rPr>
      <w:rFonts w:ascii="Times New Roman" w:eastAsia="Times New Roman" w:hAnsi="Times New Roma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5B378E"/>
    <w:pPr>
      <w:spacing w:line="300" w:lineRule="atLeast"/>
    </w:pPr>
    <w:rPr>
      <w:rFonts w:ascii="Times New Roman" w:eastAsia="Times New Roman" w:hAnsi="Times New Roman"/>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5B378E"/>
    <w:pPr>
      <w:spacing w:line="300" w:lineRule="atLeast"/>
    </w:pPr>
    <w:rPr>
      <w:rFonts w:ascii="Times New Roman" w:eastAsia="Times New Roman" w:hAnsi="Times New Roman"/>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5B378E"/>
    <w:pPr>
      <w:spacing w:line="300" w:lineRule="atLeast"/>
    </w:pPr>
    <w:rPr>
      <w:rFonts w:ascii="Times New Roman" w:eastAsia="Times New Roman" w:hAnsi="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5B378E"/>
    <w:pPr>
      <w:spacing w:line="300" w:lineRule="atLeast"/>
    </w:pPr>
    <w:rPr>
      <w:rFonts w:ascii="Times New Roman" w:eastAsia="Times New Roman" w:hAnsi="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5B378E"/>
    <w:pPr>
      <w:spacing w:line="300" w:lineRule="atLeast"/>
    </w:pPr>
    <w:rPr>
      <w:rFonts w:ascii="Times New Roman" w:eastAsia="Times New Roman" w:hAnsi="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5B378E"/>
    <w:pPr>
      <w:spacing w:line="300" w:lineRule="atLeast"/>
    </w:pPr>
    <w:rPr>
      <w:rFonts w:ascii="Times New Roman" w:eastAsia="Times New Roman" w:hAnsi="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5B378E"/>
    <w:pPr>
      <w:spacing w:line="300" w:lineRule="atLeast"/>
    </w:pPr>
    <w:rPr>
      <w:rFonts w:ascii="Times New Roman" w:eastAsia="Times New Roman" w:hAnsi="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5B378E"/>
    <w:pPr>
      <w:spacing w:line="300" w:lineRule="atLeast"/>
    </w:pPr>
    <w:rPr>
      <w:rFonts w:ascii="Times New Roman" w:eastAsia="Times New Roman" w:hAnsi="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5B378E"/>
    <w:pPr>
      <w:spacing w:line="300" w:lineRule="atLeast"/>
    </w:pPr>
    <w:rPr>
      <w:rFonts w:ascii="Times New Roman" w:eastAsia="Times New Roman" w:hAnsi="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5B378E"/>
    <w:pPr>
      <w:spacing w:line="300" w:lineRule="atLeast"/>
    </w:pPr>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5B378E"/>
    <w:pPr>
      <w:spacing w:line="300" w:lineRule="atLeast"/>
    </w:pPr>
    <w:rPr>
      <w:rFonts w:ascii="Times New Roman" w:eastAsia="Times New Roman" w:hAnsi="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5B378E"/>
    <w:pPr>
      <w:spacing w:line="300" w:lineRule="atLeast"/>
    </w:pPr>
    <w:rPr>
      <w:rFonts w:ascii="Times New Roman" w:eastAsia="Times New Roman" w:hAnsi="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5B378E"/>
    <w:pPr>
      <w:spacing w:line="300" w:lineRule="atLeast"/>
    </w:pPr>
    <w:rPr>
      <w:rFonts w:ascii="Times New Roman" w:eastAsia="Times New Roman" w:hAnsi="Times New Roman"/>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5B378E"/>
    <w:pPr>
      <w:spacing w:line="300" w:lineRule="atLeast"/>
    </w:pPr>
    <w:rPr>
      <w:rFonts w:ascii="Times New Roman" w:eastAsia="Times New Roman" w:hAnsi="Times New Roma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5B378E"/>
    <w:pPr>
      <w:spacing w:line="300" w:lineRule="atLeast"/>
    </w:pPr>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5B378E"/>
    <w:pPr>
      <w:spacing w:line="300" w:lineRule="atLeast"/>
    </w:pPr>
    <w:rPr>
      <w:rFonts w:ascii="Times New Roman" w:eastAsia="Times New Roman" w:hAnsi="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5B378E"/>
    <w:pPr>
      <w:spacing w:line="300" w:lineRule="atLeast"/>
    </w:pPr>
    <w:rPr>
      <w:rFonts w:ascii="Times New Roman" w:eastAsia="Times New Roman" w:hAnsi="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5B378E"/>
    <w:pPr>
      <w:spacing w:line="300" w:lineRule="atLeast"/>
    </w:pPr>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5B378E"/>
    <w:pPr>
      <w:spacing w:line="300" w:lineRule="atLeast"/>
    </w:pPr>
    <w:rPr>
      <w:rFonts w:ascii="Times New Roman" w:eastAsia="Times New Roman" w:hAnsi="Times New Roma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5B378E"/>
    <w:pPr>
      <w:spacing w:line="300" w:lineRule="atLeast"/>
    </w:pPr>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5B378E"/>
    <w:pPr>
      <w:spacing w:line="300" w:lineRule="atLeast"/>
    </w:pPr>
    <w:rPr>
      <w:rFonts w:ascii="Times New Roman" w:eastAsia="Times New Roman" w:hAnsi="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5B378E"/>
    <w:pPr>
      <w:spacing w:line="300" w:lineRule="atLeast"/>
    </w:pPr>
    <w:rPr>
      <w:rFonts w:ascii="Times New Roman" w:eastAsia="Times New Roman" w:hAnsi="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5B378E"/>
    <w:pPr>
      <w:spacing w:line="300" w:lineRule="atLeast"/>
    </w:pPr>
    <w:rPr>
      <w:rFonts w:ascii="Times New Roman" w:eastAsia="Times New Roman" w:hAnsi="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5B378E"/>
    <w:pPr>
      <w:spacing w:line="300" w:lineRule="atLeast"/>
    </w:pPr>
    <w:rPr>
      <w:rFonts w:ascii="Times New Roman" w:eastAsia="Times New Roman" w:hAnsi="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5B378E"/>
    <w:pPr>
      <w:spacing w:line="300" w:lineRule="atLeast"/>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5B378E"/>
    <w:pPr>
      <w:spacing w:line="300" w:lineRule="atLeast"/>
    </w:pPr>
    <w:rPr>
      <w:rFonts w:ascii="Times New Roman" w:eastAsia="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5B378E"/>
    <w:pPr>
      <w:spacing w:line="300" w:lineRule="atLeast"/>
    </w:pPr>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5B378E"/>
    <w:pPr>
      <w:spacing w:line="300" w:lineRule="atLeast"/>
    </w:pPr>
    <w:rPr>
      <w:rFonts w:ascii="Times New Roman" w:eastAsia="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Number2">
    <w:name w:val="List Number 2"/>
    <w:basedOn w:val="Normal"/>
    <w:link w:val="ListNumber2Char"/>
    <w:rsid w:val="005B378E"/>
    <w:pPr>
      <w:numPr>
        <w:numId w:val="13"/>
      </w:numPr>
    </w:pPr>
    <w:rPr>
      <w:sz w:val="24"/>
    </w:rPr>
  </w:style>
  <w:style w:type="paragraph" w:customStyle="1" w:styleId="BodyTest5">
    <w:name w:val="Body Test 5"/>
    <w:basedOn w:val="BodyText4"/>
    <w:rsid w:val="005B378E"/>
    <w:rPr>
      <w:b/>
      <w:color w:val="00B274"/>
    </w:rPr>
  </w:style>
  <w:style w:type="paragraph" w:styleId="ListBullet">
    <w:name w:val="List Bullet"/>
    <w:basedOn w:val="Normal"/>
    <w:link w:val="ListBulletChar"/>
    <w:rsid w:val="005B378E"/>
    <w:pPr>
      <w:tabs>
        <w:tab w:val="left" w:pos="266"/>
      </w:tabs>
    </w:pPr>
    <w:rPr>
      <w:color w:val="00B274"/>
    </w:rPr>
  </w:style>
  <w:style w:type="paragraph" w:styleId="ListBullet3">
    <w:name w:val="List Bullet 3"/>
    <w:basedOn w:val="ListBullet"/>
    <w:link w:val="ListBullet3Char"/>
    <w:rsid w:val="005B378E"/>
    <w:pPr>
      <w:numPr>
        <w:numId w:val="6"/>
      </w:numPr>
    </w:pPr>
    <w:rPr>
      <w:color w:val="auto"/>
    </w:rPr>
  </w:style>
  <w:style w:type="character" w:customStyle="1" w:styleId="ListBulletChar">
    <w:name w:val="List Bullet Char"/>
    <w:link w:val="ListBullet"/>
    <w:rsid w:val="005B378E"/>
    <w:rPr>
      <w:rFonts w:ascii="Tahoma" w:eastAsia="Times New Roman" w:hAnsi="Tahoma" w:cs="Times New Roman"/>
      <w:color w:val="00B274"/>
      <w:sz w:val="20"/>
      <w:lang w:val="en-GB" w:eastAsia="en-GB"/>
    </w:rPr>
  </w:style>
  <w:style w:type="character" w:customStyle="1" w:styleId="ListBullet3Char">
    <w:name w:val="List Bullet 3 Char"/>
    <w:link w:val="ListBullet3"/>
    <w:rsid w:val="005B378E"/>
    <w:rPr>
      <w:rFonts w:ascii="Arial" w:eastAsia="Times New Roman" w:hAnsi="Arial"/>
      <w:szCs w:val="24"/>
    </w:rPr>
  </w:style>
  <w:style w:type="paragraph" w:styleId="ListBullet4">
    <w:name w:val="List Bullet 4"/>
    <w:basedOn w:val="ListBullet3"/>
    <w:rsid w:val="005B378E"/>
    <w:pPr>
      <w:numPr>
        <w:numId w:val="8"/>
      </w:numPr>
      <w:tabs>
        <w:tab w:val="clear" w:pos="266"/>
        <w:tab w:val="clear" w:pos="2835"/>
        <w:tab w:val="num" w:pos="284"/>
      </w:tabs>
      <w:ind w:left="284" w:hanging="284"/>
    </w:pPr>
  </w:style>
  <w:style w:type="paragraph" w:styleId="ListBullet5">
    <w:name w:val="List Bullet 5"/>
    <w:basedOn w:val="ListBullet4"/>
    <w:rsid w:val="005B378E"/>
    <w:pPr>
      <w:numPr>
        <w:numId w:val="7"/>
      </w:numPr>
      <w:tabs>
        <w:tab w:val="clear" w:pos="2835"/>
        <w:tab w:val="num" w:pos="284"/>
      </w:tabs>
      <w:ind w:left="284" w:hanging="284"/>
    </w:pPr>
  </w:style>
  <w:style w:type="paragraph" w:styleId="ListContinue">
    <w:name w:val="List Continue"/>
    <w:basedOn w:val="ListBullet"/>
    <w:link w:val="ListContinueChar"/>
    <w:rsid w:val="005B378E"/>
    <w:pPr>
      <w:pBdr>
        <w:bottom w:val="single" w:sz="4" w:space="6" w:color="008576"/>
      </w:pBdr>
    </w:pPr>
  </w:style>
  <w:style w:type="paragraph" w:styleId="ListContinue2">
    <w:name w:val="List Continue 2"/>
    <w:basedOn w:val="Normal"/>
    <w:rsid w:val="005B378E"/>
    <w:pPr>
      <w:numPr>
        <w:numId w:val="9"/>
      </w:numPr>
    </w:pPr>
    <w:rPr>
      <w:b/>
    </w:rPr>
  </w:style>
  <w:style w:type="paragraph" w:styleId="ListContinue3">
    <w:name w:val="List Continue 3"/>
    <w:basedOn w:val="ListBullet2"/>
    <w:rsid w:val="005B378E"/>
    <w:pPr>
      <w:numPr>
        <w:numId w:val="0"/>
      </w:numPr>
      <w:pBdr>
        <w:bottom w:val="single" w:sz="4" w:space="4" w:color="008576"/>
      </w:pBdr>
      <w:tabs>
        <w:tab w:val="num" w:pos="2835"/>
      </w:tabs>
      <w:ind w:left="2835" w:hanging="2835"/>
    </w:pPr>
  </w:style>
  <w:style w:type="character" w:customStyle="1" w:styleId="ListContinueChar">
    <w:name w:val="List Continue Char"/>
    <w:link w:val="ListContinue"/>
    <w:rsid w:val="005B378E"/>
    <w:rPr>
      <w:rFonts w:ascii="Tahoma" w:eastAsia="Times New Roman" w:hAnsi="Tahoma" w:cs="Times New Roman"/>
      <w:color w:val="00B274"/>
      <w:sz w:val="20"/>
      <w:lang w:val="en-GB" w:eastAsia="en-GB"/>
    </w:rPr>
  </w:style>
  <w:style w:type="paragraph" w:styleId="ListContinue4">
    <w:name w:val="List Continue 4"/>
    <w:basedOn w:val="Normal"/>
    <w:rsid w:val="005B378E"/>
    <w:pPr>
      <w:numPr>
        <w:numId w:val="10"/>
      </w:numPr>
      <w:tabs>
        <w:tab w:val="clear" w:pos="3967"/>
      </w:tabs>
      <w:ind w:left="413" w:hanging="280"/>
    </w:pPr>
    <w:rPr>
      <w:color w:val="008576"/>
    </w:rPr>
  </w:style>
  <w:style w:type="paragraph" w:styleId="ListContinue5">
    <w:name w:val="List Continue 5"/>
    <w:basedOn w:val="Normal"/>
    <w:next w:val="ListContinue4"/>
    <w:rsid w:val="005B378E"/>
    <w:pPr>
      <w:numPr>
        <w:numId w:val="12"/>
      </w:numPr>
      <w:tabs>
        <w:tab w:val="clear" w:pos="2835"/>
      </w:tabs>
      <w:ind w:left="427" w:hanging="294"/>
    </w:pPr>
    <w:rPr>
      <w:color w:val="008576"/>
    </w:rPr>
  </w:style>
  <w:style w:type="paragraph" w:customStyle="1" w:styleId="ListContinue6">
    <w:name w:val="List Continue 6"/>
    <w:basedOn w:val="ListContinue5"/>
    <w:rsid w:val="005B378E"/>
    <w:pPr>
      <w:numPr>
        <w:numId w:val="11"/>
      </w:numPr>
      <w:tabs>
        <w:tab w:val="clear" w:pos="2968"/>
      </w:tabs>
      <w:ind w:left="441" w:hanging="308"/>
    </w:pPr>
  </w:style>
  <w:style w:type="paragraph" w:styleId="ListNumber3">
    <w:name w:val="List Number 3"/>
    <w:basedOn w:val="ListBullet2"/>
    <w:rsid w:val="005B378E"/>
    <w:pPr>
      <w:numPr>
        <w:numId w:val="0"/>
      </w:numPr>
      <w:tabs>
        <w:tab w:val="left" w:pos="840"/>
        <w:tab w:val="num" w:pos="2835"/>
      </w:tabs>
      <w:ind w:left="838" w:hanging="278"/>
    </w:pPr>
  </w:style>
  <w:style w:type="paragraph" w:styleId="TOC3">
    <w:name w:val="toc 3"/>
    <w:basedOn w:val="Heading4"/>
    <w:next w:val="Normal"/>
    <w:autoRedefine/>
    <w:rsid w:val="005B378E"/>
    <w:pPr>
      <w:keepNext w:val="0"/>
      <w:spacing w:before="0"/>
      <w:ind w:left="400"/>
      <w:outlineLvl w:val="9"/>
    </w:pPr>
    <w:rPr>
      <w:rFonts w:ascii="Cambria" w:hAnsi="Cambria"/>
      <w:b w:val="0"/>
      <w:bCs w:val="0"/>
      <w:i/>
      <w:iCs/>
      <w:color w:val="auto"/>
      <w:sz w:val="22"/>
      <w:szCs w:val="22"/>
    </w:rPr>
  </w:style>
  <w:style w:type="paragraph" w:styleId="TOC4">
    <w:name w:val="toc 4"/>
    <w:basedOn w:val="TOC5"/>
    <w:next w:val="Normal"/>
    <w:autoRedefine/>
    <w:rsid w:val="005B378E"/>
    <w:pPr>
      <w:ind w:left="600"/>
    </w:pPr>
  </w:style>
  <w:style w:type="paragraph" w:styleId="TOC5">
    <w:name w:val="toc 5"/>
    <w:basedOn w:val="BodyText4"/>
    <w:next w:val="Normal"/>
    <w:autoRedefine/>
    <w:rsid w:val="005B378E"/>
    <w:pPr>
      <w:spacing w:before="0" w:line="300" w:lineRule="atLeast"/>
      <w:ind w:left="800"/>
    </w:pPr>
    <w:rPr>
      <w:rFonts w:ascii="Cambria" w:hAnsi="Cambria"/>
      <w:sz w:val="20"/>
      <w:szCs w:val="20"/>
    </w:rPr>
  </w:style>
  <w:style w:type="paragraph" w:styleId="TOC6">
    <w:name w:val="toc 6"/>
    <w:basedOn w:val="Normal"/>
    <w:next w:val="Normal"/>
    <w:autoRedefine/>
    <w:rsid w:val="005B378E"/>
    <w:pPr>
      <w:ind w:left="1000"/>
    </w:pPr>
    <w:rPr>
      <w:rFonts w:ascii="Cambria" w:hAnsi="Cambria"/>
      <w:szCs w:val="20"/>
    </w:rPr>
  </w:style>
  <w:style w:type="paragraph" w:styleId="TOC7">
    <w:name w:val="toc 7"/>
    <w:basedOn w:val="Normal"/>
    <w:next w:val="Normal"/>
    <w:autoRedefine/>
    <w:rsid w:val="005B378E"/>
    <w:pPr>
      <w:ind w:left="1200"/>
    </w:pPr>
    <w:rPr>
      <w:rFonts w:ascii="Cambria" w:hAnsi="Cambria"/>
      <w:szCs w:val="20"/>
    </w:rPr>
  </w:style>
  <w:style w:type="paragraph" w:styleId="TOC8">
    <w:name w:val="toc 8"/>
    <w:basedOn w:val="Normal"/>
    <w:next w:val="Normal"/>
    <w:autoRedefine/>
    <w:rsid w:val="005B378E"/>
    <w:pPr>
      <w:ind w:left="1400"/>
    </w:pPr>
    <w:rPr>
      <w:rFonts w:ascii="Cambria" w:hAnsi="Cambria"/>
      <w:szCs w:val="20"/>
    </w:rPr>
  </w:style>
  <w:style w:type="paragraph" w:styleId="TOC9">
    <w:name w:val="toc 9"/>
    <w:basedOn w:val="Normal"/>
    <w:next w:val="Normal"/>
    <w:autoRedefine/>
    <w:rsid w:val="005B378E"/>
    <w:pPr>
      <w:ind w:left="1600"/>
    </w:pPr>
    <w:rPr>
      <w:rFonts w:ascii="Cambria" w:hAnsi="Cambria"/>
      <w:szCs w:val="20"/>
    </w:rPr>
  </w:style>
  <w:style w:type="character" w:customStyle="1" w:styleId="ListNumber2Char">
    <w:name w:val="List Number 2 Char"/>
    <w:link w:val="ListNumber2"/>
    <w:rsid w:val="005B378E"/>
    <w:rPr>
      <w:rFonts w:ascii="Arial" w:eastAsia="Times New Roman" w:hAnsi="Arial"/>
      <w:sz w:val="24"/>
      <w:szCs w:val="24"/>
    </w:rPr>
  </w:style>
  <w:style w:type="character" w:styleId="Hyperlink">
    <w:name w:val="Hyperlink"/>
    <w:rsid w:val="005B378E"/>
    <w:rPr>
      <w:color w:val="0000FF"/>
      <w:u w:val="single"/>
    </w:rPr>
  </w:style>
  <w:style w:type="paragraph" w:styleId="BalloonText">
    <w:name w:val="Balloon Text"/>
    <w:basedOn w:val="Normal"/>
    <w:link w:val="BalloonTextChar"/>
    <w:rsid w:val="005B378E"/>
    <w:rPr>
      <w:rFonts w:cs="Tahoma"/>
      <w:sz w:val="16"/>
      <w:szCs w:val="16"/>
    </w:rPr>
  </w:style>
  <w:style w:type="character" w:customStyle="1" w:styleId="BalloonTextChar">
    <w:name w:val="Balloon Text Char"/>
    <w:link w:val="BalloonText"/>
    <w:rsid w:val="005B378E"/>
    <w:rPr>
      <w:rFonts w:ascii="Tahoma" w:eastAsia="Times New Roman" w:hAnsi="Tahoma" w:cs="Tahoma"/>
      <w:sz w:val="16"/>
      <w:szCs w:val="16"/>
      <w:lang w:val="en-GB" w:eastAsia="en-GB"/>
    </w:rPr>
  </w:style>
  <w:style w:type="paragraph" w:customStyle="1" w:styleId="Question">
    <w:name w:val="Question"/>
    <w:basedOn w:val="TableHeading"/>
    <w:rsid w:val="005B378E"/>
    <w:rPr>
      <w:b/>
      <w:color w:val="FFFFFF"/>
    </w:rPr>
  </w:style>
  <w:style w:type="character" w:styleId="CommentReference">
    <w:name w:val="annotation reference"/>
    <w:rsid w:val="005B378E"/>
    <w:rPr>
      <w:sz w:val="16"/>
      <w:szCs w:val="16"/>
    </w:rPr>
  </w:style>
  <w:style w:type="paragraph" w:styleId="CommentText">
    <w:name w:val="annotation text"/>
    <w:basedOn w:val="Normal"/>
    <w:link w:val="CommentTextChar"/>
    <w:rsid w:val="005B378E"/>
    <w:rPr>
      <w:szCs w:val="20"/>
    </w:rPr>
  </w:style>
  <w:style w:type="character" w:customStyle="1" w:styleId="CommentTextChar">
    <w:name w:val="Comment Text Char"/>
    <w:link w:val="CommentText"/>
    <w:rsid w:val="005B378E"/>
    <w:rPr>
      <w:rFonts w:ascii="Tahoma" w:eastAsia="Times New Roman" w:hAnsi="Tahoma" w:cs="Times New Roman"/>
      <w:sz w:val="20"/>
      <w:szCs w:val="20"/>
      <w:lang w:val="en-GB" w:eastAsia="en-GB"/>
    </w:rPr>
  </w:style>
  <w:style w:type="paragraph" w:styleId="CommentSubject">
    <w:name w:val="annotation subject"/>
    <w:basedOn w:val="CommentText"/>
    <w:next w:val="CommentText"/>
    <w:link w:val="CommentSubjectChar"/>
    <w:rsid w:val="005B378E"/>
    <w:rPr>
      <w:b/>
      <w:bCs/>
    </w:rPr>
  </w:style>
  <w:style w:type="character" w:customStyle="1" w:styleId="CommentSubjectChar">
    <w:name w:val="Comment Subject Char"/>
    <w:link w:val="CommentSubject"/>
    <w:rsid w:val="005B378E"/>
    <w:rPr>
      <w:rFonts w:ascii="Tahoma" w:eastAsia="Times New Roman" w:hAnsi="Tahoma" w:cs="Times New Roman"/>
      <w:b/>
      <w:bCs/>
      <w:sz w:val="20"/>
      <w:szCs w:val="20"/>
      <w:lang w:val="en-GB" w:eastAsia="en-GB"/>
    </w:rPr>
  </w:style>
  <w:style w:type="character" w:styleId="FollowedHyperlink">
    <w:name w:val="FollowedHyperlink"/>
    <w:rsid w:val="009E7589"/>
    <w:rPr>
      <w:color w:val="800080"/>
      <w:u w:val="single"/>
    </w:rPr>
  </w:style>
  <w:style w:type="character" w:styleId="PageNumber">
    <w:name w:val="page number"/>
    <w:basedOn w:val="DefaultParagraphFont"/>
    <w:rsid w:val="00C954D7"/>
  </w:style>
  <w:style w:type="paragraph" w:styleId="TOCHeading">
    <w:name w:val="TOC Heading"/>
    <w:basedOn w:val="Heading1"/>
    <w:next w:val="Normal"/>
    <w:uiPriority w:val="39"/>
    <w:unhideWhenUsed/>
    <w:qFormat/>
    <w:rsid w:val="00C954D7"/>
    <w:pPr>
      <w:keepLines/>
      <w:numPr>
        <w:numId w:val="0"/>
      </w:numPr>
      <w:pBdr>
        <w:top w:val="none" w:sz="0" w:space="0" w:color="auto"/>
        <w:left w:val="none" w:sz="0" w:space="0" w:color="auto"/>
        <w:bottom w:val="none" w:sz="0" w:space="0" w:color="auto"/>
        <w:right w:val="none" w:sz="0" w:space="0" w:color="auto"/>
      </w:pBdr>
      <w:shd w:val="clear" w:color="auto" w:fill="auto"/>
      <w:spacing w:before="480" w:line="276" w:lineRule="auto"/>
      <w:ind w:right="0"/>
      <w:outlineLvl w:val="9"/>
    </w:pPr>
    <w:rPr>
      <w:rFonts w:ascii="Calibri" w:eastAsia="MS Gothic" w:hAnsi="Calibri" w:cs="Times New Roman"/>
      <w:iCs w:val="0"/>
      <w:color w:val="365F91"/>
      <w:kern w:val="0"/>
      <w:szCs w:val="28"/>
      <w:lang w:val="en-US" w:eastAsia="en-US"/>
    </w:rPr>
  </w:style>
  <w:style w:type="paragraph" w:customStyle="1" w:styleId="ColorfulList-Accent11">
    <w:name w:val="Colorful List - Accent 11"/>
    <w:basedOn w:val="Normal"/>
    <w:rsid w:val="00377752"/>
    <w:pPr>
      <w:ind w:left="720"/>
      <w:contextualSpacing/>
    </w:pPr>
  </w:style>
  <w:style w:type="paragraph" w:styleId="Caption">
    <w:name w:val="caption"/>
    <w:basedOn w:val="Normal"/>
    <w:next w:val="Normal"/>
    <w:qFormat/>
    <w:rsid w:val="00513631"/>
    <w:pPr>
      <w:spacing w:after="200" w:line="240" w:lineRule="auto"/>
    </w:pPr>
    <w:rPr>
      <w:b/>
      <w:bCs/>
      <w:color w:val="4F81BD"/>
      <w:sz w:val="18"/>
      <w:szCs w:val="18"/>
    </w:rPr>
  </w:style>
  <w:style w:type="paragraph" w:customStyle="1" w:styleId="ColorfulShading-Accent11">
    <w:name w:val="Colorful Shading - Accent 11"/>
    <w:hidden/>
    <w:rsid w:val="00FB71C1"/>
    <w:rPr>
      <w:rFonts w:ascii="Tahoma" w:eastAsia="Times New Roman" w:hAnsi="Tahoma"/>
      <w:szCs w:val="24"/>
    </w:rPr>
  </w:style>
  <w:style w:type="paragraph" w:customStyle="1" w:styleId="About02">
    <w:name w:val="About 02"/>
    <w:basedOn w:val="About01"/>
    <w:qFormat/>
    <w:rsid w:val="0086142A"/>
    <w:pPr>
      <w:numPr>
        <w:ilvl w:val="0"/>
      </w:numPr>
      <w:shd w:val="clear" w:color="auto" w:fill="0096D7"/>
      <w:ind w:left="720" w:hanging="720"/>
    </w:pPr>
  </w:style>
  <w:style w:type="paragraph" w:customStyle="1" w:styleId="About03">
    <w:name w:val="About 03"/>
    <w:basedOn w:val="About01"/>
    <w:qFormat/>
    <w:rsid w:val="0086142A"/>
    <w:pPr>
      <w:shd w:val="clear" w:color="auto" w:fill="9A4D9E"/>
    </w:pPr>
  </w:style>
  <w:style w:type="paragraph" w:customStyle="1" w:styleId="About04">
    <w:name w:val="About 04"/>
    <w:basedOn w:val="About01"/>
    <w:qFormat/>
    <w:rsid w:val="0086142A"/>
    <w:pPr>
      <w:shd w:val="clear" w:color="auto" w:fill="F59114"/>
    </w:pPr>
  </w:style>
  <w:style w:type="paragraph" w:customStyle="1" w:styleId="Contents02">
    <w:name w:val="Contents 02"/>
    <w:basedOn w:val="Contents01"/>
    <w:next w:val="Normal"/>
    <w:qFormat/>
    <w:rsid w:val="005D4A2B"/>
    <w:pPr>
      <w:pBdr>
        <w:top w:val="single" w:sz="48" w:space="1" w:color="0096D7"/>
        <w:left w:val="single" w:sz="48" w:space="4" w:color="0096D7"/>
        <w:bottom w:val="single" w:sz="48" w:space="1" w:color="0096D7"/>
        <w:right w:val="single" w:sz="48" w:space="4" w:color="0096D7"/>
      </w:pBdr>
      <w:shd w:val="clear" w:color="auto" w:fill="0096D7"/>
    </w:pPr>
  </w:style>
  <w:style w:type="paragraph" w:customStyle="1" w:styleId="Contents03">
    <w:name w:val="Contents 03"/>
    <w:basedOn w:val="Contents01"/>
    <w:qFormat/>
    <w:rsid w:val="006E7560"/>
    <w:pPr>
      <w:pBdr>
        <w:top w:val="single" w:sz="48" w:space="1" w:color="9A4D9E"/>
        <w:left w:val="single" w:sz="48" w:space="4" w:color="9A4D9E"/>
        <w:bottom w:val="single" w:sz="48" w:space="1" w:color="9A4D9E"/>
        <w:right w:val="single" w:sz="48" w:space="4" w:color="9A4D9E"/>
      </w:pBdr>
      <w:shd w:val="clear" w:color="auto" w:fill="9A4D9E"/>
    </w:pPr>
  </w:style>
  <w:style w:type="paragraph" w:customStyle="1" w:styleId="Contents04">
    <w:name w:val="Contents 04"/>
    <w:basedOn w:val="Contents01"/>
    <w:qFormat/>
    <w:rsid w:val="006E7560"/>
    <w:pPr>
      <w:pBdr>
        <w:top w:val="single" w:sz="48" w:space="1" w:color="F59114"/>
        <w:left w:val="single" w:sz="48" w:space="4" w:color="F59114"/>
        <w:bottom w:val="single" w:sz="48" w:space="1" w:color="F59114"/>
        <w:right w:val="single" w:sz="48" w:space="4" w:color="F59114"/>
      </w:pBdr>
      <w:shd w:val="clear" w:color="auto" w:fill="F59114"/>
    </w:pPr>
  </w:style>
  <w:style w:type="paragraph" w:customStyle="1" w:styleId="Heading02">
    <w:name w:val="Heading 02"/>
    <w:basedOn w:val="Heading01"/>
    <w:next w:val="Normal"/>
    <w:qFormat/>
    <w:rsid w:val="006E7560"/>
    <w:pPr>
      <w:pBdr>
        <w:top w:val="single" w:sz="48" w:space="1" w:color="0096D7"/>
        <w:left w:val="single" w:sz="48" w:space="4" w:color="0096D7"/>
        <w:bottom w:val="single" w:sz="48" w:space="1" w:color="0096D7"/>
        <w:right w:val="single" w:sz="48" w:space="4" w:color="0096D7"/>
      </w:pBdr>
      <w:shd w:val="clear" w:color="auto" w:fill="0096D7"/>
    </w:pPr>
  </w:style>
  <w:style w:type="paragraph" w:customStyle="1" w:styleId="Heading03">
    <w:name w:val="Heading 03"/>
    <w:basedOn w:val="Heading01"/>
    <w:next w:val="Normal"/>
    <w:qFormat/>
    <w:rsid w:val="006E7560"/>
    <w:pPr>
      <w:pBdr>
        <w:top w:val="single" w:sz="48" w:space="1" w:color="9A4D9E"/>
        <w:left w:val="single" w:sz="48" w:space="4" w:color="9A4D9E"/>
        <w:bottom w:val="single" w:sz="48" w:space="1" w:color="9A4D9E"/>
        <w:right w:val="single" w:sz="48" w:space="4" w:color="9A4D9E"/>
      </w:pBdr>
      <w:shd w:val="clear" w:color="auto" w:fill="9A4D9E"/>
    </w:pPr>
  </w:style>
  <w:style w:type="paragraph" w:customStyle="1" w:styleId="Heading04">
    <w:name w:val="Heading 04"/>
    <w:basedOn w:val="Heading01"/>
    <w:next w:val="Normal"/>
    <w:qFormat/>
    <w:rsid w:val="006E7560"/>
    <w:pPr>
      <w:pBdr>
        <w:top w:val="single" w:sz="48" w:space="1" w:color="F59114"/>
        <w:left w:val="single" w:sz="48" w:space="4" w:color="F59114"/>
        <w:bottom w:val="single" w:sz="48" w:space="1" w:color="F59114"/>
        <w:right w:val="single" w:sz="48" w:space="4" w:color="F59114"/>
      </w:pBdr>
      <w:shd w:val="clear" w:color="auto" w:fill="F59114"/>
    </w:pPr>
  </w:style>
  <w:style w:type="paragraph" w:styleId="Header">
    <w:name w:val="header"/>
    <w:basedOn w:val="Normal"/>
    <w:link w:val="HeaderChar"/>
    <w:uiPriority w:val="99"/>
    <w:rsid w:val="0001312A"/>
    <w:pPr>
      <w:tabs>
        <w:tab w:val="center" w:pos="4320"/>
        <w:tab w:val="right" w:pos="8640"/>
      </w:tabs>
    </w:pPr>
  </w:style>
  <w:style w:type="character" w:customStyle="1" w:styleId="HeaderChar">
    <w:name w:val="Header Char"/>
    <w:link w:val="Header"/>
    <w:uiPriority w:val="99"/>
    <w:rsid w:val="0001312A"/>
    <w:rPr>
      <w:rFonts w:ascii="Tahoma" w:eastAsia="Times New Roman" w:hAnsi="Tahoma"/>
      <w:szCs w:val="24"/>
      <w:lang w:eastAsia="en-GB"/>
    </w:rPr>
  </w:style>
  <w:style w:type="paragraph" w:customStyle="1" w:styleId="Checklist">
    <w:name w:val="Checklist"/>
    <w:basedOn w:val="Contents01"/>
    <w:qFormat/>
    <w:rsid w:val="00D122BE"/>
    <w:rPr>
      <w:b/>
    </w:rPr>
  </w:style>
  <w:style w:type="paragraph" w:customStyle="1" w:styleId="TOCWGR">
    <w:name w:val="TOC WGR"/>
    <w:basedOn w:val="Normal"/>
    <w:qFormat/>
    <w:rsid w:val="003A016A"/>
    <w:pPr>
      <w:tabs>
        <w:tab w:val="left" w:pos="382"/>
        <w:tab w:val="right" w:pos="7655"/>
      </w:tabs>
      <w:ind w:right="318"/>
    </w:pPr>
    <w:rPr>
      <w:b/>
      <w:bCs/>
      <w:noProof/>
      <w:color w:val="0096D7"/>
      <w:sz w:val="24"/>
    </w:rPr>
  </w:style>
  <w:style w:type="paragraph" w:customStyle="1" w:styleId="TOCDMR">
    <w:name w:val="TOC DMR"/>
    <w:basedOn w:val="TOCWGR"/>
    <w:qFormat/>
    <w:rsid w:val="008A17EB"/>
    <w:rPr>
      <w:color w:val="9A4D9E"/>
    </w:rPr>
  </w:style>
  <w:style w:type="paragraph" w:customStyle="1" w:styleId="TOCFMR">
    <w:name w:val="TOC FMR"/>
    <w:basedOn w:val="TOCDMR"/>
    <w:qFormat/>
    <w:rsid w:val="008A17EB"/>
    <w:rPr>
      <w:color w:val="DA8111"/>
    </w:rPr>
  </w:style>
  <w:style w:type="paragraph" w:customStyle="1" w:styleId="MediumGrid21">
    <w:name w:val="Medium Grid 21"/>
    <w:rsid w:val="005C2175"/>
    <w:rPr>
      <w:rFonts w:ascii="Arial" w:eastAsia="Times New Roman" w:hAnsi="Arial"/>
      <w:szCs w:val="24"/>
    </w:rPr>
  </w:style>
  <w:style w:type="paragraph" w:styleId="ListParagraph">
    <w:name w:val="List Paragraph"/>
    <w:basedOn w:val="Normal"/>
    <w:qFormat/>
    <w:rsid w:val="005F6BC1"/>
    <w:pPr>
      <w:ind w:left="720"/>
      <w:contextualSpacing/>
    </w:pPr>
  </w:style>
  <w:style w:type="character" w:customStyle="1" w:styleId="UnresolvedMention">
    <w:name w:val="Unresolved Mention"/>
    <w:basedOn w:val="DefaultParagraphFont"/>
    <w:uiPriority w:val="99"/>
    <w:semiHidden/>
    <w:unhideWhenUsed/>
    <w:rsid w:val="002F3C33"/>
    <w:rPr>
      <w:color w:val="605E5C"/>
      <w:shd w:val="clear" w:color="auto" w:fill="E1DFDD"/>
    </w:rPr>
  </w:style>
  <w:style w:type="paragraph" w:styleId="Revision">
    <w:name w:val="Revision"/>
    <w:hidden/>
    <w:rsid w:val="008077CE"/>
    <w:rPr>
      <w:rFonts w:ascii="Arial" w:eastAsia="Times New Roman"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720050">
      <w:bodyDiv w:val="1"/>
      <w:marLeft w:val="0"/>
      <w:marRight w:val="0"/>
      <w:marTop w:val="0"/>
      <w:marBottom w:val="0"/>
      <w:divBdr>
        <w:top w:val="none" w:sz="0" w:space="0" w:color="auto"/>
        <w:left w:val="none" w:sz="0" w:space="0" w:color="auto"/>
        <w:bottom w:val="none" w:sz="0" w:space="0" w:color="auto"/>
        <w:right w:val="none" w:sz="0" w:space="0" w:color="auto"/>
      </w:divBdr>
      <w:divsChild>
        <w:div w:id="187986095">
          <w:marLeft w:val="547"/>
          <w:marRight w:val="0"/>
          <w:marTop w:val="0"/>
          <w:marBottom w:val="0"/>
          <w:divBdr>
            <w:top w:val="none" w:sz="0" w:space="0" w:color="auto"/>
            <w:left w:val="none" w:sz="0" w:space="0" w:color="auto"/>
            <w:bottom w:val="none" w:sz="0" w:space="0" w:color="auto"/>
            <w:right w:val="none" w:sz="0" w:space="0" w:color="auto"/>
          </w:divBdr>
        </w:div>
      </w:divsChild>
    </w:div>
    <w:div w:id="691421441">
      <w:bodyDiv w:val="1"/>
      <w:marLeft w:val="0"/>
      <w:marRight w:val="0"/>
      <w:marTop w:val="0"/>
      <w:marBottom w:val="0"/>
      <w:divBdr>
        <w:top w:val="none" w:sz="0" w:space="0" w:color="auto"/>
        <w:left w:val="none" w:sz="0" w:space="0" w:color="auto"/>
        <w:bottom w:val="none" w:sz="0" w:space="0" w:color="auto"/>
        <w:right w:val="none" w:sz="0" w:space="0" w:color="auto"/>
      </w:divBdr>
      <w:divsChild>
        <w:div w:id="1727413233">
          <w:marLeft w:val="547"/>
          <w:marRight w:val="0"/>
          <w:marTop w:val="0"/>
          <w:marBottom w:val="0"/>
          <w:divBdr>
            <w:top w:val="none" w:sz="0" w:space="0" w:color="auto"/>
            <w:left w:val="none" w:sz="0" w:space="0" w:color="auto"/>
            <w:bottom w:val="none" w:sz="0" w:space="0" w:color="auto"/>
            <w:right w:val="none" w:sz="0" w:space="0" w:color="auto"/>
          </w:divBdr>
        </w:div>
      </w:divsChild>
    </w:div>
    <w:div w:id="1807968440">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diagramQuickStyle" Target="diagrams/quickStyle1.xml"/><Relationship Id="rId18" Type="http://schemas.openxmlformats.org/officeDocument/2006/relationships/image" Target="media/image3.jpeg"/><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image" Target="media/image6.jpeg"/><Relationship Id="rId7" Type="http://schemas.openxmlformats.org/officeDocument/2006/relationships/settings" Target="settings.xml"/><Relationship Id="rId12" Type="http://schemas.openxmlformats.org/officeDocument/2006/relationships/diagramLayout" Target="diagrams/layout1.xml"/><Relationship Id="rId17" Type="http://schemas.openxmlformats.org/officeDocument/2006/relationships/image" Target="media/image2.jpeg"/><Relationship Id="rId25" Type="http://schemas.openxmlformats.org/officeDocument/2006/relationships/hyperlink" Target="https://www.ofgem.gov.uk/energy-data-and-research/data-portal/wholesale-market-indicators" TargetMode="External"/><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image" Target="media/image5.emf"/><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diagramData" Target="diagrams/data1.xml"/><Relationship Id="rId24" Type="http://schemas.microsoft.com/office/2011/relationships/commentsExtended" Target="commentsExtended.xml"/><Relationship Id="rId32" Type="http://schemas.microsoft.com/office/2016/09/relationships/commentsIds" Target="commentsIds.xml"/><Relationship Id="rId5" Type="http://schemas.openxmlformats.org/officeDocument/2006/relationships/numbering" Target="numbering.xml"/><Relationship Id="rId15" Type="http://schemas.microsoft.com/office/2007/relationships/diagramDrawing" Target="diagrams/drawing1.xml"/><Relationship Id="rId23" Type="http://schemas.openxmlformats.org/officeDocument/2006/relationships/comments" Target="comments.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4.jpeg"/><Relationship Id="rId31"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diagramColors" Target="diagrams/colors1.xml"/><Relationship Id="rId22" Type="http://schemas.openxmlformats.org/officeDocument/2006/relationships/image" Target="media/image7.jpeg"/><Relationship Id="rId27" Type="http://schemas.openxmlformats.org/officeDocument/2006/relationships/footer" Target="footer1.xml"/><Relationship Id="rId30"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0_2">
  <dgm:title val=""/>
  <dgm:desc val=""/>
  <dgm:catLst>
    <dgm:cat type="mainScheme" pri="10200"/>
  </dgm:catLst>
  <dgm:styleLbl name="node0">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align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ln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vennNode1">
    <dgm:fillClrLst meth="repeat">
      <a:schemeClr val="lt1">
        <a:alpha val="50000"/>
      </a:schemeClr>
    </dgm:fillClrLst>
    <dgm:linClrLst meth="repeat">
      <a:schemeClr val="dk2">
        <a:shade val="80000"/>
      </a:schemeClr>
    </dgm:linClrLst>
    <dgm:effectClrLst/>
    <dgm:txLinClrLst/>
    <dgm:txFillClrLst/>
    <dgm:txEffectClrLst/>
  </dgm:styleLbl>
  <dgm:styleLbl name="node2">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3">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4">
    <dgm:fillClrLst meth="repeat">
      <a:schemeClr val="lt1"/>
    </dgm:fillClrLst>
    <dgm:linClrLst meth="repeat">
      <a:schemeClr val="dk2">
        <a:shade val="80000"/>
      </a:schemeClr>
    </dgm:linClrLst>
    <dgm:effectClrLst/>
    <dgm:txLinClrLst/>
    <dgm:txFillClrLst meth="repeat">
      <a:schemeClr val="dk2"/>
    </dgm:txFillClrLst>
    <dgm:txEffectClrLst/>
  </dgm:styleLbl>
  <dgm:styleLbl name="fg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align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bg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sibTrans1D1">
    <dgm:fillClrLst meth="repeat">
      <a:schemeClr val="dk2"/>
    </dgm:fillClrLst>
    <dgm:linClrLst meth="repeat">
      <a:schemeClr val="dk2"/>
    </dgm:linClrLst>
    <dgm:effectClrLst/>
    <dgm:txLinClrLst/>
    <dgm:txFillClrLst meth="repeat">
      <a:schemeClr val="tx1"/>
    </dgm:txFillClrLst>
    <dgm:txEffectClrLst/>
  </dgm:styleLbl>
  <dgm:styleLbl name="callout">
    <dgm:fillClrLst meth="repeat">
      <a:schemeClr val="dk2"/>
    </dgm:fillClrLst>
    <dgm:linClrLst meth="repeat">
      <a:schemeClr val="dk2"/>
    </dgm:linClrLst>
    <dgm:effectClrLst/>
    <dgm:txLinClrLst/>
    <dgm:txFillClrLst meth="repeat">
      <a:schemeClr val="tx1"/>
    </dgm:txFillClrLst>
    <dgm:txEffectClrLst/>
  </dgm:styleLbl>
  <dgm:styleLbl name="asst0">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1">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2">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3">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4">
    <dgm:fillClrLst meth="repeat">
      <a:schemeClr val="lt1"/>
    </dgm:fillClrLst>
    <dgm:linClrLst meth="repeat">
      <a:schemeClr val="dk2">
        <a:shade val="80000"/>
      </a:schemeClr>
    </dgm:linClrLst>
    <dgm:effectClrLst/>
    <dgm:txLinClrLst/>
    <dgm:txFillClrLst meth="repeat">
      <a:schemeClr val="dk2"/>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dgm:txEffectClrLst/>
  </dgm:styleLbl>
  <dgm:styleLbl name="parChTrans2D2">
    <dgm:fillClrLst meth="repeat">
      <a:schemeClr val="dk2"/>
    </dgm:fillClrLst>
    <dgm:linClrLst meth="repeat">
      <a:schemeClr val="dk2"/>
    </dgm:linClrLst>
    <dgm:effectClrLst/>
    <dgm:txLinClrLst/>
    <dgm:txFillClrLst/>
    <dgm:txEffectClrLst/>
  </dgm:styleLbl>
  <dgm:styleLbl name="parChTrans2D3">
    <dgm:fillClrLst meth="repeat">
      <a:schemeClr val="dk2"/>
    </dgm:fillClrLst>
    <dgm:linClrLst meth="repeat">
      <a:schemeClr val="dk2"/>
    </dgm:linClrLst>
    <dgm:effectClrLst/>
    <dgm:txLinClrLst/>
    <dgm:txFillClrLst/>
    <dgm:txEffectClrLst/>
  </dgm:styleLbl>
  <dgm:styleLbl name="parChTrans2D4">
    <dgm:fillClrLst meth="repeat">
      <a:schemeClr val="dk2"/>
    </dgm:fillClrLst>
    <dgm:linClrLst meth="repeat">
      <a:schemeClr val="dk2"/>
    </dgm:linClrLst>
    <dgm:effectClrLst/>
    <dgm:txLinClrLst/>
    <dgm:txFillClrLst meth="repeat">
      <a:schemeClr val="lt1"/>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conF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align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trAlignAcc1">
    <dgm:fillClrLst meth="repeat">
      <a:schemeClr val="dk2">
        <a:alpha val="40000"/>
        <a:tint val="40000"/>
      </a:schemeClr>
    </dgm:fillClrLst>
    <dgm:linClrLst meth="repeat">
      <a:schemeClr val="dk2"/>
    </dgm:linClrLst>
    <dgm:effectClrLst/>
    <dgm:txLinClrLst/>
    <dgm:txFillClrLst meth="repeat">
      <a:schemeClr val="dk2"/>
    </dgm:txFillClrLst>
    <dgm:txEffectClrLst/>
  </dgm:styleLbl>
  <dgm:styleLbl name="b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solidFgAcc1">
    <dgm:fillClrLst meth="repeat">
      <a:schemeClr val="lt1"/>
    </dgm:fillClrLst>
    <dgm:linClrLst meth="repeat">
      <a:schemeClr val="dk2"/>
    </dgm:linClrLst>
    <dgm:effectClrLst/>
    <dgm:txLinClrLst/>
    <dgm:txFillClrLst meth="repeat">
      <a:schemeClr val="dk2"/>
    </dgm:txFillClrLst>
    <dgm:txEffectClrLst/>
  </dgm:styleLbl>
  <dgm:styleLbl name="solidAlignAcc1">
    <dgm:fillClrLst meth="repeat">
      <a:schemeClr val="lt1"/>
    </dgm:fillClrLst>
    <dgm:linClrLst meth="repeat">
      <a:schemeClr val="dk2"/>
    </dgm:linClrLst>
    <dgm:effectClrLst/>
    <dgm:txLinClrLst/>
    <dgm:txFillClrLst meth="repeat">
      <a:schemeClr val="dk2"/>
    </dgm:txFillClrLst>
    <dgm:txEffectClrLst/>
  </dgm:styleLbl>
  <dgm:styleLbl name="solidBgAcc1">
    <dgm:fillClrLst meth="repeat">
      <a:schemeClr val="lt1"/>
    </dgm:fillClrLst>
    <dgm:linClrLst meth="repeat">
      <a:schemeClr val="dk2"/>
    </dgm:linClrLst>
    <dgm:effectClrLst/>
    <dgm:txLinClrLst/>
    <dgm:txFillClrLst meth="repeat">
      <a:schemeClr val="dk2"/>
    </dgm:txFillClrLst>
    <dgm:txEffectClrLst/>
  </dgm:styleLbl>
  <dgm:styleLbl name="fg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align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bg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fgAcc0">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2">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3">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4">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2"/>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2"/>
    </dgm:txFillClrLst>
    <dgm:txEffectClrLst/>
  </dgm:styleLbl>
  <dgm:styleLbl name="fgShp">
    <dgm:fillClrLst meth="repeat">
      <a:schemeClr val="dk2">
        <a:tint val="60000"/>
      </a:schemeClr>
    </dgm:fillClrLst>
    <dgm:linClrLst meth="repeat">
      <a:schemeClr val="lt1"/>
    </dgm:linClrLst>
    <dgm:effectClrLst/>
    <dgm:txLinClrLst/>
    <dgm:txFillClrLst meth="repeat">
      <a:schemeClr val="dk2"/>
    </dgm:txFillClrLst>
    <dgm:txEffectClrLst/>
  </dgm:styleLbl>
  <dgm:styleLbl name="revTx">
    <dgm:fillClrLst meth="repeat">
      <a:schemeClr val="lt1">
        <a:alpha val="0"/>
      </a:schemeClr>
    </dgm:fillClrLst>
    <dgm:linClrLst meth="repeat">
      <a:schemeClr val="dk2">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935C7C2-51E9-394B-865D-5CF1BEB503EE}" type="doc">
      <dgm:prSet loTypeId="urn:microsoft.com/office/officeart/2005/8/layout/lProcess3" loCatId="" qsTypeId="urn:microsoft.com/office/officeart/2005/8/quickstyle/simple3" qsCatId="simple" csTypeId="urn:microsoft.com/office/officeart/2005/8/colors/accent0_2" csCatId="mainScheme" phldr="1"/>
      <dgm:spPr/>
      <dgm:t>
        <a:bodyPr/>
        <a:lstStyle/>
        <a:p>
          <a:endParaRPr lang="en-US"/>
        </a:p>
      </dgm:t>
    </dgm:pt>
    <dgm:pt modelId="{7D3B8AB1-5EA8-DD4D-ACED-0CCAB6FDFAE6}">
      <dgm:prSet phldrT="[Text]" custT="1"/>
      <dgm:spPr>
        <a:xfrm>
          <a:off x="0" y="3566"/>
          <a:ext cx="332271" cy="332275"/>
        </a:xfrm>
        <a:prstGeom prst="roundRect">
          <a:avLst/>
        </a:prstGeom>
        <a:solidFill>
          <a:srgbClr val="00B274">
            <a:alpha val="90000"/>
          </a:srgbClr>
        </a:solidFill>
        <a:ln>
          <a:solidFill>
            <a:srgbClr val="008000">
              <a:alpha val="95000"/>
            </a:srgbClr>
          </a:solidFill>
        </a:ln>
        <a:effectLst>
          <a:softEdge rad="1104900"/>
        </a:effectLst>
        <a:scene3d>
          <a:camera prst="orthographicFront"/>
          <a:lightRig rig="flat" dir="t"/>
        </a:scene3d>
        <a:sp3d prstMaterial="dkEdge">
          <a:bevelT w="8200" h="38100"/>
        </a:sp3d>
      </dgm:spPr>
      <dgm:t>
        <a:bodyPr/>
        <a:lstStyle/>
        <a:p>
          <a:r>
            <a:rPr lang="en-US" sz="1400">
              <a:solidFill>
                <a:sysClr val="window" lastClr="FFFFFF"/>
              </a:solidFill>
              <a:latin typeface="Arial"/>
              <a:ea typeface="+mn-ea"/>
              <a:cs typeface="Arial"/>
            </a:rPr>
            <a:t>01</a:t>
          </a:r>
        </a:p>
      </dgm:t>
    </dgm:pt>
    <dgm:pt modelId="{ED96D06F-9A1E-2743-9913-78FDF7A29C30}" type="parTrans" cxnId="{03D52E04-0D26-0D4A-A28A-FFBF2BBE9ECF}">
      <dgm:prSet/>
      <dgm:spPr/>
      <dgm:t>
        <a:bodyPr/>
        <a:lstStyle/>
        <a:p>
          <a:endParaRPr lang="en-US"/>
        </a:p>
      </dgm:t>
    </dgm:pt>
    <dgm:pt modelId="{555EF976-CB3E-3740-9714-D4E964B9FB72}" type="sibTrans" cxnId="{03D52E04-0D26-0D4A-A28A-FFBF2BBE9ECF}">
      <dgm:prSet/>
      <dgm:spPr/>
      <dgm:t>
        <a:bodyPr/>
        <a:lstStyle/>
        <a:p>
          <a:endParaRPr lang="en-US"/>
        </a:p>
      </dgm:t>
    </dgm:pt>
    <dgm:pt modelId="{8F951A2D-8316-7942-B199-785B2B0AB0C3}">
      <dgm:prSet phldrT="[Text]" custT="1"/>
      <dgm:spPr>
        <a:xfrm>
          <a:off x="0" y="800220"/>
          <a:ext cx="336066" cy="336062"/>
        </a:xfrm>
        <a:prstGeom prst="round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solidFill>
            <a:srgbClr val="8064A2">
              <a:alpha val="95000"/>
            </a:srgbClr>
          </a:solid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en-US" sz="1400">
              <a:solidFill>
                <a:srgbClr val="8064A2"/>
              </a:solidFill>
              <a:latin typeface="Arial"/>
              <a:ea typeface="+mn-ea"/>
              <a:cs typeface="Arial"/>
            </a:rPr>
            <a:t>03</a:t>
          </a:r>
        </a:p>
      </dgm:t>
    </dgm:pt>
    <dgm:pt modelId="{3AFE9292-A099-244C-A617-20602CFCB1E3}" type="parTrans" cxnId="{17DDB721-9B40-1E49-B058-473FC2A4DAE2}">
      <dgm:prSet/>
      <dgm:spPr/>
      <dgm:t>
        <a:bodyPr/>
        <a:lstStyle/>
        <a:p>
          <a:endParaRPr lang="en-US"/>
        </a:p>
      </dgm:t>
    </dgm:pt>
    <dgm:pt modelId="{173CF78D-536E-C343-8B69-65E61BE510E1}" type="sibTrans" cxnId="{17DDB721-9B40-1E49-B058-473FC2A4DAE2}">
      <dgm:prSet/>
      <dgm:spPr/>
      <dgm:t>
        <a:bodyPr/>
        <a:lstStyle/>
        <a:p>
          <a:endParaRPr lang="en-US"/>
        </a:p>
      </dgm:t>
    </dgm:pt>
    <dgm:pt modelId="{A0B44F8A-6A2F-0044-9BB8-0A3469DF2734}">
      <dgm:prSet phldrT="[Text]" custT="1"/>
      <dgm:spPr>
        <a:xfrm>
          <a:off x="0" y="1197687"/>
          <a:ext cx="336066" cy="338102"/>
        </a:xfrm>
        <a:prstGeom prst="round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solidFill>
            <a:srgbClr val="FF6600">
              <a:alpha val="95000"/>
            </a:srgbClr>
          </a:solid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en-US" sz="1400">
              <a:solidFill>
                <a:srgbClr val="FF6600"/>
              </a:solidFill>
              <a:latin typeface="Arial"/>
              <a:ea typeface="+mn-ea"/>
              <a:cs typeface="Arial"/>
            </a:rPr>
            <a:t>04</a:t>
          </a:r>
        </a:p>
      </dgm:t>
    </dgm:pt>
    <dgm:pt modelId="{322E361A-FB1B-0D47-80B8-6F8E1E98915A}" type="parTrans" cxnId="{2AC9879B-3861-E542-B1FB-60ABBD61AB31}">
      <dgm:prSet/>
      <dgm:spPr/>
      <dgm:t>
        <a:bodyPr/>
        <a:lstStyle/>
        <a:p>
          <a:endParaRPr lang="en-US"/>
        </a:p>
      </dgm:t>
    </dgm:pt>
    <dgm:pt modelId="{AEE3A9E3-7BE1-1C41-B42E-F4079641B9E8}" type="sibTrans" cxnId="{2AC9879B-3861-E542-B1FB-60ABBD61AB31}">
      <dgm:prSet/>
      <dgm:spPr/>
      <dgm:t>
        <a:bodyPr/>
        <a:lstStyle/>
        <a:p>
          <a:endParaRPr lang="en-US"/>
        </a:p>
      </dgm:t>
    </dgm:pt>
    <dgm:pt modelId="{5BE3AFFD-0744-D545-9D0B-FED6D271D6BB}">
      <dgm:prSet phldrT="[Text]"/>
      <dgm:spPr>
        <a:xfrm>
          <a:off x="358633" y="274"/>
          <a:ext cx="883426" cy="339272"/>
        </a:xfrm>
        <a:prstGeom prst="roundRect">
          <a:avLst/>
        </a:prstGeom>
        <a:solidFill>
          <a:srgbClr val="00B274">
            <a:alpha val="90000"/>
          </a:srgbClr>
        </a:solidFill>
        <a:ln w="9525" cap="flat" cmpd="sng" algn="ctr">
          <a:solidFill>
            <a:srgbClr val="008000">
              <a:alpha val="95000"/>
            </a:srgbClr>
          </a:solidFill>
          <a:prstDash val="solid"/>
        </a:ln>
        <a:effectLst/>
      </dgm:spPr>
      <dgm:t>
        <a:bodyPr/>
        <a:lstStyle/>
        <a:p>
          <a:pPr algn="l"/>
          <a:r>
            <a:rPr lang="en-US">
              <a:solidFill>
                <a:sysClr val="window" lastClr="FFFFFF"/>
              </a:solidFill>
              <a:latin typeface="Arial"/>
              <a:ea typeface="+mn-ea"/>
              <a:cs typeface="Arial"/>
            </a:rPr>
            <a:t>Modification</a:t>
          </a:r>
        </a:p>
      </dgm:t>
    </dgm:pt>
    <dgm:pt modelId="{49B6E38E-A4F0-BB4A-9082-460B9A1001BB}" type="parTrans" cxnId="{F767FDA4-B27C-3E4C-B976-BEA6302D14AC}">
      <dgm:prSet/>
      <dgm:spPr/>
      <dgm:t>
        <a:bodyPr/>
        <a:lstStyle/>
        <a:p>
          <a:endParaRPr lang="en-US"/>
        </a:p>
      </dgm:t>
    </dgm:pt>
    <dgm:pt modelId="{AFA8EBC2-38CB-824B-863F-CC7215829219}" type="sibTrans" cxnId="{F767FDA4-B27C-3E4C-B976-BEA6302D14AC}">
      <dgm:prSet/>
      <dgm:spPr/>
      <dgm:t>
        <a:bodyPr/>
        <a:lstStyle/>
        <a:p>
          <a:endParaRPr lang="en-US"/>
        </a:p>
      </dgm:t>
    </dgm:pt>
    <dgm:pt modelId="{FE36DC7D-33C3-474A-84C4-F97FE5B7F95C}">
      <dgm:prSet phldrT="[Text]" custT="1"/>
      <dgm:spPr>
        <a:xfrm>
          <a:off x="0" y="401342"/>
          <a:ext cx="333219" cy="336062"/>
        </a:xfrm>
        <a:prstGeom prst="roundRect">
          <a:avLst/>
        </a:prstGeom>
        <a:noFill/>
        <a:ln>
          <a:solidFill>
            <a:srgbClr val="3366FF">
              <a:alpha val="95000"/>
            </a:srgbClr>
          </a:solid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en-US" sz="1400">
              <a:solidFill>
                <a:srgbClr val="0096D7"/>
              </a:solidFill>
              <a:latin typeface="Arial"/>
              <a:ea typeface="+mn-ea"/>
              <a:cs typeface="Arial"/>
            </a:rPr>
            <a:t>02</a:t>
          </a:r>
        </a:p>
      </dgm:t>
    </dgm:pt>
    <dgm:pt modelId="{39AE5F75-3014-C94A-A7A1-3B2D157D249D}" type="parTrans" cxnId="{3BF4BD7E-B18E-E344-8177-464AFC6434C1}">
      <dgm:prSet/>
      <dgm:spPr/>
      <dgm:t>
        <a:bodyPr/>
        <a:lstStyle/>
        <a:p>
          <a:endParaRPr lang="en-US"/>
        </a:p>
      </dgm:t>
    </dgm:pt>
    <dgm:pt modelId="{731994F3-BE38-E44D-A7F0-A4BC55991596}" type="sibTrans" cxnId="{3BF4BD7E-B18E-E344-8177-464AFC6434C1}">
      <dgm:prSet/>
      <dgm:spPr/>
      <dgm:t>
        <a:bodyPr/>
        <a:lstStyle/>
        <a:p>
          <a:endParaRPr lang="en-US"/>
        </a:p>
      </dgm:t>
    </dgm:pt>
    <dgm:pt modelId="{7D0B45A4-2442-6540-9DAF-B0FB130DD5F7}">
      <dgm:prSet phldrT="[Text]"/>
      <dgm:spPr>
        <a:xfrm>
          <a:off x="360628" y="399932"/>
          <a:ext cx="879345" cy="338882"/>
        </a:xfrm>
        <a:prstGeom prst="roundRect">
          <a:avLst/>
        </a:prstGeom>
        <a:noFill/>
        <a:ln w="9525" cap="flat" cmpd="sng" algn="ctr">
          <a:solidFill>
            <a:srgbClr val="3366FF">
              <a:alpha val="95000"/>
            </a:srgbClr>
          </a:solidFill>
          <a:prstDash val="solid"/>
        </a:ln>
        <a:effectLst/>
      </dgm:spPr>
      <dgm:t>
        <a:bodyPr/>
        <a:lstStyle/>
        <a:p>
          <a:pPr algn="l"/>
          <a:r>
            <a:rPr lang="en-US">
              <a:solidFill>
                <a:srgbClr val="0096D7"/>
              </a:solidFill>
              <a:latin typeface="Arial"/>
              <a:ea typeface="+mn-ea"/>
              <a:cs typeface="Arial"/>
            </a:rPr>
            <a:t>Workgroup Report</a:t>
          </a:r>
        </a:p>
      </dgm:t>
    </dgm:pt>
    <dgm:pt modelId="{D2990E9F-00EA-AA48-8299-3BF2CAE557BB}" type="parTrans" cxnId="{D95B5513-FD1D-024D-A3E7-DB65839174C4}">
      <dgm:prSet/>
      <dgm:spPr/>
      <dgm:t>
        <a:bodyPr/>
        <a:lstStyle/>
        <a:p>
          <a:endParaRPr lang="en-US"/>
        </a:p>
      </dgm:t>
    </dgm:pt>
    <dgm:pt modelId="{446D302A-985B-074E-97D7-904E98899421}" type="sibTrans" cxnId="{D95B5513-FD1D-024D-A3E7-DB65839174C4}">
      <dgm:prSet/>
      <dgm:spPr/>
      <dgm:t>
        <a:bodyPr/>
        <a:lstStyle/>
        <a:p>
          <a:endParaRPr lang="en-US"/>
        </a:p>
      </dgm:t>
    </dgm:pt>
    <dgm:pt modelId="{8C22D270-2B1D-3647-BB97-6172866B4A32}">
      <dgm:prSet phldrT="[Text]"/>
      <dgm:spPr>
        <a:xfrm>
          <a:off x="364701" y="799200"/>
          <a:ext cx="877358" cy="338101"/>
        </a:xfrm>
        <a:prstGeom prst="roundRect">
          <a:avLst/>
        </a:prstGeom>
        <a:solidFill>
          <a:sysClr val="window" lastClr="FFFFFF">
            <a:alpha val="90000"/>
            <a:tint val="40000"/>
            <a:hueOff val="0"/>
            <a:satOff val="0"/>
            <a:lumOff val="0"/>
            <a:alphaOff val="0"/>
          </a:sysClr>
        </a:solidFill>
        <a:ln w="9525" cap="flat" cmpd="sng" algn="ctr">
          <a:solidFill>
            <a:srgbClr val="8064A2">
              <a:alpha val="95000"/>
            </a:srgbClr>
          </a:solidFill>
          <a:prstDash val="solid"/>
        </a:ln>
        <a:effectLst/>
      </dgm:spPr>
      <dgm:t>
        <a:bodyPr/>
        <a:lstStyle/>
        <a:p>
          <a:pPr algn="l"/>
          <a:r>
            <a:rPr lang="en-US">
              <a:solidFill>
                <a:srgbClr val="8064A2"/>
              </a:solidFill>
              <a:latin typeface="Arial"/>
              <a:ea typeface="+mn-ea"/>
              <a:cs typeface="Arial"/>
            </a:rPr>
            <a:t>Draft Modification Report</a:t>
          </a:r>
        </a:p>
      </dgm:t>
    </dgm:pt>
    <dgm:pt modelId="{E3826E31-B95B-6145-8AE4-3CE78F54B81E}" type="parTrans" cxnId="{C8F73A05-0B1B-CF43-8F42-A217319C0D40}">
      <dgm:prSet/>
      <dgm:spPr/>
      <dgm:t>
        <a:bodyPr/>
        <a:lstStyle/>
        <a:p>
          <a:endParaRPr lang="en-US"/>
        </a:p>
      </dgm:t>
    </dgm:pt>
    <dgm:pt modelId="{86A14A3F-6CBD-0642-8679-AE7C81FE3EC1}" type="sibTrans" cxnId="{C8F73A05-0B1B-CF43-8F42-A217319C0D40}">
      <dgm:prSet/>
      <dgm:spPr/>
      <dgm:t>
        <a:bodyPr/>
        <a:lstStyle/>
        <a:p>
          <a:endParaRPr lang="en-US"/>
        </a:p>
      </dgm:t>
    </dgm:pt>
    <dgm:pt modelId="{A5986DFE-7725-1847-8814-D50D66AFCC15}">
      <dgm:prSet phldrT="[Text]"/>
      <dgm:spPr>
        <a:xfrm>
          <a:off x="364701" y="1197881"/>
          <a:ext cx="877358" cy="337715"/>
        </a:xfrm>
        <a:prstGeom prst="roundRect">
          <a:avLst/>
        </a:prstGeom>
        <a:solidFill>
          <a:sysClr val="window" lastClr="FFFFFF">
            <a:alpha val="90000"/>
            <a:tint val="40000"/>
            <a:hueOff val="0"/>
            <a:satOff val="0"/>
            <a:lumOff val="0"/>
            <a:alphaOff val="0"/>
          </a:sysClr>
        </a:solidFill>
        <a:ln w="9525" cap="flat" cmpd="sng" algn="ctr">
          <a:solidFill>
            <a:srgbClr val="FF6600">
              <a:alpha val="95000"/>
            </a:srgbClr>
          </a:solidFill>
          <a:prstDash val="solid"/>
        </a:ln>
        <a:effectLst/>
      </dgm:spPr>
      <dgm:t>
        <a:bodyPr/>
        <a:lstStyle/>
        <a:p>
          <a:pPr algn="l"/>
          <a:r>
            <a:rPr lang="en-US">
              <a:solidFill>
                <a:srgbClr val="FF6600"/>
              </a:solidFill>
              <a:latin typeface="Arial"/>
              <a:ea typeface="+mn-ea"/>
              <a:cs typeface="Arial"/>
            </a:rPr>
            <a:t>Final Modification Report</a:t>
          </a:r>
        </a:p>
      </dgm:t>
    </dgm:pt>
    <dgm:pt modelId="{260D3B08-4E53-2048-BDA1-E75675D393D8}" type="parTrans" cxnId="{0AA09B37-1070-D246-9B8E-A0B84C072D6A}">
      <dgm:prSet/>
      <dgm:spPr/>
      <dgm:t>
        <a:bodyPr/>
        <a:lstStyle/>
        <a:p>
          <a:endParaRPr lang="en-US"/>
        </a:p>
      </dgm:t>
    </dgm:pt>
    <dgm:pt modelId="{263D9C09-EA4C-0D40-8829-6657872CBEE1}" type="sibTrans" cxnId="{0AA09B37-1070-D246-9B8E-A0B84C072D6A}">
      <dgm:prSet/>
      <dgm:spPr/>
      <dgm:t>
        <a:bodyPr/>
        <a:lstStyle/>
        <a:p>
          <a:endParaRPr lang="en-US"/>
        </a:p>
      </dgm:t>
    </dgm:pt>
    <dgm:pt modelId="{CBCF94E4-C372-C648-B533-E3C7976D39B7}" type="pres">
      <dgm:prSet presAssocID="{A935C7C2-51E9-394B-865D-5CF1BEB503EE}" presName="Name0" presStyleCnt="0">
        <dgm:presLayoutVars>
          <dgm:chPref val="3"/>
          <dgm:dir/>
          <dgm:animLvl val="lvl"/>
          <dgm:resizeHandles/>
        </dgm:presLayoutVars>
      </dgm:prSet>
      <dgm:spPr/>
      <dgm:t>
        <a:bodyPr/>
        <a:lstStyle/>
        <a:p>
          <a:endParaRPr lang="en-US"/>
        </a:p>
      </dgm:t>
    </dgm:pt>
    <dgm:pt modelId="{6974E495-C66D-B74A-8158-D06B249C137E}" type="pres">
      <dgm:prSet presAssocID="{7D3B8AB1-5EA8-DD4D-ACED-0CCAB6FDFAE6}" presName="horFlow" presStyleCnt="0"/>
      <dgm:spPr/>
    </dgm:pt>
    <dgm:pt modelId="{1DE6589B-7756-5243-A756-6830A54BB680}" type="pres">
      <dgm:prSet presAssocID="{7D3B8AB1-5EA8-DD4D-ACED-0CCAB6FDFAE6}" presName="bigChev" presStyleLbl="node1" presStyleIdx="0" presStyleCnt="4" custScaleX="30814" custScaleY="77036" custLinFactX="-8016" custLinFactNeighborX="-100000" custLinFactNeighborY="-48"/>
      <dgm:spPr>
        <a:prstGeom prst="roundRect">
          <a:avLst/>
        </a:prstGeom>
      </dgm:spPr>
      <dgm:t>
        <a:bodyPr/>
        <a:lstStyle/>
        <a:p>
          <a:endParaRPr lang="en-US"/>
        </a:p>
      </dgm:t>
    </dgm:pt>
    <dgm:pt modelId="{9043C52A-E63D-8149-8A79-39158C778D65}" type="pres">
      <dgm:prSet presAssocID="{49B6E38E-A4F0-BB4A-9082-460B9A1001BB}" presName="parTrans" presStyleCnt="0"/>
      <dgm:spPr/>
    </dgm:pt>
    <dgm:pt modelId="{55103E2B-E140-DA40-8077-094E745E8F05}" type="pres">
      <dgm:prSet presAssocID="{5BE3AFFD-0744-D545-9D0B-FED6D271D6BB}" presName="node" presStyleLbl="alignAccFollowNode1" presStyleIdx="0" presStyleCnt="4" custScaleX="98707" custScaleY="94769" custLinFactNeighborX="60826">
        <dgm:presLayoutVars>
          <dgm:bulletEnabled val="1"/>
        </dgm:presLayoutVars>
      </dgm:prSet>
      <dgm:spPr>
        <a:prstGeom prst="roundRect">
          <a:avLst/>
        </a:prstGeom>
      </dgm:spPr>
      <dgm:t>
        <a:bodyPr/>
        <a:lstStyle/>
        <a:p>
          <a:endParaRPr lang="en-US"/>
        </a:p>
      </dgm:t>
    </dgm:pt>
    <dgm:pt modelId="{01DC6A27-04AE-0945-A20B-41F58A1B7F4F}" type="pres">
      <dgm:prSet presAssocID="{7D3B8AB1-5EA8-DD4D-ACED-0CCAB6FDFAE6}" presName="vSp" presStyleCnt="0"/>
      <dgm:spPr/>
    </dgm:pt>
    <dgm:pt modelId="{4B83D6C4-550C-444A-9954-89B557AB82E9}" type="pres">
      <dgm:prSet presAssocID="{FE36DC7D-33C3-474A-84C4-F97FE5B7F95C}" presName="horFlow" presStyleCnt="0"/>
      <dgm:spPr/>
    </dgm:pt>
    <dgm:pt modelId="{477BA8D3-8A7D-C94B-88A0-39B820B72CE0}" type="pres">
      <dgm:prSet presAssocID="{FE36DC7D-33C3-474A-84C4-F97FE5B7F95C}" presName="bigChev" presStyleLbl="node1" presStyleIdx="1" presStyleCnt="4" custScaleX="30902" custScaleY="77914" custLinFactX="-10065" custLinFactNeighborX="-100000"/>
      <dgm:spPr>
        <a:prstGeom prst="roundRect">
          <a:avLst/>
        </a:prstGeom>
      </dgm:spPr>
      <dgm:t>
        <a:bodyPr/>
        <a:lstStyle/>
        <a:p>
          <a:endParaRPr lang="en-US"/>
        </a:p>
      </dgm:t>
    </dgm:pt>
    <dgm:pt modelId="{D10C13D4-3269-994C-82C1-75B3C073B557}" type="pres">
      <dgm:prSet presAssocID="{D2990E9F-00EA-AA48-8299-3BF2CAE557BB}" presName="parTrans" presStyleCnt="0"/>
      <dgm:spPr/>
    </dgm:pt>
    <dgm:pt modelId="{50D2A4A2-A1F7-9C4D-8457-347EC5CF1DDC}" type="pres">
      <dgm:prSet presAssocID="{7D0B45A4-2442-6540-9DAF-B0FB130DD5F7}" presName="node" presStyleLbl="alignAccFollowNode1" presStyleIdx="1" presStyleCnt="4" custScaleX="98251" custScaleY="94660" custLinFactNeighborX="60149">
        <dgm:presLayoutVars>
          <dgm:bulletEnabled val="1"/>
        </dgm:presLayoutVars>
      </dgm:prSet>
      <dgm:spPr>
        <a:prstGeom prst="roundRect">
          <a:avLst/>
        </a:prstGeom>
      </dgm:spPr>
      <dgm:t>
        <a:bodyPr/>
        <a:lstStyle/>
        <a:p>
          <a:endParaRPr lang="en-US"/>
        </a:p>
      </dgm:t>
    </dgm:pt>
    <dgm:pt modelId="{61A6B003-AF47-4046-841B-DEAABAAB6256}" type="pres">
      <dgm:prSet presAssocID="{FE36DC7D-33C3-474A-84C4-F97FE5B7F95C}" presName="vSp" presStyleCnt="0"/>
      <dgm:spPr/>
    </dgm:pt>
    <dgm:pt modelId="{08745444-8660-124F-B9E3-F7CB72B8A9F6}" type="pres">
      <dgm:prSet presAssocID="{8F951A2D-8316-7942-B199-785B2B0AB0C3}" presName="horFlow" presStyleCnt="0"/>
      <dgm:spPr/>
    </dgm:pt>
    <dgm:pt modelId="{CDF19424-C7C4-9F40-84E9-8D4B4EB62BE8}" type="pres">
      <dgm:prSet presAssocID="{8F951A2D-8316-7942-B199-785B2B0AB0C3}" presName="bigChev" presStyleLbl="node1" presStyleIdx="2" presStyleCnt="4" custScaleX="31166" custScaleY="77914" custLinFactNeighborX="-88641"/>
      <dgm:spPr>
        <a:prstGeom prst="roundRect">
          <a:avLst/>
        </a:prstGeom>
      </dgm:spPr>
      <dgm:t>
        <a:bodyPr/>
        <a:lstStyle/>
        <a:p>
          <a:endParaRPr lang="en-US"/>
        </a:p>
      </dgm:t>
    </dgm:pt>
    <dgm:pt modelId="{7717A314-C3AA-034D-BD28-ECA9DB8EF134}" type="pres">
      <dgm:prSet presAssocID="{E3826E31-B95B-6145-8AE4-3CE78F54B81E}" presName="parTrans" presStyleCnt="0"/>
      <dgm:spPr/>
    </dgm:pt>
    <dgm:pt modelId="{CFDAD9C7-3A4F-DF48-A43E-D4DC637F1C2D}" type="pres">
      <dgm:prSet presAssocID="{8C22D270-2B1D-3647-BB97-6172866B4A32}" presName="node" presStyleLbl="alignAccFollowNode1" presStyleIdx="2" presStyleCnt="4" custScaleX="98029" custScaleY="94442" custLinFactNeighborX="61729">
        <dgm:presLayoutVars>
          <dgm:bulletEnabled val="1"/>
        </dgm:presLayoutVars>
      </dgm:prSet>
      <dgm:spPr>
        <a:prstGeom prst="roundRect">
          <a:avLst/>
        </a:prstGeom>
      </dgm:spPr>
      <dgm:t>
        <a:bodyPr/>
        <a:lstStyle/>
        <a:p>
          <a:endParaRPr lang="en-US"/>
        </a:p>
      </dgm:t>
    </dgm:pt>
    <dgm:pt modelId="{FE7A17E7-4371-8F43-991C-D33780A18970}" type="pres">
      <dgm:prSet presAssocID="{8F951A2D-8316-7942-B199-785B2B0AB0C3}" presName="vSp" presStyleCnt="0"/>
      <dgm:spPr/>
    </dgm:pt>
    <dgm:pt modelId="{B30DEA06-BB50-134C-A79D-C98A8A0DEC5A}" type="pres">
      <dgm:prSet presAssocID="{A0B44F8A-6A2F-0044-9BB8-0A3469DF2734}" presName="horFlow" presStyleCnt="0"/>
      <dgm:spPr/>
    </dgm:pt>
    <dgm:pt modelId="{DAD3E78C-AE02-7946-8AFD-B6C6799EE258}" type="pres">
      <dgm:prSet presAssocID="{A0B44F8A-6A2F-0044-9BB8-0A3469DF2734}" presName="bigChev" presStyleLbl="node1" presStyleIdx="3" presStyleCnt="4" custScaleX="31166" custScaleY="78387" custLinFactNeighborX="-88641"/>
      <dgm:spPr>
        <a:prstGeom prst="roundRect">
          <a:avLst/>
        </a:prstGeom>
      </dgm:spPr>
      <dgm:t>
        <a:bodyPr/>
        <a:lstStyle/>
        <a:p>
          <a:endParaRPr lang="en-US"/>
        </a:p>
      </dgm:t>
    </dgm:pt>
    <dgm:pt modelId="{D5A934E3-EE19-0641-957A-617846E374CD}" type="pres">
      <dgm:prSet presAssocID="{260D3B08-4E53-2048-BDA1-E75675D393D8}" presName="parTrans" presStyleCnt="0"/>
      <dgm:spPr/>
    </dgm:pt>
    <dgm:pt modelId="{003BC28C-F1D9-CC4D-A9FB-3697781EB6A5}" type="pres">
      <dgm:prSet presAssocID="{A5986DFE-7725-1847-8814-D50D66AFCC15}" presName="node" presStyleLbl="alignAccFollowNode1" presStyleIdx="3" presStyleCnt="4" custScaleX="98029" custScaleY="94334" custLinFactNeighborX="61729">
        <dgm:presLayoutVars>
          <dgm:bulletEnabled val="1"/>
        </dgm:presLayoutVars>
      </dgm:prSet>
      <dgm:spPr>
        <a:prstGeom prst="roundRect">
          <a:avLst/>
        </a:prstGeom>
      </dgm:spPr>
      <dgm:t>
        <a:bodyPr/>
        <a:lstStyle/>
        <a:p>
          <a:endParaRPr lang="en-US"/>
        </a:p>
      </dgm:t>
    </dgm:pt>
  </dgm:ptLst>
  <dgm:cxnLst>
    <dgm:cxn modelId="{26B500B7-1833-5B4C-95E6-3FAF8F4D6FBC}" type="presOf" srcId="{FE36DC7D-33C3-474A-84C4-F97FE5B7F95C}" destId="{477BA8D3-8A7D-C94B-88A0-39B820B72CE0}" srcOrd="0" destOrd="0" presId="urn:microsoft.com/office/officeart/2005/8/layout/lProcess3"/>
    <dgm:cxn modelId="{5BB20A7C-3237-8247-ABC7-5D53DBD51361}" type="presOf" srcId="{8F951A2D-8316-7942-B199-785B2B0AB0C3}" destId="{CDF19424-C7C4-9F40-84E9-8D4B4EB62BE8}" srcOrd="0" destOrd="0" presId="urn:microsoft.com/office/officeart/2005/8/layout/lProcess3"/>
    <dgm:cxn modelId="{0AA09B37-1070-D246-9B8E-A0B84C072D6A}" srcId="{A0B44F8A-6A2F-0044-9BB8-0A3469DF2734}" destId="{A5986DFE-7725-1847-8814-D50D66AFCC15}" srcOrd="0" destOrd="0" parTransId="{260D3B08-4E53-2048-BDA1-E75675D393D8}" sibTransId="{263D9C09-EA4C-0D40-8829-6657872CBEE1}"/>
    <dgm:cxn modelId="{887BE923-E47B-FB43-B05E-D790DAAB665B}" type="presOf" srcId="{A935C7C2-51E9-394B-865D-5CF1BEB503EE}" destId="{CBCF94E4-C372-C648-B533-E3C7976D39B7}" srcOrd="0" destOrd="0" presId="urn:microsoft.com/office/officeart/2005/8/layout/lProcess3"/>
    <dgm:cxn modelId="{C8F73A05-0B1B-CF43-8F42-A217319C0D40}" srcId="{8F951A2D-8316-7942-B199-785B2B0AB0C3}" destId="{8C22D270-2B1D-3647-BB97-6172866B4A32}" srcOrd="0" destOrd="0" parTransId="{E3826E31-B95B-6145-8AE4-3CE78F54B81E}" sibTransId="{86A14A3F-6CBD-0642-8679-AE7C81FE3EC1}"/>
    <dgm:cxn modelId="{2AC9879B-3861-E542-B1FB-60ABBD61AB31}" srcId="{A935C7C2-51E9-394B-865D-5CF1BEB503EE}" destId="{A0B44F8A-6A2F-0044-9BB8-0A3469DF2734}" srcOrd="3" destOrd="0" parTransId="{322E361A-FB1B-0D47-80B8-6F8E1E98915A}" sibTransId="{AEE3A9E3-7BE1-1C41-B42E-F4079641B9E8}"/>
    <dgm:cxn modelId="{03D52E04-0D26-0D4A-A28A-FFBF2BBE9ECF}" srcId="{A935C7C2-51E9-394B-865D-5CF1BEB503EE}" destId="{7D3B8AB1-5EA8-DD4D-ACED-0CCAB6FDFAE6}" srcOrd="0" destOrd="0" parTransId="{ED96D06F-9A1E-2743-9913-78FDF7A29C30}" sibTransId="{555EF976-CB3E-3740-9714-D4E964B9FB72}"/>
    <dgm:cxn modelId="{9682C6E7-9F4B-6346-8BED-168165282FD7}" type="presOf" srcId="{A5986DFE-7725-1847-8814-D50D66AFCC15}" destId="{003BC28C-F1D9-CC4D-A9FB-3697781EB6A5}" srcOrd="0" destOrd="0" presId="urn:microsoft.com/office/officeart/2005/8/layout/lProcess3"/>
    <dgm:cxn modelId="{4FC93C60-DAD1-9E4A-A380-C95D8096CB4F}" type="presOf" srcId="{7D0B45A4-2442-6540-9DAF-B0FB130DD5F7}" destId="{50D2A4A2-A1F7-9C4D-8457-347EC5CF1DDC}" srcOrd="0" destOrd="0" presId="urn:microsoft.com/office/officeart/2005/8/layout/lProcess3"/>
    <dgm:cxn modelId="{20C56579-98EF-414C-A2F7-D269929FB9B8}" type="presOf" srcId="{5BE3AFFD-0744-D545-9D0B-FED6D271D6BB}" destId="{55103E2B-E140-DA40-8077-094E745E8F05}" srcOrd="0" destOrd="0" presId="urn:microsoft.com/office/officeart/2005/8/layout/lProcess3"/>
    <dgm:cxn modelId="{17DDB721-9B40-1E49-B058-473FC2A4DAE2}" srcId="{A935C7C2-51E9-394B-865D-5CF1BEB503EE}" destId="{8F951A2D-8316-7942-B199-785B2B0AB0C3}" srcOrd="2" destOrd="0" parTransId="{3AFE9292-A099-244C-A617-20602CFCB1E3}" sibTransId="{173CF78D-536E-C343-8B69-65E61BE510E1}"/>
    <dgm:cxn modelId="{D95B5513-FD1D-024D-A3E7-DB65839174C4}" srcId="{FE36DC7D-33C3-474A-84C4-F97FE5B7F95C}" destId="{7D0B45A4-2442-6540-9DAF-B0FB130DD5F7}" srcOrd="0" destOrd="0" parTransId="{D2990E9F-00EA-AA48-8299-3BF2CAE557BB}" sibTransId="{446D302A-985B-074E-97D7-904E98899421}"/>
    <dgm:cxn modelId="{78440C87-3AE5-9F47-B731-01903F0CDE04}" type="presOf" srcId="{7D3B8AB1-5EA8-DD4D-ACED-0CCAB6FDFAE6}" destId="{1DE6589B-7756-5243-A756-6830A54BB680}" srcOrd="0" destOrd="0" presId="urn:microsoft.com/office/officeart/2005/8/layout/lProcess3"/>
    <dgm:cxn modelId="{F767FDA4-B27C-3E4C-B976-BEA6302D14AC}" srcId="{7D3B8AB1-5EA8-DD4D-ACED-0CCAB6FDFAE6}" destId="{5BE3AFFD-0744-D545-9D0B-FED6D271D6BB}" srcOrd="0" destOrd="0" parTransId="{49B6E38E-A4F0-BB4A-9082-460B9A1001BB}" sibTransId="{AFA8EBC2-38CB-824B-863F-CC7215829219}"/>
    <dgm:cxn modelId="{B90DB813-6A8B-DE44-A9E8-A44096E3DD11}" type="presOf" srcId="{8C22D270-2B1D-3647-BB97-6172866B4A32}" destId="{CFDAD9C7-3A4F-DF48-A43E-D4DC637F1C2D}" srcOrd="0" destOrd="0" presId="urn:microsoft.com/office/officeart/2005/8/layout/lProcess3"/>
    <dgm:cxn modelId="{6D56A3CB-31D4-AB45-9029-224F43FAC6B9}" type="presOf" srcId="{A0B44F8A-6A2F-0044-9BB8-0A3469DF2734}" destId="{DAD3E78C-AE02-7946-8AFD-B6C6799EE258}" srcOrd="0" destOrd="0" presId="urn:microsoft.com/office/officeart/2005/8/layout/lProcess3"/>
    <dgm:cxn modelId="{3BF4BD7E-B18E-E344-8177-464AFC6434C1}" srcId="{A935C7C2-51E9-394B-865D-5CF1BEB503EE}" destId="{FE36DC7D-33C3-474A-84C4-F97FE5B7F95C}" srcOrd="1" destOrd="0" parTransId="{39AE5F75-3014-C94A-A7A1-3B2D157D249D}" sibTransId="{731994F3-BE38-E44D-A7F0-A4BC55991596}"/>
    <dgm:cxn modelId="{61D400A7-6D4F-EB48-8FA9-5DC313342636}" type="presParOf" srcId="{CBCF94E4-C372-C648-B533-E3C7976D39B7}" destId="{6974E495-C66D-B74A-8158-D06B249C137E}" srcOrd="0" destOrd="0" presId="urn:microsoft.com/office/officeart/2005/8/layout/lProcess3"/>
    <dgm:cxn modelId="{4A5865B4-292C-324D-A770-45DF64D2835D}" type="presParOf" srcId="{6974E495-C66D-B74A-8158-D06B249C137E}" destId="{1DE6589B-7756-5243-A756-6830A54BB680}" srcOrd="0" destOrd="0" presId="urn:microsoft.com/office/officeart/2005/8/layout/lProcess3"/>
    <dgm:cxn modelId="{C4CF5185-6355-DC47-9E6C-9747BF9DD422}" type="presParOf" srcId="{6974E495-C66D-B74A-8158-D06B249C137E}" destId="{9043C52A-E63D-8149-8A79-39158C778D65}" srcOrd="1" destOrd="0" presId="urn:microsoft.com/office/officeart/2005/8/layout/lProcess3"/>
    <dgm:cxn modelId="{188304E4-1AB5-4D47-A236-A9C4259DFB70}" type="presParOf" srcId="{6974E495-C66D-B74A-8158-D06B249C137E}" destId="{55103E2B-E140-DA40-8077-094E745E8F05}" srcOrd="2" destOrd="0" presId="urn:microsoft.com/office/officeart/2005/8/layout/lProcess3"/>
    <dgm:cxn modelId="{07499D2B-13A1-544C-83ED-8F51C42AD71C}" type="presParOf" srcId="{CBCF94E4-C372-C648-B533-E3C7976D39B7}" destId="{01DC6A27-04AE-0945-A20B-41F58A1B7F4F}" srcOrd="1" destOrd="0" presId="urn:microsoft.com/office/officeart/2005/8/layout/lProcess3"/>
    <dgm:cxn modelId="{E655201B-8C8E-5C47-8C4D-A17908D858F5}" type="presParOf" srcId="{CBCF94E4-C372-C648-B533-E3C7976D39B7}" destId="{4B83D6C4-550C-444A-9954-89B557AB82E9}" srcOrd="2" destOrd="0" presId="urn:microsoft.com/office/officeart/2005/8/layout/lProcess3"/>
    <dgm:cxn modelId="{96EC68F0-6F48-4045-906A-C6F8CD7E7E3E}" type="presParOf" srcId="{4B83D6C4-550C-444A-9954-89B557AB82E9}" destId="{477BA8D3-8A7D-C94B-88A0-39B820B72CE0}" srcOrd="0" destOrd="0" presId="urn:microsoft.com/office/officeart/2005/8/layout/lProcess3"/>
    <dgm:cxn modelId="{B83D65E6-0403-9A44-A678-88491DB98915}" type="presParOf" srcId="{4B83D6C4-550C-444A-9954-89B557AB82E9}" destId="{D10C13D4-3269-994C-82C1-75B3C073B557}" srcOrd="1" destOrd="0" presId="urn:microsoft.com/office/officeart/2005/8/layout/lProcess3"/>
    <dgm:cxn modelId="{5F20BD06-C191-174F-8C2C-DFF2A77F8746}" type="presParOf" srcId="{4B83D6C4-550C-444A-9954-89B557AB82E9}" destId="{50D2A4A2-A1F7-9C4D-8457-347EC5CF1DDC}" srcOrd="2" destOrd="0" presId="urn:microsoft.com/office/officeart/2005/8/layout/lProcess3"/>
    <dgm:cxn modelId="{C699D6CF-43AE-244B-A4B2-78D4C2DF85ED}" type="presParOf" srcId="{CBCF94E4-C372-C648-B533-E3C7976D39B7}" destId="{61A6B003-AF47-4046-841B-DEAABAAB6256}" srcOrd="3" destOrd="0" presId="urn:microsoft.com/office/officeart/2005/8/layout/lProcess3"/>
    <dgm:cxn modelId="{C9DA85C0-38A7-084F-B060-6FD9DD5DDB3A}" type="presParOf" srcId="{CBCF94E4-C372-C648-B533-E3C7976D39B7}" destId="{08745444-8660-124F-B9E3-F7CB72B8A9F6}" srcOrd="4" destOrd="0" presId="urn:microsoft.com/office/officeart/2005/8/layout/lProcess3"/>
    <dgm:cxn modelId="{C231BF42-9F20-BB45-9F79-3BF4252BF77A}" type="presParOf" srcId="{08745444-8660-124F-B9E3-F7CB72B8A9F6}" destId="{CDF19424-C7C4-9F40-84E9-8D4B4EB62BE8}" srcOrd="0" destOrd="0" presId="urn:microsoft.com/office/officeart/2005/8/layout/lProcess3"/>
    <dgm:cxn modelId="{A4448D0B-FA8B-424B-B3D8-43F000E063ED}" type="presParOf" srcId="{08745444-8660-124F-B9E3-F7CB72B8A9F6}" destId="{7717A314-C3AA-034D-BD28-ECA9DB8EF134}" srcOrd="1" destOrd="0" presId="urn:microsoft.com/office/officeart/2005/8/layout/lProcess3"/>
    <dgm:cxn modelId="{8CFA4ACA-ED79-F74F-A2AF-81B53DA8D459}" type="presParOf" srcId="{08745444-8660-124F-B9E3-F7CB72B8A9F6}" destId="{CFDAD9C7-3A4F-DF48-A43E-D4DC637F1C2D}" srcOrd="2" destOrd="0" presId="urn:microsoft.com/office/officeart/2005/8/layout/lProcess3"/>
    <dgm:cxn modelId="{63599625-C781-EF4C-8365-D17B76A8C7BB}" type="presParOf" srcId="{CBCF94E4-C372-C648-B533-E3C7976D39B7}" destId="{FE7A17E7-4371-8F43-991C-D33780A18970}" srcOrd="5" destOrd="0" presId="urn:microsoft.com/office/officeart/2005/8/layout/lProcess3"/>
    <dgm:cxn modelId="{0C4D82BB-1F79-C941-98B6-C3C8E456938D}" type="presParOf" srcId="{CBCF94E4-C372-C648-B533-E3C7976D39B7}" destId="{B30DEA06-BB50-134C-A79D-C98A8A0DEC5A}" srcOrd="6" destOrd="0" presId="urn:microsoft.com/office/officeart/2005/8/layout/lProcess3"/>
    <dgm:cxn modelId="{70CEE49E-0F57-CE4A-8FB5-3C5BEFC8847F}" type="presParOf" srcId="{B30DEA06-BB50-134C-A79D-C98A8A0DEC5A}" destId="{DAD3E78C-AE02-7946-8AFD-B6C6799EE258}" srcOrd="0" destOrd="0" presId="urn:microsoft.com/office/officeart/2005/8/layout/lProcess3"/>
    <dgm:cxn modelId="{AB85EAAB-E07B-E044-A201-0943A1514258}" type="presParOf" srcId="{B30DEA06-BB50-134C-A79D-C98A8A0DEC5A}" destId="{D5A934E3-EE19-0641-957A-617846E374CD}" srcOrd="1" destOrd="0" presId="urn:microsoft.com/office/officeart/2005/8/layout/lProcess3"/>
    <dgm:cxn modelId="{D3B569F2-9426-0A4C-9441-3C430FA3D325}" type="presParOf" srcId="{B30DEA06-BB50-134C-A79D-C98A8A0DEC5A}" destId="{003BC28C-F1D9-CC4D-A9FB-3697781EB6A5}" srcOrd="2" destOrd="0" presId="urn:microsoft.com/office/officeart/2005/8/layout/lProcess3"/>
  </dgm:cxnLst>
  <dgm:bg/>
  <dgm:whole/>
  <dgm:extLst>
    <a:ext uri="http://schemas.microsoft.com/office/drawing/2008/diagram">
      <dsp:dataModelExt xmlns:dsp="http://schemas.microsoft.com/office/drawing/2008/diagram" relId="rId15" minVer="http://schemas.openxmlformats.org/drawingml/2006/diagram"/>
    </a:ext>
    <a:ext uri="{C62137D5-CB1D-491B-B009-E17868A290BF}">
      <dgm14:recolorImg xmlns:dgm14="http://schemas.microsoft.com/office/drawing/2010/diagram" val="1"/>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DE6589B-7756-5243-A756-6830A54BB680}">
      <dsp:nvSpPr>
        <dsp:cNvPr id="0" name=""/>
        <dsp:cNvSpPr/>
      </dsp:nvSpPr>
      <dsp:spPr>
        <a:xfrm>
          <a:off x="0" y="4016"/>
          <a:ext cx="331523" cy="331527"/>
        </a:xfrm>
        <a:prstGeom prst="roundRect">
          <a:avLst/>
        </a:prstGeom>
        <a:solidFill>
          <a:srgbClr val="00B274">
            <a:alpha val="90000"/>
          </a:srgbClr>
        </a:solidFill>
        <a:ln>
          <a:solidFill>
            <a:srgbClr val="008000">
              <a:alpha val="95000"/>
            </a:srgbClr>
          </a:solidFill>
        </a:ln>
        <a:effectLst>
          <a:softEdge rad="1104900"/>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7780" tIns="8890" rIns="0" bIns="8890" numCol="1" spcCol="1270" anchor="ctr" anchorCtr="0">
          <a:noAutofit/>
        </a:bodyPr>
        <a:lstStyle/>
        <a:p>
          <a:pPr lvl="0" algn="ctr" defTabSz="622300">
            <a:lnSpc>
              <a:spcPct val="90000"/>
            </a:lnSpc>
            <a:spcBef>
              <a:spcPct val="0"/>
            </a:spcBef>
            <a:spcAft>
              <a:spcPct val="35000"/>
            </a:spcAft>
          </a:pPr>
          <a:r>
            <a:rPr lang="en-US" sz="1400" kern="1200">
              <a:solidFill>
                <a:sysClr val="window" lastClr="FFFFFF"/>
              </a:solidFill>
              <a:latin typeface="Arial"/>
              <a:ea typeface="+mn-ea"/>
              <a:cs typeface="Arial"/>
            </a:rPr>
            <a:t>01</a:t>
          </a:r>
        </a:p>
      </dsp:txBody>
      <dsp:txXfrm>
        <a:off x="16184" y="20200"/>
        <a:ext cx="299155" cy="299159"/>
      </dsp:txXfrm>
    </dsp:sp>
    <dsp:sp modelId="{55103E2B-E140-DA40-8077-094E745E8F05}">
      <dsp:nvSpPr>
        <dsp:cNvPr id="0" name=""/>
        <dsp:cNvSpPr/>
      </dsp:nvSpPr>
      <dsp:spPr>
        <a:xfrm>
          <a:off x="360620" y="731"/>
          <a:ext cx="881439" cy="338509"/>
        </a:xfrm>
        <a:prstGeom prst="roundRect">
          <a:avLst/>
        </a:prstGeom>
        <a:solidFill>
          <a:srgbClr val="00B274">
            <a:alpha val="90000"/>
          </a:srgbClr>
        </a:solidFill>
        <a:ln w="9525" cap="flat" cmpd="sng" algn="ctr">
          <a:solidFill>
            <a:srgbClr val="008000">
              <a:alpha val="95000"/>
            </a:srgb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10160" tIns="5080" rIns="0" bIns="5080" numCol="1" spcCol="1270" anchor="ctr" anchorCtr="0">
          <a:noAutofit/>
        </a:bodyPr>
        <a:lstStyle/>
        <a:p>
          <a:pPr lvl="0" algn="l" defTabSz="355600">
            <a:lnSpc>
              <a:spcPct val="90000"/>
            </a:lnSpc>
            <a:spcBef>
              <a:spcPct val="0"/>
            </a:spcBef>
            <a:spcAft>
              <a:spcPct val="35000"/>
            </a:spcAft>
          </a:pPr>
          <a:r>
            <a:rPr lang="en-US" sz="800" kern="1200">
              <a:solidFill>
                <a:sysClr val="window" lastClr="FFFFFF"/>
              </a:solidFill>
              <a:latin typeface="Arial"/>
              <a:ea typeface="+mn-ea"/>
              <a:cs typeface="Arial"/>
            </a:rPr>
            <a:t>Modification</a:t>
          </a:r>
        </a:p>
      </dsp:txBody>
      <dsp:txXfrm>
        <a:off x="377145" y="17256"/>
        <a:ext cx="848389" cy="305459"/>
      </dsp:txXfrm>
    </dsp:sp>
    <dsp:sp modelId="{477BA8D3-8A7D-C94B-88A0-39B820B72CE0}">
      <dsp:nvSpPr>
        <dsp:cNvPr id="0" name=""/>
        <dsp:cNvSpPr/>
      </dsp:nvSpPr>
      <dsp:spPr>
        <a:xfrm>
          <a:off x="0" y="400897"/>
          <a:ext cx="332470" cy="335306"/>
        </a:xfrm>
        <a:prstGeom prst="roundRect">
          <a:avLst/>
        </a:prstGeom>
        <a:noFill/>
        <a:ln>
          <a:solidFill>
            <a:srgbClr val="3366FF">
              <a:alpha val="95000"/>
            </a:srgbClr>
          </a:solid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7780" tIns="8890" rIns="0" bIns="8890" numCol="1" spcCol="1270" anchor="ctr" anchorCtr="0">
          <a:noAutofit/>
        </a:bodyPr>
        <a:lstStyle/>
        <a:p>
          <a:pPr lvl="0" algn="ctr" defTabSz="622300">
            <a:lnSpc>
              <a:spcPct val="90000"/>
            </a:lnSpc>
            <a:spcBef>
              <a:spcPct val="0"/>
            </a:spcBef>
            <a:spcAft>
              <a:spcPct val="35000"/>
            </a:spcAft>
          </a:pPr>
          <a:r>
            <a:rPr lang="en-US" sz="1400" kern="1200">
              <a:solidFill>
                <a:srgbClr val="0096D7"/>
              </a:solidFill>
              <a:latin typeface="Arial"/>
              <a:ea typeface="+mn-ea"/>
              <a:cs typeface="Arial"/>
            </a:rPr>
            <a:t>02</a:t>
          </a:r>
        </a:p>
      </dsp:txBody>
      <dsp:txXfrm>
        <a:off x="16230" y="417127"/>
        <a:ext cx="300010" cy="302846"/>
      </dsp:txXfrm>
    </dsp:sp>
    <dsp:sp modelId="{50D2A4A2-A1F7-9C4D-8457-347EC5CF1DDC}">
      <dsp:nvSpPr>
        <dsp:cNvPr id="0" name=""/>
        <dsp:cNvSpPr/>
      </dsp:nvSpPr>
      <dsp:spPr>
        <a:xfrm>
          <a:off x="361213" y="399490"/>
          <a:ext cx="877367" cy="338119"/>
        </a:xfrm>
        <a:prstGeom prst="roundRect">
          <a:avLst/>
        </a:prstGeom>
        <a:noFill/>
        <a:ln w="9525" cap="flat" cmpd="sng" algn="ctr">
          <a:solidFill>
            <a:srgbClr val="3366FF">
              <a:alpha val="95000"/>
            </a:srgb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10160" tIns="5080" rIns="0" bIns="5080" numCol="1" spcCol="1270" anchor="ctr" anchorCtr="0">
          <a:noAutofit/>
        </a:bodyPr>
        <a:lstStyle/>
        <a:p>
          <a:pPr lvl="0" algn="l" defTabSz="355600">
            <a:lnSpc>
              <a:spcPct val="90000"/>
            </a:lnSpc>
            <a:spcBef>
              <a:spcPct val="0"/>
            </a:spcBef>
            <a:spcAft>
              <a:spcPct val="35000"/>
            </a:spcAft>
          </a:pPr>
          <a:r>
            <a:rPr lang="en-US" sz="800" kern="1200">
              <a:solidFill>
                <a:srgbClr val="0096D7"/>
              </a:solidFill>
              <a:latin typeface="Arial"/>
              <a:ea typeface="+mn-ea"/>
              <a:cs typeface="Arial"/>
            </a:rPr>
            <a:t>Workgroup Report</a:t>
          </a:r>
        </a:p>
      </dsp:txBody>
      <dsp:txXfrm>
        <a:off x="377719" y="415996"/>
        <a:ext cx="844355" cy="305107"/>
      </dsp:txXfrm>
    </dsp:sp>
    <dsp:sp modelId="{CDF19424-C7C4-9F40-84E9-8D4B4EB62BE8}">
      <dsp:nvSpPr>
        <dsp:cNvPr id="0" name=""/>
        <dsp:cNvSpPr/>
      </dsp:nvSpPr>
      <dsp:spPr>
        <a:xfrm>
          <a:off x="0" y="798877"/>
          <a:ext cx="335310" cy="335306"/>
        </a:xfrm>
        <a:prstGeom prst="round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solidFill>
            <a:srgbClr val="8064A2">
              <a:alpha val="95000"/>
            </a:srgbClr>
          </a:solid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7780" tIns="8890" rIns="0" bIns="8890" numCol="1" spcCol="1270" anchor="ctr" anchorCtr="0">
          <a:noAutofit/>
        </a:bodyPr>
        <a:lstStyle/>
        <a:p>
          <a:pPr lvl="0" algn="ctr" defTabSz="622300">
            <a:lnSpc>
              <a:spcPct val="90000"/>
            </a:lnSpc>
            <a:spcBef>
              <a:spcPct val="0"/>
            </a:spcBef>
            <a:spcAft>
              <a:spcPct val="35000"/>
            </a:spcAft>
          </a:pPr>
          <a:r>
            <a:rPr lang="en-US" sz="1400" kern="1200">
              <a:solidFill>
                <a:srgbClr val="8064A2"/>
              </a:solidFill>
              <a:latin typeface="Arial"/>
              <a:ea typeface="+mn-ea"/>
              <a:cs typeface="Arial"/>
            </a:rPr>
            <a:t>03</a:t>
          </a:r>
        </a:p>
      </dsp:txBody>
      <dsp:txXfrm>
        <a:off x="16368" y="815245"/>
        <a:ext cx="302574" cy="302570"/>
      </dsp:txXfrm>
    </dsp:sp>
    <dsp:sp modelId="{CFDAD9C7-3A4F-DF48-A43E-D4DC637F1C2D}">
      <dsp:nvSpPr>
        <dsp:cNvPr id="0" name=""/>
        <dsp:cNvSpPr/>
      </dsp:nvSpPr>
      <dsp:spPr>
        <a:xfrm>
          <a:off x="366264" y="797860"/>
          <a:ext cx="875384" cy="337341"/>
        </a:xfrm>
        <a:prstGeom prst="roundRect">
          <a:avLst/>
        </a:prstGeom>
        <a:solidFill>
          <a:sysClr val="window" lastClr="FFFFFF">
            <a:alpha val="90000"/>
            <a:tint val="40000"/>
            <a:hueOff val="0"/>
            <a:satOff val="0"/>
            <a:lumOff val="0"/>
            <a:alphaOff val="0"/>
          </a:sysClr>
        </a:solidFill>
        <a:ln w="9525" cap="flat" cmpd="sng" algn="ctr">
          <a:solidFill>
            <a:srgbClr val="8064A2">
              <a:alpha val="95000"/>
            </a:srgb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10160" tIns="5080" rIns="0" bIns="5080" numCol="1" spcCol="1270" anchor="ctr" anchorCtr="0">
          <a:noAutofit/>
        </a:bodyPr>
        <a:lstStyle/>
        <a:p>
          <a:pPr lvl="0" algn="l" defTabSz="355600">
            <a:lnSpc>
              <a:spcPct val="90000"/>
            </a:lnSpc>
            <a:spcBef>
              <a:spcPct val="0"/>
            </a:spcBef>
            <a:spcAft>
              <a:spcPct val="35000"/>
            </a:spcAft>
          </a:pPr>
          <a:r>
            <a:rPr lang="en-US" sz="800" kern="1200">
              <a:solidFill>
                <a:srgbClr val="8064A2"/>
              </a:solidFill>
              <a:latin typeface="Arial"/>
              <a:ea typeface="+mn-ea"/>
              <a:cs typeface="Arial"/>
            </a:rPr>
            <a:t>Draft Modification Report</a:t>
          </a:r>
        </a:p>
      </dsp:txBody>
      <dsp:txXfrm>
        <a:off x="382732" y="814328"/>
        <a:ext cx="842448" cy="304405"/>
      </dsp:txXfrm>
    </dsp:sp>
    <dsp:sp modelId="{DAD3E78C-AE02-7946-8AFD-B6C6799EE258}">
      <dsp:nvSpPr>
        <dsp:cNvPr id="0" name=""/>
        <dsp:cNvSpPr/>
      </dsp:nvSpPr>
      <dsp:spPr>
        <a:xfrm>
          <a:off x="0" y="1195451"/>
          <a:ext cx="335310" cy="337341"/>
        </a:xfrm>
        <a:prstGeom prst="round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solidFill>
            <a:srgbClr val="FF6600">
              <a:alpha val="95000"/>
            </a:srgbClr>
          </a:solid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7780" tIns="8890" rIns="0" bIns="8890" numCol="1" spcCol="1270" anchor="ctr" anchorCtr="0">
          <a:noAutofit/>
        </a:bodyPr>
        <a:lstStyle/>
        <a:p>
          <a:pPr lvl="0" algn="ctr" defTabSz="622300">
            <a:lnSpc>
              <a:spcPct val="90000"/>
            </a:lnSpc>
            <a:spcBef>
              <a:spcPct val="0"/>
            </a:spcBef>
            <a:spcAft>
              <a:spcPct val="35000"/>
            </a:spcAft>
          </a:pPr>
          <a:r>
            <a:rPr lang="en-US" sz="1400" kern="1200">
              <a:solidFill>
                <a:srgbClr val="FF6600"/>
              </a:solidFill>
              <a:latin typeface="Arial"/>
              <a:ea typeface="+mn-ea"/>
              <a:cs typeface="Arial"/>
            </a:rPr>
            <a:t>04</a:t>
          </a:r>
        </a:p>
      </dsp:txBody>
      <dsp:txXfrm>
        <a:off x="16368" y="1211819"/>
        <a:ext cx="302574" cy="304605"/>
      </dsp:txXfrm>
    </dsp:sp>
    <dsp:sp modelId="{003BC28C-F1D9-CC4D-A9FB-3697781EB6A5}">
      <dsp:nvSpPr>
        <dsp:cNvPr id="0" name=""/>
        <dsp:cNvSpPr/>
      </dsp:nvSpPr>
      <dsp:spPr>
        <a:xfrm>
          <a:off x="366264" y="1195644"/>
          <a:ext cx="875384" cy="336955"/>
        </a:xfrm>
        <a:prstGeom prst="roundRect">
          <a:avLst/>
        </a:prstGeom>
        <a:solidFill>
          <a:sysClr val="window" lastClr="FFFFFF">
            <a:alpha val="90000"/>
            <a:tint val="40000"/>
            <a:hueOff val="0"/>
            <a:satOff val="0"/>
            <a:lumOff val="0"/>
            <a:alphaOff val="0"/>
          </a:sysClr>
        </a:solidFill>
        <a:ln w="9525" cap="flat" cmpd="sng" algn="ctr">
          <a:solidFill>
            <a:srgbClr val="FF6600">
              <a:alpha val="95000"/>
            </a:srgb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10160" tIns="5080" rIns="0" bIns="5080" numCol="1" spcCol="1270" anchor="ctr" anchorCtr="0">
          <a:noAutofit/>
        </a:bodyPr>
        <a:lstStyle/>
        <a:p>
          <a:pPr lvl="0" algn="l" defTabSz="355600">
            <a:lnSpc>
              <a:spcPct val="90000"/>
            </a:lnSpc>
            <a:spcBef>
              <a:spcPct val="0"/>
            </a:spcBef>
            <a:spcAft>
              <a:spcPct val="35000"/>
            </a:spcAft>
          </a:pPr>
          <a:r>
            <a:rPr lang="en-US" sz="800" kern="1200">
              <a:solidFill>
                <a:srgbClr val="FF6600"/>
              </a:solidFill>
              <a:latin typeface="Arial"/>
              <a:ea typeface="+mn-ea"/>
              <a:cs typeface="Arial"/>
            </a:rPr>
            <a:t>Final Modification Report</a:t>
          </a:r>
        </a:p>
      </dsp:txBody>
      <dsp:txXfrm>
        <a:off x="382713" y="1212093"/>
        <a:ext cx="842486" cy="304057"/>
      </dsp:txXfrm>
    </dsp:sp>
  </dsp:spTree>
</dsp:drawing>
</file>

<file path=word/diagrams/layout1.xml><?xml version="1.0" encoding="utf-8"?>
<dgm:layoutDef xmlns:dgm="http://schemas.openxmlformats.org/drawingml/2006/diagram" xmlns:a="http://schemas.openxmlformats.org/drawingml/2006/main" uniqueId="urn:microsoft.com/office/officeart/2005/8/layout/lProcess3">
  <dgm:title val=""/>
  <dgm:desc val=""/>
  <dgm:catLst>
    <dgm:cat type="process" pri="11000"/>
    <dgm:cat type="convert" pri="1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41" srcId="1" destId="11" srcOrd="0" destOrd="0"/>
        <dgm:cxn modelId="42" srcId="1" destId="12" srcOrd="1" destOrd="0"/>
        <dgm:cxn modelId="51" srcId="2" destId="21" srcOrd="0" destOrd="0"/>
        <dgm:cxn modelId="52" srcId="2" destId="22" srcOrd="1" destOrd="0"/>
        <dgm:cxn modelId="61" srcId="3" destId="31" srcOrd="0" destOrd="0"/>
        <dgm:cxn modelId="62" srcId="3" destId="32" srcOrd="1" destOrd="0"/>
      </dgm:cxnLst>
      <dgm:bg/>
      <dgm:whole/>
    </dgm:dataModel>
  </dgm:sampData>
  <dgm:styleData>
    <dgm:dataModel>
      <dgm:ptLst>
        <dgm:pt modelId="0" type="doc"/>
        <dgm:pt modelId="1"/>
        <dgm:pt modelId="2"/>
      </dgm:ptLst>
      <dgm:cxnLst>
        <dgm:cxn modelId="4" srcId="0" destId="1" srcOrd="0" destOrd="0"/>
        <dgm:cxn modelId="5" srcId="1" destId="2"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51" srcId="1" destId="11" srcOrd="0" destOrd="0"/>
        <dgm:cxn modelId="61" srcId="2" destId="21" srcOrd="0" destOrd="0"/>
        <dgm:cxn modelId="71" srcId="3" destId="31" srcOrd="0" destOrd="0"/>
        <dgm:cxn modelId="81" srcId="4" destId="41" srcOrd="0" destOrd="0"/>
      </dgm:cxnLst>
      <dgm:bg/>
      <dgm:whole/>
    </dgm:dataModel>
  </dgm:clrData>
  <dgm:layoutNode name="Name0">
    <dgm:varLst>
      <dgm:chPref val="3"/>
      <dgm:dir/>
      <dgm:animLvl val="lvl"/>
      <dgm:resizeHandles/>
    </dgm:varLst>
    <dgm:choose name="Name1">
      <dgm:if name="Name2" func="var" arg="dir" op="equ" val="norm">
        <dgm:alg type="lin">
          <dgm:param type="linDir" val="fromT"/>
          <dgm:param type="vertAlign" val="mid"/>
          <dgm:param type="nodeHorzAlign" val="l"/>
          <dgm:param type="nodeVertAlign" val="t"/>
          <dgm:param type="fallback" val="2D"/>
        </dgm:alg>
      </dgm:if>
      <dgm:else name="Name3">
        <dgm:alg type="lin">
          <dgm:param type="linDir" val="fromT"/>
          <dgm:param type="vertAlign" val="mid"/>
          <dgm:param type="nodeHorzAlign" val="r"/>
          <dgm:param type="nodeVertAlign" val="t"/>
          <dgm:param type="fallback" val="2D"/>
        </dgm:alg>
      </dgm:else>
    </dgm:choose>
    <dgm:shape xmlns:r="http://schemas.openxmlformats.org/officeDocument/2006/relationships" r:blip="">
      <dgm:adjLst/>
    </dgm:shape>
    <dgm:presOf/>
    <dgm:constrLst>
      <dgm:constr type="w" for="des" forName="bigChev" refType="w"/>
      <dgm:constr type="h" for="des" forName="bigChev" refType="w" refFor="des" refForName="bigChev" op="equ" fact="0.4"/>
      <dgm:constr type="w" for="des" forName="node" refType="w" refFor="des" refForName="bigChev" fact="0.83"/>
      <dgm:constr type="h" for="des" forName="node" refType="w" refFor="des" refForName="node" op="equ" fact="0.4"/>
      <dgm:constr type="w" for="des" forName="parTrans" refType="w" refFor="des" refForName="bigChev" op="equ" fact="-0.13"/>
      <dgm:constr type="w" for="des" forName="sibTrans" refType="w" refFor="des" refForName="node" op="equ" fact="-0.14"/>
      <dgm:constr type="h" for="ch" forName="vSp" refType="h" refFor="des" refForName="bigChev" op="equ" fact="0.14"/>
      <dgm:constr type="primFontSz" for="des" forName="node" op="equ"/>
      <dgm:constr type="primFontSz" for="des" forName="bigChev" op="equ"/>
    </dgm:constrLst>
    <dgm:ruleLst/>
    <dgm:forEach name="Name4" axis="ch" ptType="node">
      <dgm:layoutNode name="horFlow">
        <dgm:choose name="Name5">
          <dgm:if name="Name6" func="var" arg="dir" op="equ" val="norm">
            <dgm:alg type="lin">
              <dgm:param type="linDir" val="fromL"/>
              <dgm:param type="nodeHorzAlign" val="l"/>
              <dgm:param type="nodeVertAlign" val="mid"/>
              <dgm:param type="fallback" val="2D"/>
            </dgm:alg>
          </dgm:if>
          <dgm:else name="Name7">
            <dgm:alg type="lin">
              <dgm:param type="linDir" val="fromR"/>
              <dgm:param type="nodeHorzAlign" val="r"/>
              <dgm:param type="nodeVertAlign" val="mid"/>
              <dgm:param type="fallback" val="2D"/>
            </dgm:alg>
          </dgm:else>
        </dgm:choose>
        <dgm:shape xmlns:r="http://schemas.openxmlformats.org/officeDocument/2006/relationships" r:blip="">
          <dgm:adjLst/>
        </dgm:shape>
        <dgm:presOf/>
        <dgm:constrLst/>
        <dgm:ruleLst/>
        <dgm:layoutNode name="bigChev" styleLbl="node1">
          <dgm:alg type="tx"/>
          <dgm:choose name="Name8">
            <dgm:if name="Name9" func="var" arg="dir" op="equ" val="norm">
              <dgm:shape xmlns:r="http://schemas.openxmlformats.org/officeDocument/2006/relationships" type="chevron" r:blip="">
                <dgm:adjLst/>
              </dgm:shape>
              <dgm:presOf axis="self"/>
              <dgm:constrLst>
                <dgm:constr type="primFontSz" val="65"/>
                <dgm:constr type="rMarg"/>
                <dgm:constr type="lMarg" refType="primFontSz" fact="0.1"/>
                <dgm:constr type="tMarg" refType="primFontSz" fact="0.05"/>
                <dgm:constr type="bMarg" refType="primFontSz" fact="0.05"/>
              </dgm:constrLst>
            </dgm:if>
            <dgm:else name="Name10">
              <dgm:shape xmlns:r="http://schemas.openxmlformats.org/officeDocument/2006/relationships" rot="180" type="chevron" r:blip="">
                <dgm:adjLst/>
              </dgm:shape>
              <dgm:presOf axis="self"/>
              <dgm:constrLst>
                <dgm:constr type="primFontSz" val="65"/>
                <dgm:constr type="lMarg"/>
                <dgm:constr type="rMarg" refType="primFontSz" fact="0.1"/>
                <dgm:constr type="tMarg" refType="primFontSz" fact="0.05"/>
                <dgm:constr type="bMarg" refType="primFontSz" fact="0.05"/>
              </dgm:constrLst>
            </dgm:else>
          </dgm:choose>
          <dgm:ruleLst>
            <dgm:rule type="primFontSz" val="5" fact="NaN" max="NaN"/>
          </dgm:ruleLst>
        </dgm:layoutNode>
        <dgm:forEach name="parTransForEach" axis="ch" ptType="parTrans" cnt="1">
          <dgm:layoutNode name="parTrans">
            <dgm:alg type="sp"/>
            <dgm:shape xmlns:r="http://schemas.openxmlformats.org/officeDocument/2006/relationships" r:blip="">
              <dgm:adjLst/>
            </dgm:shape>
            <dgm:presOf/>
            <dgm:constrLst/>
            <dgm:ruleLst/>
          </dgm:layoutNode>
        </dgm:forEach>
        <dgm:forEach name="Name11" axis="ch" ptType="node">
          <dgm:layoutNode name="node" styleLbl="alignAccFollowNode1">
            <dgm:varLst>
              <dgm:bulletEnabled val="1"/>
            </dgm:varLst>
            <dgm:alg type="tx"/>
            <dgm:choose name="Name12">
              <dgm:if name="Name13" func="var" arg="dir" op="equ" val="norm">
                <dgm:shape xmlns:r="http://schemas.openxmlformats.org/officeDocument/2006/relationships" type="chevron" r:blip="">
                  <dgm:adjLst/>
                </dgm:shape>
                <dgm:presOf axis="desOrSelf" ptType="node"/>
                <dgm:constrLst>
                  <dgm:constr type="primFontSz" val="65"/>
                  <dgm:constr type="rMarg"/>
                  <dgm:constr type="lMarg" refType="primFontSz" fact="0.1"/>
                  <dgm:constr type="tMarg" refType="primFontSz" fact="0.05"/>
                  <dgm:constr type="bMarg" refType="primFontSz" fact="0.05"/>
                </dgm:constrLst>
              </dgm:if>
              <dgm:else name="Name14">
                <dgm:shape xmlns:r="http://schemas.openxmlformats.org/officeDocument/2006/relationships" rot="180" type="chevron" r:blip="">
                  <dgm:adjLst/>
                </dgm:shape>
                <dgm:presOf axis="desOrSelf" ptType="node"/>
                <dgm:constrLst>
                  <dgm:constr type="primFontSz" val="65"/>
                  <dgm:constr type="lMarg"/>
                  <dgm:constr type="rMarg" refType="primFontSz" fact="0.1"/>
                  <dgm:constr type="tMarg" refType="primFontSz" fact="0.05"/>
                  <dgm:constr type="bMarg" refType="primFontSz" fact="0.05"/>
                </dgm:constrLst>
              </dgm:else>
            </dgm:choose>
            <dgm:ruleLst>
              <dgm:rule type="primFontSz" val="5" fact="NaN" max="NaN"/>
            </dgm:ruleLst>
          </dgm:layoutNode>
          <dgm:forEach name="sibTransForEach" axis="followSib" ptType="sibTrans" cnt="1">
            <dgm:layoutNode name="sibTrans">
              <dgm:alg type="sp"/>
              <dgm:shape xmlns:r="http://schemas.openxmlformats.org/officeDocument/2006/relationships" r:blip="">
                <dgm:adjLst/>
              </dgm:shape>
              <dgm:presOf/>
              <dgm:constrLst/>
              <dgm:ruleLst/>
            </dgm:layoutNode>
          </dgm:forEach>
        </dgm:forEach>
      </dgm:layoutNode>
      <dgm:choose name="Name15">
        <dgm:if name="Name16" axis="self" ptType="node" func="revPos" op="gte" val="2">
          <dgm:layoutNode name="vSp">
            <dgm:alg type="sp"/>
            <dgm:shape xmlns:r="http://schemas.openxmlformats.org/officeDocument/2006/relationships" r:blip="">
              <dgm:adjLst/>
            </dgm:shape>
            <dgm:presOf/>
            <dgm:constrLst/>
            <dgm:ruleLst/>
          </dgm:layoutNode>
        </dgm:if>
        <dgm:else name="Name17"/>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E5FD39CB6405E4FACDC07A81B4762FB" ma:contentTypeVersion="13" ma:contentTypeDescription="Create a new document." ma:contentTypeScope="" ma:versionID="ad369cf05c830699ef9d7f7b7359a13c">
  <xsd:schema xmlns:xsd="http://www.w3.org/2001/XMLSchema" xmlns:xs="http://www.w3.org/2001/XMLSchema" xmlns:p="http://schemas.microsoft.com/office/2006/metadata/properties" xmlns:ns2="fb4c92b7-14ff-49cd-972e-7afaa2d9e482" xmlns:ns3="97b6fe81-1556-4112-94ca-31043ca39b71" xmlns:ns4="cadce026-d35b-4a62-a2ee-1436bb44fb55" targetNamespace="http://schemas.microsoft.com/office/2006/metadata/properties" ma:root="true" ma:fieldsID="eeb9808a633ba1bac18483834925e1ac" ns2:_="" ns3:_="" ns4:_="">
    <xsd:import namespace="fb4c92b7-14ff-49cd-972e-7afaa2d9e482"/>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4:TaxCatchAll" minOccurs="0"/>
                <xsd:element ref="ns2:MediaServiceOCR" minOccurs="0"/>
                <xsd:element ref="ns2:MediaServiceGenerationTime" minOccurs="0"/>
                <xsd:element ref="ns2:MediaServiceEventHashCod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4c92b7-14ff-49cd-972e-7afaa2d9e4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b4c92b7-14ff-49cd-972e-7afaa2d9e482">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66E4D9-183B-488E-B8EE-A88847EEC5C3}">
  <ds:schemaRefs>
    <ds:schemaRef ds:uri="http://schemas.microsoft.com/sharepoint/v3/contenttype/forms"/>
  </ds:schemaRefs>
</ds:datastoreItem>
</file>

<file path=customXml/itemProps2.xml><?xml version="1.0" encoding="utf-8"?>
<ds:datastoreItem xmlns:ds="http://schemas.openxmlformats.org/officeDocument/2006/customXml" ds:itemID="{8846F5D8-C9FD-42CD-AB36-E6233F20E2B5}"/>
</file>

<file path=customXml/itemProps3.xml><?xml version="1.0" encoding="utf-8"?>
<ds:datastoreItem xmlns:ds="http://schemas.openxmlformats.org/officeDocument/2006/customXml" ds:itemID="{8F140630-4E12-41E0-BABF-8EB99639CC3B}">
  <ds:schemaRef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a90d343a-463a-4f54-a818-331e51865486"/>
    <ds:schemaRef ds:uri="http://purl.org/dc/terms/"/>
    <ds:schemaRef ds:uri="http://www.w3.org/XML/1998/namespace"/>
  </ds:schemaRefs>
</ds:datastoreItem>
</file>

<file path=customXml/itemProps4.xml><?xml version="1.0" encoding="utf-8"?>
<ds:datastoreItem xmlns:ds="http://schemas.openxmlformats.org/officeDocument/2006/customXml" ds:itemID="{185BB298-DF3C-4436-A557-9A81A58F09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8</Pages>
  <Words>2397</Words>
  <Characters>13664</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Joint Office of Gas Transporters</Company>
  <LinksUpToDate>false</LinksUpToDate>
  <CharactersWithSpaces>16029</CharactersWithSpaces>
  <SharedDoc>false</SharedDoc>
  <HyperlinkBase/>
  <HLinks>
    <vt:vector size="6" baseType="variant">
      <vt:variant>
        <vt:i4>5046283</vt:i4>
      </vt:variant>
      <vt:variant>
        <vt:i4>0</vt:i4>
      </vt:variant>
      <vt:variant>
        <vt:i4>0</vt:i4>
      </vt:variant>
      <vt:variant>
        <vt:i4>5</vt:i4>
      </vt:variant>
      <vt:variant>
        <vt:lpwstr>http://www.dcode.org/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Quinn, Steve</dc:creator>
  <cp:keywords/>
  <cp:lastModifiedBy>Stephen Quinn</cp:lastModifiedBy>
  <cp:revision>11</cp:revision>
  <cp:lastPrinted>2015-03-12T17:50:00Z</cp:lastPrinted>
  <dcterms:created xsi:type="dcterms:W3CDTF">2023-07-27T09:33:00Z</dcterms:created>
  <dcterms:modified xsi:type="dcterms:W3CDTF">2023-07-27T10:34:00Z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0x010100AEDA3F888F8CC54BBB91DF9F94A83B86</vt:lpwstr>
  </property>
  <property fmtid="{D5CDD505-2E9C-101B-9397-08002B2CF9AE}" pid="3" name="MediaServiceImageTags">
    <vt:lpwstr/>
  </property>
</Properties>
</file>