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9A124" w14:textId="517FA33A" w:rsidR="004F7D19" w:rsidRPr="00163718" w:rsidRDefault="00F73A35">
      <w:pPr>
        <w:rPr>
          <w:b/>
          <w:bCs/>
          <w:sz w:val="22"/>
          <w:szCs w:val="24"/>
        </w:rPr>
      </w:pPr>
      <w:r w:rsidRPr="00163718">
        <w:rPr>
          <w:b/>
          <w:bCs/>
          <w:sz w:val="22"/>
          <w:szCs w:val="24"/>
        </w:rPr>
        <w:t>D Code Documents affected by GC0117</w:t>
      </w:r>
    </w:p>
    <w:p w14:paraId="7CD5B93D" w14:textId="461D866F" w:rsidR="00F73A35" w:rsidRPr="00163718" w:rsidRDefault="00F73A35">
      <w:pPr>
        <w:rPr>
          <w:b/>
          <w:bCs/>
        </w:rPr>
      </w:pPr>
      <w:r w:rsidRPr="00163718">
        <w:rPr>
          <w:b/>
          <w:bCs/>
        </w:rPr>
        <w:t>Distribution Code:</w:t>
      </w:r>
    </w:p>
    <w:tbl>
      <w:tblPr>
        <w:tblStyle w:val="TableGrid"/>
        <w:tblW w:w="0" w:type="auto"/>
        <w:tblLook w:val="04A0" w:firstRow="1" w:lastRow="0" w:firstColumn="1" w:lastColumn="0" w:noHBand="0" w:noVBand="1"/>
      </w:tblPr>
      <w:tblGrid>
        <w:gridCol w:w="2263"/>
        <w:gridCol w:w="6096"/>
        <w:gridCol w:w="6237"/>
      </w:tblGrid>
      <w:tr w:rsidR="00F73A35" w:rsidRPr="00F73A35" w14:paraId="53C0CC01" w14:textId="77777777" w:rsidTr="0034414E">
        <w:trPr>
          <w:tblHeader/>
        </w:trPr>
        <w:tc>
          <w:tcPr>
            <w:tcW w:w="2263" w:type="dxa"/>
            <w:shd w:val="clear" w:color="auto" w:fill="4472C4" w:themeFill="accent1"/>
          </w:tcPr>
          <w:p w14:paraId="79990EA1" w14:textId="3955551F" w:rsidR="00F73A35" w:rsidRPr="00F73A35" w:rsidRDefault="00F73A35" w:rsidP="00F73A35">
            <w:pPr>
              <w:spacing w:before="100" w:after="100"/>
              <w:rPr>
                <w:b/>
                <w:bCs/>
                <w:color w:val="FFFFFF" w:themeColor="background1"/>
              </w:rPr>
            </w:pPr>
            <w:r w:rsidRPr="00F73A35">
              <w:rPr>
                <w:b/>
                <w:bCs/>
                <w:color w:val="FFFFFF" w:themeColor="background1"/>
              </w:rPr>
              <w:t>Reference</w:t>
            </w:r>
          </w:p>
        </w:tc>
        <w:tc>
          <w:tcPr>
            <w:tcW w:w="6096" w:type="dxa"/>
            <w:shd w:val="clear" w:color="auto" w:fill="4472C4" w:themeFill="accent1"/>
          </w:tcPr>
          <w:p w14:paraId="7FD32827" w14:textId="09A35FB7" w:rsidR="00F73A35" w:rsidRPr="00F73A35" w:rsidRDefault="00F73A35" w:rsidP="00F73A35">
            <w:pPr>
              <w:spacing w:before="100" w:after="100"/>
              <w:rPr>
                <w:b/>
                <w:bCs/>
                <w:color w:val="FFFFFF" w:themeColor="background1"/>
              </w:rPr>
            </w:pPr>
            <w:r w:rsidRPr="00F73A35">
              <w:rPr>
                <w:b/>
                <w:bCs/>
                <w:color w:val="FFFFFF" w:themeColor="background1"/>
              </w:rPr>
              <w:t>Existing Text</w:t>
            </w:r>
          </w:p>
        </w:tc>
        <w:tc>
          <w:tcPr>
            <w:tcW w:w="6237" w:type="dxa"/>
            <w:shd w:val="clear" w:color="auto" w:fill="4472C4" w:themeFill="accent1"/>
          </w:tcPr>
          <w:p w14:paraId="62B84F23" w14:textId="22A916DF" w:rsidR="00F73A35" w:rsidRPr="00F73A35" w:rsidRDefault="00F73A35" w:rsidP="00F73A35">
            <w:pPr>
              <w:spacing w:before="100" w:after="100"/>
              <w:rPr>
                <w:b/>
                <w:bCs/>
                <w:color w:val="FFFFFF" w:themeColor="background1"/>
              </w:rPr>
            </w:pPr>
            <w:r w:rsidRPr="00F73A35">
              <w:rPr>
                <w:b/>
                <w:bCs/>
                <w:color w:val="FFFFFF" w:themeColor="background1"/>
              </w:rPr>
              <w:t>Comment/Recommendation</w:t>
            </w:r>
          </w:p>
        </w:tc>
      </w:tr>
      <w:tr w:rsidR="00F73A35" w14:paraId="4325ABD7" w14:textId="77777777" w:rsidTr="0034414E">
        <w:tc>
          <w:tcPr>
            <w:tcW w:w="2263" w:type="dxa"/>
          </w:tcPr>
          <w:p w14:paraId="265F177C" w14:textId="5656BBDE" w:rsidR="00F73A35" w:rsidRDefault="00F73A35" w:rsidP="00F73A35">
            <w:pPr>
              <w:spacing w:before="100" w:after="100"/>
            </w:pPr>
            <w:r>
              <w:t>Defn: Large Power Stn</w:t>
            </w:r>
          </w:p>
        </w:tc>
        <w:tc>
          <w:tcPr>
            <w:tcW w:w="6096" w:type="dxa"/>
          </w:tcPr>
          <w:p w14:paraId="2914B0B6" w14:textId="091BC1C9" w:rsidR="00F73A35" w:rsidRDefault="00F73A35" w:rsidP="00F73A35">
            <w:pPr>
              <w:spacing w:before="100" w:after="100"/>
            </w:pPr>
            <w:r>
              <w:t>As defined in the Grid Code</w:t>
            </w:r>
          </w:p>
        </w:tc>
        <w:tc>
          <w:tcPr>
            <w:tcW w:w="6237" w:type="dxa"/>
          </w:tcPr>
          <w:p w14:paraId="19CC0698" w14:textId="1EB6805E" w:rsidR="00F73A35" w:rsidRDefault="00F73A35" w:rsidP="00F73A35">
            <w:pPr>
              <w:spacing w:before="100" w:after="100"/>
            </w:pPr>
            <w:r>
              <w:t>This definition is not actually used in the Distribution Code – so could be deleted.</w:t>
            </w:r>
          </w:p>
        </w:tc>
      </w:tr>
      <w:tr w:rsidR="00F73A35" w14:paraId="3FD7D7B3" w14:textId="77777777" w:rsidTr="0034414E">
        <w:tc>
          <w:tcPr>
            <w:tcW w:w="2263" w:type="dxa"/>
          </w:tcPr>
          <w:p w14:paraId="6939DFD5" w14:textId="296F0BAC" w:rsidR="00F73A35" w:rsidRDefault="00F73A35" w:rsidP="00F73A35">
            <w:pPr>
              <w:spacing w:before="100" w:after="100"/>
            </w:pPr>
            <w:r>
              <w:t>Defn: Small Power Stn</w:t>
            </w:r>
          </w:p>
        </w:tc>
        <w:tc>
          <w:tcPr>
            <w:tcW w:w="6096" w:type="dxa"/>
          </w:tcPr>
          <w:p w14:paraId="6C4CEF7A" w14:textId="36063DD6" w:rsidR="00F73A35" w:rsidRDefault="00F73A35" w:rsidP="00F73A35">
            <w:pPr>
              <w:spacing w:before="100" w:after="100"/>
            </w:pPr>
            <w:r>
              <w:t>As defined in the Grid Code</w:t>
            </w:r>
          </w:p>
        </w:tc>
        <w:tc>
          <w:tcPr>
            <w:tcW w:w="6237" w:type="dxa"/>
          </w:tcPr>
          <w:p w14:paraId="5E8C1A3F" w14:textId="287F1BA0" w:rsidR="00F73A35" w:rsidRDefault="00F73A35" w:rsidP="00F73A35">
            <w:pPr>
              <w:spacing w:before="100" w:after="100"/>
            </w:pPr>
            <w:r>
              <w:t>This definition is not actually used in the Distribution Code – so could be deleted.</w:t>
            </w:r>
          </w:p>
        </w:tc>
      </w:tr>
      <w:tr w:rsidR="00F73A35" w14:paraId="1AF85767" w14:textId="77777777" w:rsidTr="0034414E">
        <w:tc>
          <w:tcPr>
            <w:tcW w:w="2263" w:type="dxa"/>
          </w:tcPr>
          <w:p w14:paraId="158B2408" w14:textId="51B02DD4" w:rsidR="00F73A35" w:rsidRDefault="00F73A35" w:rsidP="00F73A35">
            <w:pPr>
              <w:spacing w:before="100" w:after="100"/>
            </w:pPr>
            <w:r>
              <w:t>Defn: Medium Power Stn</w:t>
            </w:r>
          </w:p>
        </w:tc>
        <w:tc>
          <w:tcPr>
            <w:tcW w:w="6096" w:type="dxa"/>
          </w:tcPr>
          <w:p w14:paraId="3CF4E002" w14:textId="77777777" w:rsidR="00F73A35" w:rsidRDefault="00F73A35" w:rsidP="00F73A35">
            <w:pPr>
              <w:spacing w:before="100" w:after="100"/>
            </w:pPr>
            <w:r>
              <w:t xml:space="preserve">A Power Station which is connected to a System notionally connected to a Grid Supply Point in NGET’s Transmission Area with a Registered Capacity of 50 MW or more but less than 100 MW.  </w:t>
            </w:r>
          </w:p>
          <w:p w14:paraId="15F20028" w14:textId="19426F6A" w:rsidR="00F73A35" w:rsidRDefault="00F73A35" w:rsidP="00F73A35">
            <w:pPr>
              <w:spacing w:before="100" w:after="100"/>
            </w:pPr>
            <w:r>
              <w:t>For the avoidance of doubt an installation comprising one or more DC Converters with an aggregate capacity of between 50 and 100MW will be classed as a Medium Power Station for the purposes of this Distribution Code</w:t>
            </w:r>
          </w:p>
        </w:tc>
        <w:tc>
          <w:tcPr>
            <w:tcW w:w="6237" w:type="dxa"/>
          </w:tcPr>
          <w:p w14:paraId="782617EE" w14:textId="4ED0A164" w:rsidR="00F73A35" w:rsidRDefault="00F73A35" w:rsidP="00F73A35">
            <w:pPr>
              <w:spacing w:before="100" w:after="100"/>
            </w:pPr>
            <w:r>
              <w:t>The GC0117 Original proposal would make this definition redundant</w:t>
            </w:r>
            <w:r w:rsidR="00B57154">
              <w:t xml:space="preserve"> – or at least when GC0117 becomes active.</w:t>
            </w:r>
          </w:p>
          <w:p w14:paraId="7FFCA950" w14:textId="7ED1F583" w:rsidR="00F73A35" w:rsidRDefault="00F73A35" w:rsidP="00F73A35">
            <w:pPr>
              <w:spacing w:before="100" w:after="100"/>
            </w:pPr>
            <w:r>
              <w:t>For WAGCM1 it would need to be redefined to apply to GB.</w:t>
            </w:r>
          </w:p>
        </w:tc>
      </w:tr>
      <w:tr w:rsidR="00F73A35" w14:paraId="44DCE2AB" w14:textId="77777777" w:rsidTr="0034414E">
        <w:tc>
          <w:tcPr>
            <w:tcW w:w="2263" w:type="dxa"/>
          </w:tcPr>
          <w:p w14:paraId="7C48DD44" w14:textId="7009C462" w:rsidR="00F73A35" w:rsidRDefault="00F73A35" w:rsidP="00F73A35">
            <w:pPr>
              <w:spacing w:before="100" w:after="100"/>
            </w:pPr>
            <w:r>
              <w:t>DPC7.3.3</w:t>
            </w:r>
          </w:p>
        </w:tc>
        <w:tc>
          <w:tcPr>
            <w:tcW w:w="6096" w:type="dxa"/>
          </w:tcPr>
          <w:p w14:paraId="125D6215" w14:textId="43C64FEA" w:rsidR="00F73A35" w:rsidRDefault="003F5B6D" w:rsidP="00F73A35">
            <w:pPr>
              <w:spacing w:before="100" w:after="100"/>
            </w:pPr>
            <w:r w:rsidRPr="003F5B6D">
              <w:t>Extra Information From Embedded Generators to be Provided to Meet Grid Code Requirements</w:t>
            </w:r>
          </w:p>
        </w:tc>
        <w:tc>
          <w:tcPr>
            <w:tcW w:w="6237" w:type="dxa"/>
          </w:tcPr>
          <w:p w14:paraId="2875DE95" w14:textId="77777777" w:rsidR="00F73A35" w:rsidRDefault="00D366DA" w:rsidP="00F73A35">
            <w:pPr>
              <w:spacing w:before="100" w:after="100"/>
            </w:pPr>
            <w:r>
              <w:t xml:space="preserve">This clause directs Medium Power Station owners </w:t>
            </w:r>
            <w:r w:rsidR="00520029">
              <w:t>to relevant Grid Code clauses.</w:t>
            </w:r>
          </w:p>
          <w:p w14:paraId="23887428" w14:textId="40601299" w:rsidR="00520029" w:rsidRDefault="00520029" w:rsidP="00F73A35">
            <w:pPr>
              <w:spacing w:before="100" w:after="100"/>
            </w:pPr>
            <w:r>
              <w:t>For the Original it can be deleted</w:t>
            </w:r>
            <w:r w:rsidR="001B2203">
              <w:t xml:space="preserve"> – or made inactive on GTC0117 becoming active</w:t>
            </w:r>
            <w:r>
              <w:t>.  For WAGCM1 it would be unchanged.</w:t>
            </w:r>
          </w:p>
        </w:tc>
      </w:tr>
      <w:tr w:rsidR="008E11B3" w14:paraId="257EE676" w14:textId="77777777" w:rsidTr="0034414E">
        <w:tc>
          <w:tcPr>
            <w:tcW w:w="2263" w:type="dxa"/>
          </w:tcPr>
          <w:p w14:paraId="6BC76ED6" w14:textId="2786ECF6" w:rsidR="008E11B3" w:rsidRDefault="008E11B3" w:rsidP="008E11B3">
            <w:pPr>
              <w:spacing w:before="100" w:after="100"/>
            </w:pPr>
            <w:r>
              <w:t>DP7.4.1.5</w:t>
            </w:r>
          </w:p>
        </w:tc>
        <w:tc>
          <w:tcPr>
            <w:tcW w:w="6096" w:type="dxa"/>
          </w:tcPr>
          <w:p w14:paraId="5CF3ED6B" w14:textId="2CAE06DC" w:rsidR="008E11B3" w:rsidRPr="003F5B6D" w:rsidRDefault="008E11B3" w:rsidP="008E11B3">
            <w:pPr>
              <w:spacing w:before="100" w:after="100"/>
            </w:pPr>
            <w:r w:rsidRPr="008E11B3">
              <w:t>Embedded Medium Power Stations additionally have to comply with DPC 7.5.</w:t>
            </w:r>
          </w:p>
        </w:tc>
        <w:tc>
          <w:tcPr>
            <w:tcW w:w="6237" w:type="dxa"/>
          </w:tcPr>
          <w:p w14:paraId="5F4E29A4" w14:textId="2808133A" w:rsidR="008E11B3" w:rsidRDefault="008E11B3" w:rsidP="008E11B3">
            <w:pPr>
              <w:spacing w:before="100" w:after="100"/>
            </w:pPr>
            <w:r>
              <w:t xml:space="preserve">This clause directs Medium Power Station owners to </w:t>
            </w:r>
            <w:r>
              <w:t>DPC7.5 for the relevant technical requirements</w:t>
            </w:r>
            <w:r>
              <w:t>.</w:t>
            </w:r>
          </w:p>
          <w:p w14:paraId="14E80E72" w14:textId="2BAC6170" w:rsidR="008E11B3" w:rsidRDefault="008E11B3" w:rsidP="008E11B3">
            <w:pPr>
              <w:spacing w:before="100" w:after="100"/>
            </w:pPr>
            <w:r>
              <w:t>For the Original it can be deleted</w:t>
            </w:r>
            <w:r w:rsidR="001B2203">
              <w:t xml:space="preserve"> – or made inactive on GTC0117 becoming active</w:t>
            </w:r>
            <w:r>
              <w:t>.  For WAGCM1 it would be unchanged.</w:t>
            </w:r>
          </w:p>
        </w:tc>
      </w:tr>
      <w:tr w:rsidR="00CA5BDF" w14:paraId="238AEE04" w14:textId="77777777" w:rsidTr="0034414E">
        <w:tc>
          <w:tcPr>
            <w:tcW w:w="2263" w:type="dxa"/>
          </w:tcPr>
          <w:p w14:paraId="3E9C6C07" w14:textId="2713F960" w:rsidR="00CA5BDF" w:rsidRDefault="00CA5BDF" w:rsidP="00CA5BDF">
            <w:pPr>
              <w:spacing w:before="100" w:after="100"/>
            </w:pPr>
            <w:r>
              <w:t>DPC7.5</w:t>
            </w:r>
          </w:p>
        </w:tc>
        <w:tc>
          <w:tcPr>
            <w:tcW w:w="6096" w:type="dxa"/>
          </w:tcPr>
          <w:p w14:paraId="11E9132D" w14:textId="383A5684" w:rsidR="00CA5BDF" w:rsidRPr="008E11B3" w:rsidRDefault="00CA5BDF" w:rsidP="00CA5BDF">
            <w:pPr>
              <w:spacing w:before="100" w:after="100"/>
            </w:pPr>
            <w:r w:rsidRPr="00CA5BDF">
              <w:t>Technical Requirements for Medium Power Stations</w:t>
            </w:r>
          </w:p>
        </w:tc>
        <w:tc>
          <w:tcPr>
            <w:tcW w:w="6237" w:type="dxa"/>
          </w:tcPr>
          <w:p w14:paraId="4A21FD13" w14:textId="77777777" w:rsidR="00CA5BDF" w:rsidRDefault="00CA5BDF" w:rsidP="00CA5BDF">
            <w:pPr>
              <w:spacing w:before="100" w:after="100"/>
            </w:pPr>
            <w:r>
              <w:t>This clause directs Medium Power Station owners to relevant Grid Code clauses.</w:t>
            </w:r>
          </w:p>
          <w:p w14:paraId="35915587" w14:textId="51983BC2" w:rsidR="00CA5BDF" w:rsidRDefault="00CA5BDF" w:rsidP="00CA5BDF">
            <w:pPr>
              <w:spacing w:before="100" w:after="100"/>
            </w:pPr>
            <w:r>
              <w:t>For the Original it can be deleted</w:t>
            </w:r>
            <w:r w:rsidR="001B2203">
              <w:t xml:space="preserve"> – or made inactive on GTC0117 becoming active</w:t>
            </w:r>
            <w:r>
              <w:t>.  For WAGCM1 it would be unchanged.</w:t>
            </w:r>
          </w:p>
        </w:tc>
      </w:tr>
      <w:tr w:rsidR="0026466C" w14:paraId="0B5B8A39" w14:textId="77777777" w:rsidTr="0034414E">
        <w:tc>
          <w:tcPr>
            <w:tcW w:w="2263" w:type="dxa"/>
          </w:tcPr>
          <w:p w14:paraId="4CA152DB" w14:textId="3F8405CB" w:rsidR="0026466C" w:rsidRDefault="0026466C" w:rsidP="0026466C">
            <w:pPr>
              <w:spacing w:before="100" w:after="100"/>
            </w:pPr>
            <w:r>
              <w:lastRenderedPageBreak/>
              <w:t>DOC5.1.3</w:t>
            </w:r>
          </w:p>
        </w:tc>
        <w:tc>
          <w:tcPr>
            <w:tcW w:w="6096" w:type="dxa"/>
          </w:tcPr>
          <w:p w14:paraId="63F489C7" w14:textId="5794EF3B" w:rsidR="0026466C" w:rsidRPr="00CA5BDF" w:rsidRDefault="0026466C" w:rsidP="0026466C">
            <w:pPr>
              <w:spacing w:before="100" w:after="100"/>
            </w:pPr>
            <w:r w:rsidRPr="0026466C">
              <w:t>This DOC5 also covers the testing requirements that might be imposed from time to time on Embedded Medium Power Stations owned by a Generators who are not party to the CUSC</w:t>
            </w:r>
          </w:p>
        </w:tc>
        <w:tc>
          <w:tcPr>
            <w:tcW w:w="6237" w:type="dxa"/>
          </w:tcPr>
          <w:p w14:paraId="284DDAB2" w14:textId="6B7F906D" w:rsidR="0026466C" w:rsidRDefault="0026466C" w:rsidP="0026466C">
            <w:pPr>
              <w:spacing w:before="100" w:after="100"/>
            </w:pPr>
            <w:r>
              <w:t xml:space="preserve">This clause </w:t>
            </w:r>
            <w:r>
              <w:t>explains th</w:t>
            </w:r>
            <w:r w:rsidR="00FD4270">
              <w:t>e testing requirements applicable to</w:t>
            </w:r>
            <w:r>
              <w:t xml:space="preserve"> Medium Power Station</w:t>
            </w:r>
            <w:r w:rsidR="00FD4270">
              <w:t>s</w:t>
            </w:r>
            <w:r w:rsidR="00C65594">
              <w:t xml:space="preserve"> are contained in DOC5.</w:t>
            </w:r>
          </w:p>
          <w:p w14:paraId="3756788D" w14:textId="564106CF" w:rsidR="0026466C" w:rsidRDefault="0026466C" w:rsidP="0026466C">
            <w:pPr>
              <w:spacing w:before="100" w:after="100"/>
            </w:pPr>
            <w:r>
              <w:t>For the Original it can be deleted</w:t>
            </w:r>
            <w:r w:rsidR="001B2203">
              <w:t xml:space="preserve"> – or made inactive on GTC0117 becoming active</w:t>
            </w:r>
            <w:r>
              <w:t>.  For WAGCM1 it would be unchanged.</w:t>
            </w:r>
          </w:p>
        </w:tc>
      </w:tr>
      <w:tr w:rsidR="00B937D2" w14:paraId="6C977C0A" w14:textId="77777777" w:rsidTr="0034414E">
        <w:tc>
          <w:tcPr>
            <w:tcW w:w="2263" w:type="dxa"/>
          </w:tcPr>
          <w:p w14:paraId="746A0102" w14:textId="78FA128F" w:rsidR="00B937D2" w:rsidRDefault="00B937D2" w:rsidP="00B937D2">
            <w:pPr>
              <w:spacing w:before="100" w:after="100"/>
            </w:pPr>
            <w:r>
              <w:t>DOC5.6</w:t>
            </w:r>
          </w:p>
        </w:tc>
        <w:tc>
          <w:tcPr>
            <w:tcW w:w="6096" w:type="dxa"/>
          </w:tcPr>
          <w:p w14:paraId="21B59B3F" w14:textId="6A658BB9" w:rsidR="00B937D2" w:rsidRPr="0026466C" w:rsidRDefault="00B937D2" w:rsidP="00B937D2">
            <w:pPr>
              <w:spacing w:before="100" w:after="100"/>
            </w:pPr>
            <w:r w:rsidRPr="00474B11">
              <w:t>DOC5.6 Grid Code Compliance for Medium Power Stations not subject to an embedded generation agreement</w:t>
            </w:r>
          </w:p>
        </w:tc>
        <w:tc>
          <w:tcPr>
            <w:tcW w:w="6237" w:type="dxa"/>
          </w:tcPr>
          <w:p w14:paraId="3FE9708B" w14:textId="7448DF06" w:rsidR="00B937D2" w:rsidRDefault="00B937D2" w:rsidP="00B937D2">
            <w:pPr>
              <w:spacing w:before="100" w:after="100"/>
            </w:pPr>
            <w:r>
              <w:t xml:space="preserve">This clause </w:t>
            </w:r>
            <w:r>
              <w:t>contains</w:t>
            </w:r>
            <w:r>
              <w:t xml:space="preserve"> the testing requirements applicable to Medium Power Stations.</w:t>
            </w:r>
          </w:p>
          <w:p w14:paraId="4F117A8E" w14:textId="0B1BEFBD" w:rsidR="00B937D2" w:rsidRDefault="00B937D2" w:rsidP="00B937D2">
            <w:pPr>
              <w:spacing w:before="100" w:after="100"/>
            </w:pPr>
            <w:r>
              <w:t>For the Original it can be deleted</w:t>
            </w:r>
            <w:r w:rsidR="001B2203">
              <w:t xml:space="preserve"> – or made inactive on GTC0117 becoming active</w:t>
            </w:r>
            <w:r>
              <w:t>.  For WAGCM1 it would be unchanged.</w:t>
            </w:r>
          </w:p>
        </w:tc>
      </w:tr>
    </w:tbl>
    <w:p w14:paraId="28BD79E3" w14:textId="77777777" w:rsidR="00F73A35" w:rsidRDefault="00F73A35"/>
    <w:p w14:paraId="73469531" w14:textId="2CC34092" w:rsidR="00FB08E2" w:rsidRPr="00163718" w:rsidRDefault="00FB08E2">
      <w:pPr>
        <w:rPr>
          <w:b/>
          <w:bCs/>
        </w:rPr>
      </w:pPr>
      <w:r w:rsidRPr="00163718">
        <w:rPr>
          <w:b/>
          <w:bCs/>
        </w:rPr>
        <w:t>G99</w:t>
      </w:r>
    </w:p>
    <w:tbl>
      <w:tblPr>
        <w:tblStyle w:val="TableGrid"/>
        <w:tblW w:w="0" w:type="auto"/>
        <w:tblLook w:val="04A0" w:firstRow="1" w:lastRow="0" w:firstColumn="1" w:lastColumn="0" w:noHBand="0" w:noVBand="1"/>
      </w:tblPr>
      <w:tblGrid>
        <w:gridCol w:w="2263"/>
        <w:gridCol w:w="6096"/>
        <w:gridCol w:w="6237"/>
      </w:tblGrid>
      <w:tr w:rsidR="00FB08E2" w:rsidRPr="00F73A35" w14:paraId="2F473622" w14:textId="77777777" w:rsidTr="00E024F3">
        <w:trPr>
          <w:tblHeader/>
        </w:trPr>
        <w:tc>
          <w:tcPr>
            <w:tcW w:w="2263" w:type="dxa"/>
            <w:shd w:val="clear" w:color="auto" w:fill="4472C4" w:themeFill="accent1"/>
          </w:tcPr>
          <w:p w14:paraId="5D0186B3" w14:textId="77777777" w:rsidR="00FB08E2" w:rsidRPr="00F73A35" w:rsidRDefault="00FB08E2" w:rsidP="00710825">
            <w:pPr>
              <w:spacing w:before="100" w:after="100"/>
              <w:rPr>
                <w:b/>
                <w:bCs/>
                <w:color w:val="FFFFFF" w:themeColor="background1"/>
              </w:rPr>
            </w:pPr>
            <w:r w:rsidRPr="00F73A35">
              <w:rPr>
                <w:b/>
                <w:bCs/>
                <w:color w:val="FFFFFF" w:themeColor="background1"/>
              </w:rPr>
              <w:t>Reference</w:t>
            </w:r>
          </w:p>
        </w:tc>
        <w:tc>
          <w:tcPr>
            <w:tcW w:w="6096" w:type="dxa"/>
            <w:shd w:val="clear" w:color="auto" w:fill="4472C4" w:themeFill="accent1"/>
          </w:tcPr>
          <w:p w14:paraId="1E9979BD" w14:textId="77777777" w:rsidR="00FB08E2" w:rsidRPr="00710825" w:rsidRDefault="00FB08E2" w:rsidP="00710825">
            <w:pPr>
              <w:spacing w:before="100" w:after="100"/>
              <w:rPr>
                <w:b/>
                <w:bCs/>
                <w:color w:val="FFFFFF" w:themeColor="background1"/>
                <w:szCs w:val="20"/>
              </w:rPr>
            </w:pPr>
            <w:r w:rsidRPr="00710825">
              <w:rPr>
                <w:b/>
                <w:bCs/>
                <w:color w:val="FFFFFF" w:themeColor="background1"/>
                <w:szCs w:val="20"/>
              </w:rPr>
              <w:t>Existing Text</w:t>
            </w:r>
          </w:p>
        </w:tc>
        <w:tc>
          <w:tcPr>
            <w:tcW w:w="6237" w:type="dxa"/>
            <w:shd w:val="clear" w:color="auto" w:fill="4472C4" w:themeFill="accent1"/>
          </w:tcPr>
          <w:p w14:paraId="00E0130B" w14:textId="77777777" w:rsidR="00FB08E2" w:rsidRPr="00F73A35" w:rsidRDefault="00FB08E2" w:rsidP="00710825">
            <w:pPr>
              <w:spacing w:before="100" w:after="100"/>
              <w:rPr>
                <w:b/>
                <w:bCs/>
                <w:color w:val="FFFFFF" w:themeColor="background1"/>
              </w:rPr>
            </w:pPr>
            <w:r w:rsidRPr="00F73A35">
              <w:rPr>
                <w:b/>
                <w:bCs/>
                <w:color w:val="FFFFFF" w:themeColor="background1"/>
              </w:rPr>
              <w:t>Comment/Recommendation</w:t>
            </w:r>
          </w:p>
        </w:tc>
      </w:tr>
      <w:tr w:rsidR="00CD4D98" w14:paraId="1AABAFC6" w14:textId="77777777" w:rsidTr="00E024F3">
        <w:tc>
          <w:tcPr>
            <w:tcW w:w="2263" w:type="dxa"/>
          </w:tcPr>
          <w:p w14:paraId="47461B30" w14:textId="58EDCA44" w:rsidR="00CD4D98" w:rsidRDefault="00CD4D98" w:rsidP="00710825">
            <w:pPr>
              <w:spacing w:before="100" w:after="100"/>
            </w:pPr>
            <w:r>
              <w:t>2.9</w:t>
            </w:r>
          </w:p>
        </w:tc>
        <w:tc>
          <w:tcPr>
            <w:tcW w:w="6096" w:type="dxa"/>
          </w:tcPr>
          <w:p w14:paraId="678DCDD6" w14:textId="7544DCFE" w:rsidR="00CD4D98" w:rsidRPr="00710825" w:rsidRDefault="00CD4D98" w:rsidP="00710825">
            <w:pPr>
              <w:spacing w:before="100" w:after="100"/>
              <w:rPr>
                <w:szCs w:val="20"/>
              </w:rPr>
            </w:pPr>
            <w:r w:rsidRPr="00710825">
              <w:rPr>
                <w:szCs w:val="20"/>
              </w:rPr>
              <w:t>If the Registered Capacity of a Power Generating Facility in England and Wales is 50 MW or more, the Generator will have to comply with the requirements for an Embedded Medium Power Station as detailed in paragraphs 6.4.4 and 13.8.</w:t>
            </w:r>
          </w:p>
        </w:tc>
        <w:tc>
          <w:tcPr>
            <w:tcW w:w="6237" w:type="dxa"/>
          </w:tcPr>
          <w:p w14:paraId="2DE99827" w14:textId="77777777" w:rsidR="00CD4D98" w:rsidRDefault="00CD4D98" w:rsidP="00710825">
            <w:pPr>
              <w:spacing w:before="100" w:after="100"/>
            </w:pPr>
            <w:r>
              <w:t>This clause directs Medium Power Station owners to relevant parts of G99.</w:t>
            </w:r>
          </w:p>
          <w:p w14:paraId="461E7CEF" w14:textId="757ED027" w:rsidR="00CD4D98" w:rsidRDefault="00CD4D98" w:rsidP="00710825">
            <w:pPr>
              <w:spacing w:before="100" w:after="100"/>
            </w:pPr>
            <w:r>
              <w:t>For the Original it can be deleted – or made inactive on GTC0117 becoming active.  For WAGCM1 it would be unchanged.</w:t>
            </w:r>
          </w:p>
        </w:tc>
      </w:tr>
      <w:tr w:rsidR="00DF0BFA" w14:paraId="36E8055D" w14:textId="77777777" w:rsidTr="00E024F3">
        <w:tc>
          <w:tcPr>
            <w:tcW w:w="2263" w:type="dxa"/>
          </w:tcPr>
          <w:p w14:paraId="17F0ED00" w14:textId="66DBCC4E" w:rsidR="00DF0BFA" w:rsidRDefault="00DF0BFA" w:rsidP="00710825">
            <w:pPr>
              <w:spacing w:before="100" w:after="100"/>
            </w:pPr>
            <w:r>
              <w:t>4 Defn Mediium Power Stn</w:t>
            </w:r>
          </w:p>
        </w:tc>
        <w:tc>
          <w:tcPr>
            <w:tcW w:w="6096" w:type="dxa"/>
          </w:tcPr>
          <w:p w14:paraId="10C0E08F" w14:textId="2772D964" w:rsidR="00DF0BFA" w:rsidRPr="00710825" w:rsidRDefault="00DF0BFA" w:rsidP="00710825">
            <w:pPr>
              <w:spacing w:before="100" w:after="100"/>
              <w:rPr>
                <w:szCs w:val="20"/>
              </w:rPr>
            </w:pPr>
            <w:r w:rsidRPr="00710825">
              <w:rPr>
                <w:szCs w:val="20"/>
              </w:rPr>
              <w:t>A Power Generating Facility in England and Wales of 50MW or greater Registered Capacity but less than 100MW Registered Capacity connected to a DNO’s Distribution Network.</w:t>
            </w:r>
          </w:p>
        </w:tc>
        <w:tc>
          <w:tcPr>
            <w:tcW w:w="6237" w:type="dxa"/>
          </w:tcPr>
          <w:p w14:paraId="597E1DF4" w14:textId="77777777" w:rsidR="00DF0BFA" w:rsidRDefault="00DF0BFA" w:rsidP="00710825">
            <w:pPr>
              <w:spacing w:before="100" w:after="100"/>
            </w:pPr>
            <w:r>
              <w:t>The GC0117 Original proposal would make this definition redundant – or at least when GC0117 becomes active.</w:t>
            </w:r>
          </w:p>
          <w:p w14:paraId="52739355" w14:textId="56500C48" w:rsidR="00DF0BFA" w:rsidRDefault="00DF0BFA" w:rsidP="00710825">
            <w:pPr>
              <w:spacing w:before="100" w:after="100"/>
            </w:pPr>
            <w:r>
              <w:t>For WAGCM1 it would need to be redefined to apply to GB.</w:t>
            </w:r>
          </w:p>
        </w:tc>
      </w:tr>
      <w:tr w:rsidR="00DF0BFA" w14:paraId="149675B7" w14:textId="77777777" w:rsidTr="00E024F3">
        <w:tc>
          <w:tcPr>
            <w:tcW w:w="2263" w:type="dxa"/>
          </w:tcPr>
          <w:p w14:paraId="59F4857A" w14:textId="4E237403" w:rsidR="00DF0BFA" w:rsidRDefault="00DF0BFA" w:rsidP="00710825">
            <w:pPr>
              <w:spacing w:before="100" w:after="100"/>
            </w:pPr>
            <w:r>
              <w:t>Fig 4.5</w:t>
            </w:r>
          </w:p>
        </w:tc>
        <w:tc>
          <w:tcPr>
            <w:tcW w:w="6096" w:type="dxa"/>
          </w:tcPr>
          <w:p w14:paraId="14B17778" w14:textId="56E2974D" w:rsidR="00DF0BFA" w:rsidRPr="00710825" w:rsidRDefault="00DF0BFA" w:rsidP="00710825">
            <w:pPr>
              <w:spacing w:before="100" w:after="100"/>
              <w:rPr>
                <w:szCs w:val="20"/>
              </w:rPr>
            </w:pPr>
            <w:r w:rsidRPr="00710825">
              <w:rPr>
                <w:szCs w:val="20"/>
              </w:rPr>
              <w:t>Embedded Medium Power Station in England and Wales, large power station in Scotland)</w:t>
            </w:r>
          </w:p>
        </w:tc>
        <w:tc>
          <w:tcPr>
            <w:tcW w:w="6237" w:type="dxa"/>
          </w:tcPr>
          <w:p w14:paraId="7741062A" w14:textId="19FA6FAF" w:rsidR="00DF0BFA" w:rsidRDefault="00DF0BFA" w:rsidP="00710825">
            <w:pPr>
              <w:spacing w:before="100" w:after="100"/>
            </w:pPr>
            <w:r>
              <w:t>Would need to be updated to define as Large Power station and defer to the Grid Code</w:t>
            </w:r>
          </w:p>
        </w:tc>
      </w:tr>
      <w:tr w:rsidR="00DF0BFA" w14:paraId="07EE983C" w14:textId="77777777" w:rsidTr="00E024F3">
        <w:tc>
          <w:tcPr>
            <w:tcW w:w="2263" w:type="dxa"/>
          </w:tcPr>
          <w:p w14:paraId="507C5CE4" w14:textId="642501D8" w:rsidR="00DF0BFA" w:rsidRDefault="00DF0BFA" w:rsidP="00710825">
            <w:pPr>
              <w:spacing w:before="100" w:after="100"/>
            </w:pPr>
            <w:r>
              <w:t>Fig 4.6</w:t>
            </w:r>
          </w:p>
        </w:tc>
        <w:tc>
          <w:tcPr>
            <w:tcW w:w="6096" w:type="dxa"/>
          </w:tcPr>
          <w:p w14:paraId="4E0474B6" w14:textId="6313C432" w:rsidR="00DF0BFA" w:rsidRPr="00710825" w:rsidRDefault="00DF0BFA" w:rsidP="00710825">
            <w:pPr>
              <w:spacing w:before="100" w:after="100"/>
              <w:rPr>
                <w:szCs w:val="20"/>
              </w:rPr>
            </w:pPr>
            <w:r w:rsidRPr="00710825">
              <w:rPr>
                <w:szCs w:val="20"/>
              </w:rPr>
              <w:t>= 14.5 MW Power Generating Facility (Large power station in North of Scotland)</w:t>
            </w:r>
          </w:p>
        </w:tc>
        <w:tc>
          <w:tcPr>
            <w:tcW w:w="6237" w:type="dxa"/>
          </w:tcPr>
          <w:p w14:paraId="1BFE5AD0" w14:textId="05A22CD6" w:rsidR="00DF0BFA" w:rsidRDefault="00DF0BFA" w:rsidP="00710825">
            <w:pPr>
              <w:spacing w:before="100" w:after="100"/>
            </w:pPr>
            <w:r>
              <w:t>Needs to be updated dependent on outcome of GC0117</w:t>
            </w:r>
          </w:p>
        </w:tc>
      </w:tr>
      <w:tr w:rsidR="00DF0BFA" w14:paraId="506C4FF5" w14:textId="77777777" w:rsidTr="00E024F3">
        <w:tc>
          <w:tcPr>
            <w:tcW w:w="2263" w:type="dxa"/>
          </w:tcPr>
          <w:p w14:paraId="44B098B5" w14:textId="4EBA2BBE" w:rsidR="00DF0BFA" w:rsidRDefault="00DF0BFA" w:rsidP="00710825">
            <w:pPr>
              <w:spacing w:before="100" w:after="100"/>
            </w:pPr>
            <w:r>
              <w:t>Fig 6.3</w:t>
            </w:r>
          </w:p>
        </w:tc>
        <w:tc>
          <w:tcPr>
            <w:tcW w:w="6096" w:type="dxa"/>
          </w:tcPr>
          <w:p w14:paraId="45DF394F" w14:textId="74108864" w:rsidR="00DF0BFA" w:rsidRPr="00710825" w:rsidRDefault="00DF0BFA" w:rsidP="00710825">
            <w:pPr>
              <w:spacing w:before="100" w:after="100"/>
              <w:rPr>
                <w:szCs w:val="20"/>
              </w:rPr>
            </w:pPr>
            <w:r w:rsidRPr="00710825">
              <w:rPr>
                <w:szCs w:val="20"/>
              </w:rPr>
              <w:t>= 60 MW Power Generating Facility (Embedded Medium Power Station in England &amp; Wales / large power station in Scotland)</w:t>
            </w:r>
          </w:p>
        </w:tc>
        <w:tc>
          <w:tcPr>
            <w:tcW w:w="6237" w:type="dxa"/>
          </w:tcPr>
          <w:p w14:paraId="1FA67893" w14:textId="3B10971A" w:rsidR="00DF0BFA" w:rsidRDefault="00DF0BFA" w:rsidP="00710825">
            <w:pPr>
              <w:spacing w:before="100" w:after="100"/>
            </w:pPr>
            <w:r>
              <w:t>Needs to be updated dependent on outcome of GC0117</w:t>
            </w:r>
          </w:p>
        </w:tc>
      </w:tr>
      <w:tr w:rsidR="0019537E" w14:paraId="165A3C7C" w14:textId="77777777" w:rsidTr="00E024F3">
        <w:tc>
          <w:tcPr>
            <w:tcW w:w="2263" w:type="dxa"/>
          </w:tcPr>
          <w:p w14:paraId="078E06C4" w14:textId="05F86C43" w:rsidR="0019537E" w:rsidRDefault="0019537E" w:rsidP="00710825">
            <w:pPr>
              <w:spacing w:before="100" w:after="100"/>
            </w:pPr>
            <w:r>
              <w:t>6.1.6</w:t>
            </w:r>
          </w:p>
        </w:tc>
        <w:tc>
          <w:tcPr>
            <w:tcW w:w="6096" w:type="dxa"/>
          </w:tcPr>
          <w:p w14:paraId="6EA633B7" w14:textId="6FE9F3BC" w:rsidR="0019537E" w:rsidRPr="00710825" w:rsidRDefault="004F2F77" w:rsidP="00710825">
            <w:pPr>
              <w:pStyle w:val="Default"/>
              <w:spacing w:before="100" w:after="100"/>
              <w:rPr>
                <w:sz w:val="20"/>
                <w:szCs w:val="20"/>
              </w:rPr>
            </w:pPr>
            <w:r>
              <w:rPr>
                <w:sz w:val="20"/>
                <w:szCs w:val="20"/>
              </w:rPr>
              <w:t>Interaction with the NETSO</w:t>
            </w:r>
          </w:p>
        </w:tc>
        <w:tc>
          <w:tcPr>
            <w:tcW w:w="6237" w:type="dxa"/>
          </w:tcPr>
          <w:p w14:paraId="791ADB41" w14:textId="718DE57C" w:rsidR="0019537E" w:rsidRDefault="00386550" w:rsidP="00710825">
            <w:pPr>
              <w:spacing w:before="100" w:after="100"/>
            </w:pPr>
            <w:r>
              <w:t>This is probably still appropriate to remain unchanged</w:t>
            </w:r>
          </w:p>
        </w:tc>
      </w:tr>
      <w:tr w:rsidR="00386550" w14:paraId="774ECE45" w14:textId="77777777" w:rsidTr="00E024F3">
        <w:tc>
          <w:tcPr>
            <w:tcW w:w="2263" w:type="dxa"/>
          </w:tcPr>
          <w:p w14:paraId="5CCF04F1" w14:textId="73611F0A" w:rsidR="00386550" w:rsidRDefault="00386550" w:rsidP="00386550">
            <w:pPr>
              <w:spacing w:before="100" w:after="100"/>
            </w:pPr>
            <w:r>
              <w:lastRenderedPageBreak/>
              <w:t>6.3.8.4</w:t>
            </w:r>
          </w:p>
        </w:tc>
        <w:tc>
          <w:tcPr>
            <w:tcW w:w="6096" w:type="dxa"/>
          </w:tcPr>
          <w:p w14:paraId="0CFD792E" w14:textId="77777777" w:rsidR="00386550" w:rsidRPr="00710825" w:rsidRDefault="00386550" w:rsidP="00386550">
            <w:pPr>
              <w:pStyle w:val="Default"/>
              <w:spacing w:before="100" w:after="100"/>
              <w:rPr>
                <w:sz w:val="20"/>
                <w:szCs w:val="20"/>
              </w:rPr>
            </w:pPr>
          </w:p>
        </w:tc>
        <w:tc>
          <w:tcPr>
            <w:tcW w:w="6237" w:type="dxa"/>
          </w:tcPr>
          <w:p w14:paraId="731E9534" w14:textId="0837C9E0" w:rsidR="00386550" w:rsidRDefault="00386550" w:rsidP="00386550">
            <w:pPr>
              <w:spacing w:before="100" w:after="100"/>
            </w:pPr>
            <w:r>
              <w:t>This is probably still appropriate to remain unchanged</w:t>
            </w:r>
            <w:r>
              <w:t xml:space="preserve"> to cater for the DNOs’ needs in relation to embedded Cs and Ds</w:t>
            </w:r>
            <w:r w:rsidR="00DD758A">
              <w:t>.</w:t>
            </w:r>
          </w:p>
        </w:tc>
      </w:tr>
      <w:tr w:rsidR="00386550" w14:paraId="57BB7A7E" w14:textId="77777777" w:rsidTr="00E024F3">
        <w:tc>
          <w:tcPr>
            <w:tcW w:w="2263" w:type="dxa"/>
          </w:tcPr>
          <w:p w14:paraId="6D38A874" w14:textId="0E3C65CF" w:rsidR="00386550" w:rsidRDefault="00386550" w:rsidP="00386550">
            <w:pPr>
              <w:spacing w:before="100" w:after="100"/>
            </w:pPr>
            <w:r>
              <w:t>6.4.1.2</w:t>
            </w:r>
          </w:p>
        </w:tc>
        <w:tc>
          <w:tcPr>
            <w:tcW w:w="6096" w:type="dxa"/>
          </w:tcPr>
          <w:p w14:paraId="31A34E65" w14:textId="27E7F933" w:rsidR="00386550" w:rsidRPr="00710825" w:rsidRDefault="00386550" w:rsidP="00386550">
            <w:pPr>
              <w:pStyle w:val="Default"/>
              <w:spacing w:before="100" w:after="100"/>
              <w:rPr>
                <w:sz w:val="20"/>
                <w:szCs w:val="20"/>
              </w:rPr>
            </w:pPr>
            <w:r w:rsidRPr="00710825">
              <w:rPr>
                <w:sz w:val="20"/>
                <w:szCs w:val="20"/>
              </w:rPr>
              <w:t xml:space="preserve">Power Generating Module data for Embedded Medium Power Stations </w:t>
            </w:r>
          </w:p>
        </w:tc>
        <w:tc>
          <w:tcPr>
            <w:tcW w:w="6237" w:type="dxa"/>
          </w:tcPr>
          <w:p w14:paraId="520F3C30" w14:textId="77777777" w:rsidR="00386550" w:rsidRDefault="00386550" w:rsidP="00386550">
            <w:pPr>
              <w:spacing w:before="100" w:after="100"/>
            </w:pPr>
            <w:r>
              <w:t>This clause directs Medium Power Station owners to relevant parts of G99.</w:t>
            </w:r>
          </w:p>
          <w:p w14:paraId="61035407" w14:textId="2D84E8D0" w:rsidR="00386550" w:rsidRDefault="00386550" w:rsidP="00386550">
            <w:pPr>
              <w:spacing w:before="100" w:after="100"/>
            </w:pPr>
            <w:r>
              <w:t>For the Original it can be deleted – or made inactive on GTC0117 becoming active.  For WAGCM1 it would be unchanged.</w:t>
            </w:r>
          </w:p>
        </w:tc>
      </w:tr>
      <w:tr w:rsidR="00386550" w14:paraId="1B9BFD3C" w14:textId="77777777" w:rsidTr="00E024F3">
        <w:tc>
          <w:tcPr>
            <w:tcW w:w="2263" w:type="dxa"/>
          </w:tcPr>
          <w:p w14:paraId="78080B95" w14:textId="71C72344" w:rsidR="00386550" w:rsidRDefault="00386550" w:rsidP="00386550">
            <w:pPr>
              <w:spacing w:before="100" w:after="100"/>
            </w:pPr>
            <w:r>
              <w:t>6.4.4</w:t>
            </w:r>
          </w:p>
        </w:tc>
        <w:tc>
          <w:tcPr>
            <w:tcW w:w="6096" w:type="dxa"/>
          </w:tcPr>
          <w:p w14:paraId="67B15221" w14:textId="5ABCA34D" w:rsidR="00386550" w:rsidRPr="00710825" w:rsidRDefault="00386550" w:rsidP="00386550">
            <w:pPr>
              <w:pStyle w:val="Default"/>
              <w:spacing w:before="100" w:after="100"/>
              <w:rPr>
                <w:sz w:val="20"/>
                <w:szCs w:val="20"/>
              </w:rPr>
            </w:pPr>
            <w:r w:rsidRPr="00710825">
              <w:rPr>
                <w:sz w:val="20"/>
                <w:szCs w:val="20"/>
              </w:rPr>
              <w:t>Extra Information for Embedded Medium Power Stations to be provided to Meet Grid Code Requirements</w:t>
            </w:r>
          </w:p>
        </w:tc>
        <w:tc>
          <w:tcPr>
            <w:tcW w:w="6237" w:type="dxa"/>
          </w:tcPr>
          <w:p w14:paraId="442A90BC" w14:textId="77777777" w:rsidR="00386550" w:rsidRDefault="00386550" w:rsidP="00386550">
            <w:pPr>
              <w:spacing w:before="100" w:after="100"/>
            </w:pPr>
            <w:r>
              <w:t>This clause directs Medium Power Station owners to relevant Grid Code clauses.</w:t>
            </w:r>
          </w:p>
          <w:p w14:paraId="18A8B7B3" w14:textId="2FFF65DF" w:rsidR="00386550" w:rsidRDefault="00386550" w:rsidP="00386550">
            <w:pPr>
              <w:spacing w:before="100" w:after="100"/>
            </w:pPr>
            <w:r>
              <w:t>For the Original it can be deleted – or made inactive on GTC0117 becoming active.  For WAGCM1 it would be unchanged.</w:t>
            </w:r>
          </w:p>
        </w:tc>
      </w:tr>
      <w:tr w:rsidR="00BD607D" w14:paraId="3A6DEBB0" w14:textId="77777777" w:rsidTr="00E024F3">
        <w:tc>
          <w:tcPr>
            <w:tcW w:w="2263" w:type="dxa"/>
          </w:tcPr>
          <w:p w14:paraId="348F0F02" w14:textId="3E10DAED" w:rsidR="00BD607D" w:rsidRDefault="00BD607D" w:rsidP="00386550">
            <w:pPr>
              <w:spacing w:before="100" w:after="100"/>
            </w:pPr>
            <w:r>
              <w:t>10.3.3</w:t>
            </w:r>
          </w:p>
        </w:tc>
        <w:tc>
          <w:tcPr>
            <w:tcW w:w="6096" w:type="dxa"/>
          </w:tcPr>
          <w:p w14:paraId="6F3F9FDB" w14:textId="27AB7A49" w:rsidR="00BD607D" w:rsidRPr="00710825" w:rsidRDefault="00BD607D" w:rsidP="00386550">
            <w:pPr>
              <w:pStyle w:val="Default"/>
              <w:spacing w:before="100" w:after="100"/>
              <w:rPr>
                <w:sz w:val="20"/>
                <w:szCs w:val="20"/>
              </w:rPr>
            </w:pPr>
            <w:r w:rsidRPr="002D3280">
              <w:rPr>
                <w:sz w:val="20"/>
                <w:szCs w:val="20"/>
              </w:rPr>
              <w:t>Installation of automatic reconnection systems for Type B, Type C and Type D shall be subject to prior authorisation by the DNO. Unless Generators of Type D Power Generating Modules have prior authorisation from the DNO for the installation of automatic reconnection systems, they shall obtain authorisation from the DNO, or NETSO where the Generator has a CUSC contract, as applicable, prior to synchronisation</w:t>
            </w:r>
          </w:p>
        </w:tc>
        <w:tc>
          <w:tcPr>
            <w:tcW w:w="6237" w:type="dxa"/>
          </w:tcPr>
          <w:p w14:paraId="5F2B6C6F" w14:textId="33015F82" w:rsidR="00BD607D" w:rsidRDefault="005A1EBA" w:rsidP="00386550">
            <w:pPr>
              <w:spacing w:before="100" w:after="100"/>
            </w:pPr>
            <w:r>
              <w:t>This will probably need to change to reflect that all Cs and Ds are bound by the requirements of the Grid Code in respect of autoreconnexion.</w:t>
            </w:r>
          </w:p>
          <w:p w14:paraId="76E4967B" w14:textId="75622D78" w:rsidR="00BD607D" w:rsidRDefault="00BD607D" w:rsidP="00386550">
            <w:pPr>
              <w:spacing w:before="100" w:after="100"/>
            </w:pPr>
            <w:r>
              <w:t xml:space="preserve">For the Original it </w:t>
            </w:r>
            <w:r w:rsidR="005A1EBA">
              <w:t xml:space="preserve">needs to be modified from </w:t>
            </w:r>
            <w:r>
              <w:t>GTC0117 becoming active.  For WAGCM1 it would be unchanged.</w:t>
            </w:r>
          </w:p>
        </w:tc>
      </w:tr>
      <w:tr w:rsidR="007B73CE" w14:paraId="35D42C0A" w14:textId="77777777" w:rsidTr="00E024F3">
        <w:tc>
          <w:tcPr>
            <w:tcW w:w="2263" w:type="dxa"/>
          </w:tcPr>
          <w:p w14:paraId="37EE3B24" w14:textId="4DAEC753" w:rsidR="007B73CE" w:rsidRDefault="007B73CE" w:rsidP="00386550">
            <w:pPr>
              <w:spacing w:before="100" w:after="100"/>
            </w:pPr>
            <w:r>
              <w:t>10.6.7.1</w:t>
            </w:r>
          </w:p>
        </w:tc>
        <w:tc>
          <w:tcPr>
            <w:tcW w:w="6096" w:type="dxa"/>
          </w:tcPr>
          <w:p w14:paraId="495FA3E0" w14:textId="0490859E" w:rsidR="007B73CE" w:rsidRPr="00710825" w:rsidRDefault="002D3280" w:rsidP="00386550">
            <w:pPr>
              <w:pStyle w:val="Default"/>
              <w:spacing w:before="100" w:after="100"/>
              <w:rPr>
                <w:sz w:val="20"/>
                <w:szCs w:val="20"/>
              </w:rPr>
            </w:pPr>
            <w:r w:rsidRPr="002D3280">
              <w:rPr>
                <w:sz w:val="20"/>
                <w:szCs w:val="20"/>
              </w:rPr>
              <w:t>Table 10.1 Settings for Long-Term Parallel Operation</w:t>
            </w:r>
          </w:p>
        </w:tc>
        <w:tc>
          <w:tcPr>
            <w:tcW w:w="6237" w:type="dxa"/>
          </w:tcPr>
          <w:p w14:paraId="751EB35F" w14:textId="4CDF615C" w:rsidR="007B73CE" w:rsidRDefault="001C6F1E" w:rsidP="00386550">
            <w:pPr>
              <w:spacing w:before="100" w:after="100"/>
            </w:pPr>
            <w:r>
              <w:t>This might need to be updated for the Original to reflect NGESO’s requirements.  Also likely to be interactive with GC</w:t>
            </w:r>
            <w:r w:rsidR="008222FC">
              <w:t>0155 in terms of O/V settings.</w:t>
            </w:r>
          </w:p>
        </w:tc>
      </w:tr>
      <w:tr w:rsidR="00386550" w14:paraId="428B9675" w14:textId="77777777" w:rsidTr="00E024F3">
        <w:tc>
          <w:tcPr>
            <w:tcW w:w="2263" w:type="dxa"/>
          </w:tcPr>
          <w:p w14:paraId="598A9059" w14:textId="25BC0CD1" w:rsidR="00386550" w:rsidRDefault="00386550" w:rsidP="00386550">
            <w:pPr>
              <w:spacing w:before="100" w:after="100"/>
            </w:pPr>
            <w:r>
              <w:t>Section 13</w:t>
            </w:r>
          </w:p>
        </w:tc>
        <w:tc>
          <w:tcPr>
            <w:tcW w:w="6096" w:type="dxa"/>
          </w:tcPr>
          <w:p w14:paraId="33D08651" w14:textId="794334BB" w:rsidR="00386550" w:rsidRPr="00710825" w:rsidRDefault="00386550" w:rsidP="00386550">
            <w:pPr>
              <w:pStyle w:val="Default"/>
              <w:spacing w:before="100" w:after="100"/>
              <w:rPr>
                <w:sz w:val="20"/>
                <w:szCs w:val="20"/>
              </w:rPr>
            </w:pPr>
            <w:r w:rsidRPr="00710825">
              <w:rPr>
                <w:sz w:val="20"/>
                <w:szCs w:val="20"/>
              </w:rPr>
              <w:t>Type C and Type D Power Generating Module Technical Requirements</w:t>
            </w:r>
          </w:p>
        </w:tc>
        <w:tc>
          <w:tcPr>
            <w:tcW w:w="6237" w:type="dxa"/>
          </w:tcPr>
          <w:p w14:paraId="61BD9F0D" w14:textId="0889C394" w:rsidR="00386550" w:rsidRDefault="00386550" w:rsidP="00386550">
            <w:pPr>
              <w:spacing w:before="100" w:after="100"/>
            </w:pPr>
            <w:r>
              <w:t xml:space="preserve">As Type C and D are &gt;10MW, for the Original it can probably be deleted, or made inactive when GC0117 becomes active.  </w:t>
            </w:r>
            <w:r>
              <w:t>For WAGCM1 it would be unchanged.</w:t>
            </w:r>
          </w:p>
        </w:tc>
      </w:tr>
      <w:tr w:rsidR="00386550" w14:paraId="7793D337" w14:textId="77777777" w:rsidTr="00E024F3">
        <w:tc>
          <w:tcPr>
            <w:tcW w:w="2263" w:type="dxa"/>
          </w:tcPr>
          <w:p w14:paraId="1AA1DDFD" w14:textId="5B0C0F62" w:rsidR="00386550" w:rsidRDefault="00386550" w:rsidP="00386550">
            <w:pPr>
              <w:spacing w:before="100" w:after="100"/>
            </w:pPr>
            <w:r>
              <w:t>Section 18</w:t>
            </w:r>
          </w:p>
        </w:tc>
        <w:tc>
          <w:tcPr>
            <w:tcW w:w="6096" w:type="dxa"/>
          </w:tcPr>
          <w:p w14:paraId="4ECDED81" w14:textId="6669F33C" w:rsidR="00386550" w:rsidRPr="00710825" w:rsidRDefault="00386550" w:rsidP="00386550">
            <w:pPr>
              <w:pStyle w:val="Default"/>
              <w:spacing w:before="100" w:after="100"/>
              <w:rPr>
                <w:sz w:val="20"/>
                <w:szCs w:val="20"/>
              </w:rPr>
            </w:pPr>
            <w:r w:rsidRPr="00710825">
              <w:rPr>
                <w:sz w:val="20"/>
                <w:szCs w:val="20"/>
              </w:rPr>
              <w:t>Type C Compliance Testing, Commissioning and Operational Notification</w:t>
            </w:r>
          </w:p>
        </w:tc>
        <w:tc>
          <w:tcPr>
            <w:tcW w:w="6237" w:type="dxa"/>
          </w:tcPr>
          <w:p w14:paraId="4D1D495A" w14:textId="6821949F" w:rsidR="00386550" w:rsidRDefault="00386550" w:rsidP="00386550">
            <w:pPr>
              <w:spacing w:before="100" w:after="100"/>
            </w:pPr>
            <w:r>
              <w:t>As Type C are &gt;10MW</w:t>
            </w:r>
            <w:r>
              <w:t>,</w:t>
            </w:r>
            <w:r>
              <w:t xml:space="preserve"> for the Original it can probably be deleted, or made inactive when GC0117 becomes active.</w:t>
            </w:r>
            <w:r>
              <w:t xml:space="preserve">  </w:t>
            </w:r>
            <w:r>
              <w:t>For WAGCM1 it would be unchanged.</w:t>
            </w:r>
          </w:p>
        </w:tc>
      </w:tr>
      <w:tr w:rsidR="00386550" w14:paraId="6FAD1186" w14:textId="77777777" w:rsidTr="00E024F3">
        <w:tc>
          <w:tcPr>
            <w:tcW w:w="2263" w:type="dxa"/>
          </w:tcPr>
          <w:p w14:paraId="3EA3798B" w14:textId="12CDB013" w:rsidR="00386550" w:rsidRDefault="00386550" w:rsidP="00386550">
            <w:pPr>
              <w:spacing w:before="100" w:after="100"/>
            </w:pPr>
            <w:r>
              <w:t>Section 19</w:t>
            </w:r>
          </w:p>
        </w:tc>
        <w:tc>
          <w:tcPr>
            <w:tcW w:w="6096" w:type="dxa"/>
          </w:tcPr>
          <w:p w14:paraId="207AA8BB" w14:textId="566A0A5A" w:rsidR="00386550" w:rsidRPr="00710825" w:rsidRDefault="00386550" w:rsidP="00386550">
            <w:pPr>
              <w:pStyle w:val="Default"/>
              <w:spacing w:before="100" w:after="100"/>
              <w:rPr>
                <w:sz w:val="20"/>
                <w:szCs w:val="20"/>
              </w:rPr>
            </w:pPr>
            <w:r w:rsidRPr="00710825">
              <w:rPr>
                <w:sz w:val="20"/>
                <w:szCs w:val="20"/>
              </w:rPr>
              <w:t xml:space="preserve">Type </w:t>
            </w:r>
            <w:r w:rsidRPr="00710825">
              <w:rPr>
                <w:sz w:val="20"/>
                <w:szCs w:val="20"/>
              </w:rPr>
              <w:t>D</w:t>
            </w:r>
            <w:r w:rsidRPr="00710825">
              <w:rPr>
                <w:sz w:val="20"/>
                <w:szCs w:val="20"/>
              </w:rPr>
              <w:t xml:space="preserve"> Compliance Testing, Commissioning and Operational Notification</w:t>
            </w:r>
          </w:p>
        </w:tc>
        <w:tc>
          <w:tcPr>
            <w:tcW w:w="6237" w:type="dxa"/>
          </w:tcPr>
          <w:p w14:paraId="1CA7E29B" w14:textId="7CCE46D6" w:rsidR="00386550" w:rsidRDefault="00386550" w:rsidP="00386550">
            <w:pPr>
              <w:spacing w:before="100" w:after="100"/>
            </w:pPr>
            <w:r>
              <w:t>As Type D are &gt;</w:t>
            </w:r>
            <w:r>
              <w:t>5</w:t>
            </w:r>
            <w:r>
              <w:t>0MW</w:t>
            </w:r>
            <w:r>
              <w:t>,</w:t>
            </w:r>
            <w:r>
              <w:t xml:space="preserve"> for the Original it can probably be deleted, or made inactive when GC0117 becomes active.</w:t>
            </w:r>
            <w:r>
              <w:t xml:space="preserve">  </w:t>
            </w:r>
            <w:r>
              <w:t>For WAGCM1 it would be unchanged.</w:t>
            </w:r>
          </w:p>
        </w:tc>
      </w:tr>
      <w:tr w:rsidR="00386550" w14:paraId="72D7A98B" w14:textId="77777777" w:rsidTr="00E024F3">
        <w:tc>
          <w:tcPr>
            <w:tcW w:w="2263" w:type="dxa"/>
          </w:tcPr>
          <w:p w14:paraId="75239DE6" w14:textId="581C1D67" w:rsidR="00386550" w:rsidRDefault="00386550" w:rsidP="00386550">
            <w:pPr>
              <w:spacing w:before="100" w:after="100"/>
            </w:pPr>
            <w:r>
              <w:lastRenderedPageBreak/>
              <w:t>13.8</w:t>
            </w:r>
          </w:p>
        </w:tc>
        <w:tc>
          <w:tcPr>
            <w:tcW w:w="6096" w:type="dxa"/>
          </w:tcPr>
          <w:p w14:paraId="726D6D33" w14:textId="4AD958EA" w:rsidR="00386550" w:rsidRPr="00710825" w:rsidRDefault="00386550" w:rsidP="00386550">
            <w:pPr>
              <w:pStyle w:val="Default"/>
              <w:spacing w:before="100" w:after="100"/>
              <w:rPr>
                <w:sz w:val="20"/>
                <w:szCs w:val="20"/>
              </w:rPr>
            </w:pPr>
            <w:r w:rsidRPr="00710825">
              <w:rPr>
                <w:sz w:val="20"/>
                <w:szCs w:val="20"/>
              </w:rPr>
              <w:t>Technical Requirements for Embedded Medium Power Stations</w:t>
            </w:r>
          </w:p>
        </w:tc>
        <w:tc>
          <w:tcPr>
            <w:tcW w:w="6237" w:type="dxa"/>
          </w:tcPr>
          <w:p w14:paraId="35435F50" w14:textId="77777777" w:rsidR="00386550" w:rsidRDefault="00386550" w:rsidP="00386550">
            <w:pPr>
              <w:spacing w:before="100" w:after="100"/>
            </w:pPr>
            <w:r>
              <w:t>This clause directs Medium Power Station owners to relevant Grid Code clauses.</w:t>
            </w:r>
          </w:p>
          <w:p w14:paraId="6B03260D" w14:textId="74AC5E18" w:rsidR="00386550" w:rsidRDefault="00386550" w:rsidP="00386550">
            <w:pPr>
              <w:spacing w:before="100" w:after="100"/>
            </w:pPr>
            <w:r>
              <w:t>For the Original it can be deleted – or made inactive on GTC0117 becoming active.  For WAGCM1 it would be unchanged.</w:t>
            </w:r>
          </w:p>
        </w:tc>
      </w:tr>
      <w:tr w:rsidR="00386550" w14:paraId="5A8C8F24" w14:textId="77777777" w:rsidTr="00E024F3">
        <w:tc>
          <w:tcPr>
            <w:tcW w:w="2263" w:type="dxa"/>
          </w:tcPr>
          <w:p w14:paraId="236FAF96" w14:textId="31055677" w:rsidR="00386550" w:rsidRDefault="00386550" w:rsidP="00386550">
            <w:pPr>
              <w:spacing w:before="100" w:after="100"/>
            </w:pPr>
            <w:r>
              <w:t>19.2.2</w:t>
            </w:r>
          </w:p>
        </w:tc>
        <w:tc>
          <w:tcPr>
            <w:tcW w:w="6096" w:type="dxa"/>
          </w:tcPr>
          <w:p w14:paraId="0EAFC564" w14:textId="48CCBE51" w:rsidR="00386550" w:rsidRPr="00710825" w:rsidRDefault="00386550" w:rsidP="00386550">
            <w:pPr>
              <w:pStyle w:val="Default"/>
              <w:spacing w:before="100" w:after="100"/>
              <w:rPr>
                <w:sz w:val="20"/>
                <w:szCs w:val="20"/>
              </w:rPr>
            </w:pPr>
            <w:r w:rsidRPr="00710825">
              <w:rPr>
                <w:sz w:val="20"/>
                <w:szCs w:val="20"/>
              </w:rPr>
              <w:t>The following provisions apply in relation to the issue of an Energisation Operational Notification in respect of Embedded Medium Power Stations and Type D Power Generating Modules or Power Park Modules connecting to the Distribution Network</w:t>
            </w:r>
            <w:r w:rsidRPr="00710825">
              <w:rPr>
                <w:sz w:val="20"/>
                <w:szCs w:val="20"/>
              </w:rPr>
              <w:t xml:space="preserve">.  </w:t>
            </w:r>
            <w:r w:rsidRPr="00710825">
              <w:rPr>
                <w:sz w:val="20"/>
                <w:szCs w:val="20"/>
              </w:rPr>
              <w:t>If the Power Generating Facility is large as defined in the Grid Code (ie 10 MW in the north of Scotland; 30 MW in the south of</w:t>
            </w:r>
            <w:r w:rsidRPr="00710825">
              <w:rPr>
                <w:sz w:val="20"/>
                <w:szCs w:val="20"/>
              </w:rPr>
              <w:t xml:space="preserve"> </w:t>
            </w:r>
            <w:r w:rsidRPr="00710825">
              <w:rPr>
                <w:sz w:val="20"/>
                <w:szCs w:val="20"/>
              </w:rPr>
              <w:t>Scotland, 100 MW in England and Wales) it should follow the procedures in the Grid Code.</w:t>
            </w:r>
          </w:p>
        </w:tc>
        <w:tc>
          <w:tcPr>
            <w:tcW w:w="6237" w:type="dxa"/>
          </w:tcPr>
          <w:p w14:paraId="3761025B" w14:textId="77777777" w:rsidR="00386550" w:rsidRDefault="00386550" w:rsidP="00386550">
            <w:pPr>
              <w:spacing w:before="100" w:after="100"/>
            </w:pPr>
            <w:r>
              <w:t>This clause directs owners of Medium and Large Power Stations as appropriate.</w:t>
            </w:r>
          </w:p>
          <w:p w14:paraId="08345424" w14:textId="0B118D3A" w:rsidR="00386550" w:rsidRDefault="00386550" w:rsidP="00386550">
            <w:pPr>
              <w:spacing w:before="100" w:after="100"/>
            </w:pPr>
            <w:r>
              <w:t xml:space="preserve">For the Original it </w:t>
            </w:r>
            <w:r>
              <w:t>might need to be rewritten – although there is a question over the need to retain Section 19 at all</w:t>
            </w:r>
            <w:r>
              <w:t>.  For WAGCM1 it would be unchanged.</w:t>
            </w:r>
          </w:p>
        </w:tc>
      </w:tr>
      <w:tr w:rsidR="00386550" w14:paraId="756A4850" w14:textId="77777777" w:rsidTr="00E024F3">
        <w:tc>
          <w:tcPr>
            <w:tcW w:w="2263" w:type="dxa"/>
          </w:tcPr>
          <w:p w14:paraId="3418C11F" w14:textId="79385866" w:rsidR="00386550" w:rsidRDefault="00386550" w:rsidP="00386550">
            <w:pPr>
              <w:spacing w:before="100" w:after="100"/>
            </w:pPr>
            <w:r>
              <w:t>Annex C</w:t>
            </w:r>
          </w:p>
        </w:tc>
        <w:tc>
          <w:tcPr>
            <w:tcW w:w="6096" w:type="dxa"/>
          </w:tcPr>
          <w:p w14:paraId="34B598A8" w14:textId="7C1EE9E6" w:rsidR="00386550" w:rsidRPr="00710825" w:rsidRDefault="00386550" w:rsidP="00386550">
            <w:pPr>
              <w:pStyle w:val="Default"/>
              <w:spacing w:before="100" w:after="100"/>
              <w:rPr>
                <w:sz w:val="20"/>
                <w:szCs w:val="20"/>
              </w:rPr>
            </w:pPr>
            <w:r w:rsidRPr="00710825">
              <w:rPr>
                <w:sz w:val="20"/>
                <w:szCs w:val="20"/>
              </w:rPr>
              <w:t>Annex C – Type C and Type D</w:t>
            </w:r>
          </w:p>
        </w:tc>
        <w:tc>
          <w:tcPr>
            <w:tcW w:w="6237" w:type="dxa"/>
          </w:tcPr>
          <w:p w14:paraId="35AE2911" w14:textId="0EB8077A" w:rsidR="00386550" w:rsidRDefault="00386550" w:rsidP="00386550">
            <w:pPr>
              <w:spacing w:before="100" w:after="100"/>
            </w:pPr>
            <w:r>
              <w:t>As Type C and D are &gt;10MW, for the Original it can probably be deleted, or made inactive when GC0117 becomes active.  For WAGCM1 it would be unchanged.</w:t>
            </w:r>
          </w:p>
        </w:tc>
      </w:tr>
    </w:tbl>
    <w:p w14:paraId="2A1AB0E8" w14:textId="77777777" w:rsidR="00FB08E2" w:rsidRDefault="00FB08E2"/>
    <w:p w14:paraId="671A8BD5" w14:textId="03973B27" w:rsidR="00D51338" w:rsidRPr="00163718" w:rsidRDefault="00D51338">
      <w:pPr>
        <w:rPr>
          <w:b/>
          <w:bCs/>
        </w:rPr>
      </w:pPr>
      <w:r w:rsidRPr="00163718">
        <w:rPr>
          <w:b/>
          <w:bCs/>
        </w:rPr>
        <w:t>G59</w:t>
      </w:r>
    </w:p>
    <w:p w14:paraId="2F885556" w14:textId="45FC2A57" w:rsidR="00D51338" w:rsidRDefault="00D51338">
      <w:r>
        <w:t xml:space="preserve">As GC0117 is not intended to be retrospective, and as G59 only applies to </w:t>
      </w:r>
      <w:r w:rsidR="00163718">
        <w:t>plant commissioned since April 2019, there is probably no need to change anything in G59.</w:t>
      </w:r>
    </w:p>
    <w:sectPr w:rsidR="00D51338" w:rsidSect="0034414E">
      <w:pgSz w:w="16838" w:h="11906"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1F2"/>
    <w:multiLevelType w:val="multilevel"/>
    <w:tmpl w:val="447490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87E749E"/>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0A448B1"/>
    <w:multiLevelType w:val="multilevel"/>
    <w:tmpl w:val="E76222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53185957">
    <w:abstractNumId w:val="0"/>
  </w:num>
  <w:num w:numId="2" w16cid:durableId="714239698">
    <w:abstractNumId w:val="0"/>
  </w:num>
  <w:num w:numId="3" w16cid:durableId="1451584286">
    <w:abstractNumId w:val="0"/>
  </w:num>
  <w:num w:numId="4" w16cid:durableId="168952819">
    <w:abstractNumId w:val="1"/>
  </w:num>
  <w:num w:numId="5" w16cid:durableId="1357999855">
    <w:abstractNumId w:val="2"/>
  </w:num>
  <w:num w:numId="6" w16cid:durableId="542406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35"/>
    <w:rsid w:val="0009191E"/>
    <w:rsid w:val="001467FC"/>
    <w:rsid w:val="00156A39"/>
    <w:rsid w:val="00163718"/>
    <w:rsid w:val="0019537E"/>
    <w:rsid w:val="00197325"/>
    <w:rsid w:val="001B2203"/>
    <w:rsid w:val="001C2B1C"/>
    <w:rsid w:val="001C6B31"/>
    <w:rsid w:val="001C6F1E"/>
    <w:rsid w:val="00257F59"/>
    <w:rsid w:val="0026466C"/>
    <w:rsid w:val="002D3280"/>
    <w:rsid w:val="002F11D3"/>
    <w:rsid w:val="0034414E"/>
    <w:rsid w:val="00386550"/>
    <w:rsid w:val="003C071D"/>
    <w:rsid w:val="003E2F38"/>
    <w:rsid w:val="003F5B6D"/>
    <w:rsid w:val="00474B11"/>
    <w:rsid w:val="004F2F77"/>
    <w:rsid w:val="004F7D19"/>
    <w:rsid w:val="00520029"/>
    <w:rsid w:val="00522B7A"/>
    <w:rsid w:val="005A1EBA"/>
    <w:rsid w:val="005B2828"/>
    <w:rsid w:val="00621474"/>
    <w:rsid w:val="00691697"/>
    <w:rsid w:val="006B21DE"/>
    <w:rsid w:val="006C32E6"/>
    <w:rsid w:val="00710825"/>
    <w:rsid w:val="00721B9C"/>
    <w:rsid w:val="00724C8B"/>
    <w:rsid w:val="00756341"/>
    <w:rsid w:val="00766EE1"/>
    <w:rsid w:val="007B73CE"/>
    <w:rsid w:val="007F3EED"/>
    <w:rsid w:val="00801315"/>
    <w:rsid w:val="008222FC"/>
    <w:rsid w:val="0082489D"/>
    <w:rsid w:val="008E11B3"/>
    <w:rsid w:val="00943EFB"/>
    <w:rsid w:val="00A96A46"/>
    <w:rsid w:val="00B532FC"/>
    <w:rsid w:val="00B57154"/>
    <w:rsid w:val="00B937D2"/>
    <w:rsid w:val="00BD607D"/>
    <w:rsid w:val="00BF07F3"/>
    <w:rsid w:val="00C0577B"/>
    <w:rsid w:val="00C131B6"/>
    <w:rsid w:val="00C26A7E"/>
    <w:rsid w:val="00C40BB4"/>
    <w:rsid w:val="00C65594"/>
    <w:rsid w:val="00CA5BDF"/>
    <w:rsid w:val="00CD4D98"/>
    <w:rsid w:val="00D04EE0"/>
    <w:rsid w:val="00D1367C"/>
    <w:rsid w:val="00D35749"/>
    <w:rsid w:val="00D366DA"/>
    <w:rsid w:val="00D51338"/>
    <w:rsid w:val="00D56CA7"/>
    <w:rsid w:val="00D574FA"/>
    <w:rsid w:val="00DD0840"/>
    <w:rsid w:val="00DD758A"/>
    <w:rsid w:val="00DF0BFA"/>
    <w:rsid w:val="00E024F3"/>
    <w:rsid w:val="00E53106"/>
    <w:rsid w:val="00F27681"/>
    <w:rsid w:val="00F33514"/>
    <w:rsid w:val="00F73A35"/>
    <w:rsid w:val="00F90AE9"/>
    <w:rsid w:val="00FB08E2"/>
    <w:rsid w:val="00FB2E2D"/>
    <w:rsid w:val="00FD42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DD7DB"/>
  <w15:chartTrackingRefBased/>
  <w15:docId w15:val="{02281514-CAFC-4315-AB10-E92A79DB6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8E2"/>
    <w:pPr>
      <w:spacing w:after="200" w:line="240" w:lineRule="auto"/>
    </w:pPr>
    <w:rPr>
      <w:rFonts w:ascii="Arial" w:hAnsi="Arial"/>
      <w:kern w:val="0"/>
      <w:sz w:val="20"/>
      <w14:ligatures w14:val="none"/>
    </w:rPr>
  </w:style>
  <w:style w:type="paragraph" w:styleId="Heading1">
    <w:name w:val="heading 1"/>
    <w:basedOn w:val="Normal"/>
    <w:next w:val="Normal"/>
    <w:link w:val="Heading1Char"/>
    <w:uiPriority w:val="9"/>
    <w:qFormat/>
    <w:rsid w:val="003C071D"/>
    <w:pPr>
      <w:keepNext/>
      <w:keepLines/>
      <w:numPr>
        <w:numId w:val="6"/>
      </w:numPr>
      <w:spacing w:before="60"/>
      <w:outlineLvl w:val="0"/>
    </w:pPr>
    <w:rPr>
      <w:rFonts w:ascii="Rockwell" w:eastAsiaTheme="majorEastAsia" w:hAnsi="Rockwell" w:cstheme="majorBidi"/>
      <w:b/>
      <w:color w:val="70AD47" w:themeColor="accent6"/>
      <w:sz w:val="24"/>
      <w:szCs w:val="32"/>
    </w:rPr>
  </w:style>
  <w:style w:type="paragraph" w:styleId="Heading2">
    <w:name w:val="heading 2"/>
    <w:basedOn w:val="Heading1"/>
    <w:next w:val="Normal"/>
    <w:link w:val="Heading2Char"/>
    <w:uiPriority w:val="9"/>
    <w:unhideWhenUsed/>
    <w:qFormat/>
    <w:rsid w:val="001467FC"/>
    <w:pPr>
      <w:numPr>
        <w:ilvl w:val="1"/>
      </w:numPr>
      <w:spacing w:before="40"/>
      <w:outlineLvl w:val="1"/>
    </w:pPr>
    <w:rPr>
      <w:b w:val="0"/>
      <w:color w:val="auto"/>
      <w:sz w:val="22"/>
      <w:szCs w:val="26"/>
    </w:rPr>
  </w:style>
  <w:style w:type="paragraph" w:styleId="Heading3">
    <w:name w:val="heading 3"/>
    <w:basedOn w:val="Heading2"/>
    <w:next w:val="Normal"/>
    <w:link w:val="Heading3Char"/>
    <w:uiPriority w:val="9"/>
    <w:unhideWhenUsed/>
    <w:qFormat/>
    <w:rsid w:val="003C071D"/>
    <w:pPr>
      <w:numPr>
        <w:ilvl w:val="2"/>
      </w:numPr>
      <w:spacing w:before="100"/>
      <w:outlineLvl w:val="2"/>
    </w:pPr>
    <w:rPr>
      <w:rFonts w:ascii="Arial" w:hAnsi="Arial"/>
      <w:sz w:val="20"/>
      <w:szCs w:val="24"/>
      <w:u w:val="single"/>
    </w:rPr>
  </w:style>
  <w:style w:type="paragraph" w:styleId="Heading4">
    <w:name w:val="heading 4"/>
    <w:basedOn w:val="Normal"/>
    <w:next w:val="Normal"/>
    <w:link w:val="Heading4Char"/>
    <w:uiPriority w:val="9"/>
    <w:unhideWhenUsed/>
    <w:qFormat/>
    <w:rsid w:val="003C071D"/>
    <w:pPr>
      <w:keepNext/>
      <w:keepLines/>
      <w:numPr>
        <w:ilvl w:val="3"/>
        <w:numId w:val="6"/>
      </w:numPr>
      <w:spacing w:before="40" w:after="0"/>
      <w:outlineLvl w:val="3"/>
    </w:pPr>
    <w:rPr>
      <w:rFonts w:eastAsiaTheme="majorEastAsia"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7FC"/>
    <w:rPr>
      <w:rFonts w:ascii="Rockwell" w:eastAsiaTheme="majorEastAsia" w:hAnsi="Rockwell" w:cstheme="majorBidi"/>
      <w:b/>
      <w:color w:val="70AD47" w:themeColor="accent6"/>
      <w:sz w:val="24"/>
      <w:szCs w:val="32"/>
    </w:rPr>
  </w:style>
  <w:style w:type="character" w:customStyle="1" w:styleId="Heading2Char">
    <w:name w:val="Heading 2 Char"/>
    <w:basedOn w:val="DefaultParagraphFont"/>
    <w:link w:val="Heading2"/>
    <w:uiPriority w:val="9"/>
    <w:rsid w:val="001467FC"/>
    <w:rPr>
      <w:rFonts w:ascii="Rockwell" w:eastAsiaTheme="majorEastAsia" w:hAnsi="Rockwell" w:cstheme="majorBidi"/>
      <w:szCs w:val="26"/>
    </w:rPr>
  </w:style>
  <w:style w:type="character" w:customStyle="1" w:styleId="Heading3Char">
    <w:name w:val="Heading 3 Char"/>
    <w:basedOn w:val="DefaultParagraphFont"/>
    <w:link w:val="Heading3"/>
    <w:uiPriority w:val="9"/>
    <w:rsid w:val="003C071D"/>
    <w:rPr>
      <w:rFonts w:ascii="Arial" w:eastAsiaTheme="majorEastAsia" w:hAnsi="Arial" w:cstheme="majorBidi"/>
      <w:sz w:val="20"/>
      <w:szCs w:val="24"/>
      <w:u w:val="single"/>
    </w:rPr>
  </w:style>
  <w:style w:type="character" w:customStyle="1" w:styleId="Heading4Char">
    <w:name w:val="Heading 4 Char"/>
    <w:basedOn w:val="DefaultParagraphFont"/>
    <w:link w:val="Heading4"/>
    <w:uiPriority w:val="9"/>
    <w:rsid w:val="001467FC"/>
    <w:rPr>
      <w:rFonts w:ascii="Arial" w:eastAsiaTheme="majorEastAsia" w:hAnsi="Arial" w:cstheme="majorBidi"/>
      <w:i/>
      <w:iCs/>
      <w:color w:val="2F5496" w:themeColor="accent1" w:themeShade="BF"/>
      <w:sz w:val="20"/>
    </w:rPr>
  </w:style>
  <w:style w:type="paragraph" w:styleId="ListParagraph">
    <w:name w:val="List Paragraph"/>
    <w:basedOn w:val="Normal"/>
    <w:uiPriority w:val="34"/>
    <w:qFormat/>
    <w:rsid w:val="001467FC"/>
    <w:pPr>
      <w:spacing w:after="100"/>
      <w:ind w:left="720"/>
    </w:pPr>
  </w:style>
  <w:style w:type="table" w:styleId="TableGrid">
    <w:name w:val="Table Grid"/>
    <w:basedOn w:val="TableNormal"/>
    <w:uiPriority w:val="39"/>
    <w:rsid w:val="00F73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21DE"/>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8235C0-F40C-4560-B73E-BB7BE30E6D61}"/>
</file>

<file path=customXml/itemProps2.xml><?xml version="1.0" encoding="utf-8"?>
<ds:datastoreItem xmlns:ds="http://schemas.openxmlformats.org/officeDocument/2006/customXml" ds:itemID="{F62E70DA-0FA1-4818-BB1C-076117804DD7}"/>
</file>

<file path=docProps/app.xml><?xml version="1.0" encoding="utf-8"?>
<Properties xmlns="http://schemas.openxmlformats.org/officeDocument/2006/extended-properties" xmlns:vt="http://schemas.openxmlformats.org/officeDocument/2006/docPropsVTypes">
  <Template>Normal.dotm</Template>
  <TotalTime>108</TotalTime>
  <Pages>4</Pages>
  <Words>1125</Words>
  <Characters>6416</Characters>
  <Application>Microsoft Office Word</Application>
  <DocSecurity>0</DocSecurity>
  <Lines>53</Lines>
  <Paragraphs>15</Paragraphs>
  <ScaleCrop>false</ScaleCrop>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Kay</dc:creator>
  <cp:keywords/>
  <dc:description/>
  <cp:lastModifiedBy>Mike Kay</cp:lastModifiedBy>
  <cp:revision>68</cp:revision>
  <dcterms:created xsi:type="dcterms:W3CDTF">2023-09-20T06:28:00Z</dcterms:created>
  <dcterms:modified xsi:type="dcterms:W3CDTF">2023-09-20T08:32:00Z</dcterms:modified>
</cp:coreProperties>
</file>