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03746987" w14:textId="6BB6D872" w:rsidR="00891984" w:rsidRPr="00891984" w:rsidRDefault="00891984" w:rsidP="00891984">
      <w:pPr>
        <w:ind w:right="113"/>
        <w:rPr>
          <w:rFonts w:cs="Arial"/>
          <w:color w:val="F26522" w:themeColor="accent1"/>
          <w:sz w:val="28"/>
          <w:szCs w:val="28"/>
        </w:rPr>
      </w:pPr>
      <w:bookmarkStart w:id="0" w:name="_Executive_Summary"/>
      <w:bookmarkStart w:id="1" w:name="_Workgroup_Consultation_Introduction"/>
      <w:bookmarkEnd w:id="0"/>
      <w:bookmarkEnd w:id="1"/>
      <w:r w:rsidRPr="00891984">
        <w:rPr>
          <w:rFonts w:cs="Arial"/>
          <w:b/>
          <w:bCs/>
          <w:color w:val="F26522" w:themeColor="accent1"/>
          <w:sz w:val="28"/>
          <w:szCs w:val="28"/>
        </w:rPr>
        <w:t>CMP286:</w:t>
      </w:r>
      <w:r w:rsidRPr="00891984">
        <w:rPr>
          <w:rFonts w:cs="Arial"/>
          <w:color w:val="F26522" w:themeColor="accent1"/>
          <w:sz w:val="28"/>
          <w:szCs w:val="28"/>
        </w:rPr>
        <w:t xml:space="preserve"> ‘Seeks to Improve TNUoS Predictability Through Increased Notice of the Target Revenue used in the TNUoS Tariff Setting Process’ and  </w:t>
      </w:r>
    </w:p>
    <w:p w14:paraId="1F2894B1" w14:textId="1FD494D3" w:rsidR="00891984" w:rsidRPr="00891984" w:rsidRDefault="00891984" w:rsidP="00891984">
      <w:pPr>
        <w:pStyle w:val="Default"/>
        <w:rPr>
          <w:color w:val="F26522" w:themeColor="accent1"/>
          <w:sz w:val="28"/>
          <w:szCs w:val="28"/>
          <w:shd w:val="clear" w:color="auto" w:fill="F8F8F8"/>
        </w:rPr>
      </w:pPr>
      <w:r w:rsidRPr="00891984">
        <w:rPr>
          <w:b/>
          <w:bCs/>
          <w:color w:val="F26522" w:themeColor="accent1"/>
          <w:sz w:val="28"/>
          <w:szCs w:val="28"/>
        </w:rPr>
        <w:t>CMP287:</w:t>
      </w:r>
      <w:r w:rsidRPr="00891984">
        <w:rPr>
          <w:color w:val="F26522" w:themeColor="accent1"/>
          <w:sz w:val="28"/>
          <w:szCs w:val="28"/>
        </w:rPr>
        <w:t xml:space="preserve"> Seeks to Improve TNUoS Predictability Through Increased Notice of Inputs Used in the TNUoS Tariff Setting Process’</w:t>
      </w:r>
    </w:p>
    <w:p w14:paraId="24674592" w14:textId="77777777" w:rsidR="00400CAE" w:rsidRPr="00400CAE" w:rsidRDefault="00400CAE" w:rsidP="00400CAE">
      <w:pPr>
        <w:pStyle w:val="Default"/>
        <w:rPr>
          <w:sz w:val="28"/>
          <w:szCs w:val="28"/>
        </w:rPr>
      </w:pPr>
    </w:p>
    <w:p w14:paraId="052B8006" w14:textId="626B3593" w:rsidR="003C5A93" w:rsidRDefault="00174391" w:rsidP="00077D7B">
      <w:pPr>
        <w:pStyle w:val="Checklist"/>
      </w:pPr>
      <w:r>
        <w:t>Responsibilities</w:t>
      </w:r>
    </w:p>
    <w:p w14:paraId="439C667F" w14:textId="764A0CD3" w:rsidR="00E44F00" w:rsidRPr="000E06CF" w:rsidRDefault="003B6E37" w:rsidP="000E06CF">
      <w:pPr>
        <w:pStyle w:val="ListParagraph"/>
        <w:numPr>
          <w:ilvl w:val="0"/>
          <w:numId w:val="22"/>
        </w:numPr>
        <w:ind w:right="113"/>
        <w:jc w:val="both"/>
        <w:rPr>
          <w:rFonts w:cs="Arial"/>
          <w:color w:val="F26522" w:themeColor="accent1"/>
          <w:sz w:val="28"/>
          <w:szCs w:val="28"/>
        </w:rPr>
      </w:pPr>
      <w:r w:rsidRPr="00CE1648">
        <w:rPr>
          <w:sz w:val="24"/>
        </w:rPr>
        <w:t xml:space="preserve">The Workgroup is responsible for assisting the </w:t>
      </w:r>
      <w:r w:rsidR="00C427A7" w:rsidRPr="00CE1648">
        <w:rPr>
          <w:sz w:val="24"/>
        </w:rPr>
        <w:t>CUSC</w:t>
      </w:r>
      <w:r w:rsidRPr="00CE1648">
        <w:rPr>
          <w:sz w:val="24"/>
        </w:rPr>
        <w:t xml:space="preserve"> Modification Panel in the evaluation of </w:t>
      </w:r>
      <w:r w:rsidR="00C427A7" w:rsidRPr="00CE1648">
        <w:rPr>
          <w:sz w:val="24"/>
        </w:rPr>
        <w:t>CUSC</w:t>
      </w:r>
      <w:r w:rsidRPr="00CE1648">
        <w:rPr>
          <w:sz w:val="24"/>
        </w:rPr>
        <w:t xml:space="preserve"> Modification Proposal</w:t>
      </w:r>
      <w:r w:rsidR="002746EB" w:rsidRPr="00CE1648">
        <w:rPr>
          <w:sz w:val="24"/>
        </w:rPr>
        <w:t xml:space="preserve"> </w:t>
      </w:r>
      <w:r w:rsidR="00CE1648" w:rsidRPr="00CE1648">
        <w:rPr>
          <w:rFonts w:cs="Arial"/>
          <w:b/>
          <w:bCs/>
          <w:sz w:val="24"/>
        </w:rPr>
        <w:t>CMP286:</w:t>
      </w:r>
      <w:r w:rsidR="00CE1648" w:rsidRPr="00CE1648">
        <w:rPr>
          <w:rFonts w:cs="Arial"/>
          <w:sz w:val="24"/>
        </w:rPr>
        <w:t xml:space="preserve"> ‘Seeks to Improve TNUoS Predictability Through Increased Notice of the Target Revenue used in the TNUoS Tariff Setting Process’ and  </w:t>
      </w:r>
      <w:r w:rsidR="00CE1648" w:rsidRPr="00CE1648">
        <w:rPr>
          <w:b/>
          <w:bCs/>
          <w:sz w:val="24"/>
        </w:rPr>
        <w:t>CMP287:</w:t>
      </w:r>
      <w:r w:rsidR="00CE1648" w:rsidRPr="00CE1648">
        <w:rPr>
          <w:sz w:val="24"/>
        </w:rPr>
        <w:t xml:space="preserve"> Seeks to Improve TNUoS Predictability Through Increased Notice of Inputs Used in the TNUoS Tariff Setting Process’</w:t>
      </w:r>
      <w:r w:rsidR="00CE1648" w:rsidRPr="00CE1648">
        <w:rPr>
          <w:sz w:val="28"/>
          <w:szCs w:val="28"/>
        </w:rPr>
        <w:t xml:space="preserve"> </w:t>
      </w:r>
      <w:r w:rsidR="00E44F00" w:rsidRPr="00CE1648">
        <w:rPr>
          <w:sz w:val="24"/>
        </w:rPr>
        <w:t xml:space="preserve">raised by </w:t>
      </w:r>
      <w:r w:rsidR="002746EB" w:rsidRPr="00CE1648">
        <w:rPr>
          <w:b/>
          <w:sz w:val="24"/>
        </w:rPr>
        <w:t>E.ON</w:t>
      </w:r>
      <w:r w:rsidR="00E44F00" w:rsidRPr="00CE1648">
        <w:rPr>
          <w:sz w:val="24"/>
        </w:rPr>
        <w:t xml:space="preserve"> at the Modifications Panel meeting on </w:t>
      </w:r>
      <w:r w:rsidR="001C3459" w:rsidRPr="00CE1648">
        <w:rPr>
          <w:b/>
          <w:sz w:val="24"/>
        </w:rPr>
        <w:t>20</w:t>
      </w:r>
      <w:r w:rsidR="00E44F00" w:rsidRPr="00CE1648">
        <w:rPr>
          <w:b/>
          <w:sz w:val="24"/>
        </w:rPr>
        <w:t xml:space="preserve"> </w:t>
      </w:r>
      <w:r w:rsidR="001C3459" w:rsidRPr="00CE1648">
        <w:rPr>
          <w:b/>
          <w:sz w:val="24"/>
        </w:rPr>
        <w:t>October</w:t>
      </w:r>
      <w:r w:rsidR="00E44F00" w:rsidRPr="00CE1648">
        <w:rPr>
          <w:b/>
          <w:sz w:val="24"/>
        </w:rPr>
        <w:t xml:space="preserve"> </w:t>
      </w:r>
      <w:r w:rsidR="001C3459" w:rsidRPr="00CE1648">
        <w:rPr>
          <w:b/>
          <w:sz w:val="24"/>
        </w:rPr>
        <w:t>2017</w:t>
      </w:r>
      <w:r w:rsidRPr="00CE1648">
        <w:rPr>
          <w:sz w:val="24"/>
        </w:rPr>
        <w:t>.</w:t>
      </w:r>
      <w:r w:rsidR="00C734C2" w:rsidRPr="00CE1648">
        <w:rPr>
          <w:sz w:val="24"/>
        </w:rPr>
        <w:t xml:space="preserve"> </w:t>
      </w:r>
      <w:r w:rsidRPr="00CE1648">
        <w:rPr>
          <w:sz w:val="24"/>
        </w:rPr>
        <w:t xml:space="preserve">The proposal must be evaluated to consider whether it better facilitates achievement of the Applicable </w:t>
      </w:r>
      <w:r w:rsidR="00E21608" w:rsidRPr="00CE1648">
        <w:rPr>
          <w:sz w:val="24"/>
        </w:rPr>
        <w:t>CUSC</w:t>
      </w:r>
      <w:r w:rsidRPr="00CE1648">
        <w:rPr>
          <w:sz w:val="24"/>
        </w:rPr>
        <w:t xml:space="preserve"> Objectives. </w:t>
      </w:r>
    </w:p>
    <w:p w14:paraId="200AC31C" w14:textId="17E651CF" w:rsidR="00460D0C" w:rsidRPr="004F1A02" w:rsidRDefault="00E44F00" w:rsidP="004F1A02">
      <w:pPr>
        <w:pStyle w:val="Checklist"/>
      </w:pPr>
      <w:r>
        <w:t xml:space="preserve">Applicable </w:t>
      </w:r>
      <w:r w:rsidR="00E21608">
        <w:t>CUSC</w:t>
      </w:r>
      <w:r>
        <w:t xml:space="preserve"> </w:t>
      </w:r>
      <w:r w:rsidR="00E21608">
        <w:t>(</w:t>
      </w:r>
      <w:r w:rsidR="000E06CF">
        <w:t>C</w:t>
      </w:r>
      <w:r w:rsidR="00E21608">
        <w:t xml:space="preserve">harging) </w:t>
      </w:r>
      <w:r>
        <w:t>Objectives</w:t>
      </w:r>
      <w:r w:rsidR="000E06CF">
        <w:t xml:space="preserve"> </w:t>
      </w:r>
      <w:r w:rsidR="009515CD">
        <w:t>CMP286 &amp; 287</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49117F32" w14:textId="0BFDBB0A" w:rsidR="00E11E76" w:rsidRPr="009515CD" w:rsidRDefault="004F1A02" w:rsidP="00E11E76">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2FC4054C" w14:textId="3337E602" w:rsidR="009515CD" w:rsidRDefault="006A6B1C" w:rsidP="006A6B1C">
      <w:pPr>
        <w:pStyle w:val="BodyText"/>
        <w:jc w:val="both"/>
        <w:rPr>
          <w:sz w:val="24"/>
        </w:rPr>
      </w:pPr>
      <w:r w:rsidRPr="006A6B1C">
        <w:rPr>
          <w:sz w:val="24"/>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p w14:paraId="38602AEE" w14:textId="77777777" w:rsidR="009515CD" w:rsidRPr="00DE08D0" w:rsidRDefault="009515CD" w:rsidP="00E11E76">
      <w:pPr>
        <w:pStyle w:val="BodyText"/>
        <w:spacing w:before="0" w:after="0" w:line="240" w:lineRule="auto"/>
        <w:jc w:val="both"/>
        <w:rPr>
          <w:sz w:val="24"/>
        </w:rPr>
      </w:pPr>
    </w:p>
    <w:p w14:paraId="2844E5BF" w14:textId="1CAD5410" w:rsidR="00E11E76" w:rsidRPr="00597E62" w:rsidRDefault="00E11E76" w:rsidP="00CE1648">
      <w:pPr>
        <w:pStyle w:val="BodyText"/>
        <w:numPr>
          <w:ilvl w:val="0"/>
          <w:numId w:val="22"/>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lastRenderedPageBreak/>
        <w:t>Scope of work</w:t>
      </w:r>
    </w:p>
    <w:p w14:paraId="258D4EBA" w14:textId="09237ECD" w:rsidR="00DF3EDE" w:rsidRDefault="00073540" w:rsidP="00CE1648">
      <w:pPr>
        <w:pStyle w:val="BodyText"/>
        <w:numPr>
          <w:ilvl w:val="0"/>
          <w:numId w:val="22"/>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CE1648">
      <w:pPr>
        <w:pStyle w:val="BodyText"/>
        <w:numPr>
          <w:ilvl w:val="0"/>
          <w:numId w:val="22"/>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349C41F0" w:rsidR="00ED5C7C" w:rsidRDefault="00194B25" w:rsidP="00073540">
            <w:pPr>
              <w:pStyle w:val="BodyText"/>
              <w:jc w:val="both"/>
              <w:rPr>
                <w:b/>
                <w:szCs w:val="22"/>
              </w:rPr>
            </w:pPr>
            <w:r w:rsidRPr="00194B25">
              <w:rPr>
                <w:b/>
                <w:color w:val="FFFFFF" w:themeColor="background1"/>
                <w:sz w:val="24"/>
                <w:szCs w:val="22"/>
              </w:rPr>
              <w:t xml:space="preserve">Location in Workgroup Report </w:t>
            </w:r>
          </w:p>
        </w:tc>
      </w:tr>
      <w:tr w:rsidR="00D6616A" w14:paraId="782562D1" w14:textId="77777777" w:rsidTr="00D6616A">
        <w:tc>
          <w:tcPr>
            <w:tcW w:w="5124" w:type="dxa"/>
          </w:tcPr>
          <w:p w14:paraId="1E3C4F2A" w14:textId="70D7E5E4" w:rsidR="00ED5C7C" w:rsidRPr="006E2539" w:rsidRDefault="00C0063E" w:rsidP="006E2539">
            <w:pPr>
              <w:pStyle w:val="BodyText"/>
              <w:numPr>
                <w:ilvl w:val="0"/>
                <w:numId w:val="19"/>
              </w:numPr>
              <w:jc w:val="both"/>
              <w:rPr>
                <w:sz w:val="24"/>
              </w:rPr>
            </w:pPr>
            <w:r w:rsidRPr="006E2539">
              <w:rPr>
                <w:sz w:val="24"/>
              </w:rPr>
              <w:t>Consider the decision rationale for rejecting</w:t>
            </w:r>
            <w:r w:rsidR="006E2539">
              <w:rPr>
                <w:sz w:val="24"/>
              </w:rPr>
              <w:t xml:space="preserve"> </w:t>
            </w:r>
            <w:r w:rsidRPr="006E2539">
              <w:rPr>
                <w:sz w:val="24"/>
              </w:rPr>
              <w:t>CMP244 and how CMP286</w:t>
            </w:r>
            <w:r w:rsidR="00CE1648" w:rsidRPr="006E2539">
              <w:rPr>
                <w:sz w:val="24"/>
              </w:rPr>
              <w:t>/287</w:t>
            </w:r>
            <w:r w:rsidRPr="006E2539">
              <w:rPr>
                <w:sz w:val="24"/>
              </w:rPr>
              <w:t xml:space="preserve"> will address these</w:t>
            </w:r>
          </w:p>
        </w:tc>
        <w:tc>
          <w:tcPr>
            <w:tcW w:w="4232" w:type="dxa"/>
          </w:tcPr>
          <w:p w14:paraId="0AB5B675" w14:textId="1A98F754" w:rsidR="00ED5C7C" w:rsidRPr="006C0C1E" w:rsidRDefault="00BD16D7" w:rsidP="006E2539">
            <w:pPr>
              <w:pStyle w:val="BodyText"/>
              <w:jc w:val="both"/>
              <w:rPr>
                <w:bCs/>
                <w:sz w:val="24"/>
              </w:rPr>
            </w:pPr>
            <w:r w:rsidRPr="006C0C1E">
              <w:rPr>
                <w:bCs/>
                <w:sz w:val="24"/>
              </w:rPr>
              <w:t xml:space="preserve">“Workgroup Considerations </w:t>
            </w:r>
            <w:r w:rsidR="006C0C1E" w:rsidRPr="006C0C1E">
              <w:rPr>
                <w:bCs/>
                <w:sz w:val="24"/>
              </w:rPr>
              <w:t>–</w:t>
            </w:r>
            <w:r w:rsidRPr="006C0C1E">
              <w:rPr>
                <w:bCs/>
                <w:sz w:val="24"/>
              </w:rPr>
              <w:t xml:space="preserve"> </w:t>
            </w:r>
            <w:r w:rsidR="006C0C1E" w:rsidRPr="006C0C1E">
              <w:rPr>
                <w:bCs/>
                <w:sz w:val="24"/>
              </w:rPr>
              <w:t>Interaction with CMP244”</w:t>
            </w:r>
            <w:r w:rsidR="006A5D27">
              <w:rPr>
                <w:bCs/>
                <w:sz w:val="24"/>
              </w:rPr>
              <w:t xml:space="preserve"> section</w:t>
            </w:r>
          </w:p>
        </w:tc>
      </w:tr>
      <w:tr w:rsidR="00D9152C" w14:paraId="50420D6E" w14:textId="77777777" w:rsidTr="00D6616A">
        <w:tc>
          <w:tcPr>
            <w:tcW w:w="5124" w:type="dxa"/>
          </w:tcPr>
          <w:p w14:paraId="4D4CF498" w14:textId="55FD1EB9" w:rsidR="00D9152C" w:rsidRPr="006E2539" w:rsidRDefault="00C0063E" w:rsidP="006E2539">
            <w:pPr>
              <w:pStyle w:val="Default"/>
              <w:numPr>
                <w:ilvl w:val="0"/>
                <w:numId w:val="19"/>
              </w:numPr>
              <w:jc w:val="both"/>
            </w:pPr>
            <w:r w:rsidRPr="006E2539">
              <w:t xml:space="preserve">Understand the level of fixing in the marketplace and identify those consumers that would benefit and those that would end up paying more </w:t>
            </w:r>
          </w:p>
        </w:tc>
        <w:tc>
          <w:tcPr>
            <w:tcW w:w="4232" w:type="dxa"/>
          </w:tcPr>
          <w:p w14:paraId="1C50510C" w14:textId="1D7D0CE3" w:rsidR="00D9152C" w:rsidRPr="006A5D27" w:rsidRDefault="006A5D27" w:rsidP="006E2539">
            <w:pPr>
              <w:pStyle w:val="BodyText"/>
              <w:jc w:val="both"/>
              <w:rPr>
                <w:bCs/>
                <w:sz w:val="24"/>
              </w:rPr>
            </w:pPr>
            <w:r w:rsidRPr="006A5D27">
              <w:rPr>
                <w:bCs/>
                <w:sz w:val="24"/>
              </w:rPr>
              <w:t>“Workgroup Considerations”</w:t>
            </w:r>
            <w:r>
              <w:rPr>
                <w:bCs/>
                <w:sz w:val="24"/>
              </w:rPr>
              <w:t xml:space="preserve"> section</w:t>
            </w:r>
            <w:r w:rsidRPr="006A5D27">
              <w:rPr>
                <w:bCs/>
                <w:sz w:val="24"/>
              </w:rPr>
              <w:t xml:space="preserve"> predominantly</w:t>
            </w:r>
          </w:p>
        </w:tc>
      </w:tr>
      <w:tr w:rsidR="00D9152C" w14:paraId="3F8C53FC" w14:textId="77777777" w:rsidTr="00D6616A">
        <w:tc>
          <w:tcPr>
            <w:tcW w:w="5124" w:type="dxa"/>
          </w:tcPr>
          <w:p w14:paraId="2E9C8BB9" w14:textId="77777777" w:rsidR="00C0063E" w:rsidRPr="006E2539" w:rsidRDefault="00C0063E" w:rsidP="006E2539">
            <w:pPr>
              <w:pStyle w:val="Default"/>
              <w:jc w:val="both"/>
            </w:pPr>
            <w:r w:rsidRPr="006E2539">
              <w:t xml:space="preserve"> </w:t>
            </w:r>
          </w:p>
          <w:p w14:paraId="110A0729" w14:textId="7408EE94" w:rsidR="00D9152C" w:rsidRPr="006E2539" w:rsidRDefault="00C0063E" w:rsidP="006E2539">
            <w:pPr>
              <w:pStyle w:val="Default"/>
              <w:numPr>
                <w:ilvl w:val="0"/>
                <w:numId w:val="19"/>
              </w:numPr>
              <w:jc w:val="both"/>
            </w:pPr>
            <w:r w:rsidRPr="006E2539">
              <w:t xml:space="preserve">Consider any consequential impacts on other Codes </w:t>
            </w:r>
          </w:p>
        </w:tc>
        <w:tc>
          <w:tcPr>
            <w:tcW w:w="4232" w:type="dxa"/>
          </w:tcPr>
          <w:p w14:paraId="48C16D56" w14:textId="7FC4F421" w:rsidR="00D9152C" w:rsidRPr="006A5D27" w:rsidRDefault="006A5D27" w:rsidP="006E2539">
            <w:pPr>
              <w:pStyle w:val="BodyText"/>
              <w:jc w:val="both"/>
              <w:rPr>
                <w:bCs/>
                <w:sz w:val="24"/>
              </w:rPr>
            </w:pPr>
            <w:r w:rsidRPr="006A5D27">
              <w:rPr>
                <w:bCs/>
                <w:sz w:val="24"/>
              </w:rPr>
              <w:t>“Interactions” section</w:t>
            </w:r>
          </w:p>
        </w:tc>
      </w:tr>
      <w:tr w:rsidR="00D9152C" w14:paraId="4A218C55" w14:textId="77777777" w:rsidTr="00D6616A">
        <w:tc>
          <w:tcPr>
            <w:tcW w:w="5124" w:type="dxa"/>
          </w:tcPr>
          <w:p w14:paraId="64E637C5" w14:textId="77777777" w:rsidR="00C0063E" w:rsidRPr="006E2539" w:rsidRDefault="00C0063E" w:rsidP="006E2539">
            <w:pPr>
              <w:pStyle w:val="Default"/>
              <w:jc w:val="both"/>
            </w:pPr>
          </w:p>
          <w:p w14:paraId="057EB8ED" w14:textId="4E06D8F1" w:rsidR="00D9152C" w:rsidRPr="006E2539" w:rsidRDefault="00CE1648" w:rsidP="006E2539">
            <w:pPr>
              <w:pStyle w:val="Default"/>
              <w:numPr>
                <w:ilvl w:val="0"/>
                <w:numId w:val="19"/>
              </w:numPr>
              <w:jc w:val="both"/>
            </w:pPr>
            <w:r w:rsidRPr="006E2539">
              <w:t>Consider the impacts on the outcome of the SCR and what the impacts may be in the way that demand is charged and this needs to be factored in and how fits into the TCR and the wider Charging Futures Forum</w:t>
            </w:r>
          </w:p>
        </w:tc>
        <w:tc>
          <w:tcPr>
            <w:tcW w:w="4232" w:type="dxa"/>
          </w:tcPr>
          <w:p w14:paraId="69890F6C" w14:textId="3C3570BD" w:rsidR="00D9152C" w:rsidRPr="006E2539" w:rsidRDefault="00B94854" w:rsidP="006E2539">
            <w:pPr>
              <w:pStyle w:val="BodyText"/>
              <w:jc w:val="both"/>
              <w:rPr>
                <w:b/>
                <w:sz w:val="24"/>
              </w:rPr>
            </w:pPr>
            <w:r w:rsidRPr="006A5D27">
              <w:rPr>
                <w:bCs/>
                <w:sz w:val="24"/>
              </w:rPr>
              <w:t>“Interactions” section</w:t>
            </w:r>
            <w:r w:rsidR="00040D15">
              <w:rPr>
                <w:bCs/>
                <w:sz w:val="24"/>
              </w:rPr>
              <w:t xml:space="preserve"> predominantly but note that Proposer amended </w:t>
            </w:r>
            <w:proofErr w:type="gramStart"/>
            <w:r w:rsidR="00040D15">
              <w:rPr>
                <w:bCs/>
                <w:sz w:val="24"/>
              </w:rPr>
              <w:t>Original</w:t>
            </w:r>
            <w:proofErr w:type="gramEnd"/>
            <w:r w:rsidR="00040D15">
              <w:rPr>
                <w:bCs/>
                <w:sz w:val="24"/>
              </w:rPr>
              <w:t xml:space="preserve"> factoring in the TCR</w:t>
            </w:r>
          </w:p>
        </w:tc>
      </w:tr>
      <w:tr w:rsidR="00C0063E" w14:paraId="1AD6FB45" w14:textId="77777777" w:rsidTr="00D6616A">
        <w:tc>
          <w:tcPr>
            <w:tcW w:w="5124" w:type="dxa"/>
          </w:tcPr>
          <w:p w14:paraId="4B69C8A0" w14:textId="77777777" w:rsidR="00F2338F" w:rsidRPr="006E2539" w:rsidRDefault="00F2338F" w:rsidP="006E2539">
            <w:pPr>
              <w:pStyle w:val="Default"/>
              <w:jc w:val="both"/>
            </w:pPr>
          </w:p>
          <w:p w14:paraId="6291891F" w14:textId="693A1D54" w:rsidR="00C0063E" w:rsidRPr="006E2539" w:rsidRDefault="00F2338F" w:rsidP="006E2539">
            <w:pPr>
              <w:pStyle w:val="Default"/>
              <w:numPr>
                <w:ilvl w:val="0"/>
                <w:numId w:val="19"/>
              </w:numPr>
              <w:jc w:val="both"/>
            </w:pPr>
            <w:r w:rsidRPr="006E2539">
              <w:t xml:space="preserve">Consider any if there are any wider issues to consider </w:t>
            </w:r>
            <w:proofErr w:type="gramStart"/>
            <w:r w:rsidRPr="006E2539">
              <w:t>e.g.</w:t>
            </w:r>
            <w:proofErr w:type="gramEnd"/>
            <w:r w:rsidRPr="006E2539">
              <w:t xml:space="preserve"> any potential Licence changes </w:t>
            </w:r>
          </w:p>
        </w:tc>
        <w:tc>
          <w:tcPr>
            <w:tcW w:w="4232" w:type="dxa"/>
          </w:tcPr>
          <w:p w14:paraId="04465FD4" w14:textId="776000A9" w:rsidR="00C0063E" w:rsidRPr="00040D15" w:rsidRDefault="00B94854" w:rsidP="006E2539">
            <w:pPr>
              <w:pStyle w:val="BodyText"/>
              <w:jc w:val="both"/>
              <w:rPr>
                <w:b/>
                <w:sz w:val="24"/>
              </w:rPr>
            </w:pPr>
            <w:r w:rsidRPr="00040D15">
              <w:rPr>
                <w:b/>
                <w:sz w:val="24"/>
              </w:rPr>
              <w:t>“</w:t>
            </w:r>
            <w:bookmarkStart w:id="2" w:name="_Toc100073083"/>
            <w:bookmarkStart w:id="3" w:name="_Toc106828525"/>
            <w:r w:rsidR="00043E39" w:rsidRPr="00040D15">
              <w:rPr>
                <w:sz w:val="24"/>
              </w:rPr>
              <w:t>What is the impact of this change?</w:t>
            </w:r>
            <w:bookmarkEnd w:id="2"/>
            <w:bookmarkEnd w:id="3"/>
            <w:r w:rsidR="00043E39" w:rsidRPr="00040D15">
              <w:rPr>
                <w:sz w:val="24"/>
              </w:rPr>
              <w:t>” and “Implementation Approach” sections</w:t>
            </w:r>
          </w:p>
        </w:tc>
      </w:tr>
      <w:tr w:rsidR="00C0063E" w14:paraId="2B8767E2" w14:textId="77777777" w:rsidTr="00D6616A">
        <w:tc>
          <w:tcPr>
            <w:tcW w:w="5124" w:type="dxa"/>
          </w:tcPr>
          <w:p w14:paraId="685BE2E4" w14:textId="77777777" w:rsidR="00F2338F" w:rsidRPr="006E2539" w:rsidRDefault="00F2338F" w:rsidP="00F2338F">
            <w:pPr>
              <w:pStyle w:val="Default"/>
            </w:pPr>
          </w:p>
          <w:p w14:paraId="77CFA473" w14:textId="50E3CD3B" w:rsidR="00C0063E" w:rsidRPr="006E2539" w:rsidRDefault="00F2338F" w:rsidP="00C0063E">
            <w:pPr>
              <w:pStyle w:val="Default"/>
              <w:numPr>
                <w:ilvl w:val="0"/>
                <w:numId w:val="19"/>
              </w:numPr>
            </w:pPr>
            <w:r w:rsidRPr="006E2539">
              <w:t xml:space="preserve">Consideration of whether or what the transitional arrangements should be put in place. </w:t>
            </w:r>
          </w:p>
        </w:tc>
        <w:tc>
          <w:tcPr>
            <w:tcW w:w="4232" w:type="dxa"/>
          </w:tcPr>
          <w:p w14:paraId="73E4CC88" w14:textId="0DBCCA94" w:rsidR="00C0063E" w:rsidRPr="00040D15" w:rsidRDefault="00043E39" w:rsidP="00D9152C">
            <w:pPr>
              <w:pStyle w:val="BodyText"/>
              <w:jc w:val="both"/>
              <w:rPr>
                <w:b/>
                <w:sz w:val="24"/>
              </w:rPr>
            </w:pPr>
            <w:r w:rsidRPr="00040D15">
              <w:rPr>
                <w:sz w:val="24"/>
              </w:rPr>
              <w:t>“Implementation Approach” section</w:t>
            </w:r>
          </w:p>
        </w:tc>
      </w:tr>
      <w:tr w:rsidR="00BF4C76" w14:paraId="29F53FCD" w14:textId="77777777" w:rsidTr="00D6616A">
        <w:tc>
          <w:tcPr>
            <w:tcW w:w="5124" w:type="dxa"/>
          </w:tcPr>
          <w:p w14:paraId="54DCDFEA" w14:textId="356DFC2B" w:rsidR="00BF4C76" w:rsidRPr="006E2539" w:rsidRDefault="00BF4C76" w:rsidP="00BF4C76">
            <w:pPr>
              <w:pStyle w:val="Default"/>
              <w:numPr>
                <w:ilvl w:val="0"/>
                <w:numId w:val="19"/>
              </w:numPr>
            </w:pPr>
            <w:r w:rsidRPr="00BF4C76">
              <w:t>Consider whether the modifications should be amalgamated ahead of the FMR being resubmitted to the Authority</w:t>
            </w:r>
          </w:p>
        </w:tc>
        <w:tc>
          <w:tcPr>
            <w:tcW w:w="4232" w:type="dxa"/>
          </w:tcPr>
          <w:p w14:paraId="3886E468" w14:textId="77777777" w:rsidR="00BF4C76" w:rsidRPr="00040D15" w:rsidRDefault="00BF4C76" w:rsidP="00D9152C">
            <w:pPr>
              <w:pStyle w:val="BodyText"/>
              <w:jc w:val="both"/>
              <w:rPr>
                <w:sz w:val="24"/>
              </w:rPr>
            </w:pPr>
          </w:p>
        </w:tc>
      </w:tr>
      <w:tr w:rsidR="00BF4C76" w14:paraId="02EFCCFA" w14:textId="77777777" w:rsidTr="00D6616A">
        <w:tc>
          <w:tcPr>
            <w:tcW w:w="5124" w:type="dxa"/>
          </w:tcPr>
          <w:p w14:paraId="0A013F3F" w14:textId="7F8009A2" w:rsidR="00BF4C76" w:rsidRPr="00BF4C76" w:rsidRDefault="00DE12A5" w:rsidP="00BF4C76">
            <w:pPr>
              <w:pStyle w:val="Default"/>
              <w:numPr>
                <w:ilvl w:val="0"/>
                <w:numId w:val="19"/>
              </w:numPr>
            </w:pPr>
            <w:r w:rsidRPr="00DE12A5">
              <w:t>Secure further supporting evidence to demonstrate how often forecasts for previous charging years would have been incorrect and what the subsequent increased cost to consumers would have been.</w:t>
            </w:r>
          </w:p>
        </w:tc>
        <w:tc>
          <w:tcPr>
            <w:tcW w:w="4232" w:type="dxa"/>
          </w:tcPr>
          <w:p w14:paraId="6CE4070F" w14:textId="77777777" w:rsidR="00BF4C76" w:rsidRPr="00040D15" w:rsidRDefault="00BF4C76" w:rsidP="00D9152C">
            <w:pPr>
              <w:pStyle w:val="BodyText"/>
              <w:jc w:val="both"/>
              <w:rPr>
                <w:sz w:val="24"/>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CE1648">
      <w:pPr>
        <w:pStyle w:val="ListParagraph"/>
        <w:numPr>
          <w:ilvl w:val="0"/>
          <w:numId w:val="22"/>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CE1648">
      <w:pPr>
        <w:pStyle w:val="ListParagraph"/>
        <w:numPr>
          <w:ilvl w:val="0"/>
          <w:numId w:val="22"/>
        </w:numPr>
        <w:jc w:val="both"/>
        <w:rPr>
          <w:color w:val="FF0000"/>
          <w:sz w:val="24"/>
        </w:rPr>
      </w:pPr>
      <w:r w:rsidRPr="00DF3EDE">
        <w:rPr>
          <w:sz w:val="24"/>
        </w:rPr>
        <w:lastRenderedPageBreak/>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CE1648">
      <w:pPr>
        <w:numPr>
          <w:ilvl w:val="0"/>
          <w:numId w:val="22"/>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CE1648">
      <w:pPr>
        <w:numPr>
          <w:ilvl w:val="0"/>
          <w:numId w:val="22"/>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CE1648">
      <w:pPr>
        <w:numPr>
          <w:ilvl w:val="0"/>
          <w:numId w:val="22"/>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w:t>
      </w:r>
      <w:r w:rsidRPr="00F2338F">
        <w:rPr>
          <w:b/>
          <w:bCs/>
          <w:sz w:val="24"/>
        </w:rPr>
        <w:t>15 working days</w:t>
      </w:r>
      <w:r w:rsidRPr="00E35941">
        <w:rPr>
          <w:sz w:val="24"/>
        </w:rPr>
        <w:t xml:space="preserve">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CE1648">
      <w:pPr>
        <w:numPr>
          <w:ilvl w:val="0"/>
          <w:numId w:val="22"/>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77777777"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7E42E206" w:rsidR="00DF6303" w:rsidRPr="00944B57" w:rsidRDefault="00DF6303" w:rsidP="00CE1648">
      <w:pPr>
        <w:numPr>
          <w:ilvl w:val="0"/>
          <w:numId w:val="22"/>
        </w:numPr>
        <w:spacing w:before="0" w:after="0" w:line="240" w:lineRule="auto"/>
        <w:jc w:val="both"/>
        <w:rPr>
          <w:sz w:val="24"/>
        </w:rPr>
      </w:pPr>
      <w:r w:rsidRPr="00944B57">
        <w:rPr>
          <w:sz w:val="24"/>
        </w:rPr>
        <w:t xml:space="preserve">The Workgroup is to submit its final report to the Modifications Panel Secretary on </w:t>
      </w:r>
      <w:r w:rsidR="00944B57" w:rsidRPr="00944B57">
        <w:rPr>
          <w:b/>
          <w:sz w:val="24"/>
        </w:rPr>
        <w:t>1</w:t>
      </w:r>
      <w:r w:rsidR="006E2539">
        <w:rPr>
          <w:b/>
          <w:sz w:val="24"/>
        </w:rPr>
        <w:t>6 June</w:t>
      </w:r>
      <w:r w:rsidRPr="00944B57">
        <w:rPr>
          <w:b/>
          <w:sz w:val="24"/>
        </w:rPr>
        <w:t xml:space="preserve"> </w:t>
      </w:r>
      <w:r w:rsidR="001C3459" w:rsidRPr="00944B57">
        <w:rPr>
          <w:b/>
          <w:sz w:val="24"/>
        </w:rPr>
        <w:t>202</w:t>
      </w:r>
      <w:r w:rsidR="00944B57" w:rsidRPr="00944B57">
        <w:rPr>
          <w:b/>
          <w:sz w:val="24"/>
        </w:rPr>
        <w:t>2</w:t>
      </w:r>
      <w:r w:rsidRPr="00944B57">
        <w:rPr>
          <w:sz w:val="24"/>
        </w:rPr>
        <w:t xml:space="preserve"> for circulation to Panel Members. The final report conclusions will be presented to the CUSC Modifications Panel meeting on </w:t>
      </w:r>
      <w:r w:rsidR="006E2539">
        <w:rPr>
          <w:b/>
          <w:bCs/>
          <w:sz w:val="24"/>
        </w:rPr>
        <w:t>24</w:t>
      </w:r>
      <w:r w:rsidR="00944B57" w:rsidRPr="00944B57">
        <w:rPr>
          <w:b/>
          <w:sz w:val="24"/>
        </w:rPr>
        <w:t xml:space="preserve"> </w:t>
      </w:r>
      <w:r w:rsidR="006E2539">
        <w:rPr>
          <w:b/>
          <w:sz w:val="24"/>
        </w:rPr>
        <w:t>June</w:t>
      </w:r>
      <w:r w:rsidR="00944B57" w:rsidRPr="00944B57">
        <w:rPr>
          <w:b/>
          <w:sz w:val="24"/>
        </w:rPr>
        <w:t xml:space="preserve"> 2022</w:t>
      </w:r>
      <w:r w:rsidRPr="00944B57">
        <w:rPr>
          <w:b/>
          <w:sz w:val="24"/>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E1648">
      <w:pPr>
        <w:numPr>
          <w:ilvl w:val="0"/>
          <w:numId w:val="22"/>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lastRenderedPageBreak/>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164F7339" w:rsidR="00340100" w:rsidRPr="00194B25" w:rsidRDefault="001C3459" w:rsidP="002A69BC">
            <w:pPr>
              <w:rPr>
                <w:rFonts w:cs="Arial"/>
                <w:sz w:val="24"/>
              </w:rPr>
            </w:pPr>
            <w:r>
              <w:rPr>
                <w:rFonts w:cs="Arial"/>
                <w:sz w:val="24"/>
              </w:rPr>
              <w:t>Paul Mullen</w:t>
            </w:r>
          </w:p>
        </w:tc>
        <w:tc>
          <w:tcPr>
            <w:tcW w:w="3118" w:type="dxa"/>
          </w:tcPr>
          <w:p w14:paraId="255EBC02" w14:textId="044AEC74" w:rsidR="00340100" w:rsidRPr="00194B25" w:rsidRDefault="001C3459" w:rsidP="002A69BC">
            <w:pPr>
              <w:rPr>
                <w:rFonts w:cs="Arial"/>
                <w:sz w:val="24"/>
              </w:rPr>
            </w:pPr>
            <w:r>
              <w:rPr>
                <w:rFonts w:cs="Arial"/>
                <w:sz w:val="24"/>
              </w:rPr>
              <w:t>Code Administrator (ESO)</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49013E4A" w:rsidR="00340100" w:rsidRPr="00194B25" w:rsidRDefault="001C3459" w:rsidP="002A69BC">
            <w:pPr>
              <w:rPr>
                <w:rFonts w:cs="Arial"/>
                <w:sz w:val="24"/>
              </w:rPr>
            </w:pPr>
            <w:r>
              <w:rPr>
                <w:rFonts w:cs="Arial"/>
                <w:sz w:val="24"/>
              </w:rPr>
              <w:t>Sally Musaka</w:t>
            </w:r>
          </w:p>
        </w:tc>
        <w:tc>
          <w:tcPr>
            <w:tcW w:w="3118" w:type="dxa"/>
          </w:tcPr>
          <w:p w14:paraId="2540666D" w14:textId="1CD47514" w:rsidR="00340100" w:rsidRPr="00194B25" w:rsidRDefault="00C0063E" w:rsidP="002A69BC">
            <w:pPr>
              <w:rPr>
                <w:rFonts w:cs="Arial"/>
                <w:sz w:val="24"/>
              </w:rPr>
            </w:pPr>
            <w:r>
              <w:rPr>
                <w:rFonts w:cs="Arial"/>
                <w:sz w:val="24"/>
              </w:rPr>
              <w:t>Code Administrator (ESO)</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61ACD9D1" w:rsidR="00340100" w:rsidRPr="00C0063E" w:rsidRDefault="00C0063E" w:rsidP="00C0063E">
            <w:pPr>
              <w:autoSpaceDE w:val="0"/>
              <w:autoSpaceDN w:val="0"/>
              <w:spacing w:line="288" w:lineRule="auto"/>
              <w:rPr>
                <w:rFonts w:ascii="Calibri" w:hAnsi="Calibri"/>
                <w:sz w:val="24"/>
                <w:lang w:val="en-US"/>
              </w:rPr>
            </w:pPr>
            <w:r w:rsidRPr="00C0063E">
              <w:rPr>
                <w:rFonts w:cs="Arial"/>
                <w:color w:val="000000"/>
                <w:sz w:val="24"/>
              </w:rPr>
              <w:t>Niall Coyle</w:t>
            </w:r>
          </w:p>
        </w:tc>
        <w:tc>
          <w:tcPr>
            <w:tcW w:w="3118" w:type="dxa"/>
          </w:tcPr>
          <w:p w14:paraId="6845C55E" w14:textId="29CC6736" w:rsidR="00340100" w:rsidRPr="00194B25" w:rsidRDefault="00C0063E" w:rsidP="002A69BC">
            <w:pPr>
              <w:rPr>
                <w:rFonts w:cs="Arial"/>
                <w:sz w:val="24"/>
              </w:rPr>
            </w:pPr>
            <w:r>
              <w:rPr>
                <w:rFonts w:cs="Arial"/>
                <w:sz w:val="24"/>
              </w:rPr>
              <w:t>E.ON</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58CDF6F6" w:rsidR="00340100" w:rsidRPr="00194B25" w:rsidRDefault="00891984" w:rsidP="002A69BC">
            <w:pPr>
              <w:rPr>
                <w:rFonts w:cs="Arial"/>
                <w:sz w:val="24"/>
              </w:rPr>
            </w:pPr>
            <w:r>
              <w:rPr>
                <w:rFonts w:cs="Arial"/>
                <w:sz w:val="24"/>
              </w:rPr>
              <w:t>Nicola White</w:t>
            </w:r>
          </w:p>
        </w:tc>
        <w:tc>
          <w:tcPr>
            <w:tcW w:w="3118" w:type="dxa"/>
          </w:tcPr>
          <w:p w14:paraId="2887E482" w14:textId="6A07BB3A" w:rsidR="00340100" w:rsidRPr="00194B25" w:rsidRDefault="00891984" w:rsidP="002A69BC">
            <w:pPr>
              <w:rPr>
                <w:rFonts w:cs="Arial"/>
                <w:sz w:val="24"/>
              </w:rPr>
            </w:pPr>
            <w:r>
              <w:rPr>
                <w:rFonts w:cs="Arial"/>
                <w:sz w:val="24"/>
              </w:rPr>
              <w:t>National Grid</w:t>
            </w:r>
            <w:r w:rsidR="00A2479D">
              <w:rPr>
                <w:rFonts w:cs="Arial"/>
                <w:sz w:val="24"/>
              </w:rPr>
              <w:t xml:space="preserve"> ESO</w:t>
            </w:r>
          </w:p>
        </w:tc>
      </w:tr>
      <w:tr w:rsidR="00340100" w:rsidRPr="00194B25" w14:paraId="740838DA" w14:textId="77777777" w:rsidTr="00D6616A">
        <w:tc>
          <w:tcPr>
            <w:tcW w:w="2977" w:type="dxa"/>
            <w:hideMark/>
          </w:tcPr>
          <w:p w14:paraId="7FF196B4" w14:textId="41589EC1"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 xml:space="preserve">Member </w:t>
            </w:r>
          </w:p>
        </w:tc>
        <w:tc>
          <w:tcPr>
            <w:tcW w:w="3119" w:type="dxa"/>
          </w:tcPr>
          <w:p w14:paraId="722F7A10" w14:textId="292F166C" w:rsidR="00340100" w:rsidRPr="00446ABD" w:rsidRDefault="00446ABD" w:rsidP="002A69BC">
            <w:pPr>
              <w:rPr>
                <w:rFonts w:cs="Arial"/>
                <w:sz w:val="24"/>
              </w:rPr>
            </w:pPr>
            <w:r w:rsidRPr="00446ABD">
              <w:rPr>
                <w:sz w:val="24"/>
              </w:rPr>
              <w:t>Robert Longden</w:t>
            </w:r>
          </w:p>
        </w:tc>
        <w:tc>
          <w:tcPr>
            <w:tcW w:w="3118" w:type="dxa"/>
          </w:tcPr>
          <w:p w14:paraId="226ABE03" w14:textId="4AB6F978" w:rsidR="00340100" w:rsidRPr="00194B25" w:rsidRDefault="004A03DD" w:rsidP="002A69BC">
            <w:pPr>
              <w:rPr>
                <w:rFonts w:cs="Arial"/>
                <w:sz w:val="24"/>
              </w:rPr>
            </w:pPr>
            <w:r>
              <w:rPr>
                <w:rFonts w:cs="Arial"/>
                <w:sz w:val="24"/>
              </w:rPr>
              <w:t>RCL E</w:t>
            </w:r>
            <w:r w:rsidR="00D335D8">
              <w:rPr>
                <w:rFonts w:cs="Arial"/>
                <w:sz w:val="24"/>
              </w:rPr>
              <w:t>nergy Ltd</w:t>
            </w: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14E85761" w:rsidR="00340100" w:rsidRPr="00194B25" w:rsidRDefault="00891984" w:rsidP="002A69BC">
            <w:pPr>
              <w:rPr>
                <w:rFonts w:cs="Arial"/>
                <w:sz w:val="24"/>
              </w:rPr>
            </w:pPr>
            <w:r>
              <w:rPr>
                <w:rFonts w:cs="Arial"/>
                <w:sz w:val="24"/>
              </w:rPr>
              <w:t>Garth Graham</w:t>
            </w:r>
          </w:p>
        </w:tc>
        <w:tc>
          <w:tcPr>
            <w:tcW w:w="3118" w:type="dxa"/>
          </w:tcPr>
          <w:p w14:paraId="21938381" w14:textId="78000965" w:rsidR="00340100" w:rsidRPr="00194B25" w:rsidRDefault="00891984" w:rsidP="002A69BC">
            <w:pPr>
              <w:rPr>
                <w:rFonts w:cs="Arial"/>
                <w:sz w:val="24"/>
              </w:rPr>
            </w:pPr>
            <w:r>
              <w:rPr>
                <w:rFonts w:cs="Arial"/>
                <w:sz w:val="24"/>
              </w:rPr>
              <w:t>SSE</w:t>
            </w:r>
            <w:r w:rsidR="0091561F">
              <w:rPr>
                <w:rFonts w:cs="Arial"/>
                <w:sz w:val="24"/>
              </w:rPr>
              <w:t xml:space="preserve"> Generation Ltd.</w:t>
            </w:r>
          </w:p>
        </w:tc>
      </w:tr>
      <w:tr w:rsidR="00340100" w:rsidRPr="00194B25" w14:paraId="34451DAD" w14:textId="77777777" w:rsidTr="00D6616A">
        <w:tc>
          <w:tcPr>
            <w:tcW w:w="2977" w:type="dxa"/>
            <w:hideMark/>
          </w:tcPr>
          <w:p w14:paraId="3B979A32" w14:textId="26E932C5" w:rsidR="00340100" w:rsidRPr="00194B25" w:rsidRDefault="00340100" w:rsidP="002A69BC">
            <w:pPr>
              <w:rPr>
                <w:rFonts w:cs="Arial"/>
                <w:sz w:val="24"/>
              </w:rPr>
            </w:pPr>
            <w:r w:rsidRPr="00194B25">
              <w:rPr>
                <w:rFonts w:cs="Arial"/>
                <w:sz w:val="24"/>
              </w:rPr>
              <w:t>Workgroup Member</w:t>
            </w:r>
            <w:r w:rsidR="00446ABD">
              <w:rPr>
                <w:rFonts w:cs="Arial"/>
                <w:sz w:val="24"/>
              </w:rPr>
              <w:t xml:space="preserve"> (Alternate)</w:t>
            </w:r>
          </w:p>
        </w:tc>
        <w:tc>
          <w:tcPr>
            <w:tcW w:w="3119" w:type="dxa"/>
          </w:tcPr>
          <w:p w14:paraId="42034AAD" w14:textId="027DFD50" w:rsidR="00340100" w:rsidRPr="00194B25" w:rsidRDefault="00891984" w:rsidP="002A69BC">
            <w:pPr>
              <w:rPr>
                <w:rFonts w:cs="Arial"/>
                <w:sz w:val="24"/>
              </w:rPr>
            </w:pPr>
            <w:r>
              <w:rPr>
                <w:rFonts w:cs="Arial"/>
                <w:sz w:val="24"/>
              </w:rPr>
              <w:t>Andy Colley</w:t>
            </w:r>
          </w:p>
        </w:tc>
        <w:tc>
          <w:tcPr>
            <w:tcW w:w="3118" w:type="dxa"/>
          </w:tcPr>
          <w:p w14:paraId="1354B8E0" w14:textId="151392E0" w:rsidR="00340100" w:rsidRPr="00194B25" w:rsidRDefault="0091561F" w:rsidP="002A69BC">
            <w:pPr>
              <w:rPr>
                <w:rFonts w:cs="Arial"/>
                <w:sz w:val="24"/>
              </w:rPr>
            </w:pPr>
            <w:r>
              <w:rPr>
                <w:rFonts w:cs="Arial"/>
                <w:sz w:val="24"/>
              </w:rPr>
              <w:t>SSE Generation Ltd.</w:t>
            </w:r>
          </w:p>
        </w:tc>
      </w:tr>
      <w:tr w:rsidR="00340100" w:rsidRPr="00194B25" w14:paraId="5C85D3CF" w14:textId="77777777" w:rsidTr="00D6616A">
        <w:tc>
          <w:tcPr>
            <w:tcW w:w="2977" w:type="dxa"/>
            <w:hideMark/>
          </w:tcPr>
          <w:p w14:paraId="5A904771" w14:textId="4CC58FDD" w:rsidR="00340100" w:rsidRPr="00194B25" w:rsidRDefault="00340100" w:rsidP="002A69BC">
            <w:pPr>
              <w:rPr>
                <w:rFonts w:cs="Arial"/>
                <w:sz w:val="24"/>
              </w:rPr>
            </w:pPr>
            <w:r w:rsidRPr="00194B25">
              <w:rPr>
                <w:rFonts w:cs="Arial"/>
                <w:sz w:val="24"/>
              </w:rPr>
              <w:t xml:space="preserve">Workgroup Member </w:t>
            </w:r>
          </w:p>
        </w:tc>
        <w:tc>
          <w:tcPr>
            <w:tcW w:w="3119" w:type="dxa"/>
          </w:tcPr>
          <w:p w14:paraId="6C11B2D5" w14:textId="5360088F" w:rsidR="00340100" w:rsidRPr="00446ABD" w:rsidRDefault="00446ABD" w:rsidP="002A69BC">
            <w:pPr>
              <w:rPr>
                <w:rFonts w:cs="Arial"/>
                <w:sz w:val="24"/>
              </w:rPr>
            </w:pPr>
            <w:r w:rsidRPr="00446ABD">
              <w:rPr>
                <w:sz w:val="24"/>
              </w:rPr>
              <w:t>Binoy Dharsi</w:t>
            </w:r>
          </w:p>
        </w:tc>
        <w:tc>
          <w:tcPr>
            <w:tcW w:w="3118" w:type="dxa"/>
          </w:tcPr>
          <w:p w14:paraId="7E068E16" w14:textId="7A4ACB49" w:rsidR="00340100" w:rsidRPr="00194B25" w:rsidRDefault="00446ABD" w:rsidP="002A69BC">
            <w:pPr>
              <w:rPr>
                <w:rFonts w:cs="Arial"/>
                <w:sz w:val="24"/>
              </w:rPr>
            </w:pPr>
            <w:r>
              <w:rPr>
                <w:rFonts w:cs="Arial"/>
                <w:sz w:val="24"/>
              </w:rPr>
              <w:t>EDF</w:t>
            </w:r>
            <w:r w:rsidR="0091561F">
              <w:rPr>
                <w:rFonts w:cs="Arial"/>
                <w:sz w:val="24"/>
              </w:rPr>
              <w:t xml:space="preserve"> Energy </w:t>
            </w:r>
          </w:p>
        </w:tc>
      </w:tr>
      <w:tr w:rsidR="0091561F" w:rsidRPr="00194B25" w14:paraId="1D3009A9" w14:textId="77777777" w:rsidTr="00D6616A">
        <w:tc>
          <w:tcPr>
            <w:tcW w:w="2977" w:type="dxa"/>
          </w:tcPr>
          <w:p w14:paraId="58D9AC40" w14:textId="74E1DA0E" w:rsidR="0091561F" w:rsidRPr="00194B25" w:rsidRDefault="0091561F" w:rsidP="0091561F">
            <w:pPr>
              <w:rPr>
                <w:rFonts w:cs="Arial"/>
                <w:sz w:val="24"/>
              </w:rPr>
            </w:pPr>
            <w:r w:rsidRPr="00194B25">
              <w:rPr>
                <w:rFonts w:cs="Arial"/>
                <w:sz w:val="24"/>
              </w:rPr>
              <w:t xml:space="preserve">Workgroup Member </w:t>
            </w:r>
          </w:p>
        </w:tc>
        <w:tc>
          <w:tcPr>
            <w:tcW w:w="3119" w:type="dxa"/>
          </w:tcPr>
          <w:p w14:paraId="31B1F8EE" w14:textId="432C9D70" w:rsidR="0091561F" w:rsidRPr="00446ABD" w:rsidRDefault="0091561F" w:rsidP="0091561F">
            <w:pPr>
              <w:rPr>
                <w:sz w:val="24"/>
              </w:rPr>
            </w:pPr>
            <w:r>
              <w:rPr>
                <w:sz w:val="24"/>
              </w:rPr>
              <w:t>Simon Vicary</w:t>
            </w:r>
          </w:p>
        </w:tc>
        <w:tc>
          <w:tcPr>
            <w:tcW w:w="3118" w:type="dxa"/>
          </w:tcPr>
          <w:p w14:paraId="13A78899" w14:textId="53E9C626" w:rsidR="0091561F" w:rsidRDefault="0091561F" w:rsidP="0091561F">
            <w:pPr>
              <w:rPr>
                <w:rFonts w:cs="Arial"/>
                <w:sz w:val="24"/>
              </w:rPr>
            </w:pPr>
            <w:r>
              <w:rPr>
                <w:rFonts w:cs="Arial"/>
                <w:sz w:val="24"/>
              </w:rPr>
              <w:t xml:space="preserve">EDF Energy </w:t>
            </w:r>
          </w:p>
        </w:tc>
      </w:tr>
      <w:tr w:rsidR="0091561F" w:rsidRPr="00194B25" w14:paraId="69EB5E4C" w14:textId="77777777" w:rsidTr="00D6616A">
        <w:tc>
          <w:tcPr>
            <w:tcW w:w="2977" w:type="dxa"/>
          </w:tcPr>
          <w:p w14:paraId="241CBDAA" w14:textId="69D40164" w:rsidR="0091561F" w:rsidRPr="00194B25" w:rsidRDefault="0091561F" w:rsidP="0091561F">
            <w:pPr>
              <w:rPr>
                <w:rFonts w:cs="Arial"/>
                <w:sz w:val="24"/>
              </w:rPr>
            </w:pPr>
            <w:r w:rsidRPr="00194B25">
              <w:rPr>
                <w:rFonts w:cs="Arial"/>
                <w:sz w:val="24"/>
              </w:rPr>
              <w:t>Workgroup Member</w:t>
            </w:r>
          </w:p>
        </w:tc>
        <w:tc>
          <w:tcPr>
            <w:tcW w:w="3119" w:type="dxa"/>
          </w:tcPr>
          <w:p w14:paraId="7DA4E524" w14:textId="5087398C" w:rsidR="0091561F" w:rsidRPr="00446ABD" w:rsidRDefault="0091561F" w:rsidP="0091561F">
            <w:pPr>
              <w:rPr>
                <w:rFonts w:cs="Arial"/>
                <w:sz w:val="24"/>
              </w:rPr>
            </w:pPr>
            <w:r w:rsidRPr="00446ABD">
              <w:rPr>
                <w:sz w:val="24"/>
              </w:rPr>
              <w:t>Peter Bolitho</w:t>
            </w:r>
          </w:p>
        </w:tc>
        <w:tc>
          <w:tcPr>
            <w:tcW w:w="3118" w:type="dxa"/>
          </w:tcPr>
          <w:p w14:paraId="39F793BC" w14:textId="30050F3B" w:rsidR="0091561F" w:rsidRPr="00446ABD" w:rsidRDefault="0091561F" w:rsidP="0091561F">
            <w:pPr>
              <w:rPr>
                <w:rFonts w:cs="Arial"/>
                <w:sz w:val="24"/>
              </w:rPr>
            </w:pPr>
            <w:r w:rsidRPr="00446ABD">
              <w:rPr>
                <w:rFonts w:cs="Arial"/>
                <w:sz w:val="24"/>
              </w:rPr>
              <w:t xml:space="preserve">Waters </w:t>
            </w:r>
            <w:r w:rsidRPr="00446ABD">
              <w:rPr>
                <w:sz w:val="24"/>
              </w:rPr>
              <w:t>Wye</w:t>
            </w:r>
          </w:p>
        </w:tc>
      </w:tr>
      <w:tr w:rsidR="0091561F" w:rsidRPr="00194B25" w14:paraId="4F4E2F80" w14:textId="77777777" w:rsidTr="00D6616A">
        <w:tc>
          <w:tcPr>
            <w:tcW w:w="2977" w:type="dxa"/>
          </w:tcPr>
          <w:p w14:paraId="2FEAEA36" w14:textId="05463C9D" w:rsidR="0091561F" w:rsidRPr="00194B25" w:rsidRDefault="0091561F" w:rsidP="0091561F">
            <w:pPr>
              <w:rPr>
                <w:rFonts w:cs="Arial"/>
                <w:sz w:val="24"/>
              </w:rPr>
            </w:pPr>
            <w:r w:rsidRPr="00194B25">
              <w:rPr>
                <w:rFonts w:cs="Arial"/>
                <w:sz w:val="24"/>
              </w:rPr>
              <w:t>Workgroup Member</w:t>
            </w:r>
          </w:p>
        </w:tc>
        <w:tc>
          <w:tcPr>
            <w:tcW w:w="3119" w:type="dxa"/>
          </w:tcPr>
          <w:p w14:paraId="6227F2EE" w14:textId="1F6B3ABD" w:rsidR="0091561F" w:rsidRPr="00446ABD" w:rsidRDefault="0091561F" w:rsidP="0091561F">
            <w:pPr>
              <w:rPr>
                <w:rFonts w:cs="Arial"/>
                <w:sz w:val="24"/>
              </w:rPr>
            </w:pPr>
            <w:r w:rsidRPr="00446ABD">
              <w:rPr>
                <w:sz w:val="24"/>
              </w:rPr>
              <w:t>Karl Ma</w:t>
            </w:r>
            <w:r w:rsidR="00B10DB3">
              <w:rPr>
                <w:sz w:val="24"/>
              </w:rPr>
              <w:t>ry</w:t>
            </w:r>
            <w:r w:rsidRPr="00446ABD">
              <w:rPr>
                <w:sz w:val="24"/>
              </w:rPr>
              <w:t>on</w:t>
            </w:r>
          </w:p>
        </w:tc>
        <w:tc>
          <w:tcPr>
            <w:tcW w:w="3118" w:type="dxa"/>
          </w:tcPr>
          <w:p w14:paraId="319F8215" w14:textId="0EAE0F2C" w:rsidR="0091561F" w:rsidRPr="00446ABD" w:rsidRDefault="0091561F" w:rsidP="0091561F">
            <w:pPr>
              <w:rPr>
                <w:rFonts w:cs="Arial"/>
                <w:sz w:val="24"/>
              </w:rPr>
            </w:pPr>
            <w:r w:rsidRPr="00446ABD">
              <w:rPr>
                <w:sz w:val="24"/>
              </w:rPr>
              <w:t>Haven Power</w:t>
            </w:r>
          </w:p>
        </w:tc>
      </w:tr>
      <w:tr w:rsidR="0091561F" w:rsidRPr="00194B25" w14:paraId="5B060191" w14:textId="77777777" w:rsidTr="00D6616A">
        <w:tc>
          <w:tcPr>
            <w:tcW w:w="2977" w:type="dxa"/>
          </w:tcPr>
          <w:p w14:paraId="7D504C35" w14:textId="683D1557" w:rsidR="0091561F" w:rsidRPr="00194B25" w:rsidRDefault="0091561F" w:rsidP="0091561F">
            <w:pPr>
              <w:rPr>
                <w:rFonts w:cs="Arial"/>
                <w:sz w:val="24"/>
              </w:rPr>
            </w:pPr>
            <w:r w:rsidRPr="00194B25">
              <w:rPr>
                <w:rFonts w:cs="Arial"/>
                <w:sz w:val="24"/>
              </w:rPr>
              <w:t>Workgroup Member</w:t>
            </w:r>
            <w:r>
              <w:rPr>
                <w:rFonts w:cs="Arial"/>
                <w:sz w:val="24"/>
              </w:rPr>
              <w:t xml:space="preserve"> (Alternate)</w:t>
            </w:r>
          </w:p>
        </w:tc>
        <w:tc>
          <w:tcPr>
            <w:tcW w:w="3119" w:type="dxa"/>
          </w:tcPr>
          <w:p w14:paraId="0C887DBA" w14:textId="05F16E83" w:rsidR="0091561F" w:rsidRPr="00446ABD" w:rsidRDefault="0091561F" w:rsidP="0091561F">
            <w:pPr>
              <w:rPr>
                <w:sz w:val="24"/>
              </w:rPr>
            </w:pPr>
            <w:r>
              <w:rPr>
                <w:rFonts w:cs="Arial"/>
                <w:sz w:val="24"/>
              </w:rPr>
              <w:t>Paul Youngman</w:t>
            </w:r>
          </w:p>
        </w:tc>
        <w:tc>
          <w:tcPr>
            <w:tcW w:w="3118" w:type="dxa"/>
          </w:tcPr>
          <w:p w14:paraId="6B4BEE68" w14:textId="2990E8B8" w:rsidR="0091561F" w:rsidRPr="00446ABD" w:rsidRDefault="0091561F" w:rsidP="0091561F">
            <w:pPr>
              <w:rPr>
                <w:sz w:val="24"/>
              </w:rPr>
            </w:pPr>
            <w:r>
              <w:rPr>
                <w:rFonts w:cs="Arial"/>
                <w:sz w:val="24"/>
              </w:rPr>
              <w:t>Drax</w:t>
            </w:r>
          </w:p>
        </w:tc>
      </w:tr>
      <w:tr w:rsidR="0091561F" w:rsidRPr="00194B25" w14:paraId="73F21579" w14:textId="77777777" w:rsidTr="00D6616A">
        <w:tc>
          <w:tcPr>
            <w:tcW w:w="2977" w:type="dxa"/>
          </w:tcPr>
          <w:p w14:paraId="11C09D98" w14:textId="728FF9FF" w:rsidR="0091561F" w:rsidRPr="00194B25" w:rsidRDefault="0091561F" w:rsidP="0091561F">
            <w:pPr>
              <w:rPr>
                <w:rFonts w:cs="Arial"/>
                <w:sz w:val="24"/>
              </w:rPr>
            </w:pPr>
            <w:r w:rsidRPr="00194B25">
              <w:rPr>
                <w:rFonts w:cs="Arial"/>
                <w:sz w:val="24"/>
              </w:rPr>
              <w:t>Workgroup Member</w:t>
            </w:r>
          </w:p>
        </w:tc>
        <w:tc>
          <w:tcPr>
            <w:tcW w:w="3119" w:type="dxa"/>
          </w:tcPr>
          <w:p w14:paraId="256A868B" w14:textId="0F71F1A3" w:rsidR="0091561F" w:rsidRPr="00446ABD" w:rsidRDefault="0091561F" w:rsidP="0091561F">
            <w:pPr>
              <w:rPr>
                <w:rFonts w:cs="Arial"/>
                <w:sz w:val="24"/>
              </w:rPr>
            </w:pPr>
            <w:r w:rsidRPr="00446ABD">
              <w:rPr>
                <w:sz w:val="24"/>
              </w:rPr>
              <w:t>Gregory Edwards</w:t>
            </w:r>
          </w:p>
        </w:tc>
        <w:tc>
          <w:tcPr>
            <w:tcW w:w="3118" w:type="dxa"/>
          </w:tcPr>
          <w:p w14:paraId="02B8506D" w14:textId="0037F43B" w:rsidR="0091561F" w:rsidRPr="00194B25" w:rsidRDefault="0091561F" w:rsidP="0091561F">
            <w:pPr>
              <w:rPr>
                <w:rFonts w:cs="Arial"/>
                <w:sz w:val="24"/>
              </w:rPr>
            </w:pPr>
            <w:r>
              <w:rPr>
                <w:rFonts w:cs="Arial"/>
                <w:sz w:val="24"/>
              </w:rPr>
              <w:t>Centrica</w:t>
            </w:r>
          </w:p>
        </w:tc>
      </w:tr>
      <w:tr w:rsidR="0091561F" w:rsidRPr="00194B25" w14:paraId="6D922845" w14:textId="77777777" w:rsidTr="00D6616A">
        <w:tc>
          <w:tcPr>
            <w:tcW w:w="2977" w:type="dxa"/>
          </w:tcPr>
          <w:p w14:paraId="138070D4" w14:textId="187696DD" w:rsidR="0091561F" w:rsidRPr="00194B25" w:rsidRDefault="0091561F" w:rsidP="0091561F">
            <w:pPr>
              <w:rPr>
                <w:rFonts w:cs="Arial"/>
                <w:sz w:val="24"/>
              </w:rPr>
            </w:pPr>
            <w:r w:rsidRPr="00194B25">
              <w:rPr>
                <w:rFonts w:cs="Arial"/>
                <w:sz w:val="24"/>
              </w:rPr>
              <w:t>Workgroup Member</w:t>
            </w:r>
          </w:p>
        </w:tc>
        <w:tc>
          <w:tcPr>
            <w:tcW w:w="3119" w:type="dxa"/>
          </w:tcPr>
          <w:p w14:paraId="4175298A" w14:textId="0BE74DE4" w:rsidR="0091561F" w:rsidRPr="00446ABD" w:rsidRDefault="0091561F" w:rsidP="0091561F">
            <w:pPr>
              <w:rPr>
                <w:rFonts w:cs="Arial"/>
                <w:sz w:val="24"/>
              </w:rPr>
            </w:pPr>
            <w:r w:rsidRPr="00446ABD">
              <w:rPr>
                <w:sz w:val="24"/>
              </w:rPr>
              <w:t>Maz Alkirwi</w:t>
            </w:r>
          </w:p>
        </w:tc>
        <w:tc>
          <w:tcPr>
            <w:tcW w:w="3118" w:type="dxa"/>
          </w:tcPr>
          <w:p w14:paraId="46C779A2" w14:textId="358F6BB4" w:rsidR="0091561F" w:rsidRPr="00194B25" w:rsidRDefault="0091561F" w:rsidP="0091561F">
            <w:pPr>
              <w:rPr>
                <w:rFonts w:cs="Arial"/>
                <w:sz w:val="24"/>
              </w:rPr>
            </w:pPr>
            <w:r w:rsidRPr="00446ABD">
              <w:rPr>
                <w:sz w:val="24"/>
              </w:rPr>
              <w:t>SHEPD (Scottish Hydro Electric Power Distribution)</w:t>
            </w:r>
          </w:p>
        </w:tc>
      </w:tr>
      <w:tr w:rsidR="0091561F" w:rsidRPr="00194B25" w14:paraId="5B8C2CED" w14:textId="77777777" w:rsidTr="00D6616A">
        <w:tc>
          <w:tcPr>
            <w:tcW w:w="2977" w:type="dxa"/>
          </w:tcPr>
          <w:p w14:paraId="56D1537A" w14:textId="48A4C33D" w:rsidR="0091561F" w:rsidRPr="00194B25" w:rsidRDefault="0091561F" w:rsidP="0091561F">
            <w:pPr>
              <w:rPr>
                <w:rFonts w:cs="Arial"/>
                <w:sz w:val="24"/>
              </w:rPr>
            </w:pPr>
            <w:r w:rsidRPr="00194B25">
              <w:rPr>
                <w:rFonts w:cs="Arial"/>
                <w:sz w:val="24"/>
              </w:rPr>
              <w:t>Workgroup Member</w:t>
            </w:r>
          </w:p>
        </w:tc>
        <w:tc>
          <w:tcPr>
            <w:tcW w:w="3119" w:type="dxa"/>
          </w:tcPr>
          <w:p w14:paraId="377C517A" w14:textId="1D43F97D" w:rsidR="0091561F" w:rsidRPr="00446ABD" w:rsidRDefault="00204CDA" w:rsidP="0091561F">
            <w:pPr>
              <w:rPr>
                <w:sz w:val="24"/>
              </w:rPr>
            </w:pPr>
            <w:r w:rsidRPr="00204CDA">
              <w:rPr>
                <w:sz w:val="24"/>
              </w:rPr>
              <w:t>Craig Pollock</w:t>
            </w:r>
          </w:p>
        </w:tc>
        <w:tc>
          <w:tcPr>
            <w:tcW w:w="3118" w:type="dxa"/>
          </w:tcPr>
          <w:p w14:paraId="374E8D36" w14:textId="7E47BABE" w:rsidR="0091561F" w:rsidRPr="00CE1648" w:rsidRDefault="0091561F" w:rsidP="0091561F">
            <w:pPr>
              <w:rPr>
                <w:rFonts w:cs="Arial"/>
                <w:sz w:val="24"/>
              </w:rPr>
            </w:pPr>
            <w:r w:rsidRPr="00CE1648">
              <w:rPr>
                <w:sz w:val="24"/>
              </w:rPr>
              <w:t>SHE Transmission</w:t>
            </w:r>
          </w:p>
        </w:tc>
      </w:tr>
      <w:tr w:rsidR="0091561F" w:rsidRPr="00194B25" w14:paraId="3ABEAEE8" w14:textId="77777777" w:rsidTr="00D6616A">
        <w:tc>
          <w:tcPr>
            <w:tcW w:w="2977" w:type="dxa"/>
          </w:tcPr>
          <w:p w14:paraId="2FD90081" w14:textId="4662EAE6" w:rsidR="0091561F" w:rsidRPr="00194B25" w:rsidRDefault="0091561F" w:rsidP="0091561F">
            <w:pPr>
              <w:rPr>
                <w:rFonts w:cs="Arial"/>
                <w:sz w:val="24"/>
              </w:rPr>
            </w:pPr>
            <w:r w:rsidRPr="00194B25">
              <w:rPr>
                <w:rFonts w:cs="Arial"/>
                <w:sz w:val="24"/>
              </w:rPr>
              <w:t>Workgroup Member</w:t>
            </w:r>
            <w:r>
              <w:rPr>
                <w:rFonts w:cs="Arial"/>
                <w:sz w:val="24"/>
              </w:rPr>
              <w:t xml:space="preserve"> (Alternate)</w:t>
            </w:r>
          </w:p>
        </w:tc>
        <w:tc>
          <w:tcPr>
            <w:tcW w:w="3119" w:type="dxa"/>
          </w:tcPr>
          <w:p w14:paraId="32F5142E" w14:textId="6392EF9E" w:rsidR="0091561F" w:rsidRPr="00446ABD" w:rsidRDefault="00204CDA" w:rsidP="0091561F">
            <w:pPr>
              <w:rPr>
                <w:sz w:val="24"/>
              </w:rPr>
            </w:pPr>
            <w:r>
              <w:rPr>
                <w:sz w:val="24"/>
              </w:rPr>
              <w:t>Victoria MacLeod</w:t>
            </w:r>
          </w:p>
        </w:tc>
        <w:tc>
          <w:tcPr>
            <w:tcW w:w="3118" w:type="dxa"/>
          </w:tcPr>
          <w:p w14:paraId="7F13EED7" w14:textId="1A6A46C4" w:rsidR="0091561F" w:rsidRPr="00CE1648" w:rsidRDefault="0091561F" w:rsidP="0091561F">
            <w:pPr>
              <w:rPr>
                <w:sz w:val="24"/>
              </w:rPr>
            </w:pPr>
            <w:r w:rsidRPr="00CE1648">
              <w:rPr>
                <w:sz w:val="24"/>
              </w:rPr>
              <w:t>SHE Transmission</w:t>
            </w:r>
          </w:p>
        </w:tc>
      </w:tr>
      <w:tr w:rsidR="0091561F" w:rsidRPr="00194B25" w14:paraId="218EE0E0" w14:textId="77777777" w:rsidTr="00D6616A">
        <w:tc>
          <w:tcPr>
            <w:tcW w:w="2977" w:type="dxa"/>
            <w:hideMark/>
          </w:tcPr>
          <w:p w14:paraId="151B82BF" w14:textId="77777777" w:rsidR="0091561F" w:rsidRPr="00194B25" w:rsidRDefault="0091561F" w:rsidP="0091561F">
            <w:pPr>
              <w:rPr>
                <w:rFonts w:cs="Arial"/>
                <w:sz w:val="24"/>
              </w:rPr>
            </w:pPr>
            <w:r w:rsidRPr="00194B25">
              <w:rPr>
                <w:rFonts w:cs="Arial"/>
                <w:sz w:val="24"/>
              </w:rPr>
              <w:t xml:space="preserve">Authority Representative </w:t>
            </w:r>
          </w:p>
        </w:tc>
        <w:tc>
          <w:tcPr>
            <w:tcW w:w="3119" w:type="dxa"/>
          </w:tcPr>
          <w:p w14:paraId="5B7384FE" w14:textId="5A69DC4F" w:rsidR="0091561F" w:rsidRPr="00194B25" w:rsidRDefault="0091561F" w:rsidP="0091561F">
            <w:pPr>
              <w:rPr>
                <w:rFonts w:cs="Arial"/>
                <w:sz w:val="24"/>
              </w:rPr>
            </w:pPr>
            <w:r>
              <w:rPr>
                <w:rFonts w:cs="Arial"/>
                <w:sz w:val="24"/>
              </w:rPr>
              <w:t>Andrew Malley</w:t>
            </w:r>
          </w:p>
        </w:tc>
        <w:tc>
          <w:tcPr>
            <w:tcW w:w="3118" w:type="dxa"/>
          </w:tcPr>
          <w:p w14:paraId="79C1F988" w14:textId="780B088A" w:rsidR="0091561F" w:rsidRPr="00194B25" w:rsidRDefault="0091561F" w:rsidP="0091561F">
            <w:pPr>
              <w:rPr>
                <w:rFonts w:cs="Arial"/>
                <w:sz w:val="24"/>
              </w:rPr>
            </w:pPr>
            <w:r>
              <w:rPr>
                <w:rFonts w:cs="Arial"/>
                <w:sz w:val="24"/>
              </w:rPr>
              <w:t>Ofgem</w:t>
            </w:r>
          </w:p>
        </w:tc>
      </w:tr>
      <w:tr w:rsidR="008C6D0B" w:rsidRPr="00194B25" w14:paraId="55A8AC58" w14:textId="77777777" w:rsidTr="00D6616A">
        <w:tc>
          <w:tcPr>
            <w:tcW w:w="2977" w:type="dxa"/>
          </w:tcPr>
          <w:p w14:paraId="607A3A02" w14:textId="7D55777E" w:rsidR="008C6D0B" w:rsidRPr="00194B25" w:rsidRDefault="008C6D0B" w:rsidP="0091561F">
            <w:pPr>
              <w:rPr>
                <w:rFonts w:cs="Arial"/>
                <w:sz w:val="24"/>
              </w:rPr>
            </w:pPr>
            <w:r>
              <w:rPr>
                <w:rFonts w:cs="Arial"/>
                <w:sz w:val="24"/>
              </w:rPr>
              <w:t>For Information only</w:t>
            </w:r>
          </w:p>
        </w:tc>
        <w:tc>
          <w:tcPr>
            <w:tcW w:w="3119" w:type="dxa"/>
          </w:tcPr>
          <w:p w14:paraId="4C1057A9" w14:textId="72B04638" w:rsidR="008C6D0B" w:rsidRDefault="008C6D0B" w:rsidP="0091561F">
            <w:pPr>
              <w:rPr>
                <w:rFonts w:cs="Arial"/>
                <w:sz w:val="24"/>
              </w:rPr>
            </w:pPr>
            <w:r>
              <w:rPr>
                <w:rFonts w:cs="Arial"/>
                <w:sz w:val="24"/>
              </w:rPr>
              <w:t>Richard Woodward</w:t>
            </w:r>
          </w:p>
        </w:tc>
        <w:tc>
          <w:tcPr>
            <w:tcW w:w="3118" w:type="dxa"/>
          </w:tcPr>
          <w:p w14:paraId="29FFCEAE" w14:textId="1A409F9C" w:rsidR="008C6D0B" w:rsidRDefault="008C6D0B" w:rsidP="0091561F">
            <w:pPr>
              <w:rPr>
                <w:rFonts w:cs="Arial"/>
                <w:sz w:val="24"/>
              </w:rPr>
            </w:pPr>
            <w:r>
              <w:rPr>
                <w:rFonts w:cs="Arial"/>
                <w:sz w:val="24"/>
              </w:rPr>
              <w:t>NGET</w:t>
            </w: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D233B9" w:rsidR="00C72699" w:rsidRPr="00C72699" w:rsidRDefault="00C72699" w:rsidP="00CE1648">
      <w:pPr>
        <w:pStyle w:val="ListParagraph"/>
        <w:numPr>
          <w:ilvl w:val="0"/>
          <w:numId w:val="22"/>
        </w:numPr>
        <w:jc w:val="both"/>
        <w:rPr>
          <w:sz w:val="24"/>
        </w:rPr>
      </w:pPr>
      <w:r w:rsidRPr="00C72699">
        <w:rPr>
          <w:sz w:val="24"/>
        </w:rPr>
        <w:t xml:space="preserve">The chairman of the Workgroup and the Modifications Panel Chairman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65DC73EE" w:rsidR="00C72699" w:rsidRPr="00326E49" w:rsidRDefault="00C72699" w:rsidP="00CE1648">
      <w:pPr>
        <w:pStyle w:val="ListParagraph"/>
        <w:numPr>
          <w:ilvl w:val="0"/>
          <w:numId w:val="22"/>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77777777" w:rsidR="00C72699" w:rsidRPr="00C72699" w:rsidRDefault="00C72699" w:rsidP="00CE1648">
      <w:pPr>
        <w:numPr>
          <w:ilvl w:val="0"/>
          <w:numId w:val="22"/>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E1648">
      <w:pPr>
        <w:numPr>
          <w:ilvl w:val="0"/>
          <w:numId w:val="22"/>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E1648">
      <w:pPr>
        <w:numPr>
          <w:ilvl w:val="0"/>
          <w:numId w:val="22"/>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E1648">
      <w:pPr>
        <w:numPr>
          <w:ilvl w:val="0"/>
          <w:numId w:val="22"/>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CCC3" w14:textId="77777777" w:rsidR="00B23A2F" w:rsidRDefault="00B23A2F" w:rsidP="00D06DC4">
      <w:pPr>
        <w:spacing w:before="0" w:after="0" w:line="240" w:lineRule="auto"/>
      </w:pPr>
      <w:r>
        <w:separator/>
      </w:r>
    </w:p>
  </w:endnote>
  <w:endnote w:type="continuationSeparator" w:id="0">
    <w:p w14:paraId="158B5354" w14:textId="77777777" w:rsidR="00B23A2F" w:rsidRDefault="00B23A2F" w:rsidP="00D06DC4">
      <w:pPr>
        <w:spacing w:before="0" w:after="0" w:line="240" w:lineRule="auto"/>
      </w:pPr>
      <w:r>
        <w:continuationSeparator/>
      </w:r>
    </w:p>
  </w:endnote>
  <w:endnote w:type="continuationNotice" w:id="1">
    <w:p w14:paraId="698FDEAC" w14:textId="77777777" w:rsidR="00B23A2F" w:rsidRDefault="00B23A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284CD" w14:textId="77777777" w:rsidR="00B23A2F" w:rsidRDefault="00B23A2F" w:rsidP="00D06DC4">
      <w:pPr>
        <w:spacing w:before="0" w:after="0" w:line="240" w:lineRule="auto"/>
      </w:pPr>
      <w:r>
        <w:separator/>
      </w:r>
    </w:p>
  </w:footnote>
  <w:footnote w:type="continuationSeparator" w:id="0">
    <w:p w14:paraId="5CCEBAEC" w14:textId="77777777" w:rsidR="00B23A2F" w:rsidRDefault="00B23A2F" w:rsidP="00D06DC4">
      <w:pPr>
        <w:spacing w:before="0" w:after="0" w:line="240" w:lineRule="auto"/>
      </w:pPr>
      <w:r>
        <w:continuationSeparator/>
      </w:r>
    </w:p>
  </w:footnote>
  <w:footnote w:type="continuationNotice" w:id="1">
    <w:p w14:paraId="6A3BBE00" w14:textId="77777777" w:rsidR="00B23A2F" w:rsidRDefault="00B23A2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10DD5FEC" w:rsidR="00B8588F" w:rsidRDefault="00B8588F" w:rsidP="000C711B">
    <w:pPr>
      <w:pStyle w:val="Header"/>
      <w:ind w:left="720" w:firstLine="720"/>
      <w:jc w:val="right"/>
    </w:pPr>
    <w:bookmarkStart w:id="4" w:name="_Hlk31876634"/>
    <w:bookmarkStart w:id="5" w:name="_Hlk31876635"/>
    <w:r w:rsidRPr="00184853">
      <w:rPr>
        <w:noProof/>
      </w:rPr>
      <w:drawing>
        <wp:anchor distT="0" distB="0" distL="114300" distR="114300" simplePos="0" relativeHeight="2516710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810B20">
      <w:t xml:space="preserve">Terms of Reference </w:t>
    </w:r>
    <w:r w:rsidR="00BF59BA">
      <w:t>CMP</w:t>
    </w:r>
    <w:r w:rsidR="00400CAE">
      <w:t>286/287</w:t>
    </w:r>
    <w:r>
      <w:tab/>
    </w:r>
    <w:bookmarkEnd w:id="4"/>
    <w:bookmarkEnd w:id="5"/>
    <w:r w:rsidR="00040B6A">
      <w:t xml:space="preserve">Panel date: </w:t>
    </w:r>
    <w:r w:rsidR="00922ABC">
      <w:t>20 October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066CF3"/>
    <w:multiLevelType w:val="hybridMultilevel"/>
    <w:tmpl w:val="CE4CB7B6"/>
    <w:lvl w:ilvl="0" w:tplc="3684F886">
      <w:start w:val="1"/>
      <w:numFmt w:val="decimal"/>
      <w:lvlText w:val="%1."/>
      <w:lvlJc w:val="left"/>
      <w:pPr>
        <w:ind w:left="720" w:hanging="360"/>
      </w:pPr>
      <w:rPr>
        <w:rFonts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C6326F"/>
    <w:multiLevelType w:val="hybridMultilevel"/>
    <w:tmpl w:val="FCFAA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3173332">
    <w:abstractNumId w:val="17"/>
  </w:num>
  <w:num w:numId="2" w16cid:durableId="1771923387">
    <w:abstractNumId w:val="8"/>
  </w:num>
  <w:num w:numId="3" w16cid:durableId="421611475">
    <w:abstractNumId w:val="6"/>
  </w:num>
  <w:num w:numId="4" w16cid:durableId="958144036">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4167577">
    <w:abstractNumId w:val="8"/>
  </w:num>
  <w:num w:numId="6" w16cid:durableId="161163673">
    <w:abstractNumId w:val="6"/>
  </w:num>
  <w:num w:numId="7" w16cid:durableId="1620260909">
    <w:abstractNumId w:val="15"/>
  </w:num>
  <w:num w:numId="8" w16cid:durableId="2068794280">
    <w:abstractNumId w:val="0"/>
  </w:num>
  <w:num w:numId="9" w16cid:durableId="603465310">
    <w:abstractNumId w:val="16"/>
  </w:num>
  <w:num w:numId="10" w16cid:durableId="1444764575">
    <w:abstractNumId w:val="10"/>
  </w:num>
  <w:num w:numId="11" w16cid:durableId="615329229">
    <w:abstractNumId w:val="5"/>
  </w:num>
  <w:num w:numId="12" w16cid:durableId="1675306479">
    <w:abstractNumId w:val="14"/>
  </w:num>
  <w:num w:numId="13" w16cid:durableId="1258371849">
    <w:abstractNumId w:val="7"/>
  </w:num>
  <w:num w:numId="14" w16cid:durableId="1614096209">
    <w:abstractNumId w:val="1"/>
  </w:num>
  <w:num w:numId="15" w16cid:durableId="1466115795">
    <w:abstractNumId w:val="9"/>
  </w:num>
  <w:num w:numId="16" w16cid:durableId="459033868">
    <w:abstractNumId w:val="8"/>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1761680279">
    <w:abstractNumId w:val="13"/>
  </w:num>
  <w:num w:numId="18" w16cid:durableId="1048458266">
    <w:abstractNumId w:val="2"/>
  </w:num>
  <w:num w:numId="19" w16cid:durableId="1112626191">
    <w:abstractNumId w:val="3"/>
  </w:num>
  <w:num w:numId="20" w16cid:durableId="1255114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50485664">
    <w:abstractNumId w:val="12"/>
  </w:num>
  <w:num w:numId="22" w16cid:durableId="160026143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0D15"/>
    <w:rsid w:val="00043CA8"/>
    <w:rsid w:val="00043E39"/>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9761C"/>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6CF"/>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351E"/>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3459"/>
    <w:rsid w:val="001C6B13"/>
    <w:rsid w:val="001C7125"/>
    <w:rsid w:val="001D1369"/>
    <w:rsid w:val="001D150E"/>
    <w:rsid w:val="001D3A73"/>
    <w:rsid w:val="001D435E"/>
    <w:rsid w:val="001D48A3"/>
    <w:rsid w:val="001D741E"/>
    <w:rsid w:val="001E1149"/>
    <w:rsid w:val="001E477B"/>
    <w:rsid w:val="001E4B96"/>
    <w:rsid w:val="001E53E8"/>
    <w:rsid w:val="001E5706"/>
    <w:rsid w:val="001E781B"/>
    <w:rsid w:val="001F10F4"/>
    <w:rsid w:val="001F33F0"/>
    <w:rsid w:val="001F51F0"/>
    <w:rsid w:val="001F62CE"/>
    <w:rsid w:val="00204CDA"/>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46EB"/>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1CFC"/>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1565"/>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0CAE"/>
    <w:rsid w:val="004057AA"/>
    <w:rsid w:val="00405F32"/>
    <w:rsid w:val="00405F4B"/>
    <w:rsid w:val="00411EF7"/>
    <w:rsid w:val="00414917"/>
    <w:rsid w:val="00416ACC"/>
    <w:rsid w:val="0042272E"/>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46ABD"/>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3DD"/>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2FCC"/>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CD9"/>
    <w:rsid w:val="00632EE1"/>
    <w:rsid w:val="006333C1"/>
    <w:rsid w:val="0063660B"/>
    <w:rsid w:val="006370B8"/>
    <w:rsid w:val="00637799"/>
    <w:rsid w:val="00643587"/>
    <w:rsid w:val="006478AC"/>
    <w:rsid w:val="00650074"/>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5D27"/>
    <w:rsid w:val="006A6B1C"/>
    <w:rsid w:val="006A726B"/>
    <w:rsid w:val="006A7F32"/>
    <w:rsid w:val="006B0BA5"/>
    <w:rsid w:val="006B7455"/>
    <w:rsid w:val="006C0C1E"/>
    <w:rsid w:val="006C107E"/>
    <w:rsid w:val="006C111A"/>
    <w:rsid w:val="006C1D32"/>
    <w:rsid w:val="006C3E98"/>
    <w:rsid w:val="006C66F4"/>
    <w:rsid w:val="006C6DC5"/>
    <w:rsid w:val="006C72B8"/>
    <w:rsid w:val="006D0EBA"/>
    <w:rsid w:val="006D7A67"/>
    <w:rsid w:val="006E0DC0"/>
    <w:rsid w:val="006E11DD"/>
    <w:rsid w:val="006E1C12"/>
    <w:rsid w:val="006E2018"/>
    <w:rsid w:val="006E2539"/>
    <w:rsid w:val="006E27B8"/>
    <w:rsid w:val="006E5C07"/>
    <w:rsid w:val="006E67E4"/>
    <w:rsid w:val="006E754F"/>
    <w:rsid w:val="006F04A0"/>
    <w:rsid w:val="006F1DF3"/>
    <w:rsid w:val="00700043"/>
    <w:rsid w:val="00701424"/>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1984"/>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C6D0B"/>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61F"/>
    <w:rsid w:val="0091591F"/>
    <w:rsid w:val="009208CA"/>
    <w:rsid w:val="00922ABC"/>
    <w:rsid w:val="00926C17"/>
    <w:rsid w:val="00930E16"/>
    <w:rsid w:val="009313C8"/>
    <w:rsid w:val="0093552D"/>
    <w:rsid w:val="00935A79"/>
    <w:rsid w:val="00937D02"/>
    <w:rsid w:val="00941EBE"/>
    <w:rsid w:val="00943569"/>
    <w:rsid w:val="00944B57"/>
    <w:rsid w:val="00950BAA"/>
    <w:rsid w:val="00950FC5"/>
    <w:rsid w:val="009515CD"/>
    <w:rsid w:val="00951B5C"/>
    <w:rsid w:val="0095596B"/>
    <w:rsid w:val="009572DD"/>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479D"/>
    <w:rsid w:val="00A2633E"/>
    <w:rsid w:val="00A33AB4"/>
    <w:rsid w:val="00A3611A"/>
    <w:rsid w:val="00A412AA"/>
    <w:rsid w:val="00A423E3"/>
    <w:rsid w:val="00A46421"/>
    <w:rsid w:val="00A5007D"/>
    <w:rsid w:val="00A515F0"/>
    <w:rsid w:val="00A54D12"/>
    <w:rsid w:val="00A610FC"/>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0DB3"/>
    <w:rsid w:val="00B13224"/>
    <w:rsid w:val="00B13F32"/>
    <w:rsid w:val="00B14437"/>
    <w:rsid w:val="00B158BE"/>
    <w:rsid w:val="00B174B8"/>
    <w:rsid w:val="00B23A2F"/>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4854"/>
    <w:rsid w:val="00B95500"/>
    <w:rsid w:val="00B96805"/>
    <w:rsid w:val="00BA67DA"/>
    <w:rsid w:val="00BA7B39"/>
    <w:rsid w:val="00BB1D0F"/>
    <w:rsid w:val="00BB2970"/>
    <w:rsid w:val="00BB33F6"/>
    <w:rsid w:val="00BB7DB1"/>
    <w:rsid w:val="00BC005B"/>
    <w:rsid w:val="00BC2E51"/>
    <w:rsid w:val="00BC42F7"/>
    <w:rsid w:val="00BC5F63"/>
    <w:rsid w:val="00BC6934"/>
    <w:rsid w:val="00BD020A"/>
    <w:rsid w:val="00BD0AB5"/>
    <w:rsid w:val="00BD16D7"/>
    <w:rsid w:val="00BD1E2F"/>
    <w:rsid w:val="00BD4EE4"/>
    <w:rsid w:val="00BD5234"/>
    <w:rsid w:val="00BD5E5E"/>
    <w:rsid w:val="00BE183E"/>
    <w:rsid w:val="00BE5334"/>
    <w:rsid w:val="00BF3947"/>
    <w:rsid w:val="00BF4C76"/>
    <w:rsid w:val="00BF4C9B"/>
    <w:rsid w:val="00BF4F04"/>
    <w:rsid w:val="00BF5875"/>
    <w:rsid w:val="00BF59BA"/>
    <w:rsid w:val="00C0063E"/>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14F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4422"/>
    <w:rsid w:val="00C92950"/>
    <w:rsid w:val="00CA23CB"/>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6A9A"/>
    <w:rsid w:val="00CD79BF"/>
    <w:rsid w:val="00CD7E88"/>
    <w:rsid w:val="00CE164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5D8"/>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C15DF"/>
    <w:rsid w:val="00DC20D5"/>
    <w:rsid w:val="00DC29D1"/>
    <w:rsid w:val="00DC2BBD"/>
    <w:rsid w:val="00DC6638"/>
    <w:rsid w:val="00DD1C0B"/>
    <w:rsid w:val="00DD6295"/>
    <w:rsid w:val="00DE08D0"/>
    <w:rsid w:val="00DE0E8D"/>
    <w:rsid w:val="00DE12A5"/>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338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0966"/>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5CD"/>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 w:type="paragraph" w:customStyle="1" w:styleId="Default">
    <w:name w:val="Default"/>
    <w:rsid w:val="00400CAE"/>
    <w:pPr>
      <w:autoSpaceDE w:val="0"/>
      <w:autoSpaceDN w:val="0"/>
      <w:adjustRightInd w:val="0"/>
      <w:spacing w:after="0" w:line="240" w:lineRule="auto"/>
    </w:pPr>
    <w:rPr>
      <w:rFonts w:ascii="Arial" w:hAnsi="Arial" w:cs="Arial"/>
      <w:color w:val="000000"/>
      <w:sz w:val="24"/>
      <w:szCs w:val="24"/>
    </w:rPr>
  </w:style>
  <w:style w:type="character" w:styleId="HTMLCode">
    <w:name w:val="HTML Code"/>
    <w:rsid w:val="00891984"/>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62862654">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E5CC-4FC3-4B83-AA80-77D2DC67A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1356D85B-5292-4A73-B3AC-733E4B1FF33F}">
  <ds:schemaRefs>
    <ds:schemaRef ds:uri="http://purl.org/dc/elements/1.1/"/>
    <ds:schemaRef ds:uri="http://purl.org/dc/terms/"/>
    <ds:schemaRef ds:uri="f71abe4e-f5ff-49cd-8eff-5f4949acc510"/>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cadce026-d35b-4a62-a2ee-1436bb44fb55"/>
    <ds:schemaRef ds:uri="97b6fe81-1556-4112-94ca-31043ca39b7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1</TotalTime>
  <Pages>5</Pages>
  <Words>1569</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Shazia Akhtar (ESO)</cp:lastModifiedBy>
  <cp:revision>5</cp:revision>
  <cp:lastPrinted>2023-09-13T12:49:00Z</cp:lastPrinted>
  <dcterms:created xsi:type="dcterms:W3CDTF">2023-09-13T11:18:00Z</dcterms:created>
  <dcterms:modified xsi:type="dcterms:W3CDTF">2023-09-13T12:49:00Z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MediaServiceImageTags">
    <vt:lpwstr/>
  </property>
</Properties>
</file>