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20A9FDE4"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p>
        </w:tc>
      </w:tr>
      <w:tr w:rsidR="005C2D1D" w:rsidRPr="00EB32BB" w14:paraId="18ACFA02" w14:textId="77777777" w:rsidTr="00F925CF">
        <w:trPr>
          <w:trHeight w:val="2438"/>
        </w:trPr>
        <w:tc>
          <w:tcPr>
            <w:tcW w:w="10070" w:type="dxa"/>
            <w:shd w:val="clear" w:color="auto" w:fill="auto"/>
          </w:tcPr>
          <w:p w14:paraId="04D2B5D0" w14:textId="1A463618" w:rsidR="005C2D1D" w:rsidRPr="00295110" w:rsidRDefault="005C2D1D" w:rsidP="00F925CF">
            <w:pPr>
              <w:spacing w:before="0" w:after="0"/>
              <w:rPr>
                <w:rFonts w:cs="Arial"/>
                <w:b/>
                <w:color w:val="F26522" w:themeColor="accent1"/>
                <w:sz w:val="56"/>
                <w:szCs w:val="56"/>
              </w:rPr>
            </w:pPr>
            <w:bookmarkStart w:id="1" w:name="_Hlk31877162"/>
            <w:r>
              <w:rPr>
                <w:rFonts w:cs="Arial"/>
                <w:b/>
                <w:color w:val="F26522" w:themeColor="accent1"/>
                <w:sz w:val="56"/>
                <w:szCs w:val="56"/>
              </w:rPr>
              <w:t>CMP</w:t>
            </w:r>
            <w:r w:rsidR="0018350D">
              <w:rPr>
                <w:rFonts w:cs="Arial"/>
                <w:b/>
                <w:color w:val="F26522" w:themeColor="accent1"/>
                <w:sz w:val="56"/>
                <w:szCs w:val="56"/>
              </w:rPr>
              <w:t>413</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2"/>
            <w:r w:rsidRPr="00FB2FB5">
              <w:rPr>
                <w:rFonts w:cs="Arial"/>
                <w:b/>
                <w:bCs/>
                <w:color w:val="FFFFFF" w:themeColor="background1"/>
                <w:sz w:val="24"/>
              </w:rPr>
              <w:t>Guidance</w:t>
            </w:r>
            <w:commentRangeEnd w:id="2"/>
            <w:r w:rsidR="00927745">
              <w:rPr>
                <w:rStyle w:val="CommentReference"/>
              </w:rPr>
              <w:commentReference w:id="2"/>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3" w:name="_Executive_Summary"/>
      <w:bookmarkStart w:id="4" w:name="_Workgroup_Consultation_Introduction"/>
      <w:bookmarkEnd w:id="3"/>
      <w:bookmarkEnd w:id="4"/>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5"/>
      <w:r w:rsidRPr="000B6ADA">
        <w:rPr>
          <w:sz w:val="24"/>
        </w:rPr>
        <w:t>[Insert</w:t>
      </w:r>
      <w:r>
        <w:rPr>
          <w:sz w:val="24"/>
        </w:rPr>
        <w:t xml:space="preserve"> your solution</w:t>
      </w:r>
      <w:r w:rsidRPr="000B6ADA">
        <w:rPr>
          <w:sz w:val="24"/>
        </w:rPr>
        <w:t>]</w:t>
      </w:r>
      <w:commentRangeEnd w:id="5"/>
      <w:r>
        <w:rPr>
          <w:rStyle w:val="CommentReference"/>
        </w:rPr>
        <w:commentReference w:id="5"/>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commentRangeStart w:id="6"/>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commentRangeEnd w:id="6"/>
            <w:r w:rsidR="006277B0">
              <w:rPr>
                <w:rStyle w:val="CommentReference"/>
                <w:color w:val="auto"/>
              </w:rPr>
              <w:commentReference w:id="6"/>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(a) That compliance with the use of system charging methodology facilitates effective competition in the generation and supply of electricity and (so far as is consistent therewith) facilitates competition in the sale, distribution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7"/>
            <w:r w:rsidRPr="000237CD">
              <w:rPr>
                <w:b/>
                <w:sz w:val="24"/>
              </w:rPr>
              <w:t>Positive/Negative/None:</w:t>
            </w:r>
            <w:r>
              <w:rPr>
                <w:sz w:val="24"/>
              </w:rPr>
              <w:t xml:space="preserve"> [Please provide rationale]</w:t>
            </w:r>
            <w:commentRangeEnd w:id="7"/>
            <w:r w:rsidR="006E5C07">
              <w:rPr>
                <w:rStyle w:val="CommentReference"/>
              </w:rPr>
              <w:commentReference w:id="7"/>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Pr>
        <w:commentReference w:id="8"/>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5"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6" w:author="Guidance" w:date="2020-07-24T13:46:00Z" w:initials="01">
    <w:p w14:paraId="4C8AEEF9" w14:textId="018AA8A7" w:rsidR="006277B0" w:rsidRDefault="006277B0">
      <w:pPr>
        <w:pStyle w:val="CommentText"/>
      </w:pPr>
      <w:r>
        <w:rPr>
          <w:rStyle w:val="CommentReference"/>
        </w:rPr>
        <w:annotationRef/>
      </w:r>
      <w:r>
        <w:t>If your</w:t>
      </w:r>
      <w:r w:rsidR="00F74E34">
        <w:t xml:space="preserve"> proposal is to change Section 14 (the charging section) of CUSC, please </w:t>
      </w:r>
      <w:r w:rsidR="00BD4EE4">
        <w:t>complete your assessment against the</w:t>
      </w:r>
      <w:r w:rsidR="00FC56D3">
        <w:t>se</w:t>
      </w:r>
      <w:r w:rsidR="00BD4EE4">
        <w:t xml:space="preserve"> </w:t>
      </w:r>
      <w:r w:rsidR="00FC56D3">
        <w:t>Charging</w:t>
      </w:r>
      <w:r w:rsidR="00BD4EE4">
        <w:t xml:space="preserve"> Objectives.</w:t>
      </w:r>
    </w:p>
    <w:p w14:paraId="29F9A510" w14:textId="77777777" w:rsidR="00BD4EE4" w:rsidRDefault="00BD4EE4">
      <w:pPr>
        <w:pStyle w:val="CommentText"/>
      </w:pPr>
    </w:p>
    <w:p w14:paraId="1C4F1B28" w14:textId="0FF02EC6" w:rsidR="00BD4EE4" w:rsidRDefault="00BD4EE4">
      <w:pPr>
        <w:pStyle w:val="CommentText"/>
      </w:pPr>
      <w:r>
        <w:t>If your proposal does not affect Section 14, please remove this table.</w:t>
      </w:r>
    </w:p>
  </w:comment>
  <w:comment w:id="7" w:author="Guidance" w:date="2020-09-09T08:44:00Z" w:initials="G">
    <w:p w14:paraId="318B0084" w14:textId="517C4C86" w:rsidR="006E5C07" w:rsidRDefault="006E5C07">
      <w:pPr>
        <w:pStyle w:val="CommentText"/>
      </w:pPr>
      <w:r>
        <w:rPr>
          <w:rStyle w:val="CommentReference"/>
        </w:rPr>
        <w:annotationRef/>
      </w:r>
      <w:r>
        <w:t>Delete as appropriate. This is your assessment against the applicable objectives</w:t>
      </w:r>
    </w:p>
  </w:comment>
  <w:comment w:id="8" w:author="Guidance" w:date="2020-07-24T13:43:00Z" w:initials="01">
    <w:p w14:paraId="58D07565" w14:textId="64DA4B83" w:rsidR="00CD017A" w:rsidRDefault="00986892" w:rsidP="00986892">
      <w:pPr>
        <w:pStyle w:val="CommentText"/>
      </w:pPr>
      <w:r>
        <w:rPr>
          <w:rStyle w:val="CommentReference"/>
        </w:rPr>
        <w:annotationRef/>
      </w:r>
      <w:r w:rsidR="00854AF2">
        <w:t xml:space="preserve">N.B For modifications which change Section 14, the implementation date is </w:t>
      </w:r>
      <w:r w:rsidR="00E739C0">
        <w:t>t</w:t>
      </w:r>
      <w:r w:rsidR="00AC04D3">
        <w:t>he first day in</w:t>
      </w:r>
      <w:r w:rsidR="00854AF2">
        <w:t xml:space="preserve"> </w:t>
      </w:r>
      <w:r w:rsidR="00AC04D3">
        <w:t>a Charging Year.</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6902A12F" w15:done="0"/>
  <w15:commentEx w15:paraId="3136739E" w15:done="0"/>
  <w15:commentEx w15:paraId="1C4F1B28"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6902A12F" w16cid:durableId="23159241"/>
  <w16cid:commentId w16cid:paraId="3136739E" w16cid:durableId="231581DC"/>
  <w16cid:commentId w16cid:paraId="1C4F1B28" w16cid:durableId="231581E0"/>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5E9B" w14:textId="77777777" w:rsidR="00DC583E" w:rsidRDefault="00DC583E" w:rsidP="00D06DC4">
      <w:pPr>
        <w:spacing w:before="0" w:after="0" w:line="240" w:lineRule="auto"/>
      </w:pPr>
      <w:r>
        <w:separator/>
      </w:r>
    </w:p>
  </w:endnote>
  <w:endnote w:type="continuationSeparator" w:id="0">
    <w:p w14:paraId="30679040" w14:textId="77777777" w:rsidR="00DC583E" w:rsidRDefault="00DC583E" w:rsidP="00D06DC4">
      <w:pPr>
        <w:spacing w:before="0" w:after="0" w:line="240" w:lineRule="auto"/>
      </w:pPr>
      <w:r>
        <w:continuationSeparator/>
      </w:r>
    </w:p>
  </w:endnote>
  <w:endnote w:type="continuationNotice" w:id="1">
    <w:p w14:paraId="2928345F" w14:textId="77777777" w:rsidR="00DC583E" w:rsidRDefault="00DC583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E179" w14:textId="77777777" w:rsidR="00DC583E" w:rsidRDefault="00DC583E" w:rsidP="00D06DC4">
      <w:pPr>
        <w:spacing w:before="0" w:after="0" w:line="240" w:lineRule="auto"/>
      </w:pPr>
      <w:r>
        <w:separator/>
      </w:r>
    </w:p>
  </w:footnote>
  <w:footnote w:type="continuationSeparator" w:id="0">
    <w:p w14:paraId="07FFA093" w14:textId="77777777" w:rsidR="00DC583E" w:rsidRDefault="00DC583E" w:rsidP="00D06DC4">
      <w:pPr>
        <w:spacing w:before="0" w:after="0" w:line="240" w:lineRule="auto"/>
      </w:pPr>
      <w:r>
        <w:continuationSeparator/>
      </w:r>
    </w:p>
  </w:footnote>
  <w:footnote w:type="continuationNotice" w:id="1">
    <w:p w14:paraId="7F7ED86F" w14:textId="77777777" w:rsidR="00DC583E" w:rsidRDefault="00DC583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4" w:name="_Hlk31876634"/>
    <w:bookmarkStart w:id="15"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7E66078D" w:rsidR="00B8588F" w:rsidRDefault="00B8588F" w:rsidP="000C711B">
    <w:pPr>
      <w:pStyle w:val="Header"/>
      <w:ind w:left="720" w:firstLine="720"/>
      <w:jc w:val="right"/>
    </w:pPr>
    <w:r>
      <w:tab/>
    </w:r>
    <w:r>
      <w:tab/>
    </w:r>
    <w:r w:rsidR="00D039FA">
      <w:t>CMP</w:t>
    </w:r>
    <w:r w:rsidR="00484FF7">
      <w:t>413</w:t>
    </w:r>
    <w:r w:rsidR="00F15028">
      <w:t xml:space="preserve"> Alternative X</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058482">
    <w:abstractNumId w:val="25"/>
  </w:num>
  <w:num w:numId="2" w16cid:durableId="1747606815">
    <w:abstractNumId w:val="6"/>
  </w:num>
  <w:num w:numId="3" w16cid:durableId="1725060289">
    <w:abstractNumId w:val="33"/>
  </w:num>
  <w:num w:numId="4" w16cid:durableId="1137645814">
    <w:abstractNumId w:val="17"/>
  </w:num>
  <w:num w:numId="5" w16cid:durableId="1519924370">
    <w:abstractNumId w:val="9"/>
  </w:num>
  <w:num w:numId="6" w16cid:durableId="1275599380">
    <w:abstractNumId w:val="18"/>
  </w:num>
  <w:num w:numId="7" w16cid:durableId="542063912">
    <w:abstractNumId w:val="12"/>
  </w:num>
  <w:num w:numId="8" w16cid:durableId="138545861">
    <w:abstractNumId w:val="42"/>
  </w:num>
  <w:num w:numId="9" w16cid:durableId="1643735561">
    <w:abstractNumId w:val="16"/>
  </w:num>
  <w:num w:numId="10" w16cid:durableId="77870801">
    <w:abstractNumId w:val="5"/>
  </w:num>
  <w:num w:numId="11" w16cid:durableId="626089257">
    <w:abstractNumId w:val="10"/>
  </w:num>
  <w:num w:numId="12" w16cid:durableId="894198265">
    <w:abstractNumId w:val="38"/>
  </w:num>
  <w:num w:numId="13" w16cid:durableId="1347753508">
    <w:abstractNumId w:val="24"/>
  </w:num>
  <w:num w:numId="14" w16cid:durableId="2049331043">
    <w:abstractNumId w:val="20"/>
  </w:num>
  <w:num w:numId="15" w16cid:durableId="1715695135">
    <w:abstractNumId w:val="1"/>
  </w:num>
  <w:num w:numId="16" w16cid:durableId="68383306">
    <w:abstractNumId w:val="36"/>
  </w:num>
  <w:num w:numId="17" w16cid:durableId="1725061861">
    <w:abstractNumId w:val="32"/>
  </w:num>
  <w:num w:numId="18" w16cid:durableId="1313825401">
    <w:abstractNumId w:val="19"/>
  </w:num>
  <w:num w:numId="19" w16cid:durableId="1018583285">
    <w:abstractNumId w:val="13"/>
  </w:num>
  <w:num w:numId="20" w16cid:durableId="977688050">
    <w:abstractNumId w:val="8"/>
  </w:num>
  <w:num w:numId="21" w16cid:durableId="1763260928">
    <w:abstractNumId w:val="27"/>
  </w:num>
  <w:num w:numId="22" w16cid:durableId="1095058260">
    <w:abstractNumId w:val="30"/>
  </w:num>
  <w:num w:numId="23" w16cid:durableId="707340601">
    <w:abstractNumId w:val="4"/>
  </w:num>
  <w:num w:numId="24" w16cid:durableId="1669867387">
    <w:abstractNumId w:val="14"/>
  </w:num>
  <w:num w:numId="25" w16cid:durableId="1247307469">
    <w:abstractNumId w:val="41"/>
  </w:num>
  <w:num w:numId="26" w16cid:durableId="1279408764">
    <w:abstractNumId w:val="11"/>
  </w:num>
  <w:num w:numId="27" w16cid:durableId="915869097">
    <w:abstractNumId w:val="26"/>
  </w:num>
  <w:num w:numId="28" w16cid:durableId="62266851">
    <w:abstractNumId w:val="7"/>
  </w:num>
  <w:num w:numId="29" w16cid:durableId="207492405">
    <w:abstractNumId w:val="29"/>
  </w:num>
  <w:num w:numId="30" w16cid:durableId="1194542020">
    <w:abstractNumId w:val="37"/>
  </w:num>
  <w:num w:numId="31" w16cid:durableId="659046749">
    <w:abstractNumId w:val="34"/>
  </w:num>
  <w:num w:numId="32" w16cid:durableId="1504053662">
    <w:abstractNumId w:val="0"/>
  </w:num>
  <w:num w:numId="33" w16cid:durableId="268509850">
    <w:abstractNumId w:val="22"/>
  </w:num>
  <w:num w:numId="34" w16cid:durableId="702513045">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170682740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5254224">
    <w:abstractNumId w:val="28"/>
  </w:num>
  <w:num w:numId="37" w16cid:durableId="1340624605">
    <w:abstractNumId w:val="21"/>
  </w:num>
  <w:num w:numId="38" w16cid:durableId="2018380791">
    <w:abstractNumId w:val="34"/>
  </w:num>
  <w:num w:numId="39" w16cid:durableId="978995257">
    <w:abstractNumId w:val="15"/>
  </w:num>
  <w:num w:numId="40" w16cid:durableId="1903638985">
    <w:abstractNumId w:val="34"/>
  </w:num>
  <w:num w:numId="41" w16cid:durableId="2049797633">
    <w:abstractNumId w:val="2"/>
  </w:num>
  <w:num w:numId="42" w16cid:durableId="16740626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58942550">
    <w:abstractNumId w:val="31"/>
  </w:num>
  <w:num w:numId="44" w16cid:durableId="614093654">
    <w:abstractNumId w:val="35"/>
  </w:num>
  <w:num w:numId="45" w16cid:durableId="141350605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0C55"/>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350D"/>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4FF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46DA"/>
    <w:rsid w:val="00B46E58"/>
    <w:rsid w:val="00B51A27"/>
    <w:rsid w:val="00B52323"/>
    <w:rsid w:val="00B52754"/>
    <w:rsid w:val="00B538AB"/>
    <w:rsid w:val="00B54392"/>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2FC6"/>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4CAC"/>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583E"/>
    <w:rsid w:val="00DC6638"/>
    <w:rsid w:val="00DD1C0B"/>
    <w:rsid w:val="00DD6295"/>
    <w:rsid w:val="00DE0E8D"/>
    <w:rsid w:val="00DE4B0B"/>
    <w:rsid w:val="00DE5BA7"/>
    <w:rsid w:val="00DE6532"/>
    <w:rsid w:val="00DF2887"/>
    <w:rsid w:val="00DF2F42"/>
    <w:rsid w:val="00DF3A58"/>
    <w:rsid w:val="00DF414A"/>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7" ma:contentTypeDescription="Create a new document." ma:contentTypeScope="" ma:versionID="a9d228084ace73d2d4415d2d903250c8">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8427b9ec3c80439d86e1ec7502415b0c"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D85B-5292-4A73-B3AC-733E4B1FF33F}">
  <ds:schemaRefs>
    <ds:schemaRef ds:uri="http://schemas.microsoft.com/office/2006/metadata/properties"/>
    <ds:schemaRef ds:uri="http://schemas.microsoft.com/office/infopath/2007/PartnerControls"/>
    <ds:schemaRef ds:uri="cadce026-d35b-4a62-a2ee-1436bb44fb55"/>
    <ds:schemaRef ds:uri="f71abe4e-f5ff-49cd-8eff-5f4949acc510"/>
  </ds:schemaRefs>
</ds:datastoreItem>
</file>

<file path=customXml/itemProps2.xml><?xml version="1.0" encoding="utf-8"?>
<ds:datastoreItem xmlns:ds="http://schemas.openxmlformats.org/officeDocument/2006/customXml" ds:itemID="{331913FC-8955-4016-BB27-32E9EFC66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4</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subject/>
  <dc:creator>Guidance</dc:creator>
  <cp:keywords/>
  <cp:lastModifiedBy>Claire Goult (ESO)</cp:lastModifiedBy>
  <cp:revision>5</cp:revision>
  <cp:lastPrinted>2020-02-06T21:28:00Z</cp:lastPrinted>
  <dcterms:created xsi:type="dcterms:W3CDTF">2023-08-14T07:39:00Z</dcterms:created>
  <dcterms:modified xsi:type="dcterms:W3CDTF">2023-09-08T12:10:00Z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