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662D8EBA" w14:textId="4C14AAAA" w:rsidR="001166C1" w:rsidRDefault="00FB5C71" w:rsidP="00445B72">
      <w:pPr>
        <w:rPr>
          <w:rFonts w:cs="Arial"/>
          <w:b/>
          <w:color w:val="F26522" w:themeColor="accent1"/>
          <w:sz w:val="28"/>
        </w:rPr>
      </w:pPr>
      <w:r>
        <w:rPr>
          <w:rFonts w:cs="Arial"/>
          <w:b/>
          <w:color w:val="F26522" w:themeColor="accent1"/>
          <w:sz w:val="28"/>
        </w:rPr>
        <w:t>GSR</w:t>
      </w:r>
      <w:r w:rsidR="00A01568">
        <w:rPr>
          <w:rFonts w:cs="Arial"/>
          <w:b/>
          <w:color w:val="F26522" w:themeColor="accent1"/>
          <w:sz w:val="28"/>
        </w:rPr>
        <w:t>032</w:t>
      </w:r>
      <w:r w:rsidR="001166C1">
        <w:rPr>
          <w:rFonts w:cs="Arial"/>
          <w:b/>
          <w:color w:val="F26522" w:themeColor="accent1"/>
          <w:sz w:val="28"/>
        </w:rPr>
        <w:t>:</w:t>
      </w:r>
      <w:r w:rsidR="00640177">
        <w:rPr>
          <w:rFonts w:cs="Arial"/>
          <w:b/>
          <w:color w:val="F26522" w:themeColor="accent1"/>
          <w:sz w:val="28"/>
        </w:rPr>
        <w:t xml:space="preserve"> </w:t>
      </w:r>
      <w:r w:rsidR="00640177" w:rsidRPr="00640177">
        <w:rPr>
          <w:rFonts w:cs="Arial"/>
          <w:b/>
          <w:color w:val="F26522" w:themeColor="accent1"/>
          <w:sz w:val="28"/>
        </w:rPr>
        <w:t xml:space="preserve">Facilitate Implementation of the </w:t>
      </w:r>
      <w:r w:rsidR="00445B72" w:rsidRPr="00445B72">
        <w:rPr>
          <w:rFonts w:cs="Arial"/>
          <w:b/>
          <w:color w:val="F26522" w:themeColor="accent1"/>
          <w:sz w:val="28"/>
        </w:rPr>
        <w:t>Electricity System Restoration Standard</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3D1E3CF0" w:rsidR="00E44F00" w:rsidRPr="009A3DC7" w:rsidRDefault="003B6E37" w:rsidP="009A3DC7">
      <w:pPr>
        <w:pStyle w:val="BodyText"/>
        <w:numPr>
          <w:ilvl w:val="0"/>
          <w:numId w:val="2"/>
        </w:numPr>
        <w:spacing w:before="0" w:after="0" w:line="240" w:lineRule="auto"/>
        <w:jc w:val="both"/>
        <w:rPr>
          <w:sz w:val="24"/>
        </w:rPr>
      </w:pPr>
      <w:r w:rsidRPr="009A3DC7">
        <w:rPr>
          <w:sz w:val="24"/>
        </w:rPr>
        <w:t xml:space="preserve">The Workgroup is responsible for assisting the </w:t>
      </w:r>
      <w:r w:rsidR="00FB5C71" w:rsidRPr="009A3DC7">
        <w:rPr>
          <w:sz w:val="24"/>
        </w:rPr>
        <w:t>SQSS</w:t>
      </w:r>
      <w:r w:rsidRPr="009A3DC7">
        <w:rPr>
          <w:sz w:val="24"/>
        </w:rPr>
        <w:t xml:space="preserve"> Modification Panel in the evaluation of </w:t>
      </w:r>
      <w:r w:rsidR="00FB5C71" w:rsidRPr="009A3DC7">
        <w:rPr>
          <w:sz w:val="24"/>
        </w:rPr>
        <w:t>SQSS</w:t>
      </w:r>
      <w:r w:rsidRPr="009A3DC7">
        <w:rPr>
          <w:sz w:val="24"/>
        </w:rPr>
        <w:t xml:space="preserve"> Modification Proposal </w:t>
      </w:r>
      <w:r w:rsidR="00562E30">
        <w:rPr>
          <w:b/>
          <w:sz w:val="24"/>
        </w:rPr>
        <w:t>GSR</w:t>
      </w:r>
      <w:r w:rsidR="006446EA">
        <w:rPr>
          <w:b/>
          <w:sz w:val="24"/>
        </w:rPr>
        <w:t>032</w:t>
      </w:r>
      <w:r w:rsidR="00562E30">
        <w:rPr>
          <w:b/>
          <w:sz w:val="24"/>
        </w:rPr>
        <w:t xml:space="preserve">: </w:t>
      </w:r>
      <w:r w:rsidR="006446EA" w:rsidRPr="006446EA">
        <w:rPr>
          <w:b/>
          <w:sz w:val="24"/>
        </w:rPr>
        <w:t xml:space="preserve">Facilitate Implementation of the  </w:t>
      </w:r>
      <w:r w:rsidR="00562E30">
        <w:rPr>
          <w:b/>
          <w:sz w:val="24"/>
        </w:rPr>
        <w:t xml:space="preserve">Electricity System Restoration Standard </w:t>
      </w:r>
      <w:r w:rsidR="00E44F00" w:rsidRPr="009A3DC7">
        <w:rPr>
          <w:sz w:val="24"/>
        </w:rPr>
        <w:t xml:space="preserve">raised by </w:t>
      </w:r>
      <w:r w:rsidR="009E7F0D">
        <w:rPr>
          <w:b/>
          <w:sz w:val="24"/>
        </w:rPr>
        <w:t xml:space="preserve">ESO </w:t>
      </w:r>
      <w:r w:rsidR="00E44F00" w:rsidRPr="009A3DC7">
        <w:rPr>
          <w:sz w:val="24"/>
        </w:rPr>
        <w:t xml:space="preserve">at the Modifications Panel meeting on </w:t>
      </w:r>
      <w:r w:rsidR="009E7F0D">
        <w:rPr>
          <w:b/>
          <w:sz w:val="24"/>
        </w:rPr>
        <w:t>16</w:t>
      </w:r>
      <w:r w:rsidR="00E44F00" w:rsidRPr="009A3DC7">
        <w:rPr>
          <w:b/>
          <w:sz w:val="24"/>
        </w:rPr>
        <w:t xml:space="preserve"> M</w:t>
      </w:r>
      <w:r w:rsidR="009E7F0D">
        <w:rPr>
          <w:b/>
          <w:sz w:val="24"/>
        </w:rPr>
        <w:t>arch</w:t>
      </w:r>
      <w:r w:rsidR="00E44F00" w:rsidRPr="009A3DC7">
        <w:rPr>
          <w:b/>
          <w:sz w:val="24"/>
        </w:rPr>
        <w:t xml:space="preserve"> </w:t>
      </w:r>
      <w:r w:rsidR="009E7F0D">
        <w:rPr>
          <w:b/>
          <w:sz w:val="24"/>
        </w:rPr>
        <w:t>2023</w:t>
      </w:r>
      <w:r w:rsidRPr="009A3DC7">
        <w:rPr>
          <w:sz w:val="24"/>
        </w:rPr>
        <w:t>.</w:t>
      </w:r>
      <w:r w:rsidR="00C734C2" w:rsidRPr="009A3DC7">
        <w:rPr>
          <w:sz w:val="24"/>
        </w:rPr>
        <w:t xml:space="preserve"> </w:t>
      </w:r>
      <w:r w:rsidRPr="009A3DC7">
        <w:rPr>
          <w:sz w:val="24"/>
        </w:rPr>
        <w:t xml:space="preserve">The proposal must be evaluated to consider whether it better facilitates achievement of the </w:t>
      </w:r>
      <w:r w:rsidR="001E6422">
        <w:rPr>
          <w:sz w:val="24"/>
        </w:rPr>
        <w:t xml:space="preserve">Applicable </w:t>
      </w:r>
      <w:r w:rsidR="00FB5C71" w:rsidRPr="009A3DC7">
        <w:rPr>
          <w:sz w:val="24"/>
        </w:rPr>
        <w:t>SQSS</w:t>
      </w:r>
      <w:r w:rsidRPr="009A3DC7">
        <w:rPr>
          <w:sz w:val="24"/>
        </w:rPr>
        <w:t xml:space="preserve"> Objectives. </w:t>
      </w:r>
    </w:p>
    <w:p w14:paraId="439C667F" w14:textId="77777777" w:rsidR="00E44F00" w:rsidRPr="003B6E37" w:rsidRDefault="00E44F00" w:rsidP="00174391">
      <w:pPr>
        <w:pStyle w:val="TOCMOD"/>
        <w:framePr w:hSpace="0" w:vSpace="0" w:wrap="auto" w:vAnchor="margin" w:yAlign="inline"/>
        <w:rPr>
          <w:b w:val="0"/>
          <w:bCs w:val="0"/>
          <w:noProof w:val="0"/>
          <w:color w:val="auto"/>
        </w:rPr>
      </w:pPr>
    </w:p>
    <w:p w14:paraId="200AC31C" w14:textId="0F8AFA68" w:rsidR="00460D0C" w:rsidRPr="004B669A" w:rsidRDefault="00E44F00" w:rsidP="004B669A">
      <w:pPr>
        <w:pStyle w:val="Checklist"/>
      </w:pPr>
      <w:r>
        <w:t>S</w:t>
      </w:r>
      <w:r w:rsidR="00FB5C71">
        <w:t>QSS</w:t>
      </w:r>
      <w:r>
        <w:t xml:space="preserve"> Objectives</w:t>
      </w:r>
    </w:p>
    <w:p w14:paraId="16310412" w14:textId="5C593102" w:rsidR="00190CC5" w:rsidRDefault="00850434" w:rsidP="00ED5828">
      <w:pPr>
        <w:pStyle w:val="ListParagraph"/>
        <w:numPr>
          <w:ilvl w:val="0"/>
          <w:numId w:val="1"/>
        </w:numPr>
        <w:spacing w:before="0" w:after="160" w:line="259" w:lineRule="auto"/>
        <w:rPr>
          <w:sz w:val="24"/>
        </w:rPr>
      </w:pPr>
      <w:r w:rsidRPr="00850434">
        <w:rPr>
          <w:sz w:val="24"/>
        </w:rPr>
        <w:t>Facilitate the planning, development and maintenance of an efficient, coordinated and economical system of electricity transmission, and the operation of that system in an efficient, economic and coordinated manner;</w:t>
      </w:r>
    </w:p>
    <w:p w14:paraId="64B9F5A9" w14:textId="6A1B3C92" w:rsidR="00850434" w:rsidRDefault="00850434" w:rsidP="00ED5828">
      <w:pPr>
        <w:pStyle w:val="ListParagraph"/>
        <w:numPr>
          <w:ilvl w:val="0"/>
          <w:numId w:val="1"/>
        </w:numPr>
        <w:spacing w:before="0" w:after="160" w:line="259" w:lineRule="auto"/>
        <w:rPr>
          <w:sz w:val="24"/>
        </w:rPr>
      </w:pPr>
      <w:r w:rsidRPr="00850434">
        <w:rPr>
          <w:sz w:val="24"/>
        </w:rPr>
        <w:t>Ensure an appropriate level of security and quality of supply and safe operation of the National Electricity Transmission System;</w:t>
      </w:r>
    </w:p>
    <w:p w14:paraId="31EF8EC9" w14:textId="7D82E8E3" w:rsidR="00850434" w:rsidRDefault="00850434" w:rsidP="00ED5828">
      <w:pPr>
        <w:pStyle w:val="ListParagraph"/>
        <w:numPr>
          <w:ilvl w:val="0"/>
          <w:numId w:val="1"/>
        </w:numPr>
        <w:spacing w:before="0" w:after="160" w:line="259" w:lineRule="auto"/>
        <w:rPr>
          <w:sz w:val="24"/>
        </w:rPr>
      </w:pPr>
      <w:r w:rsidRPr="00850434">
        <w:rPr>
          <w:sz w:val="24"/>
        </w:rPr>
        <w:t>Facilitate effective competition in the generation and supply of electricity, and (so far as consistent therewith) facilitating such competition in the distribution of electricity; and</w:t>
      </w:r>
    </w:p>
    <w:p w14:paraId="222D3F2F" w14:textId="6DBAC671" w:rsidR="00EC56C5" w:rsidRPr="00190CC5" w:rsidRDefault="00EC56C5" w:rsidP="00ED5828">
      <w:pPr>
        <w:pStyle w:val="ListParagraph"/>
        <w:numPr>
          <w:ilvl w:val="0"/>
          <w:numId w:val="1"/>
        </w:numPr>
        <w:spacing w:before="0" w:after="160" w:line="259" w:lineRule="auto"/>
        <w:rPr>
          <w:sz w:val="24"/>
        </w:rPr>
      </w:pPr>
      <w:r w:rsidRPr="00EC56C5">
        <w:rPr>
          <w:sz w:val="24"/>
        </w:rPr>
        <w:t xml:space="preserve">Facilitate electricity Transmission Licensees to comply with </w:t>
      </w:r>
      <w:r w:rsidR="0033450A">
        <w:rPr>
          <w:sz w:val="24"/>
        </w:rPr>
        <w:t>any relevant</w:t>
      </w:r>
      <w:r w:rsidRPr="00EC56C5">
        <w:rPr>
          <w:sz w:val="24"/>
        </w:rPr>
        <w:t xml:space="preserve"> obligations under EU law.</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t>Scope of work</w:t>
      </w:r>
    </w:p>
    <w:p w14:paraId="10FCA688" w14:textId="67D38AE2" w:rsidR="00073540" w:rsidRDefault="00073540" w:rsidP="009A3DC7">
      <w:pPr>
        <w:pStyle w:val="BodyText"/>
        <w:numPr>
          <w:ilvl w:val="0"/>
          <w:numId w:val="2"/>
        </w:numPr>
        <w:spacing w:before="0" w:after="0" w:line="240" w:lineRule="auto"/>
        <w:jc w:val="both"/>
        <w:rPr>
          <w:sz w:val="24"/>
        </w:rPr>
      </w:pPr>
      <w:r w:rsidRPr="00782F0E">
        <w:rPr>
          <w:sz w:val="24"/>
        </w:rPr>
        <w:t>The Workgroup must consider the issues raised by the Modification Proposal and consider if the proposal identified better facilitates achievement of the Applicable S</w:t>
      </w:r>
      <w:r w:rsidR="00EF09C9">
        <w:rPr>
          <w:sz w:val="24"/>
        </w:rPr>
        <w:t>QSS</w:t>
      </w:r>
      <w:r w:rsidRPr="00782F0E">
        <w:rPr>
          <w:sz w:val="24"/>
        </w:rPr>
        <w:t xml:space="preserve"> Objectives.</w:t>
      </w:r>
    </w:p>
    <w:p w14:paraId="3371CFF4" w14:textId="77777777" w:rsidR="00ED5C7C" w:rsidRPr="00ED5C7C" w:rsidRDefault="00ED5C7C" w:rsidP="00ED5C7C">
      <w:pPr>
        <w:pStyle w:val="BodyText"/>
        <w:spacing w:before="0" w:after="0" w:line="240" w:lineRule="auto"/>
        <w:ind w:left="720"/>
        <w:jc w:val="both"/>
        <w:rPr>
          <w:sz w:val="24"/>
        </w:rPr>
      </w:pPr>
    </w:p>
    <w:p w14:paraId="651C7BF8" w14:textId="0016E07C" w:rsidR="00ED5C7C" w:rsidRPr="00ED5C7C" w:rsidRDefault="00073540" w:rsidP="00ED5828">
      <w:pPr>
        <w:pStyle w:val="BodyText"/>
        <w:numPr>
          <w:ilvl w:val="0"/>
          <w:numId w:val="2"/>
        </w:numPr>
        <w:spacing w:before="0" w:after="0" w:line="240" w:lineRule="auto"/>
        <w:jc w:val="both"/>
        <w:rPr>
          <w:sz w:val="24"/>
        </w:rPr>
      </w:pPr>
      <w:r w:rsidRPr="00ED5C7C">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bl>
    <w:tbl>
      <w:tblPr>
        <w:tblW w:w="9356" w:type="dxa"/>
        <w:tblInd w:w="-5" w:type="dxa"/>
        <w:tblBorders>
          <w:top w:val="single" w:sz="4" w:space="0" w:color="F16421"/>
          <w:left w:val="single" w:sz="4" w:space="0" w:color="F16421"/>
          <w:bottom w:val="single" w:sz="4" w:space="0" w:color="F16421"/>
          <w:right w:val="single" w:sz="4" w:space="0" w:color="F16421"/>
          <w:insideH w:val="single" w:sz="4" w:space="0" w:color="F16421"/>
          <w:insideV w:val="single" w:sz="4" w:space="0" w:color="F16421"/>
        </w:tblBorders>
        <w:tblLayout w:type="fixed"/>
        <w:tblCellMar>
          <w:left w:w="0" w:type="dxa"/>
          <w:right w:w="0" w:type="dxa"/>
        </w:tblCellMar>
        <w:tblLook w:val="01E0" w:firstRow="1" w:lastRow="1" w:firstColumn="1" w:lastColumn="1" w:noHBand="0" w:noVBand="0"/>
      </w:tblPr>
      <w:tblGrid>
        <w:gridCol w:w="4962"/>
        <w:gridCol w:w="4394"/>
      </w:tblGrid>
      <w:tr w:rsidR="001E2D95" w14:paraId="5055C84B" w14:textId="77777777" w:rsidTr="00843EFA">
        <w:trPr>
          <w:trHeight w:val="1103"/>
        </w:trPr>
        <w:tc>
          <w:tcPr>
            <w:tcW w:w="4962" w:type="dxa"/>
          </w:tcPr>
          <w:p w14:paraId="410E8F2B" w14:textId="39DEDB0E" w:rsidR="001E2D95" w:rsidRPr="001E2D95" w:rsidRDefault="001E2D95" w:rsidP="00843EFA">
            <w:pPr>
              <w:pStyle w:val="BodyText"/>
              <w:numPr>
                <w:ilvl w:val="0"/>
                <w:numId w:val="8"/>
              </w:numPr>
              <w:rPr>
                <w:sz w:val="24"/>
              </w:rPr>
            </w:pPr>
            <w:r>
              <w:rPr>
                <w:bCs/>
                <w:sz w:val="24"/>
              </w:rPr>
              <w:t>Consider the potential impact of Assurance Activities (as per the Assurance Activities report) on SQSS requirements for BAU operation.</w:t>
            </w:r>
          </w:p>
        </w:tc>
        <w:tc>
          <w:tcPr>
            <w:tcW w:w="4394" w:type="dxa"/>
          </w:tcPr>
          <w:p w14:paraId="66972AE7" w14:textId="16EFE7AA" w:rsidR="001E2D95" w:rsidRDefault="00782766" w:rsidP="001E2D95">
            <w:pPr>
              <w:pStyle w:val="TableParagraph"/>
              <w:spacing w:before="0" w:line="270" w:lineRule="atLeast"/>
              <w:ind w:left="0" w:right="122"/>
              <w:rPr>
                <w:sz w:val="24"/>
              </w:rPr>
            </w:pPr>
            <w:r>
              <w:rPr>
                <w:sz w:val="24"/>
              </w:rPr>
              <w:t xml:space="preserve"> Contained in </w:t>
            </w:r>
            <w:r w:rsidR="006860C3" w:rsidRPr="006860C3">
              <w:rPr>
                <w:sz w:val="24"/>
              </w:rPr>
              <w:t>Annex 4 - Workgroup assessment on assurance activity</w:t>
            </w:r>
          </w:p>
        </w:tc>
      </w:tr>
      <w:tr w:rsidR="001E2D95" w14:paraId="6CF10117" w14:textId="77777777" w:rsidTr="00843EFA">
        <w:trPr>
          <w:trHeight w:val="1103"/>
        </w:trPr>
        <w:tc>
          <w:tcPr>
            <w:tcW w:w="4962" w:type="dxa"/>
          </w:tcPr>
          <w:p w14:paraId="329C75CB" w14:textId="5D105A81" w:rsidR="001E2D95" w:rsidRPr="001E2D95" w:rsidRDefault="001E2D95" w:rsidP="00843EFA">
            <w:pPr>
              <w:pStyle w:val="BodyText"/>
              <w:numPr>
                <w:ilvl w:val="0"/>
                <w:numId w:val="8"/>
              </w:numPr>
              <w:rPr>
                <w:sz w:val="24"/>
              </w:rPr>
            </w:pPr>
            <w:r>
              <w:rPr>
                <w:sz w:val="24"/>
              </w:rPr>
              <w:lastRenderedPageBreak/>
              <w:t>Consider the need or otherwise to extend the role of the SQSS to explicitly include the design and operation of the system under system restoration conditions (</w:t>
            </w:r>
            <w:r w:rsidR="00F15742">
              <w:rPr>
                <w:sz w:val="24"/>
              </w:rPr>
              <w:t>r</w:t>
            </w:r>
            <w:r>
              <w:rPr>
                <w:sz w:val="24"/>
              </w:rPr>
              <w:t>ather than just BAU)</w:t>
            </w:r>
          </w:p>
        </w:tc>
        <w:tc>
          <w:tcPr>
            <w:tcW w:w="4394" w:type="dxa"/>
          </w:tcPr>
          <w:p w14:paraId="375FB008" w14:textId="72A6D194" w:rsidR="001E2D95" w:rsidRDefault="00FC1FD8" w:rsidP="00843EFA">
            <w:pPr>
              <w:pStyle w:val="TableParagraph"/>
              <w:spacing w:before="0" w:line="270" w:lineRule="atLeast"/>
              <w:ind w:left="0" w:right="122"/>
              <w:rPr>
                <w:sz w:val="24"/>
              </w:rPr>
            </w:pPr>
            <w:r>
              <w:rPr>
                <w:sz w:val="24"/>
              </w:rPr>
              <w:t xml:space="preserve"> </w:t>
            </w:r>
            <w:r w:rsidR="006C09EB">
              <w:rPr>
                <w:sz w:val="24"/>
              </w:rPr>
              <w:t xml:space="preserve">Contained within the </w:t>
            </w:r>
            <w:r w:rsidR="001A0A8D">
              <w:rPr>
                <w:sz w:val="24"/>
              </w:rPr>
              <w:t>‘Updates to the SQSS’ in Workgroup considerations</w:t>
            </w:r>
          </w:p>
        </w:tc>
      </w:tr>
      <w:tr w:rsidR="001E2D95" w14:paraId="61900BD7" w14:textId="77777777" w:rsidTr="00843EFA">
        <w:trPr>
          <w:trHeight w:val="1103"/>
        </w:trPr>
        <w:tc>
          <w:tcPr>
            <w:tcW w:w="4962" w:type="dxa"/>
          </w:tcPr>
          <w:p w14:paraId="04151EDA" w14:textId="0580A3C6" w:rsidR="001E2D95" w:rsidRPr="001E2D95" w:rsidRDefault="001E2D95" w:rsidP="00843EFA">
            <w:pPr>
              <w:pStyle w:val="BodyText"/>
              <w:numPr>
                <w:ilvl w:val="0"/>
                <w:numId w:val="8"/>
              </w:numPr>
              <w:rPr>
                <w:sz w:val="24"/>
              </w:rPr>
            </w:pPr>
            <w:r>
              <w:rPr>
                <w:sz w:val="24"/>
              </w:rPr>
              <w:t xml:space="preserve">Develop the legal text as appropriate. </w:t>
            </w:r>
          </w:p>
        </w:tc>
        <w:tc>
          <w:tcPr>
            <w:tcW w:w="4394" w:type="dxa"/>
          </w:tcPr>
          <w:p w14:paraId="394D3250" w14:textId="02BEDC95" w:rsidR="001E2D95" w:rsidRDefault="0093620D" w:rsidP="00843EFA">
            <w:pPr>
              <w:pStyle w:val="TableParagraph"/>
              <w:spacing w:before="0" w:line="270" w:lineRule="atLeast"/>
              <w:ind w:left="0" w:right="122"/>
              <w:rPr>
                <w:sz w:val="24"/>
              </w:rPr>
            </w:pPr>
            <w:r>
              <w:rPr>
                <w:sz w:val="24"/>
              </w:rPr>
              <w:t xml:space="preserve"> Contained Annex</w:t>
            </w:r>
            <w:r w:rsidR="009B6910">
              <w:rPr>
                <w:sz w:val="24"/>
              </w:rPr>
              <w:t xml:space="preserve"> 5</w:t>
            </w:r>
            <w:r w:rsidR="006860C3">
              <w:rPr>
                <w:sz w:val="24"/>
              </w:rPr>
              <w:t xml:space="preserve"> – Legal text</w:t>
            </w:r>
          </w:p>
        </w:tc>
      </w:tr>
      <w:tr w:rsidR="001E2D95" w14:paraId="3BB85292" w14:textId="77777777" w:rsidTr="00007E40">
        <w:trPr>
          <w:trHeight w:val="1103"/>
        </w:trPr>
        <w:tc>
          <w:tcPr>
            <w:tcW w:w="4962" w:type="dxa"/>
          </w:tcPr>
          <w:p w14:paraId="7D37FDAD" w14:textId="77777777" w:rsidR="001E2D95" w:rsidRPr="001E2D95" w:rsidRDefault="001E2D95" w:rsidP="00843EFA">
            <w:pPr>
              <w:pStyle w:val="BodyText"/>
              <w:numPr>
                <w:ilvl w:val="0"/>
                <w:numId w:val="8"/>
              </w:numPr>
              <w:rPr>
                <w:sz w:val="24"/>
              </w:rPr>
            </w:pPr>
            <w:r w:rsidRPr="001E2D95">
              <w:rPr>
                <w:sz w:val="24"/>
              </w:rPr>
              <w:t>Consider whether any further Industry experts or stakeholders should be invited to participate within the Workgroup to ensure that all potentially affected stakeholders have the opportunity to be represented in the Workgroup. Demonstrate what has been done to cover this clearly in the report</w:t>
            </w:r>
          </w:p>
          <w:p w14:paraId="3B5135AA" w14:textId="25A67089" w:rsidR="001E2D95" w:rsidRPr="004C5FE7" w:rsidRDefault="001E2D95" w:rsidP="00843EFA">
            <w:pPr>
              <w:pStyle w:val="BodyText"/>
              <w:ind w:left="720"/>
              <w:rPr>
                <w:bCs/>
                <w:sz w:val="24"/>
              </w:rPr>
            </w:pPr>
          </w:p>
        </w:tc>
        <w:tc>
          <w:tcPr>
            <w:tcW w:w="4394" w:type="dxa"/>
          </w:tcPr>
          <w:p w14:paraId="35849E43" w14:textId="42722DC3" w:rsidR="001E2D95" w:rsidRDefault="0013119A" w:rsidP="00843EFA">
            <w:pPr>
              <w:pStyle w:val="TableParagraph"/>
              <w:spacing w:before="0" w:line="270" w:lineRule="atLeast"/>
              <w:ind w:left="0" w:right="122"/>
              <w:rPr>
                <w:sz w:val="24"/>
              </w:rPr>
            </w:pPr>
            <w:r>
              <w:rPr>
                <w:sz w:val="24"/>
              </w:rPr>
              <w:t>Contained within the ‘</w:t>
            </w:r>
            <w:r w:rsidR="00E52DCA" w:rsidRPr="00E52DCA">
              <w:rPr>
                <w:sz w:val="24"/>
              </w:rPr>
              <w:t>Obligation, representation, and retrospectivity</w:t>
            </w:r>
            <w:r w:rsidR="00E52DCA">
              <w:rPr>
                <w:sz w:val="24"/>
              </w:rPr>
              <w:t xml:space="preserve">’ </w:t>
            </w:r>
            <w:r>
              <w:rPr>
                <w:sz w:val="24"/>
              </w:rPr>
              <w:t>in Workgroup considerations</w:t>
            </w:r>
          </w:p>
        </w:tc>
      </w:tr>
      <w:tr w:rsidR="001E2D95" w14:paraId="2A94FA9B" w14:textId="77777777" w:rsidTr="00007E40">
        <w:trPr>
          <w:trHeight w:val="1103"/>
        </w:trPr>
        <w:tc>
          <w:tcPr>
            <w:tcW w:w="4962" w:type="dxa"/>
          </w:tcPr>
          <w:p w14:paraId="130C9B40" w14:textId="0553B70F" w:rsidR="001E2D95" w:rsidRPr="001E2D95" w:rsidRDefault="001E2D95" w:rsidP="00843EFA">
            <w:pPr>
              <w:pStyle w:val="BodyText"/>
              <w:numPr>
                <w:ilvl w:val="0"/>
                <w:numId w:val="8"/>
              </w:numPr>
              <w:rPr>
                <w:bCs/>
                <w:sz w:val="24"/>
              </w:rPr>
            </w:pPr>
            <w:r w:rsidRPr="002D1996">
              <w:rPr>
                <w:bCs/>
                <w:sz w:val="24"/>
              </w:rPr>
              <w:t xml:space="preserve">Confirm if the </w:t>
            </w:r>
            <w:r>
              <w:rPr>
                <w:bCs/>
                <w:sz w:val="24"/>
              </w:rPr>
              <w:t>SQSS</w:t>
            </w:r>
            <w:r w:rsidRPr="002D1996">
              <w:rPr>
                <w:bCs/>
                <w:sz w:val="24"/>
              </w:rPr>
              <w:t xml:space="preserve"> needs developing/updating to ensure</w:t>
            </w:r>
            <w:r>
              <w:rPr>
                <w:bCs/>
                <w:sz w:val="24"/>
              </w:rPr>
              <w:t xml:space="preserve"> either existing or future</w:t>
            </w:r>
            <w:r w:rsidRPr="002D1996">
              <w:rPr>
                <w:bCs/>
                <w:sz w:val="24"/>
              </w:rPr>
              <w:t xml:space="preserve"> OFTOs have similar requirements to onshore TOs</w:t>
            </w:r>
            <w:r>
              <w:rPr>
                <w:bCs/>
                <w:sz w:val="24"/>
              </w:rPr>
              <w:t xml:space="preserve"> </w:t>
            </w:r>
            <w:r w:rsidRPr="002D1996">
              <w:rPr>
                <w:bCs/>
                <w:sz w:val="24"/>
              </w:rPr>
              <w:t>i.e. The ability to utilise Offshore Networks as part of the Restoration Process</w:t>
            </w:r>
            <w:r>
              <w:rPr>
                <w:bCs/>
                <w:sz w:val="24"/>
              </w:rPr>
              <w:t xml:space="preserve"> and if relevant, whether any technical requirements should be retrospectively applied, if so, recognising how existing OFTOs are then remunerated.</w:t>
            </w:r>
          </w:p>
        </w:tc>
        <w:tc>
          <w:tcPr>
            <w:tcW w:w="4394" w:type="dxa"/>
          </w:tcPr>
          <w:p w14:paraId="65ACA078" w14:textId="24EA776A" w:rsidR="001E2D95" w:rsidRDefault="0043385E" w:rsidP="00843EFA">
            <w:pPr>
              <w:pStyle w:val="TableParagraph"/>
              <w:spacing w:before="0" w:line="270" w:lineRule="atLeast"/>
              <w:ind w:left="0" w:right="122"/>
              <w:rPr>
                <w:sz w:val="24"/>
              </w:rPr>
            </w:pPr>
            <w:r>
              <w:rPr>
                <w:sz w:val="24"/>
              </w:rPr>
              <w:t>Contained within the ‘</w:t>
            </w:r>
            <w:r w:rsidRPr="00E52DCA">
              <w:rPr>
                <w:sz w:val="24"/>
              </w:rPr>
              <w:t>Obligation, representation, and retrospectivity</w:t>
            </w:r>
            <w:r>
              <w:rPr>
                <w:sz w:val="24"/>
              </w:rPr>
              <w:t>’ in Workgroup considerations</w:t>
            </w:r>
          </w:p>
        </w:tc>
      </w:tr>
      <w:tr w:rsidR="001E2D95" w14:paraId="53CE1FCA" w14:textId="77777777" w:rsidTr="00007E40">
        <w:trPr>
          <w:trHeight w:val="1103"/>
        </w:trPr>
        <w:tc>
          <w:tcPr>
            <w:tcW w:w="4962" w:type="dxa"/>
          </w:tcPr>
          <w:p w14:paraId="66B75A67" w14:textId="45A7BA9D" w:rsidR="001E2D95" w:rsidRPr="001E2D95" w:rsidRDefault="001E2D95" w:rsidP="00843EFA">
            <w:pPr>
              <w:pStyle w:val="BodyText"/>
              <w:numPr>
                <w:ilvl w:val="0"/>
                <w:numId w:val="8"/>
              </w:numPr>
              <w:rPr>
                <w:bCs/>
                <w:sz w:val="24"/>
              </w:rPr>
            </w:pPr>
            <w:r w:rsidRPr="004C5FE7">
              <w:rPr>
                <w:bCs/>
                <w:sz w:val="24"/>
              </w:rPr>
              <w:t xml:space="preserve">Consider the </w:t>
            </w:r>
            <w:r w:rsidRPr="001E2D95">
              <w:rPr>
                <w:bCs/>
                <w:sz w:val="24"/>
              </w:rPr>
              <w:t xml:space="preserve">technical suggestions in Future Networks subgroup report Section 4 (pages 14-17) and whether they are applicable to the SQSS </w:t>
            </w:r>
          </w:p>
        </w:tc>
        <w:tc>
          <w:tcPr>
            <w:tcW w:w="4394" w:type="dxa"/>
          </w:tcPr>
          <w:p w14:paraId="2314109D" w14:textId="74D32310" w:rsidR="001E2D95" w:rsidRDefault="00296117" w:rsidP="00843EFA">
            <w:pPr>
              <w:pStyle w:val="TableParagraph"/>
              <w:spacing w:before="0" w:line="270" w:lineRule="atLeast"/>
              <w:ind w:left="0" w:right="122"/>
              <w:rPr>
                <w:sz w:val="24"/>
              </w:rPr>
            </w:pPr>
            <w:r>
              <w:rPr>
                <w:sz w:val="24"/>
              </w:rPr>
              <w:t>Contained within Annex</w:t>
            </w:r>
            <w:r w:rsidR="003645B9">
              <w:rPr>
                <w:sz w:val="24"/>
              </w:rPr>
              <w:t xml:space="preserve"> 8 -</w:t>
            </w:r>
            <w:r>
              <w:rPr>
                <w:sz w:val="24"/>
              </w:rPr>
              <w:t xml:space="preserve"> </w:t>
            </w:r>
            <w:r w:rsidR="003645B9" w:rsidRPr="003645B9">
              <w:rPr>
                <w:sz w:val="24"/>
              </w:rPr>
              <w:t>Subgroup report technical suggestion code mapping</w:t>
            </w:r>
          </w:p>
        </w:tc>
      </w:tr>
      <w:tr w:rsidR="001E2D95" w14:paraId="2580E22F" w14:textId="77777777" w:rsidTr="00007E40">
        <w:trPr>
          <w:trHeight w:val="1103"/>
        </w:trPr>
        <w:tc>
          <w:tcPr>
            <w:tcW w:w="4962" w:type="dxa"/>
          </w:tcPr>
          <w:p w14:paraId="071F6AC6" w14:textId="35F3CE71" w:rsidR="001E2D95" w:rsidRPr="004C5FE7" w:rsidRDefault="001E2D95" w:rsidP="00843EFA">
            <w:pPr>
              <w:pStyle w:val="BodyText"/>
              <w:numPr>
                <w:ilvl w:val="0"/>
                <w:numId w:val="8"/>
              </w:numPr>
              <w:rPr>
                <w:bCs/>
                <w:sz w:val="24"/>
              </w:rPr>
            </w:pPr>
            <w:r w:rsidRPr="002D1996">
              <w:rPr>
                <w:bCs/>
                <w:sz w:val="24"/>
              </w:rPr>
              <w:t>Consider any other cross codes impacts.</w:t>
            </w:r>
          </w:p>
        </w:tc>
        <w:tc>
          <w:tcPr>
            <w:tcW w:w="4394" w:type="dxa"/>
          </w:tcPr>
          <w:p w14:paraId="5B4FF543" w14:textId="51780F56" w:rsidR="001E2D95" w:rsidRDefault="002761B2" w:rsidP="00843EFA">
            <w:pPr>
              <w:pStyle w:val="TableParagraph"/>
              <w:spacing w:before="0" w:line="270" w:lineRule="atLeast"/>
              <w:ind w:left="0" w:right="122"/>
              <w:rPr>
                <w:sz w:val="24"/>
              </w:rPr>
            </w:pPr>
            <w:r>
              <w:rPr>
                <w:sz w:val="24"/>
              </w:rPr>
              <w:t>Contained in Interactions and also within the ‘Updates to the SQSS’ in Workgroup considerations</w:t>
            </w:r>
          </w:p>
        </w:tc>
      </w:tr>
      <w:tr w:rsidR="00456B6B" w14:paraId="6D48A4C1" w14:textId="77777777" w:rsidTr="00007E40">
        <w:trPr>
          <w:trHeight w:val="1103"/>
        </w:trPr>
        <w:tc>
          <w:tcPr>
            <w:tcW w:w="4962" w:type="dxa"/>
          </w:tcPr>
          <w:p w14:paraId="252CBBD9" w14:textId="22035751" w:rsidR="00456B6B" w:rsidRPr="002D1996" w:rsidRDefault="00456B6B" w:rsidP="00843EFA">
            <w:pPr>
              <w:pStyle w:val="BodyText"/>
              <w:numPr>
                <w:ilvl w:val="0"/>
                <w:numId w:val="8"/>
              </w:numPr>
              <w:rPr>
                <w:bCs/>
                <w:sz w:val="24"/>
              </w:rPr>
            </w:pPr>
            <w:r w:rsidRPr="00456B6B">
              <w:rPr>
                <w:bCs/>
                <w:sz w:val="24"/>
              </w:rPr>
              <w:t>Consider the impact to investment plans and current compliance levels</w:t>
            </w:r>
          </w:p>
        </w:tc>
        <w:tc>
          <w:tcPr>
            <w:tcW w:w="4394" w:type="dxa"/>
          </w:tcPr>
          <w:p w14:paraId="402F2FC6" w14:textId="376945EC" w:rsidR="00456B6B" w:rsidRDefault="00893EF8" w:rsidP="00843EFA">
            <w:pPr>
              <w:pStyle w:val="TableParagraph"/>
              <w:spacing w:before="0" w:line="270" w:lineRule="atLeast"/>
              <w:ind w:left="0" w:right="122"/>
              <w:rPr>
                <w:sz w:val="24"/>
              </w:rPr>
            </w:pPr>
            <w:r>
              <w:rPr>
                <w:sz w:val="24"/>
              </w:rPr>
              <w:t>Contained in Interactions and also within the ‘</w:t>
            </w:r>
            <w:r w:rsidR="00E4194B" w:rsidRPr="00E4194B">
              <w:rPr>
                <w:sz w:val="24"/>
              </w:rPr>
              <w:t>Impact assessments and cost considerations resulting from the modification</w:t>
            </w:r>
            <w:r w:rsidR="00D677B9">
              <w:rPr>
                <w:sz w:val="24"/>
              </w:rPr>
              <w:t xml:space="preserve">’ </w:t>
            </w:r>
            <w:r>
              <w:rPr>
                <w:sz w:val="24"/>
              </w:rPr>
              <w:t>in Workgroup considerations</w:t>
            </w:r>
          </w:p>
        </w:tc>
      </w:tr>
    </w:tbl>
    <w:p w14:paraId="58F5CA0F" w14:textId="257CB205" w:rsidR="00073540" w:rsidRPr="007E5A28" w:rsidRDefault="00073540" w:rsidP="002D1996">
      <w:pPr>
        <w:spacing w:before="0" w:after="0" w:line="240" w:lineRule="auto"/>
        <w:jc w:val="both"/>
        <w:rPr>
          <w:color w:val="FF0000"/>
          <w:sz w:val="24"/>
        </w:rPr>
      </w:pPr>
      <w:r w:rsidRPr="00425B5A">
        <w:rPr>
          <w:bCs/>
          <w:sz w:val="24"/>
        </w:rPr>
        <w:t xml:space="preserve">The Workgroup is to submit its final report to the Modifications Panel Secretary on </w:t>
      </w:r>
      <w:r w:rsidR="00975D3C" w:rsidRPr="00157BE7">
        <w:rPr>
          <w:b/>
          <w:sz w:val="24"/>
        </w:rPr>
        <w:t>0</w:t>
      </w:r>
      <w:r w:rsidR="002168FE">
        <w:rPr>
          <w:b/>
          <w:sz w:val="24"/>
        </w:rPr>
        <w:t>4</w:t>
      </w:r>
      <w:r w:rsidR="00990646" w:rsidRPr="00157BE7">
        <w:rPr>
          <w:b/>
          <w:sz w:val="24"/>
        </w:rPr>
        <w:t xml:space="preserve"> </w:t>
      </w:r>
      <w:r w:rsidR="00930FB7" w:rsidRPr="003E3B68">
        <w:rPr>
          <w:b/>
          <w:sz w:val="24"/>
        </w:rPr>
        <w:t>July</w:t>
      </w:r>
      <w:r w:rsidR="00990646" w:rsidRPr="00157BE7">
        <w:rPr>
          <w:b/>
          <w:sz w:val="24"/>
        </w:rPr>
        <w:t xml:space="preserve"> </w:t>
      </w:r>
      <w:r w:rsidR="00975D3C" w:rsidRPr="00157BE7">
        <w:rPr>
          <w:b/>
          <w:sz w:val="24"/>
        </w:rPr>
        <w:t>2023</w:t>
      </w:r>
      <w:r w:rsidRPr="00425B5A">
        <w:rPr>
          <w:bCs/>
          <w:sz w:val="24"/>
        </w:rPr>
        <w:t xml:space="preserve"> for circulation to Panel Members.</w:t>
      </w:r>
      <w:r w:rsidR="00C734C2" w:rsidRPr="007E5A28">
        <w:rPr>
          <w:color w:val="FF0000"/>
          <w:sz w:val="24"/>
        </w:rPr>
        <w:t xml:space="preserve"> </w:t>
      </w:r>
      <w:r w:rsidRPr="003E3B68">
        <w:rPr>
          <w:sz w:val="24"/>
        </w:rPr>
        <w:t>The final report conclusions will be presented to the S</w:t>
      </w:r>
      <w:r w:rsidR="00990646" w:rsidRPr="003E3B68">
        <w:rPr>
          <w:sz w:val="24"/>
        </w:rPr>
        <w:t>QSS</w:t>
      </w:r>
      <w:r w:rsidRPr="003E3B68">
        <w:rPr>
          <w:sz w:val="24"/>
        </w:rPr>
        <w:t xml:space="preserve"> Modification Panel meeting on </w:t>
      </w:r>
      <w:r w:rsidR="00C27B68">
        <w:rPr>
          <w:b/>
          <w:sz w:val="24"/>
        </w:rPr>
        <w:t>12</w:t>
      </w:r>
      <w:r w:rsidR="00E6279E" w:rsidRPr="003E3B68">
        <w:rPr>
          <w:b/>
          <w:sz w:val="24"/>
        </w:rPr>
        <w:t xml:space="preserve"> </w:t>
      </w:r>
      <w:r w:rsidR="00606313" w:rsidRPr="003E3B68">
        <w:rPr>
          <w:b/>
          <w:sz w:val="24"/>
        </w:rPr>
        <w:t>July 2023</w:t>
      </w:r>
      <w:r w:rsidRPr="003E3B68">
        <w:rPr>
          <w:b/>
          <w:sz w:val="24"/>
        </w:rPr>
        <w:t xml:space="preserve">. </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lastRenderedPageBreak/>
        <w:t>Membership</w:t>
      </w:r>
    </w:p>
    <w:p w14:paraId="570B9039" w14:textId="77777777" w:rsidR="00340100" w:rsidRPr="00194B25" w:rsidRDefault="00340100" w:rsidP="002D1996">
      <w:p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Change w:id="2">
          <w:tblGrid>
            <w:gridCol w:w="2977"/>
            <w:gridCol w:w="3119"/>
            <w:gridCol w:w="3118"/>
          </w:tblGrid>
        </w:tblGridChange>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944E61">
        <w:tc>
          <w:tcPr>
            <w:tcW w:w="2977" w:type="dxa"/>
            <w:vAlign w:val="center"/>
            <w:hideMark/>
          </w:tcPr>
          <w:p w14:paraId="6B39B236" w14:textId="77777777" w:rsidR="00340100" w:rsidRPr="00194B25" w:rsidRDefault="00340100" w:rsidP="00944E61">
            <w:pPr>
              <w:rPr>
                <w:rFonts w:cs="Arial"/>
                <w:sz w:val="24"/>
              </w:rPr>
            </w:pPr>
            <w:r w:rsidRPr="00194B25">
              <w:rPr>
                <w:rFonts w:cs="Arial"/>
                <w:sz w:val="24"/>
              </w:rPr>
              <w:t>Chair</w:t>
            </w:r>
          </w:p>
        </w:tc>
        <w:tc>
          <w:tcPr>
            <w:tcW w:w="3119" w:type="dxa"/>
            <w:vAlign w:val="center"/>
          </w:tcPr>
          <w:p w14:paraId="1F76A32D" w14:textId="5A2C2EF4" w:rsidR="00340100" w:rsidRPr="00194B25" w:rsidRDefault="008215CC" w:rsidP="00944E61">
            <w:pPr>
              <w:jc w:val="center"/>
              <w:rPr>
                <w:rFonts w:cs="Arial"/>
                <w:sz w:val="24"/>
              </w:rPr>
            </w:pPr>
            <w:r>
              <w:rPr>
                <w:rFonts w:cs="Arial"/>
                <w:sz w:val="24"/>
              </w:rPr>
              <w:t>Milly Lewis</w:t>
            </w:r>
          </w:p>
        </w:tc>
        <w:tc>
          <w:tcPr>
            <w:tcW w:w="3118" w:type="dxa"/>
            <w:vAlign w:val="center"/>
          </w:tcPr>
          <w:p w14:paraId="255EBC02" w14:textId="4E0FA754" w:rsidR="00340100" w:rsidRPr="00194B25" w:rsidRDefault="008215CC" w:rsidP="00944E61">
            <w:pPr>
              <w:jc w:val="center"/>
              <w:rPr>
                <w:rFonts w:cs="Arial"/>
                <w:sz w:val="24"/>
              </w:rPr>
            </w:pPr>
            <w:r>
              <w:rPr>
                <w:rFonts w:cs="Arial"/>
                <w:sz w:val="24"/>
              </w:rPr>
              <w:t>ESO Code Admin</w:t>
            </w:r>
          </w:p>
        </w:tc>
      </w:tr>
      <w:tr w:rsidR="00340100" w:rsidRPr="00194B25" w14:paraId="32A61C65" w14:textId="77777777" w:rsidTr="00944E61">
        <w:tc>
          <w:tcPr>
            <w:tcW w:w="2977" w:type="dxa"/>
            <w:vAlign w:val="center"/>
            <w:hideMark/>
          </w:tcPr>
          <w:p w14:paraId="6AA1C58D" w14:textId="77777777" w:rsidR="00340100" w:rsidRPr="00194B25" w:rsidRDefault="00340100" w:rsidP="00944E61">
            <w:pPr>
              <w:rPr>
                <w:rFonts w:cs="Arial"/>
                <w:sz w:val="24"/>
              </w:rPr>
            </w:pPr>
            <w:r w:rsidRPr="00194B25">
              <w:rPr>
                <w:rFonts w:cs="Arial"/>
                <w:sz w:val="24"/>
              </w:rPr>
              <w:t>Technical Secretary</w:t>
            </w:r>
          </w:p>
        </w:tc>
        <w:tc>
          <w:tcPr>
            <w:tcW w:w="3119" w:type="dxa"/>
            <w:vAlign w:val="center"/>
          </w:tcPr>
          <w:p w14:paraId="5B2493A1" w14:textId="4DD691C5" w:rsidR="00340100" w:rsidRPr="00194B25" w:rsidRDefault="00000216" w:rsidP="00944E61">
            <w:pPr>
              <w:jc w:val="center"/>
              <w:rPr>
                <w:rFonts w:cs="Arial"/>
                <w:sz w:val="24"/>
              </w:rPr>
            </w:pPr>
            <w:r>
              <w:rPr>
                <w:rFonts w:cs="Arial"/>
                <w:sz w:val="24"/>
              </w:rPr>
              <w:t>Elana Byrne</w:t>
            </w:r>
          </w:p>
        </w:tc>
        <w:tc>
          <w:tcPr>
            <w:tcW w:w="3118" w:type="dxa"/>
            <w:vAlign w:val="center"/>
          </w:tcPr>
          <w:p w14:paraId="2540666D" w14:textId="66DCD79F" w:rsidR="00340100" w:rsidRPr="00194B25" w:rsidRDefault="00000216" w:rsidP="00944E61">
            <w:pPr>
              <w:jc w:val="center"/>
              <w:rPr>
                <w:rFonts w:cs="Arial"/>
                <w:sz w:val="24"/>
              </w:rPr>
            </w:pPr>
            <w:r>
              <w:rPr>
                <w:rFonts w:cs="Arial"/>
                <w:sz w:val="24"/>
              </w:rPr>
              <w:t>ESO Code Admin</w:t>
            </w:r>
          </w:p>
        </w:tc>
      </w:tr>
      <w:tr w:rsidR="00340100" w:rsidRPr="00194B25" w14:paraId="57B18568" w14:textId="77777777" w:rsidTr="00944E61">
        <w:tc>
          <w:tcPr>
            <w:tcW w:w="2977" w:type="dxa"/>
            <w:vAlign w:val="center"/>
            <w:hideMark/>
          </w:tcPr>
          <w:p w14:paraId="299C1C65" w14:textId="77777777" w:rsidR="00340100" w:rsidRPr="00194B25" w:rsidRDefault="00340100" w:rsidP="00944E61">
            <w:pPr>
              <w:rPr>
                <w:rFonts w:cs="Arial"/>
                <w:sz w:val="24"/>
              </w:rPr>
            </w:pPr>
            <w:r w:rsidRPr="00194B25">
              <w:rPr>
                <w:rFonts w:cs="Arial"/>
                <w:sz w:val="24"/>
              </w:rPr>
              <w:t>Proposer</w:t>
            </w:r>
          </w:p>
        </w:tc>
        <w:tc>
          <w:tcPr>
            <w:tcW w:w="3119" w:type="dxa"/>
            <w:vAlign w:val="center"/>
          </w:tcPr>
          <w:p w14:paraId="64FA1007" w14:textId="3CCB619A" w:rsidR="00340100" w:rsidRPr="00194B25" w:rsidRDefault="00DA0666" w:rsidP="00944E61">
            <w:pPr>
              <w:jc w:val="center"/>
              <w:rPr>
                <w:rFonts w:cs="Arial"/>
                <w:sz w:val="24"/>
              </w:rPr>
            </w:pPr>
            <w:r w:rsidRPr="00DA0666">
              <w:rPr>
                <w:rFonts w:cs="Arial"/>
                <w:sz w:val="24"/>
              </w:rPr>
              <w:t>Sade Adenola</w:t>
            </w:r>
          </w:p>
        </w:tc>
        <w:tc>
          <w:tcPr>
            <w:tcW w:w="3118" w:type="dxa"/>
            <w:vAlign w:val="center"/>
          </w:tcPr>
          <w:p w14:paraId="6845C55E" w14:textId="02FE9498" w:rsidR="00340100" w:rsidRPr="00194B25" w:rsidRDefault="00DA0666" w:rsidP="00944E61">
            <w:pPr>
              <w:jc w:val="center"/>
              <w:rPr>
                <w:rFonts w:cs="Arial"/>
                <w:sz w:val="24"/>
              </w:rPr>
            </w:pPr>
            <w:r>
              <w:rPr>
                <w:rFonts w:cs="Arial"/>
                <w:sz w:val="24"/>
              </w:rPr>
              <w:t>ESO</w:t>
            </w:r>
          </w:p>
        </w:tc>
      </w:tr>
      <w:tr w:rsidR="005761C6" w:rsidRPr="00194B25" w14:paraId="00560B06" w14:textId="77777777" w:rsidTr="00944E61">
        <w:tc>
          <w:tcPr>
            <w:tcW w:w="2977" w:type="dxa"/>
            <w:vAlign w:val="center"/>
            <w:hideMark/>
          </w:tcPr>
          <w:p w14:paraId="5057D3F3" w14:textId="77777777" w:rsidR="005761C6" w:rsidRPr="00194B25" w:rsidRDefault="005761C6" w:rsidP="00944E61">
            <w:pPr>
              <w:rPr>
                <w:rFonts w:cs="Arial"/>
                <w:sz w:val="24"/>
              </w:rPr>
            </w:pPr>
            <w:r w:rsidRPr="00194B25">
              <w:rPr>
                <w:rFonts w:cs="Arial"/>
                <w:sz w:val="24"/>
              </w:rPr>
              <w:t>Workgroup Member</w:t>
            </w:r>
          </w:p>
        </w:tc>
        <w:tc>
          <w:tcPr>
            <w:tcW w:w="3119" w:type="dxa"/>
            <w:vAlign w:val="center"/>
          </w:tcPr>
          <w:p w14:paraId="546B0411" w14:textId="66748274" w:rsidR="005761C6" w:rsidRPr="00194B25" w:rsidRDefault="005761C6" w:rsidP="00944E61">
            <w:pPr>
              <w:jc w:val="center"/>
              <w:rPr>
                <w:rFonts w:cs="Arial"/>
                <w:sz w:val="24"/>
              </w:rPr>
            </w:pPr>
            <w:r w:rsidRPr="00944E61">
              <w:rPr>
                <w:rFonts w:cs="Arial"/>
                <w:sz w:val="24"/>
              </w:rPr>
              <w:t>Hooman Andami</w:t>
            </w:r>
          </w:p>
        </w:tc>
        <w:tc>
          <w:tcPr>
            <w:tcW w:w="3118" w:type="dxa"/>
            <w:vAlign w:val="center"/>
          </w:tcPr>
          <w:p w14:paraId="2887E482" w14:textId="1EBD76CE" w:rsidR="005761C6" w:rsidRPr="00194B25" w:rsidRDefault="005761C6" w:rsidP="00944E61">
            <w:pPr>
              <w:jc w:val="center"/>
              <w:rPr>
                <w:rFonts w:cs="Arial"/>
                <w:sz w:val="24"/>
              </w:rPr>
            </w:pPr>
            <w:r w:rsidRPr="00944E61">
              <w:rPr>
                <w:rFonts w:cs="Arial"/>
                <w:sz w:val="24"/>
              </w:rPr>
              <w:t>Elmya Energy</w:t>
            </w:r>
          </w:p>
        </w:tc>
      </w:tr>
      <w:tr w:rsidR="006D2463" w:rsidRPr="00194B25" w14:paraId="3328B43F" w14:textId="77777777" w:rsidTr="00944E61">
        <w:trPr>
          <w:trHeight w:val="131"/>
        </w:trPr>
        <w:tc>
          <w:tcPr>
            <w:tcW w:w="2977" w:type="dxa"/>
            <w:vAlign w:val="center"/>
            <w:hideMark/>
          </w:tcPr>
          <w:p w14:paraId="7A79F323" w14:textId="77777777" w:rsidR="006D2463" w:rsidRPr="00194B25" w:rsidRDefault="006D2463" w:rsidP="00944E61">
            <w:pPr>
              <w:rPr>
                <w:rFonts w:cs="Arial"/>
                <w:sz w:val="24"/>
              </w:rPr>
            </w:pPr>
            <w:r w:rsidRPr="00194B25">
              <w:rPr>
                <w:rFonts w:cs="Arial"/>
                <w:sz w:val="24"/>
              </w:rPr>
              <w:t>Workgroup Member</w:t>
            </w:r>
          </w:p>
        </w:tc>
        <w:tc>
          <w:tcPr>
            <w:tcW w:w="3119" w:type="dxa"/>
            <w:vAlign w:val="center"/>
          </w:tcPr>
          <w:p w14:paraId="33716DF1" w14:textId="321F5C27" w:rsidR="006D2463" w:rsidRPr="00194B25" w:rsidRDefault="006D2463" w:rsidP="00944E61">
            <w:pPr>
              <w:jc w:val="center"/>
              <w:rPr>
                <w:rFonts w:cs="Arial"/>
                <w:sz w:val="24"/>
              </w:rPr>
            </w:pPr>
            <w:r w:rsidRPr="00944E61">
              <w:rPr>
                <w:rFonts w:cs="Arial"/>
                <w:sz w:val="24"/>
              </w:rPr>
              <w:t>Cornel Brozio</w:t>
            </w:r>
          </w:p>
        </w:tc>
        <w:tc>
          <w:tcPr>
            <w:tcW w:w="3118" w:type="dxa"/>
            <w:vAlign w:val="center"/>
          </w:tcPr>
          <w:p w14:paraId="21938381" w14:textId="781F001C" w:rsidR="006D2463" w:rsidRPr="00194B25" w:rsidRDefault="006D2463" w:rsidP="00944E61">
            <w:pPr>
              <w:jc w:val="center"/>
              <w:rPr>
                <w:rFonts w:cs="Arial"/>
                <w:sz w:val="24"/>
              </w:rPr>
            </w:pPr>
            <w:r w:rsidRPr="00944E61">
              <w:rPr>
                <w:rFonts w:cs="Arial"/>
                <w:sz w:val="24"/>
              </w:rPr>
              <w:t>SP Energy networks</w:t>
            </w:r>
          </w:p>
        </w:tc>
      </w:tr>
      <w:tr w:rsidR="00340100" w:rsidRPr="00194B25" w14:paraId="5C85D3CF" w14:textId="77777777" w:rsidTr="00944E61">
        <w:tc>
          <w:tcPr>
            <w:tcW w:w="2977" w:type="dxa"/>
            <w:vAlign w:val="center"/>
            <w:hideMark/>
          </w:tcPr>
          <w:p w14:paraId="5A904771" w14:textId="77777777" w:rsidR="00340100" w:rsidRPr="00194B25" w:rsidRDefault="00340100" w:rsidP="00944E61">
            <w:pPr>
              <w:rPr>
                <w:rFonts w:cs="Arial"/>
                <w:sz w:val="24"/>
              </w:rPr>
            </w:pPr>
            <w:r w:rsidRPr="00194B25">
              <w:rPr>
                <w:rFonts w:cs="Arial"/>
                <w:sz w:val="24"/>
              </w:rPr>
              <w:t>Workgroup Member (Alternate)</w:t>
            </w:r>
          </w:p>
        </w:tc>
        <w:tc>
          <w:tcPr>
            <w:tcW w:w="3119" w:type="dxa"/>
            <w:vAlign w:val="center"/>
          </w:tcPr>
          <w:p w14:paraId="0F00BD43" w14:textId="77777777" w:rsidR="007E0EC8" w:rsidRPr="00944E61" w:rsidRDefault="007E0EC8" w:rsidP="00944E61">
            <w:pPr>
              <w:spacing w:before="0" w:after="0" w:line="240" w:lineRule="auto"/>
              <w:jc w:val="center"/>
              <w:rPr>
                <w:rFonts w:cs="Arial"/>
                <w:sz w:val="24"/>
              </w:rPr>
            </w:pPr>
            <w:r w:rsidRPr="00944E61">
              <w:rPr>
                <w:rFonts w:cs="Arial"/>
                <w:sz w:val="24"/>
              </w:rPr>
              <w:t>David Adam</w:t>
            </w:r>
          </w:p>
          <w:p w14:paraId="6C11B2D5" w14:textId="65D50C83" w:rsidR="00340100" w:rsidRPr="00194B25" w:rsidRDefault="007E0EC8" w:rsidP="00944E61">
            <w:pPr>
              <w:spacing w:before="0" w:after="0" w:line="240" w:lineRule="auto"/>
              <w:jc w:val="center"/>
              <w:rPr>
                <w:rFonts w:cs="Arial"/>
                <w:sz w:val="24"/>
              </w:rPr>
            </w:pPr>
            <w:r w:rsidRPr="00944E61">
              <w:rPr>
                <w:rFonts w:cs="Arial"/>
                <w:sz w:val="24"/>
              </w:rPr>
              <w:t>Graeme Vincent</w:t>
            </w:r>
          </w:p>
        </w:tc>
        <w:tc>
          <w:tcPr>
            <w:tcW w:w="3118" w:type="dxa"/>
            <w:vAlign w:val="center"/>
          </w:tcPr>
          <w:p w14:paraId="7E068E16" w14:textId="58C825AE" w:rsidR="00340100" w:rsidRPr="00194B25" w:rsidRDefault="007E0EC8" w:rsidP="00944E61">
            <w:pPr>
              <w:jc w:val="center"/>
              <w:rPr>
                <w:rFonts w:cs="Arial"/>
                <w:sz w:val="24"/>
              </w:rPr>
            </w:pPr>
            <w:r w:rsidRPr="00944E61">
              <w:rPr>
                <w:rFonts w:cs="Arial"/>
                <w:sz w:val="24"/>
              </w:rPr>
              <w:t>SP Energy networks</w:t>
            </w:r>
          </w:p>
        </w:tc>
      </w:tr>
      <w:tr w:rsidR="002D182E" w:rsidRPr="00194B25" w14:paraId="2D1E07A5" w14:textId="77777777" w:rsidTr="00944E61">
        <w:tc>
          <w:tcPr>
            <w:tcW w:w="2977" w:type="dxa"/>
            <w:vAlign w:val="center"/>
          </w:tcPr>
          <w:p w14:paraId="116367E0" w14:textId="11F87D1E" w:rsidR="002D182E" w:rsidRPr="00194B25" w:rsidRDefault="002D182E" w:rsidP="00944E61">
            <w:pPr>
              <w:rPr>
                <w:rFonts w:cs="Arial"/>
                <w:sz w:val="24"/>
              </w:rPr>
            </w:pPr>
            <w:r w:rsidRPr="00194B25">
              <w:rPr>
                <w:rFonts w:cs="Arial"/>
                <w:sz w:val="24"/>
              </w:rPr>
              <w:t>Workgroup Member</w:t>
            </w:r>
          </w:p>
        </w:tc>
        <w:tc>
          <w:tcPr>
            <w:tcW w:w="3119" w:type="dxa"/>
            <w:vAlign w:val="center"/>
          </w:tcPr>
          <w:p w14:paraId="2D94C97A" w14:textId="37EB58DB" w:rsidR="002D182E" w:rsidRPr="00944E61" w:rsidRDefault="002D182E" w:rsidP="00944E61">
            <w:pPr>
              <w:spacing w:before="0" w:after="0" w:line="240" w:lineRule="auto"/>
              <w:jc w:val="center"/>
              <w:rPr>
                <w:rFonts w:cs="Arial"/>
                <w:sz w:val="24"/>
              </w:rPr>
            </w:pPr>
            <w:r w:rsidRPr="00944E61">
              <w:rPr>
                <w:rFonts w:cs="Arial"/>
                <w:sz w:val="24"/>
              </w:rPr>
              <w:t>Mark Ajal</w:t>
            </w:r>
          </w:p>
        </w:tc>
        <w:tc>
          <w:tcPr>
            <w:tcW w:w="3118" w:type="dxa"/>
            <w:vAlign w:val="center"/>
          </w:tcPr>
          <w:p w14:paraId="400223A3" w14:textId="5ABC8A72" w:rsidR="002D182E" w:rsidRPr="00944E61" w:rsidRDefault="002D182E" w:rsidP="00944E61">
            <w:pPr>
              <w:jc w:val="center"/>
              <w:rPr>
                <w:rFonts w:cs="Arial"/>
                <w:sz w:val="24"/>
              </w:rPr>
            </w:pPr>
            <w:r w:rsidRPr="00944E61">
              <w:rPr>
                <w:rFonts w:cs="Arial"/>
                <w:sz w:val="24"/>
              </w:rPr>
              <w:t>SSE</w:t>
            </w:r>
          </w:p>
        </w:tc>
      </w:tr>
      <w:tr w:rsidR="001C6E55" w:rsidRPr="00194B25" w14:paraId="17F93DEB" w14:textId="77777777" w:rsidTr="00944E61">
        <w:tc>
          <w:tcPr>
            <w:tcW w:w="2977" w:type="dxa"/>
            <w:vAlign w:val="center"/>
          </w:tcPr>
          <w:p w14:paraId="4709DBFA" w14:textId="04E4AC76" w:rsidR="001C6E55" w:rsidRPr="00194B25" w:rsidRDefault="001C6E55" w:rsidP="00944E61">
            <w:pPr>
              <w:rPr>
                <w:rFonts w:cs="Arial"/>
                <w:sz w:val="24"/>
              </w:rPr>
            </w:pPr>
            <w:r w:rsidRPr="00194B25">
              <w:rPr>
                <w:rFonts w:cs="Arial"/>
                <w:sz w:val="24"/>
              </w:rPr>
              <w:t>Workgroup Member (Alternate)</w:t>
            </w:r>
          </w:p>
        </w:tc>
        <w:tc>
          <w:tcPr>
            <w:tcW w:w="3119" w:type="dxa"/>
            <w:vAlign w:val="center"/>
          </w:tcPr>
          <w:p w14:paraId="6048CD9A" w14:textId="1F44375E" w:rsidR="001C6E55" w:rsidRPr="00944E61" w:rsidRDefault="002D182E" w:rsidP="00944E61">
            <w:pPr>
              <w:spacing w:before="0" w:after="0" w:line="240" w:lineRule="auto"/>
              <w:jc w:val="center"/>
              <w:rPr>
                <w:rFonts w:cs="Arial"/>
                <w:sz w:val="24"/>
              </w:rPr>
            </w:pPr>
            <w:r w:rsidRPr="00944E61">
              <w:rPr>
                <w:rFonts w:cs="Arial"/>
                <w:sz w:val="24"/>
              </w:rPr>
              <w:t>Fang Ji</w:t>
            </w:r>
          </w:p>
        </w:tc>
        <w:tc>
          <w:tcPr>
            <w:tcW w:w="3118" w:type="dxa"/>
            <w:vAlign w:val="center"/>
          </w:tcPr>
          <w:p w14:paraId="6404673B" w14:textId="7B951CB5" w:rsidR="001C6E55" w:rsidRPr="00944E61" w:rsidRDefault="002D182E" w:rsidP="00944E61">
            <w:pPr>
              <w:jc w:val="center"/>
              <w:rPr>
                <w:rFonts w:cs="Arial"/>
                <w:sz w:val="24"/>
              </w:rPr>
            </w:pPr>
            <w:r w:rsidRPr="00944E61">
              <w:rPr>
                <w:rFonts w:cs="Arial"/>
                <w:sz w:val="24"/>
              </w:rPr>
              <w:t>SSE</w:t>
            </w:r>
          </w:p>
        </w:tc>
      </w:tr>
      <w:tr w:rsidR="00B7588B" w:rsidRPr="00194B25" w14:paraId="6C0E5F45" w14:textId="77777777" w:rsidTr="00944E61">
        <w:tc>
          <w:tcPr>
            <w:tcW w:w="2977" w:type="dxa"/>
            <w:vAlign w:val="center"/>
          </w:tcPr>
          <w:p w14:paraId="1A87E4C3" w14:textId="63A5A214" w:rsidR="00B7588B" w:rsidRPr="00194B25" w:rsidRDefault="00B7588B" w:rsidP="00944E61">
            <w:pPr>
              <w:rPr>
                <w:rFonts w:cs="Arial"/>
                <w:sz w:val="24"/>
              </w:rPr>
            </w:pPr>
            <w:r w:rsidRPr="00194B25">
              <w:rPr>
                <w:rFonts w:cs="Arial"/>
                <w:sz w:val="24"/>
              </w:rPr>
              <w:t>Workgroup Member</w:t>
            </w:r>
          </w:p>
        </w:tc>
        <w:tc>
          <w:tcPr>
            <w:tcW w:w="3119" w:type="dxa"/>
            <w:vAlign w:val="center"/>
          </w:tcPr>
          <w:p w14:paraId="6A5FC5EF" w14:textId="69FC6F7C" w:rsidR="00B7588B" w:rsidRPr="00944E61" w:rsidRDefault="00B7588B" w:rsidP="00944E61">
            <w:pPr>
              <w:spacing w:before="0" w:after="0" w:line="240" w:lineRule="auto"/>
              <w:jc w:val="center"/>
              <w:rPr>
                <w:rFonts w:cs="Arial"/>
                <w:sz w:val="24"/>
              </w:rPr>
            </w:pPr>
            <w:r w:rsidRPr="00944E61">
              <w:rPr>
                <w:rFonts w:cs="Arial"/>
                <w:sz w:val="24"/>
              </w:rPr>
              <w:t>Colin Barden</w:t>
            </w:r>
          </w:p>
        </w:tc>
        <w:tc>
          <w:tcPr>
            <w:tcW w:w="3118" w:type="dxa"/>
            <w:vAlign w:val="center"/>
          </w:tcPr>
          <w:p w14:paraId="77394B65" w14:textId="144DCE67" w:rsidR="00B7588B" w:rsidRPr="00944E61" w:rsidRDefault="00B7588B" w:rsidP="00944E61">
            <w:pPr>
              <w:jc w:val="center"/>
              <w:rPr>
                <w:rFonts w:cs="Arial"/>
                <w:sz w:val="24"/>
              </w:rPr>
            </w:pPr>
            <w:r w:rsidRPr="00944E61">
              <w:rPr>
                <w:rFonts w:cs="Arial"/>
                <w:sz w:val="24"/>
              </w:rPr>
              <w:t>UK Power Networks</w:t>
            </w:r>
          </w:p>
        </w:tc>
      </w:tr>
      <w:tr w:rsidR="001C6E55" w:rsidRPr="00194B25" w14:paraId="4EE13580" w14:textId="77777777" w:rsidTr="00944E61">
        <w:tc>
          <w:tcPr>
            <w:tcW w:w="2977" w:type="dxa"/>
            <w:vAlign w:val="center"/>
          </w:tcPr>
          <w:p w14:paraId="7E69C463" w14:textId="6447D3EC" w:rsidR="001C6E55" w:rsidRPr="00194B25" w:rsidRDefault="001C6E55" w:rsidP="00944E61">
            <w:pPr>
              <w:rPr>
                <w:rFonts w:cs="Arial"/>
                <w:sz w:val="24"/>
              </w:rPr>
            </w:pPr>
            <w:r w:rsidRPr="00194B25">
              <w:rPr>
                <w:rFonts w:cs="Arial"/>
                <w:sz w:val="24"/>
              </w:rPr>
              <w:t>Workgroup Member (Alternate)</w:t>
            </w:r>
          </w:p>
        </w:tc>
        <w:tc>
          <w:tcPr>
            <w:tcW w:w="3119" w:type="dxa"/>
            <w:vAlign w:val="center"/>
          </w:tcPr>
          <w:p w14:paraId="704069B6" w14:textId="77777777" w:rsidR="00B7588B" w:rsidRPr="00944E61" w:rsidRDefault="00B7588B" w:rsidP="00944E61">
            <w:pPr>
              <w:spacing w:before="0" w:after="0" w:line="240" w:lineRule="auto"/>
              <w:jc w:val="center"/>
              <w:rPr>
                <w:rFonts w:cs="Arial"/>
                <w:sz w:val="24"/>
              </w:rPr>
            </w:pPr>
            <w:r w:rsidRPr="00944E61">
              <w:rPr>
                <w:rFonts w:cs="Arial"/>
                <w:sz w:val="24"/>
              </w:rPr>
              <w:t>Peter Riste</w:t>
            </w:r>
          </w:p>
          <w:p w14:paraId="3AA00094" w14:textId="77777777" w:rsidR="001C6E55" w:rsidRPr="00944E61" w:rsidRDefault="001C6E55" w:rsidP="00944E61">
            <w:pPr>
              <w:spacing w:before="0" w:after="0" w:line="240" w:lineRule="auto"/>
              <w:jc w:val="center"/>
              <w:rPr>
                <w:rFonts w:cs="Arial"/>
                <w:sz w:val="24"/>
              </w:rPr>
            </w:pPr>
          </w:p>
        </w:tc>
        <w:tc>
          <w:tcPr>
            <w:tcW w:w="3118" w:type="dxa"/>
            <w:vAlign w:val="center"/>
          </w:tcPr>
          <w:p w14:paraId="2742F5EC" w14:textId="5A2A9F8E" w:rsidR="001C6E55" w:rsidRPr="00944E61" w:rsidRDefault="00B7588B" w:rsidP="00944E61">
            <w:pPr>
              <w:jc w:val="center"/>
              <w:rPr>
                <w:rFonts w:cs="Arial"/>
                <w:sz w:val="24"/>
              </w:rPr>
            </w:pPr>
            <w:r w:rsidRPr="00944E61">
              <w:rPr>
                <w:rFonts w:cs="Arial"/>
                <w:sz w:val="24"/>
              </w:rPr>
              <w:t>UK Power Networks</w:t>
            </w:r>
          </w:p>
        </w:tc>
      </w:tr>
      <w:tr w:rsidR="00C475FF" w:rsidRPr="00194B25" w14:paraId="63288399" w14:textId="77777777" w:rsidTr="00944E61">
        <w:tc>
          <w:tcPr>
            <w:tcW w:w="2977" w:type="dxa"/>
            <w:vAlign w:val="center"/>
          </w:tcPr>
          <w:p w14:paraId="0E9AD20E" w14:textId="085F622F" w:rsidR="00C475FF" w:rsidRPr="00194B25" w:rsidRDefault="00C475FF" w:rsidP="00944E61">
            <w:pPr>
              <w:rPr>
                <w:rFonts w:cs="Arial"/>
                <w:sz w:val="24"/>
              </w:rPr>
            </w:pPr>
            <w:r w:rsidRPr="00194B25">
              <w:rPr>
                <w:rFonts w:cs="Arial"/>
                <w:sz w:val="24"/>
              </w:rPr>
              <w:t>Workgroup Member</w:t>
            </w:r>
          </w:p>
        </w:tc>
        <w:tc>
          <w:tcPr>
            <w:tcW w:w="3119" w:type="dxa"/>
            <w:vAlign w:val="center"/>
          </w:tcPr>
          <w:p w14:paraId="6479247F" w14:textId="6437BB2D" w:rsidR="00C475FF" w:rsidRPr="00944E61" w:rsidRDefault="00C475FF" w:rsidP="00944E61">
            <w:pPr>
              <w:spacing w:before="0" w:after="0" w:line="240" w:lineRule="auto"/>
              <w:jc w:val="center"/>
              <w:rPr>
                <w:rFonts w:cs="Arial"/>
                <w:sz w:val="24"/>
              </w:rPr>
            </w:pPr>
            <w:r w:rsidRPr="00944E61">
              <w:rPr>
                <w:rFonts w:cs="Arial"/>
                <w:sz w:val="24"/>
              </w:rPr>
              <w:t>Lewis Morgan</w:t>
            </w:r>
          </w:p>
        </w:tc>
        <w:tc>
          <w:tcPr>
            <w:tcW w:w="3118" w:type="dxa"/>
            <w:vAlign w:val="center"/>
          </w:tcPr>
          <w:p w14:paraId="167A0BEF" w14:textId="49149041" w:rsidR="00C475FF" w:rsidRPr="00944E61" w:rsidRDefault="00C475FF" w:rsidP="00944E61">
            <w:pPr>
              <w:jc w:val="center"/>
              <w:rPr>
                <w:rFonts w:cs="Arial"/>
                <w:sz w:val="24"/>
              </w:rPr>
            </w:pPr>
            <w:r w:rsidRPr="00944E61">
              <w:rPr>
                <w:rFonts w:cs="Arial"/>
                <w:sz w:val="24"/>
              </w:rPr>
              <w:t>NGET</w:t>
            </w:r>
          </w:p>
        </w:tc>
      </w:tr>
      <w:tr w:rsidR="00944E61" w:rsidRPr="00194B25" w14:paraId="137A1435" w14:textId="77777777" w:rsidTr="00944E61">
        <w:tc>
          <w:tcPr>
            <w:tcW w:w="2977" w:type="dxa"/>
            <w:vAlign w:val="center"/>
          </w:tcPr>
          <w:p w14:paraId="59AF875B" w14:textId="3440FEA8" w:rsidR="00944E61" w:rsidRPr="00194B25" w:rsidRDefault="00944E61" w:rsidP="00944E61">
            <w:pPr>
              <w:rPr>
                <w:rFonts w:cs="Arial"/>
                <w:sz w:val="24"/>
              </w:rPr>
            </w:pPr>
            <w:r w:rsidRPr="00194B25">
              <w:rPr>
                <w:rFonts w:cs="Arial"/>
                <w:sz w:val="24"/>
              </w:rPr>
              <w:t>Workgroup Member</w:t>
            </w:r>
          </w:p>
        </w:tc>
        <w:tc>
          <w:tcPr>
            <w:tcW w:w="3119" w:type="dxa"/>
            <w:vAlign w:val="center"/>
          </w:tcPr>
          <w:p w14:paraId="3DE89E00" w14:textId="0821A22B" w:rsidR="00944E61" w:rsidRPr="00944E61" w:rsidRDefault="00944E61" w:rsidP="00944E61">
            <w:pPr>
              <w:spacing w:before="0" w:after="0" w:line="240" w:lineRule="auto"/>
              <w:jc w:val="center"/>
              <w:rPr>
                <w:rFonts w:cs="Arial"/>
                <w:sz w:val="24"/>
              </w:rPr>
            </w:pPr>
            <w:r w:rsidRPr="00944E61">
              <w:rPr>
                <w:rFonts w:cs="Arial"/>
                <w:sz w:val="24"/>
              </w:rPr>
              <w:t>David Lyon</w:t>
            </w:r>
          </w:p>
        </w:tc>
        <w:tc>
          <w:tcPr>
            <w:tcW w:w="3118" w:type="dxa"/>
            <w:vAlign w:val="center"/>
          </w:tcPr>
          <w:p w14:paraId="20024E14" w14:textId="0D5700C0" w:rsidR="00944E61" w:rsidRPr="00944E61" w:rsidRDefault="00944E61" w:rsidP="00944E61">
            <w:pPr>
              <w:jc w:val="center"/>
              <w:rPr>
                <w:rFonts w:cs="Arial"/>
                <w:sz w:val="24"/>
              </w:rPr>
            </w:pPr>
            <w:r w:rsidRPr="00944E61">
              <w:rPr>
                <w:rFonts w:cs="Arial"/>
                <w:sz w:val="24"/>
              </w:rPr>
              <w:t>Frontier power</w:t>
            </w:r>
          </w:p>
        </w:tc>
      </w:tr>
      <w:tr w:rsidR="000215BC" w:rsidRPr="00194B25" w14:paraId="5D5A9B45" w14:textId="77777777" w:rsidTr="00944E61">
        <w:tc>
          <w:tcPr>
            <w:tcW w:w="2977" w:type="dxa"/>
            <w:vAlign w:val="center"/>
          </w:tcPr>
          <w:p w14:paraId="4D65FEE8" w14:textId="3C763C29" w:rsidR="000215BC" w:rsidRPr="00194B25" w:rsidRDefault="000215BC" w:rsidP="00944E61">
            <w:pPr>
              <w:rPr>
                <w:rFonts w:cs="Arial"/>
                <w:sz w:val="24"/>
              </w:rPr>
            </w:pPr>
            <w:r w:rsidRPr="00194B25">
              <w:rPr>
                <w:rFonts w:cs="Arial"/>
                <w:sz w:val="24"/>
              </w:rPr>
              <w:t>Workgroup Member (Alternate)</w:t>
            </w:r>
          </w:p>
        </w:tc>
        <w:tc>
          <w:tcPr>
            <w:tcW w:w="3119" w:type="dxa"/>
            <w:vAlign w:val="center"/>
          </w:tcPr>
          <w:p w14:paraId="5CF0F953" w14:textId="20DDAEFC" w:rsidR="000215BC" w:rsidRPr="00944E61" w:rsidRDefault="00944E61" w:rsidP="00944E61">
            <w:pPr>
              <w:spacing w:before="0" w:after="0" w:line="240" w:lineRule="auto"/>
              <w:jc w:val="center"/>
              <w:rPr>
                <w:rFonts w:cs="Arial"/>
                <w:sz w:val="24"/>
              </w:rPr>
            </w:pPr>
            <w:r w:rsidRPr="00944E61">
              <w:rPr>
                <w:rFonts w:cs="Arial"/>
                <w:sz w:val="24"/>
              </w:rPr>
              <w:t>Carl Johnstone</w:t>
            </w:r>
          </w:p>
        </w:tc>
        <w:tc>
          <w:tcPr>
            <w:tcW w:w="3118" w:type="dxa"/>
            <w:vAlign w:val="center"/>
          </w:tcPr>
          <w:p w14:paraId="2399C656" w14:textId="0945C4A2" w:rsidR="000215BC" w:rsidRPr="00944E61" w:rsidRDefault="00944E61" w:rsidP="00944E61">
            <w:pPr>
              <w:jc w:val="center"/>
              <w:rPr>
                <w:rFonts w:cs="Arial"/>
                <w:sz w:val="24"/>
              </w:rPr>
            </w:pPr>
            <w:r w:rsidRPr="00944E61">
              <w:rPr>
                <w:rFonts w:cs="Arial"/>
                <w:sz w:val="24"/>
              </w:rPr>
              <w:t>Frontier power</w:t>
            </w:r>
          </w:p>
        </w:tc>
      </w:tr>
      <w:tr w:rsidR="001C6E55" w:rsidRPr="00194B25" w14:paraId="218EE0E0" w14:textId="77777777" w:rsidTr="00944E61">
        <w:tc>
          <w:tcPr>
            <w:tcW w:w="2977" w:type="dxa"/>
            <w:vAlign w:val="center"/>
            <w:hideMark/>
          </w:tcPr>
          <w:p w14:paraId="151B82BF" w14:textId="4D39D937" w:rsidR="001C6E55" w:rsidRPr="00194B25" w:rsidRDefault="001C6E55" w:rsidP="00944E61">
            <w:pPr>
              <w:rPr>
                <w:rFonts w:cs="Arial"/>
                <w:sz w:val="24"/>
              </w:rPr>
            </w:pPr>
            <w:r w:rsidRPr="00194B25">
              <w:rPr>
                <w:rFonts w:cs="Arial"/>
                <w:sz w:val="24"/>
              </w:rPr>
              <w:t>Authority Representative</w:t>
            </w:r>
          </w:p>
        </w:tc>
        <w:tc>
          <w:tcPr>
            <w:tcW w:w="3119" w:type="dxa"/>
            <w:vAlign w:val="center"/>
          </w:tcPr>
          <w:p w14:paraId="5B7384FE" w14:textId="1D996001" w:rsidR="001C6E55" w:rsidRPr="00194B25" w:rsidRDefault="001C6E55" w:rsidP="00944E61">
            <w:pPr>
              <w:jc w:val="center"/>
              <w:rPr>
                <w:rFonts w:cs="Arial"/>
                <w:sz w:val="24"/>
              </w:rPr>
            </w:pPr>
            <w:r w:rsidRPr="00944E61">
              <w:rPr>
                <w:rFonts w:cs="Arial"/>
                <w:sz w:val="24"/>
              </w:rPr>
              <w:t>Christopher Statham</w:t>
            </w:r>
          </w:p>
        </w:tc>
        <w:tc>
          <w:tcPr>
            <w:tcW w:w="3118" w:type="dxa"/>
            <w:vAlign w:val="center"/>
          </w:tcPr>
          <w:p w14:paraId="79C1F988" w14:textId="2004C48E" w:rsidR="001C6E55" w:rsidRPr="00194B25" w:rsidRDefault="001C6E55" w:rsidP="00944E61">
            <w:pPr>
              <w:jc w:val="center"/>
              <w:rPr>
                <w:rFonts w:cs="Arial"/>
                <w:sz w:val="24"/>
              </w:rPr>
            </w:pPr>
            <w:r w:rsidRPr="00944E61">
              <w:rPr>
                <w:rFonts w:cs="Arial"/>
                <w:sz w:val="24"/>
              </w:rPr>
              <w:t>Ofgem</w:t>
            </w:r>
          </w:p>
        </w:tc>
      </w:tr>
      <w:tr w:rsidR="001C6E55" w:rsidRPr="00194B25" w14:paraId="2700650A" w14:textId="77777777" w:rsidTr="00944E61">
        <w:tc>
          <w:tcPr>
            <w:tcW w:w="2977" w:type="dxa"/>
            <w:vAlign w:val="center"/>
          </w:tcPr>
          <w:p w14:paraId="5A310383" w14:textId="5077EB88" w:rsidR="001C6E55" w:rsidRPr="00194B25" w:rsidRDefault="001C6E55" w:rsidP="00944E61">
            <w:pPr>
              <w:rPr>
                <w:rFonts w:cs="Arial"/>
                <w:sz w:val="24"/>
              </w:rPr>
            </w:pPr>
            <w:r w:rsidRPr="00194B25">
              <w:rPr>
                <w:rFonts w:cs="Arial"/>
                <w:sz w:val="24"/>
              </w:rPr>
              <w:t>Authority Representative</w:t>
            </w:r>
            <w:r>
              <w:rPr>
                <w:rFonts w:cs="Arial"/>
                <w:sz w:val="24"/>
              </w:rPr>
              <w:t xml:space="preserve"> (Alternate)</w:t>
            </w:r>
          </w:p>
        </w:tc>
        <w:tc>
          <w:tcPr>
            <w:tcW w:w="3119" w:type="dxa"/>
            <w:vAlign w:val="center"/>
          </w:tcPr>
          <w:p w14:paraId="2560AF5A" w14:textId="684F81F7" w:rsidR="001C6E55" w:rsidRPr="00944E61" w:rsidRDefault="001C6E55" w:rsidP="00944E61">
            <w:pPr>
              <w:spacing w:before="0" w:after="0" w:line="240" w:lineRule="auto"/>
              <w:jc w:val="center"/>
              <w:rPr>
                <w:rFonts w:cs="Arial"/>
                <w:sz w:val="24"/>
              </w:rPr>
            </w:pPr>
            <w:r w:rsidRPr="00944E61">
              <w:rPr>
                <w:rFonts w:cs="Arial"/>
                <w:sz w:val="24"/>
              </w:rPr>
              <w:t>Shilen Shah</w:t>
            </w:r>
          </w:p>
        </w:tc>
        <w:tc>
          <w:tcPr>
            <w:tcW w:w="3118" w:type="dxa"/>
            <w:vAlign w:val="center"/>
          </w:tcPr>
          <w:p w14:paraId="0933E5B7" w14:textId="76E3BA06" w:rsidR="001C6E55" w:rsidRPr="00944E61" w:rsidRDefault="001C6E55" w:rsidP="00944E61">
            <w:pPr>
              <w:jc w:val="center"/>
              <w:rPr>
                <w:rFonts w:cs="Arial"/>
                <w:sz w:val="24"/>
              </w:rPr>
            </w:pPr>
            <w:r w:rsidRPr="00944E61">
              <w:rPr>
                <w:rFonts w:cs="Arial"/>
                <w:sz w:val="24"/>
              </w:rPr>
              <w:t>Ofgem</w:t>
            </w:r>
          </w:p>
        </w:tc>
      </w:tr>
    </w:tbl>
    <w:p w14:paraId="0155BEA1" w14:textId="77777777" w:rsidR="00340100" w:rsidRPr="00194B25" w:rsidRDefault="00340100" w:rsidP="00340100">
      <w:pPr>
        <w:jc w:val="both"/>
        <w:rPr>
          <w:rFonts w:cs="Arial"/>
          <w:sz w:val="24"/>
        </w:rPr>
      </w:pPr>
    </w:p>
    <w:p w14:paraId="480F118B" w14:textId="45C51735" w:rsidR="008D1810" w:rsidRPr="008D1810" w:rsidRDefault="008D1810" w:rsidP="008D1810">
      <w:pPr>
        <w:autoSpaceDE w:val="0"/>
        <w:autoSpaceDN w:val="0"/>
        <w:adjustRightInd w:val="0"/>
        <w:snapToGrid w:val="0"/>
        <w:ind w:left="426" w:hanging="426"/>
        <w:rPr>
          <w:sz w:val="24"/>
        </w:rPr>
      </w:pPr>
      <w:r w:rsidRPr="008D1810">
        <w:rPr>
          <w:sz w:val="24"/>
        </w:rPr>
        <w:t xml:space="preserve">NB: A Workgroup must comprise at least </w:t>
      </w:r>
      <w:r w:rsidR="00572E47" w:rsidRPr="00572E47">
        <w:rPr>
          <w:sz w:val="24"/>
        </w:rPr>
        <w:t>5</w:t>
      </w:r>
      <w:r w:rsidR="00572E47">
        <w:rPr>
          <w:b/>
          <w:sz w:val="24"/>
        </w:rPr>
        <w:t xml:space="preserve"> </w:t>
      </w:r>
      <w:r w:rsidRPr="008D1810">
        <w:rPr>
          <w:sz w:val="24"/>
        </w:rPr>
        <w:t>members (who may be Panel Members). The roles identified with an asterisk (*) in the table above contribute toward the required quorum, determined in accordance with paragraph 14 below.</w:t>
      </w:r>
    </w:p>
    <w:p w14:paraId="0520CBFB" w14:textId="77777777" w:rsidR="008D1810" w:rsidRPr="008D1810" w:rsidRDefault="008D1810" w:rsidP="008D1810">
      <w:pPr>
        <w:autoSpaceDE w:val="0"/>
        <w:autoSpaceDN w:val="0"/>
        <w:adjustRightInd w:val="0"/>
        <w:snapToGrid w:val="0"/>
        <w:rPr>
          <w:sz w:val="24"/>
        </w:rPr>
      </w:pPr>
    </w:p>
    <w:p w14:paraId="563DFE6D" w14:textId="34AE9203" w:rsidR="008D1810" w:rsidRDefault="008D1810" w:rsidP="003800FF">
      <w:pPr>
        <w:pStyle w:val="ListParagraph"/>
        <w:numPr>
          <w:ilvl w:val="0"/>
          <w:numId w:val="2"/>
        </w:numPr>
        <w:jc w:val="both"/>
        <w:rPr>
          <w:sz w:val="24"/>
        </w:rPr>
      </w:pPr>
      <w:r w:rsidRPr="003800FF">
        <w:rPr>
          <w:sz w:val="24"/>
        </w:rPr>
        <w:t>The chair</w:t>
      </w:r>
      <w:r w:rsidR="00E37A9C" w:rsidRPr="003800FF">
        <w:rPr>
          <w:sz w:val="24"/>
        </w:rPr>
        <w:t>person</w:t>
      </w:r>
      <w:r w:rsidRPr="003800FF">
        <w:rPr>
          <w:sz w:val="24"/>
        </w:rPr>
        <w:t xml:space="preserve"> of the Workgroup and the Modifications Panel Chair</w:t>
      </w:r>
      <w:r w:rsidR="00E37A9C" w:rsidRPr="003800FF">
        <w:rPr>
          <w:sz w:val="24"/>
        </w:rPr>
        <w:t>person</w:t>
      </w:r>
      <w:r w:rsidRPr="003800FF">
        <w:rPr>
          <w:sz w:val="24"/>
        </w:rPr>
        <w:t xml:space="preserve"> must agree a number that will be quorum for each Workgroup meeting.</w:t>
      </w:r>
      <w:r w:rsidR="005C7062" w:rsidRPr="003800FF">
        <w:rPr>
          <w:sz w:val="24"/>
        </w:rPr>
        <w:t xml:space="preserve"> </w:t>
      </w:r>
      <w:r w:rsidRPr="003800FF">
        <w:rPr>
          <w:sz w:val="24"/>
        </w:rPr>
        <w:t xml:space="preserve">The agreed figure for </w:t>
      </w:r>
      <w:r w:rsidR="009A71EB" w:rsidRPr="003800FF">
        <w:rPr>
          <w:sz w:val="24"/>
        </w:rPr>
        <w:t>this modification</w:t>
      </w:r>
      <w:r w:rsidRPr="003800FF">
        <w:rPr>
          <w:sz w:val="24"/>
        </w:rPr>
        <w:t xml:space="preserve"> is that at least </w:t>
      </w:r>
      <w:r w:rsidR="00572E47" w:rsidRPr="003800FF">
        <w:rPr>
          <w:sz w:val="24"/>
        </w:rPr>
        <w:t>5</w:t>
      </w:r>
      <w:r w:rsidRPr="003800FF">
        <w:rPr>
          <w:sz w:val="24"/>
        </w:rPr>
        <w:t xml:space="preserve"> Workgroup members must participate in a meeting for quorum to be met.</w:t>
      </w:r>
    </w:p>
    <w:p w14:paraId="28243AD5" w14:textId="77777777" w:rsidR="003800FF" w:rsidRDefault="003800FF" w:rsidP="003800FF">
      <w:pPr>
        <w:pStyle w:val="ListParagraph"/>
        <w:jc w:val="both"/>
        <w:rPr>
          <w:sz w:val="24"/>
        </w:rPr>
      </w:pPr>
    </w:p>
    <w:p w14:paraId="46F27AB6" w14:textId="3134B8CA" w:rsidR="008D1810" w:rsidRDefault="008D1810" w:rsidP="003800FF">
      <w:pPr>
        <w:pStyle w:val="ListParagraph"/>
        <w:numPr>
          <w:ilvl w:val="0"/>
          <w:numId w:val="2"/>
        </w:numPr>
        <w:jc w:val="both"/>
        <w:rPr>
          <w:sz w:val="24"/>
        </w:rPr>
      </w:pPr>
      <w:r w:rsidRPr="003800FF">
        <w:rPr>
          <w:sz w:val="24"/>
        </w:rPr>
        <w:t>A vote is to take place by all eligible Workgroup members on the Modification Proposal.</w:t>
      </w:r>
      <w:r w:rsidR="005C7062" w:rsidRPr="003800FF">
        <w:rPr>
          <w:sz w:val="24"/>
        </w:rPr>
        <w:t xml:space="preserve"> </w:t>
      </w:r>
      <w:r w:rsidRPr="003800FF">
        <w:rPr>
          <w:sz w:val="24"/>
        </w:rPr>
        <w:t>The vote shall be decided by simple majority of those present at the meeting at which the vote takes place (whether in person or by teleconference). The Workgroup chair</w:t>
      </w:r>
      <w:r w:rsidR="00E37A9C" w:rsidRPr="003800FF">
        <w:rPr>
          <w:sz w:val="24"/>
        </w:rPr>
        <w:t>person</w:t>
      </w:r>
      <w:r w:rsidRPr="003800FF">
        <w:rPr>
          <w:sz w:val="24"/>
        </w:rPr>
        <w:t xml:space="preserve"> shall not have a vote, casting or otherwise.</w:t>
      </w:r>
      <w:r w:rsidR="005C7062" w:rsidRPr="003800FF">
        <w:rPr>
          <w:sz w:val="24"/>
        </w:rPr>
        <w:t xml:space="preserve"> </w:t>
      </w:r>
    </w:p>
    <w:p w14:paraId="4EA1D9D9" w14:textId="77777777" w:rsidR="003800FF" w:rsidRPr="003800FF" w:rsidRDefault="003800FF" w:rsidP="003800FF">
      <w:pPr>
        <w:jc w:val="both"/>
        <w:rPr>
          <w:sz w:val="24"/>
        </w:rPr>
      </w:pPr>
    </w:p>
    <w:p w14:paraId="2E6A97CE" w14:textId="3A490913" w:rsidR="008D1810" w:rsidRDefault="008D1810" w:rsidP="008D1810">
      <w:pPr>
        <w:numPr>
          <w:ilvl w:val="0"/>
          <w:numId w:val="3"/>
        </w:numPr>
        <w:tabs>
          <w:tab w:val="clear" w:pos="780"/>
          <w:tab w:val="left" w:pos="1276"/>
        </w:tabs>
        <w:spacing w:before="0" w:after="0" w:line="240" w:lineRule="auto"/>
        <w:ind w:left="1276" w:hanging="567"/>
        <w:jc w:val="both"/>
        <w:rPr>
          <w:sz w:val="24"/>
        </w:rPr>
      </w:pPr>
      <w:r w:rsidRPr="008D1810">
        <w:rPr>
          <w:sz w:val="24"/>
        </w:rPr>
        <w:t>Vote: whether the proposal better facilitates the Applicable SQSS Objectives;</w:t>
      </w:r>
    </w:p>
    <w:p w14:paraId="1EEDEEAD" w14:textId="77777777" w:rsidR="003800FF" w:rsidRPr="008D1810" w:rsidRDefault="003800FF" w:rsidP="003800FF">
      <w:pPr>
        <w:tabs>
          <w:tab w:val="left" w:pos="1276"/>
        </w:tabs>
        <w:spacing w:before="0" w:after="0" w:line="240" w:lineRule="auto"/>
        <w:ind w:left="1276"/>
        <w:jc w:val="both"/>
        <w:rPr>
          <w:sz w:val="24"/>
        </w:rPr>
      </w:pPr>
    </w:p>
    <w:p w14:paraId="7E138A00" w14:textId="49051433" w:rsidR="003800FF" w:rsidRDefault="008D1810" w:rsidP="003800FF">
      <w:pPr>
        <w:ind w:left="720"/>
        <w:jc w:val="both"/>
        <w:rPr>
          <w:sz w:val="24"/>
        </w:rPr>
      </w:pPr>
      <w:r w:rsidRPr="008D1810">
        <w:rPr>
          <w:sz w:val="24"/>
        </w:rPr>
        <w:t>The results from the vote and the reasons for such voting shall be recorded in the Workgroup report in as much detail as practicable.</w:t>
      </w:r>
    </w:p>
    <w:p w14:paraId="0D93C036" w14:textId="0634DF68" w:rsidR="008D1810" w:rsidRDefault="008D1810" w:rsidP="003800FF">
      <w:pPr>
        <w:pStyle w:val="ListParagraph"/>
        <w:numPr>
          <w:ilvl w:val="0"/>
          <w:numId w:val="2"/>
        </w:numPr>
        <w:jc w:val="both"/>
        <w:rPr>
          <w:sz w:val="24"/>
        </w:rPr>
      </w:pPr>
      <w:r w:rsidRPr="003800FF">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sidR="00E37A9C" w:rsidRPr="003800FF">
        <w:rPr>
          <w:sz w:val="24"/>
        </w:rPr>
        <w:t>person</w:t>
      </w:r>
      <w:r w:rsidRPr="003800FF">
        <w:rPr>
          <w:sz w:val="24"/>
        </w:rPr>
        <w:t xml:space="preserve"> at the earliest possible opportunity and certainly before the Workgroup vote takes place.</w:t>
      </w:r>
      <w:r w:rsidR="005C7062" w:rsidRPr="003800FF">
        <w:rPr>
          <w:sz w:val="24"/>
        </w:rPr>
        <w:t xml:space="preserve"> </w:t>
      </w:r>
      <w:r w:rsidRPr="003800FF">
        <w:rPr>
          <w:sz w:val="24"/>
        </w:rPr>
        <w:t>Where abstention occurs, the reason should be recorded in the Workgroup report.</w:t>
      </w:r>
    </w:p>
    <w:p w14:paraId="356B583F" w14:textId="77777777" w:rsidR="003800FF" w:rsidRDefault="003800FF" w:rsidP="003800FF">
      <w:pPr>
        <w:pStyle w:val="ListParagraph"/>
        <w:jc w:val="both"/>
        <w:rPr>
          <w:sz w:val="24"/>
        </w:rPr>
      </w:pPr>
    </w:p>
    <w:p w14:paraId="082B2ABE" w14:textId="70021214" w:rsidR="008D1810" w:rsidRDefault="008D1810" w:rsidP="003800FF">
      <w:pPr>
        <w:pStyle w:val="ListParagraph"/>
        <w:numPr>
          <w:ilvl w:val="0"/>
          <w:numId w:val="2"/>
        </w:numPr>
        <w:jc w:val="both"/>
        <w:rPr>
          <w:sz w:val="24"/>
        </w:rPr>
      </w:pPr>
      <w:r w:rsidRPr="003800FF">
        <w:rPr>
          <w:sz w:val="24"/>
        </w:rPr>
        <w:t>Workgroup members or their appointed alternate are required to attend a minimum of 50% of the Workgroup meetings to be eligible to participate in the Workgroup vote.</w:t>
      </w:r>
    </w:p>
    <w:p w14:paraId="3274033A" w14:textId="77777777" w:rsidR="003800FF" w:rsidRPr="003800FF" w:rsidRDefault="003800FF" w:rsidP="003800FF">
      <w:pPr>
        <w:pStyle w:val="ListParagraph"/>
        <w:rPr>
          <w:sz w:val="24"/>
        </w:rPr>
      </w:pPr>
    </w:p>
    <w:p w14:paraId="3690D2FF" w14:textId="3678E51D" w:rsidR="008D1810" w:rsidRPr="003800FF" w:rsidRDefault="008D1810" w:rsidP="003800FF">
      <w:pPr>
        <w:pStyle w:val="ListParagraph"/>
        <w:numPr>
          <w:ilvl w:val="0"/>
          <w:numId w:val="2"/>
        </w:numPr>
        <w:jc w:val="both"/>
        <w:rPr>
          <w:sz w:val="24"/>
        </w:rPr>
      </w:pPr>
      <w:r w:rsidRPr="003800FF">
        <w:rPr>
          <w:sz w:val="24"/>
        </w:rPr>
        <w:t>The Technical Secretary shall keep an Attendance Record for the Workgroup meetings and circulate the Attendance Record with the Workgroup Minutes and Action Log after each meeting.</w:t>
      </w:r>
      <w:r w:rsidR="005C7062" w:rsidRPr="003800FF">
        <w:rPr>
          <w:sz w:val="24"/>
        </w:rPr>
        <w:t xml:space="preserve"> </w:t>
      </w:r>
      <w:r w:rsidRPr="003800FF">
        <w:rPr>
          <w:sz w:val="24"/>
        </w:rPr>
        <w:t>This will be attached to the final Workgroup report.</w:t>
      </w:r>
    </w:p>
    <w:p w14:paraId="626F6370" w14:textId="54FA40C9" w:rsidR="003800FF" w:rsidRDefault="003800FF" w:rsidP="00174391">
      <w:pPr>
        <w:pStyle w:val="TOCMOD"/>
        <w:framePr w:hSpace="0" w:vSpace="0" w:wrap="auto" w:vAnchor="margin" w:yAlign="inline"/>
        <w:tabs>
          <w:tab w:val="clear" w:pos="382"/>
        </w:tabs>
        <w:rPr>
          <w:rFonts w:cs="Arial"/>
          <w:color w:val="6A2C91" w:themeColor="accent5"/>
        </w:rPr>
      </w:pPr>
    </w:p>
    <w:p w14:paraId="1F9447C6" w14:textId="13F92241" w:rsidR="003800FF" w:rsidRDefault="003800FF" w:rsidP="003800FF">
      <w:pPr>
        <w:pStyle w:val="Heading1"/>
        <w:tabs>
          <w:tab w:val="left" w:pos="9621"/>
        </w:tabs>
        <w:spacing w:before="81"/>
        <w:rPr>
          <w:b/>
          <w:bCs/>
          <w:color w:val="FFFFFF"/>
          <w:shd w:val="clear" w:color="auto" w:fill="F16421"/>
        </w:rPr>
      </w:pPr>
      <w:r w:rsidRPr="003800FF">
        <w:rPr>
          <w:b/>
          <w:bCs/>
          <w:color w:val="FFFFFF"/>
          <w:shd w:val="clear" w:color="auto" w:fill="F16421"/>
        </w:rPr>
        <w:t>APPENDIX 1 – GC0156</w:t>
      </w:r>
      <w:r w:rsidRPr="003800FF">
        <w:rPr>
          <w:b/>
          <w:bCs/>
          <w:color w:val="FFFFFF"/>
          <w:spacing w:val="-11"/>
          <w:shd w:val="clear" w:color="auto" w:fill="F16421"/>
        </w:rPr>
        <w:t xml:space="preserve"> </w:t>
      </w:r>
      <w:r w:rsidRPr="003800FF">
        <w:rPr>
          <w:b/>
          <w:bCs/>
          <w:color w:val="FFFFFF"/>
          <w:shd w:val="clear" w:color="auto" w:fill="F16421"/>
        </w:rPr>
        <w:t>INPUT</w:t>
      </w:r>
    </w:p>
    <w:p w14:paraId="78069FDD" w14:textId="03450F62" w:rsidR="003800FF" w:rsidRPr="000C6303" w:rsidRDefault="003800FF" w:rsidP="003800FF">
      <w:pPr>
        <w:pStyle w:val="BodyText"/>
        <w:spacing w:before="146" w:line="261" w:lineRule="auto"/>
        <w:ind w:right="1252"/>
        <w:jc w:val="both"/>
        <w:rPr>
          <w:rFonts w:asciiTheme="majorHAnsi" w:hAnsiTheme="majorHAnsi" w:cstheme="majorHAnsi"/>
          <w:sz w:val="24"/>
        </w:rPr>
      </w:pPr>
      <w:r w:rsidRPr="000C6303">
        <w:rPr>
          <w:rFonts w:asciiTheme="majorHAnsi" w:hAnsiTheme="majorHAnsi" w:cstheme="majorHAnsi"/>
          <w:sz w:val="24"/>
        </w:rPr>
        <w:t xml:space="preserve">Prior to the formal submission of this modification to the </w:t>
      </w:r>
      <w:r w:rsidR="008D5039" w:rsidRPr="000C6303">
        <w:rPr>
          <w:rFonts w:asciiTheme="majorHAnsi" w:hAnsiTheme="majorHAnsi" w:cstheme="majorHAnsi"/>
          <w:sz w:val="24"/>
        </w:rPr>
        <w:t>SQSS</w:t>
      </w:r>
      <w:r w:rsidRPr="000C6303">
        <w:rPr>
          <w:rFonts w:asciiTheme="majorHAnsi" w:hAnsiTheme="majorHAnsi" w:cstheme="majorHAnsi"/>
          <w:sz w:val="24"/>
        </w:rPr>
        <w:t xml:space="preserve"> Code Review</w:t>
      </w:r>
      <w:r w:rsidRPr="00C5286F">
        <w:rPr>
          <w:rFonts w:asciiTheme="majorHAnsi" w:hAnsiTheme="majorHAnsi" w:cstheme="majorHAnsi"/>
          <w:sz w:val="24"/>
        </w:rPr>
        <w:t xml:space="preserve"> </w:t>
      </w:r>
      <w:r w:rsidRPr="000C6303">
        <w:rPr>
          <w:rFonts w:asciiTheme="majorHAnsi" w:hAnsiTheme="majorHAnsi" w:cstheme="majorHAnsi"/>
          <w:sz w:val="24"/>
        </w:rPr>
        <w:t>Panel</w:t>
      </w:r>
      <w:r w:rsidRPr="00C5286F">
        <w:rPr>
          <w:rFonts w:asciiTheme="majorHAnsi" w:hAnsiTheme="majorHAnsi" w:cstheme="majorHAnsi"/>
          <w:sz w:val="24"/>
        </w:rPr>
        <w:t xml:space="preserve"> </w:t>
      </w:r>
      <w:r w:rsidRPr="000C6303">
        <w:rPr>
          <w:rFonts w:asciiTheme="majorHAnsi" w:hAnsiTheme="majorHAnsi" w:cstheme="majorHAnsi"/>
          <w:sz w:val="24"/>
        </w:rPr>
        <w:t>in</w:t>
      </w:r>
      <w:r w:rsidRPr="00C5286F">
        <w:rPr>
          <w:rFonts w:asciiTheme="majorHAnsi" w:hAnsiTheme="majorHAnsi" w:cstheme="majorHAnsi"/>
          <w:sz w:val="24"/>
        </w:rPr>
        <w:t xml:space="preserve"> </w:t>
      </w:r>
      <w:r w:rsidR="008D5039" w:rsidRPr="000C6303">
        <w:rPr>
          <w:rFonts w:asciiTheme="majorHAnsi" w:hAnsiTheme="majorHAnsi" w:cstheme="majorHAnsi"/>
          <w:sz w:val="24"/>
        </w:rPr>
        <w:t>March 2023</w:t>
      </w:r>
      <w:r w:rsidRPr="000C6303">
        <w:rPr>
          <w:rFonts w:asciiTheme="majorHAnsi" w:hAnsiTheme="majorHAnsi" w:cstheme="majorHAnsi"/>
          <w:sz w:val="24"/>
        </w:rPr>
        <w:t>,</w:t>
      </w:r>
      <w:r w:rsidRPr="00C5286F">
        <w:rPr>
          <w:rFonts w:asciiTheme="majorHAnsi" w:hAnsiTheme="majorHAnsi" w:cstheme="majorHAnsi"/>
          <w:sz w:val="24"/>
        </w:rPr>
        <w:t xml:space="preserve"> </w:t>
      </w:r>
      <w:r w:rsidR="000C6303" w:rsidRPr="00C5286F">
        <w:rPr>
          <w:rFonts w:asciiTheme="majorHAnsi" w:hAnsiTheme="majorHAnsi" w:cstheme="majorHAnsi"/>
          <w:sz w:val="24"/>
        </w:rPr>
        <w:t xml:space="preserve">the </w:t>
      </w:r>
      <w:r w:rsidRPr="000C6303">
        <w:rPr>
          <w:rFonts w:asciiTheme="majorHAnsi" w:hAnsiTheme="majorHAnsi" w:cstheme="majorHAnsi"/>
          <w:sz w:val="24"/>
        </w:rPr>
        <w:t>ESO</w:t>
      </w:r>
      <w:r w:rsidRPr="00C5286F">
        <w:rPr>
          <w:rFonts w:asciiTheme="majorHAnsi" w:hAnsiTheme="majorHAnsi" w:cstheme="majorHAnsi"/>
          <w:sz w:val="24"/>
        </w:rPr>
        <w:t xml:space="preserve"> </w:t>
      </w:r>
      <w:r w:rsidR="008D5039" w:rsidRPr="00C5286F">
        <w:rPr>
          <w:rFonts w:asciiTheme="majorHAnsi" w:hAnsiTheme="majorHAnsi" w:cstheme="majorHAnsi"/>
          <w:sz w:val="24"/>
        </w:rPr>
        <w:t xml:space="preserve">had progressed the Grid Code Modification for </w:t>
      </w:r>
      <w:r w:rsidR="000C6303" w:rsidRPr="00C5286F">
        <w:rPr>
          <w:rFonts w:asciiTheme="majorHAnsi" w:hAnsiTheme="majorHAnsi" w:cstheme="majorHAnsi"/>
          <w:sz w:val="24"/>
        </w:rPr>
        <w:t>the</w:t>
      </w:r>
      <w:r w:rsidR="008D5039" w:rsidRPr="00C5286F">
        <w:rPr>
          <w:rFonts w:asciiTheme="majorHAnsi" w:hAnsiTheme="majorHAnsi" w:cstheme="majorHAnsi"/>
          <w:sz w:val="24"/>
        </w:rPr>
        <w:t xml:space="preserve"> </w:t>
      </w:r>
      <w:r w:rsidR="00B527E8" w:rsidRPr="00C5286F">
        <w:rPr>
          <w:rFonts w:asciiTheme="majorHAnsi" w:hAnsiTheme="majorHAnsi" w:cstheme="majorHAnsi"/>
          <w:sz w:val="24"/>
        </w:rPr>
        <w:t>Electricity</w:t>
      </w:r>
      <w:r w:rsidR="000C6303" w:rsidRPr="00C5286F">
        <w:rPr>
          <w:rFonts w:asciiTheme="majorHAnsi" w:hAnsiTheme="majorHAnsi" w:cstheme="majorHAnsi"/>
          <w:sz w:val="24"/>
        </w:rPr>
        <w:t xml:space="preserve"> </w:t>
      </w:r>
      <w:r w:rsidR="008D5039" w:rsidRPr="00C5286F">
        <w:rPr>
          <w:rFonts w:asciiTheme="majorHAnsi" w:hAnsiTheme="majorHAnsi" w:cstheme="majorHAnsi"/>
          <w:sz w:val="24"/>
        </w:rPr>
        <w:t>S</w:t>
      </w:r>
      <w:r w:rsidR="000C6303" w:rsidRPr="00C5286F">
        <w:rPr>
          <w:rFonts w:asciiTheme="majorHAnsi" w:hAnsiTheme="majorHAnsi" w:cstheme="majorHAnsi"/>
          <w:sz w:val="24"/>
        </w:rPr>
        <w:t xml:space="preserve">ystem </w:t>
      </w:r>
      <w:r w:rsidR="008D5039" w:rsidRPr="00C5286F">
        <w:rPr>
          <w:rFonts w:asciiTheme="majorHAnsi" w:hAnsiTheme="majorHAnsi" w:cstheme="majorHAnsi"/>
          <w:sz w:val="24"/>
        </w:rPr>
        <w:t>R</w:t>
      </w:r>
      <w:r w:rsidR="000C6303" w:rsidRPr="00C5286F">
        <w:rPr>
          <w:rFonts w:asciiTheme="majorHAnsi" w:hAnsiTheme="majorHAnsi" w:cstheme="majorHAnsi"/>
          <w:sz w:val="24"/>
        </w:rPr>
        <w:t xml:space="preserve">estoration </w:t>
      </w:r>
      <w:r w:rsidR="008D5039" w:rsidRPr="00C5286F">
        <w:rPr>
          <w:rFonts w:asciiTheme="majorHAnsi" w:hAnsiTheme="majorHAnsi" w:cstheme="majorHAnsi"/>
          <w:sz w:val="24"/>
        </w:rPr>
        <w:t>S</w:t>
      </w:r>
      <w:r w:rsidR="000C6303" w:rsidRPr="00C5286F">
        <w:rPr>
          <w:rFonts w:asciiTheme="majorHAnsi" w:hAnsiTheme="majorHAnsi" w:cstheme="majorHAnsi"/>
          <w:sz w:val="24"/>
        </w:rPr>
        <w:t>tandard</w:t>
      </w:r>
      <w:r w:rsidR="008D5039" w:rsidRPr="00C5286F">
        <w:rPr>
          <w:rFonts w:asciiTheme="majorHAnsi" w:hAnsiTheme="majorHAnsi" w:cstheme="majorHAnsi"/>
          <w:sz w:val="24"/>
        </w:rPr>
        <w:t xml:space="preserve"> </w:t>
      </w:r>
      <w:r w:rsidRPr="000C6303">
        <w:rPr>
          <w:rFonts w:asciiTheme="majorHAnsi" w:hAnsiTheme="majorHAnsi" w:cstheme="majorHAnsi"/>
          <w:sz w:val="24"/>
        </w:rPr>
        <w:t>to</w:t>
      </w:r>
      <w:r w:rsidRPr="00C5286F">
        <w:rPr>
          <w:rFonts w:asciiTheme="majorHAnsi" w:hAnsiTheme="majorHAnsi" w:cstheme="majorHAnsi"/>
          <w:sz w:val="24"/>
        </w:rPr>
        <w:t xml:space="preserve"> </w:t>
      </w:r>
      <w:r w:rsidRPr="000C6303">
        <w:rPr>
          <w:rFonts w:asciiTheme="majorHAnsi" w:hAnsiTheme="majorHAnsi" w:cstheme="majorHAnsi"/>
          <w:sz w:val="24"/>
        </w:rPr>
        <w:t xml:space="preserve">start developing the initial thinking behind how key elements of all aspects of the </w:t>
      </w:r>
      <w:r w:rsidR="000C6303">
        <w:rPr>
          <w:rFonts w:asciiTheme="majorHAnsi" w:hAnsiTheme="majorHAnsi" w:cstheme="majorHAnsi"/>
          <w:sz w:val="24"/>
        </w:rPr>
        <w:t xml:space="preserve">ESRS </w:t>
      </w:r>
      <w:r w:rsidRPr="000C6303">
        <w:rPr>
          <w:rFonts w:asciiTheme="majorHAnsi" w:hAnsiTheme="majorHAnsi" w:cstheme="majorHAnsi"/>
          <w:sz w:val="24"/>
        </w:rPr>
        <w:t>would</w:t>
      </w:r>
      <w:r w:rsidRPr="00C5286F">
        <w:rPr>
          <w:rFonts w:asciiTheme="majorHAnsi" w:hAnsiTheme="majorHAnsi" w:cstheme="majorHAnsi"/>
          <w:sz w:val="24"/>
        </w:rPr>
        <w:t xml:space="preserve"> </w:t>
      </w:r>
      <w:r w:rsidRPr="000C6303">
        <w:rPr>
          <w:rFonts w:asciiTheme="majorHAnsi" w:hAnsiTheme="majorHAnsi" w:cstheme="majorHAnsi"/>
          <w:sz w:val="24"/>
        </w:rPr>
        <w:t>work.</w:t>
      </w:r>
    </w:p>
    <w:p w14:paraId="65CB8D45" w14:textId="13FDE1C2" w:rsidR="008D5039" w:rsidRPr="000C6303" w:rsidRDefault="008D5039" w:rsidP="003800FF">
      <w:pPr>
        <w:pStyle w:val="BodyText"/>
        <w:spacing w:before="146" w:line="261" w:lineRule="auto"/>
        <w:ind w:right="1252"/>
        <w:jc w:val="both"/>
        <w:rPr>
          <w:rFonts w:asciiTheme="majorHAnsi" w:hAnsiTheme="majorHAnsi" w:cstheme="majorHAnsi"/>
          <w:sz w:val="24"/>
        </w:rPr>
      </w:pPr>
      <w:r w:rsidRPr="000C6303">
        <w:rPr>
          <w:rFonts w:asciiTheme="majorHAnsi" w:hAnsiTheme="majorHAnsi" w:cstheme="majorHAnsi"/>
          <w:sz w:val="24"/>
        </w:rPr>
        <w:t xml:space="preserve">As part of this work, some requirements were identified relating to how Transmission Owners should design and operate the Network during Restoration. The main requirements were identified within the Future Networks </w:t>
      </w:r>
      <w:r w:rsidR="00C5286F">
        <w:rPr>
          <w:rFonts w:asciiTheme="majorHAnsi" w:hAnsiTheme="majorHAnsi" w:cstheme="majorHAnsi"/>
          <w:sz w:val="24"/>
        </w:rPr>
        <w:t>Subgroup.</w:t>
      </w:r>
    </w:p>
    <w:p w14:paraId="57A3C398" w14:textId="77777777" w:rsidR="003800FF" w:rsidRPr="003800FF" w:rsidRDefault="003800FF" w:rsidP="003800FF"/>
    <w:sectPr w:rsidR="003800FF" w:rsidRPr="003800FF"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2886F" w14:textId="77777777" w:rsidR="00822CEE" w:rsidRDefault="00822CEE" w:rsidP="00D06DC4">
      <w:pPr>
        <w:spacing w:before="0" w:after="0" w:line="240" w:lineRule="auto"/>
      </w:pPr>
      <w:r>
        <w:separator/>
      </w:r>
    </w:p>
  </w:endnote>
  <w:endnote w:type="continuationSeparator" w:id="0">
    <w:p w14:paraId="6780EE08" w14:textId="77777777" w:rsidR="00822CEE" w:rsidRDefault="00822CEE" w:rsidP="00D06DC4">
      <w:pPr>
        <w:spacing w:before="0" w:after="0" w:line="240" w:lineRule="auto"/>
      </w:pPr>
      <w:r>
        <w:continuationSeparator/>
      </w:r>
    </w:p>
  </w:endnote>
  <w:endnote w:type="continuationNotice" w:id="1">
    <w:p w14:paraId="0C5E3B28" w14:textId="77777777" w:rsidR="00822CEE" w:rsidRDefault="00822CE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A0F71" w14:textId="77777777" w:rsidR="00822CEE" w:rsidRDefault="00822CEE" w:rsidP="00D06DC4">
      <w:pPr>
        <w:spacing w:before="0" w:after="0" w:line="240" w:lineRule="auto"/>
      </w:pPr>
      <w:r>
        <w:separator/>
      </w:r>
    </w:p>
  </w:footnote>
  <w:footnote w:type="continuationSeparator" w:id="0">
    <w:p w14:paraId="68987D4B" w14:textId="77777777" w:rsidR="00822CEE" w:rsidRDefault="00822CEE" w:rsidP="00D06DC4">
      <w:pPr>
        <w:spacing w:before="0" w:after="0" w:line="240" w:lineRule="auto"/>
      </w:pPr>
      <w:r>
        <w:continuationSeparator/>
      </w:r>
    </w:p>
  </w:footnote>
  <w:footnote w:type="continuationNotice" w:id="1">
    <w:p w14:paraId="7FB32157" w14:textId="77777777" w:rsidR="00822CEE" w:rsidRDefault="00822CE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71641ADE" w:rsidR="00B8588F" w:rsidRDefault="00E96365" w:rsidP="000C711B">
    <w:pPr>
      <w:pStyle w:val="Header"/>
      <w:ind w:left="720" w:firstLine="720"/>
      <w:jc w:val="right"/>
    </w:pPr>
    <w:bookmarkStart w:id="3" w:name="_Hlk31876634"/>
    <w:bookmarkStart w:id="4" w:name="_Hlk31876635"/>
    <w:r w:rsidRPr="00E96365">
      <w:rPr>
        <w:noProof/>
      </w:rPr>
      <w:drawing>
        <wp:anchor distT="0" distB="0" distL="114300" distR="114300" simplePos="0" relativeHeight="251658240" behindDoc="1" locked="0" layoutInCell="1" allowOverlap="1" wp14:anchorId="15FE39A9" wp14:editId="40DFB3A1">
          <wp:simplePos x="0" y="0"/>
          <wp:positionH relativeFrom="margin">
            <wp:align>left</wp:align>
          </wp:positionH>
          <wp:positionV relativeFrom="paragraph">
            <wp:posOffset>75565</wp:posOffset>
          </wp:positionV>
          <wp:extent cx="569595" cy="346075"/>
          <wp:effectExtent l="0" t="0" r="1905" b="0"/>
          <wp:wrapTight wrapText="bothSides">
            <wp:wrapPolygon edited="0">
              <wp:start x="0" y="0"/>
              <wp:lineTo x="0" y="20213"/>
              <wp:lineTo x="20950" y="20213"/>
              <wp:lineTo x="2095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69595" cy="346075"/>
                  </a:xfrm>
                  <a:prstGeom prst="rect">
                    <a:avLst/>
                  </a:prstGeom>
                </pic:spPr>
              </pic:pic>
            </a:graphicData>
          </a:graphic>
        </wp:anchor>
      </w:drawing>
    </w:r>
    <w:r w:rsidR="00B8588F">
      <w:tab/>
    </w:r>
    <w:r w:rsidR="00B8588F">
      <w:tab/>
    </w:r>
    <w:r w:rsidR="004B669A">
      <w:t xml:space="preserve">Terms of Reference </w:t>
    </w:r>
    <w:r w:rsidR="00FB5C71">
      <w:t>GSR</w:t>
    </w:r>
    <w:r w:rsidR="00975D3C">
      <w:t>032</w:t>
    </w:r>
    <w:r w:rsidR="00B8588F">
      <w:tab/>
    </w:r>
    <w:bookmarkEnd w:id="3"/>
    <w:bookmarkEnd w:id="4"/>
    <w:r w:rsidR="00040B6A">
      <w:t xml:space="preserve">Panel date: </w:t>
    </w:r>
    <w:r w:rsidR="00D5143C">
      <w:t>4 April</w:t>
    </w:r>
    <w:r w:rsidR="001C6B13">
      <w:t xml:space="preserve"> </w:t>
    </w:r>
    <w:r w:rsidR="00975D3C">
      <w:t>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014D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A42150E"/>
    <w:multiLevelType w:val="multilevel"/>
    <w:tmpl w:val="35C40B3E"/>
    <w:lvl w:ilvl="0">
      <w:start w:val="1"/>
      <w:numFmt w:val="lowerLetter"/>
      <w:lvlText w:val="%1)"/>
      <w:lvlJc w:val="left"/>
      <w:pPr>
        <w:tabs>
          <w:tab w:val="num" w:pos="720"/>
        </w:tabs>
        <w:ind w:left="720" w:hanging="720"/>
      </w:pPr>
      <w:rPr>
        <w:rFonts w:hint="default"/>
        <w:b w:val="0"/>
        <w:i w:val="0"/>
        <w:color w:val="auto"/>
        <w:sz w:val="24"/>
        <w:szCs w:val="20"/>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20F75780"/>
    <w:multiLevelType w:val="multilevel"/>
    <w:tmpl w:val="2902775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CCE2441"/>
    <w:multiLevelType w:val="multilevel"/>
    <w:tmpl w:val="2902775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027094F"/>
    <w:multiLevelType w:val="hybridMultilevel"/>
    <w:tmpl w:val="A8F8E2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185723C"/>
    <w:multiLevelType w:val="hybridMultilevel"/>
    <w:tmpl w:val="59E2B5BE"/>
    <w:lvl w:ilvl="0" w:tplc="FF645CA4">
      <w:start w:val="9"/>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6F178EE"/>
    <w:multiLevelType w:val="hybridMultilevel"/>
    <w:tmpl w:val="3B0A6C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6724070"/>
    <w:multiLevelType w:val="hybridMultilevel"/>
    <w:tmpl w:val="93EC4A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4D050B3C"/>
    <w:multiLevelType w:val="multilevel"/>
    <w:tmpl w:val="2902775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17131E2"/>
    <w:multiLevelType w:val="hybridMultilevel"/>
    <w:tmpl w:val="C6CAB7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77125013"/>
    <w:multiLevelType w:val="hybridMultilevel"/>
    <w:tmpl w:val="2926EBB6"/>
    <w:lvl w:ilvl="0" w:tplc="0809000F">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7C7B5F49"/>
    <w:multiLevelType w:val="hybridMultilevel"/>
    <w:tmpl w:val="675462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9134569">
    <w:abstractNumId w:val="14"/>
  </w:num>
  <w:num w:numId="2" w16cid:durableId="91366292">
    <w:abstractNumId w:val="9"/>
  </w:num>
  <w:num w:numId="3" w16cid:durableId="919483316">
    <w:abstractNumId w:val="8"/>
  </w:num>
  <w:num w:numId="4" w16cid:durableId="1229614560">
    <w:abstractNumId w:val="1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4073047">
    <w:abstractNumId w:val="12"/>
  </w:num>
  <w:num w:numId="6" w16cid:durableId="519396745">
    <w:abstractNumId w:val="4"/>
  </w:num>
  <w:num w:numId="7" w16cid:durableId="154806674">
    <w:abstractNumId w:val="10"/>
  </w:num>
  <w:num w:numId="8" w16cid:durableId="1641031886">
    <w:abstractNumId w:val="1"/>
  </w:num>
  <w:num w:numId="9" w16cid:durableId="384063152">
    <w:abstractNumId w:val="5"/>
  </w:num>
  <w:num w:numId="10" w16cid:durableId="1880431233">
    <w:abstractNumId w:val="0"/>
  </w:num>
  <w:num w:numId="11" w16cid:durableId="650794837">
    <w:abstractNumId w:val="6"/>
  </w:num>
  <w:num w:numId="12" w16cid:durableId="1981305278">
    <w:abstractNumId w:val="11"/>
  </w:num>
  <w:num w:numId="13" w16cid:durableId="2071078863">
    <w:abstractNumId w:val="13"/>
  </w:num>
  <w:num w:numId="14" w16cid:durableId="1031106293">
    <w:abstractNumId w:val="2"/>
  </w:num>
  <w:num w:numId="15" w16cid:durableId="1942447413">
    <w:abstractNumId w:val="3"/>
  </w:num>
  <w:num w:numId="16" w16cid:durableId="1313367732">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216"/>
    <w:rsid w:val="000008A4"/>
    <w:rsid w:val="00007098"/>
    <w:rsid w:val="00007585"/>
    <w:rsid w:val="00007E40"/>
    <w:rsid w:val="00010D3D"/>
    <w:rsid w:val="000118E5"/>
    <w:rsid w:val="00014338"/>
    <w:rsid w:val="0001453C"/>
    <w:rsid w:val="000215B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104D"/>
    <w:rsid w:val="00065068"/>
    <w:rsid w:val="000675C2"/>
    <w:rsid w:val="00067ACE"/>
    <w:rsid w:val="00071870"/>
    <w:rsid w:val="00073139"/>
    <w:rsid w:val="00073540"/>
    <w:rsid w:val="00073685"/>
    <w:rsid w:val="000740A7"/>
    <w:rsid w:val="000745B7"/>
    <w:rsid w:val="00074D0E"/>
    <w:rsid w:val="00077D7B"/>
    <w:rsid w:val="00081650"/>
    <w:rsid w:val="0008165C"/>
    <w:rsid w:val="0008489B"/>
    <w:rsid w:val="000862C8"/>
    <w:rsid w:val="00094AC2"/>
    <w:rsid w:val="00095CF2"/>
    <w:rsid w:val="00095D82"/>
    <w:rsid w:val="0009607F"/>
    <w:rsid w:val="000A10E8"/>
    <w:rsid w:val="000A2D90"/>
    <w:rsid w:val="000A3750"/>
    <w:rsid w:val="000A412E"/>
    <w:rsid w:val="000A6E2E"/>
    <w:rsid w:val="000B1E99"/>
    <w:rsid w:val="000B1F6E"/>
    <w:rsid w:val="000B2DBE"/>
    <w:rsid w:val="000B6AB0"/>
    <w:rsid w:val="000B6ADA"/>
    <w:rsid w:val="000B6FBD"/>
    <w:rsid w:val="000C1630"/>
    <w:rsid w:val="000C1A6E"/>
    <w:rsid w:val="000C1F3F"/>
    <w:rsid w:val="000C26E5"/>
    <w:rsid w:val="000C27B2"/>
    <w:rsid w:val="000C6303"/>
    <w:rsid w:val="000C711B"/>
    <w:rsid w:val="000C780A"/>
    <w:rsid w:val="000C7F44"/>
    <w:rsid w:val="000D0FB0"/>
    <w:rsid w:val="000D3105"/>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0ED0"/>
    <w:rsid w:val="00122BD5"/>
    <w:rsid w:val="001236C0"/>
    <w:rsid w:val="00123A77"/>
    <w:rsid w:val="0012453D"/>
    <w:rsid w:val="0012463C"/>
    <w:rsid w:val="00126C8E"/>
    <w:rsid w:val="0013119A"/>
    <w:rsid w:val="00132609"/>
    <w:rsid w:val="0013487F"/>
    <w:rsid w:val="001349AB"/>
    <w:rsid w:val="001349CB"/>
    <w:rsid w:val="00134F5B"/>
    <w:rsid w:val="00141901"/>
    <w:rsid w:val="0014402B"/>
    <w:rsid w:val="0014530C"/>
    <w:rsid w:val="00147694"/>
    <w:rsid w:val="00150256"/>
    <w:rsid w:val="001521C5"/>
    <w:rsid w:val="00152FBB"/>
    <w:rsid w:val="00155A85"/>
    <w:rsid w:val="00157BE7"/>
    <w:rsid w:val="001605E9"/>
    <w:rsid w:val="00161C50"/>
    <w:rsid w:val="0016310E"/>
    <w:rsid w:val="00163518"/>
    <w:rsid w:val="001644D6"/>
    <w:rsid w:val="00164976"/>
    <w:rsid w:val="00167859"/>
    <w:rsid w:val="0017054E"/>
    <w:rsid w:val="0017092A"/>
    <w:rsid w:val="00173901"/>
    <w:rsid w:val="00173F0A"/>
    <w:rsid w:val="00174391"/>
    <w:rsid w:val="00174C95"/>
    <w:rsid w:val="00175C02"/>
    <w:rsid w:val="00177AC9"/>
    <w:rsid w:val="00184853"/>
    <w:rsid w:val="001853F8"/>
    <w:rsid w:val="0019086A"/>
    <w:rsid w:val="00190CC5"/>
    <w:rsid w:val="00194071"/>
    <w:rsid w:val="00194981"/>
    <w:rsid w:val="00194B25"/>
    <w:rsid w:val="001A0A8D"/>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6E55"/>
    <w:rsid w:val="001C7125"/>
    <w:rsid w:val="001D1369"/>
    <w:rsid w:val="001D150E"/>
    <w:rsid w:val="001D3A73"/>
    <w:rsid w:val="001D4181"/>
    <w:rsid w:val="001D435E"/>
    <w:rsid w:val="001D48A3"/>
    <w:rsid w:val="001D741E"/>
    <w:rsid w:val="001E1149"/>
    <w:rsid w:val="001E2D95"/>
    <w:rsid w:val="001E477B"/>
    <w:rsid w:val="001E4B96"/>
    <w:rsid w:val="001E53E8"/>
    <w:rsid w:val="001E5706"/>
    <w:rsid w:val="001E6422"/>
    <w:rsid w:val="001F10F4"/>
    <w:rsid w:val="001F33F0"/>
    <w:rsid w:val="001F51F0"/>
    <w:rsid w:val="001F62CE"/>
    <w:rsid w:val="00204E96"/>
    <w:rsid w:val="00207706"/>
    <w:rsid w:val="002131BA"/>
    <w:rsid w:val="002133D3"/>
    <w:rsid w:val="00213F7A"/>
    <w:rsid w:val="00214C0B"/>
    <w:rsid w:val="002153B2"/>
    <w:rsid w:val="002168FE"/>
    <w:rsid w:val="00217A69"/>
    <w:rsid w:val="00221806"/>
    <w:rsid w:val="002229C9"/>
    <w:rsid w:val="00224DC9"/>
    <w:rsid w:val="00231D1D"/>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66C9F"/>
    <w:rsid w:val="00270A32"/>
    <w:rsid w:val="00270FBC"/>
    <w:rsid w:val="00271241"/>
    <w:rsid w:val="00275264"/>
    <w:rsid w:val="002761B2"/>
    <w:rsid w:val="002778EB"/>
    <w:rsid w:val="00280C54"/>
    <w:rsid w:val="002814F4"/>
    <w:rsid w:val="00282BD2"/>
    <w:rsid w:val="00282BE7"/>
    <w:rsid w:val="0028684F"/>
    <w:rsid w:val="00286869"/>
    <w:rsid w:val="002905C2"/>
    <w:rsid w:val="00290D47"/>
    <w:rsid w:val="00290E73"/>
    <w:rsid w:val="00292118"/>
    <w:rsid w:val="002924FF"/>
    <w:rsid w:val="00293837"/>
    <w:rsid w:val="00294971"/>
    <w:rsid w:val="00295110"/>
    <w:rsid w:val="00296117"/>
    <w:rsid w:val="002966CC"/>
    <w:rsid w:val="002971BF"/>
    <w:rsid w:val="002A0454"/>
    <w:rsid w:val="002A1AD0"/>
    <w:rsid w:val="002A51AD"/>
    <w:rsid w:val="002A69BC"/>
    <w:rsid w:val="002B1B29"/>
    <w:rsid w:val="002B3381"/>
    <w:rsid w:val="002B4673"/>
    <w:rsid w:val="002B5ADD"/>
    <w:rsid w:val="002B6174"/>
    <w:rsid w:val="002C14D3"/>
    <w:rsid w:val="002C5585"/>
    <w:rsid w:val="002D0F39"/>
    <w:rsid w:val="002D182E"/>
    <w:rsid w:val="002D1996"/>
    <w:rsid w:val="002D28D8"/>
    <w:rsid w:val="002D725D"/>
    <w:rsid w:val="002E02F4"/>
    <w:rsid w:val="002E64AD"/>
    <w:rsid w:val="002E7053"/>
    <w:rsid w:val="002E79AB"/>
    <w:rsid w:val="002E7DE1"/>
    <w:rsid w:val="002F23E3"/>
    <w:rsid w:val="002F2473"/>
    <w:rsid w:val="002F3293"/>
    <w:rsid w:val="002F3D4C"/>
    <w:rsid w:val="002F3D6A"/>
    <w:rsid w:val="003055A9"/>
    <w:rsid w:val="00305EE2"/>
    <w:rsid w:val="003104C8"/>
    <w:rsid w:val="00311224"/>
    <w:rsid w:val="00313073"/>
    <w:rsid w:val="003143B7"/>
    <w:rsid w:val="00314414"/>
    <w:rsid w:val="00317BE9"/>
    <w:rsid w:val="00321AC9"/>
    <w:rsid w:val="00322D36"/>
    <w:rsid w:val="00324130"/>
    <w:rsid w:val="00326894"/>
    <w:rsid w:val="0032765F"/>
    <w:rsid w:val="003277D1"/>
    <w:rsid w:val="00331C2F"/>
    <w:rsid w:val="003335DA"/>
    <w:rsid w:val="0033450A"/>
    <w:rsid w:val="0033533D"/>
    <w:rsid w:val="003376EF"/>
    <w:rsid w:val="003378C3"/>
    <w:rsid w:val="00340100"/>
    <w:rsid w:val="0034026E"/>
    <w:rsid w:val="0034296D"/>
    <w:rsid w:val="00343534"/>
    <w:rsid w:val="003435F0"/>
    <w:rsid w:val="0034387B"/>
    <w:rsid w:val="003450CE"/>
    <w:rsid w:val="003476D6"/>
    <w:rsid w:val="00347C7C"/>
    <w:rsid w:val="003559D2"/>
    <w:rsid w:val="0035711D"/>
    <w:rsid w:val="00360977"/>
    <w:rsid w:val="0036430D"/>
    <w:rsid w:val="003645B9"/>
    <w:rsid w:val="00367F32"/>
    <w:rsid w:val="00374DE0"/>
    <w:rsid w:val="00376580"/>
    <w:rsid w:val="0037681D"/>
    <w:rsid w:val="0037775C"/>
    <w:rsid w:val="00377CF0"/>
    <w:rsid w:val="003800FF"/>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7E1"/>
    <w:rsid w:val="003B2F6C"/>
    <w:rsid w:val="003B641E"/>
    <w:rsid w:val="003B6E37"/>
    <w:rsid w:val="003B7F0D"/>
    <w:rsid w:val="003C2A0A"/>
    <w:rsid w:val="003C2A10"/>
    <w:rsid w:val="003C377B"/>
    <w:rsid w:val="003C5A93"/>
    <w:rsid w:val="003C5F5B"/>
    <w:rsid w:val="003C64B1"/>
    <w:rsid w:val="003C6695"/>
    <w:rsid w:val="003D510E"/>
    <w:rsid w:val="003E0DC9"/>
    <w:rsid w:val="003E0E14"/>
    <w:rsid w:val="003E1C63"/>
    <w:rsid w:val="003E2E08"/>
    <w:rsid w:val="003E344B"/>
    <w:rsid w:val="003E3B68"/>
    <w:rsid w:val="003E6A1F"/>
    <w:rsid w:val="003E7160"/>
    <w:rsid w:val="003E7C0A"/>
    <w:rsid w:val="003F129C"/>
    <w:rsid w:val="003F2AEE"/>
    <w:rsid w:val="003F6FB7"/>
    <w:rsid w:val="00400916"/>
    <w:rsid w:val="004009B8"/>
    <w:rsid w:val="004035B2"/>
    <w:rsid w:val="004057AA"/>
    <w:rsid w:val="00405F32"/>
    <w:rsid w:val="00405F4B"/>
    <w:rsid w:val="00411EF7"/>
    <w:rsid w:val="00414917"/>
    <w:rsid w:val="00416ACC"/>
    <w:rsid w:val="0042272E"/>
    <w:rsid w:val="00423F67"/>
    <w:rsid w:val="0042450B"/>
    <w:rsid w:val="00424B27"/>
    <w:rsid w:val="00425B5A"/>
    <w:rsid w:val="0042709F"/>
    <w:rsid w:val="004307DC"/>
    <w:rsid w:val="00431412"/>
    <w:rsid w:val="004327FA"/>
    <w:rsid w:val="00432F11"/>
    <w:rsid w:val="00433008"/>
    <w:rsid w:val="0043385E"/>
    <w:rsid w:val="004341A4"/>
    <w:rsid w:val="004343FD"/>
    <w:rsid w:val="00440402"/>
    <w:rsid w:val="00441541"/>
    <w:rsid w:val="00441626"/>
    <w:rsid w:val="0044253C"/>
    <w:rsid w:val="0044405D"/>
    <w:rsid w:val="0044518C"/>
    <w:rsid w:val="00445B72"/>
    <w:rsid w:val="00447EC1"/>
    <w:rsid w:val="00450B7C"/>
    <w:rsid w:val="00453E26"/>
    <w:rsid w:val="004544AD"/>
    <w:rsid w:val="0045600F"/>
    <w:rsid w:val="00456405"/>
    <w:rsid w:val="00456B6B"/>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CB"/>
    <w:rsid w:val="00496FB3"/>
    <w:rsid w:val="004972D4"/>
    <w:rsid w:val="00497D66"/>
    <w:rsid w:val="004A0A40"/>
    <w:rsid w:val="004A1267"/>
    <w:rsid w:val="004A58B0"/>
    <w:rsid w:val="004B2F60"/>
    <w:rsid w:val="004B4697"/>
    <w:rsid w:val="004B471C"/>
    <w:rsid w:val="004B669A"/>
    <w:rsid w:val="004C08EB"/>
    <w:rsid w:val="004C2057"/>
    <w:rsid w:val="004C24CD"/>
    <w:rsid w:val="004C3B99"/>
    <w:rsid w:val="004C445F"/>
    <w:rsid w:val="004C5FE7"/>
    <w:rsid w:val="004D1867"/>
    <w:rsid w:val="004D1EA3"/>
    <w:rsid w:val="004D3FD7"/>
    <w:rsid w:val="004D4D9C"/>
    <w:rsid w:val="004E1F61"/>
    <w:rsid w:val="004E2A51"/>
    <w:rsid w:val="004E36D6"/>
    <w:rsid w:val="004E3CB0"/>
    <w:rsid w:val="004E44D0"/>
    <w:rsid w:val="004E568A"/>
    <w:rsid w:val="004E68BB"/>
    <w:rsid w:val="004E6EDC"/>
    <w:rsid w:val="004F070F"/>
    <w:rsid w:val="004F0A0A"/>
    <w:rsid w:val="004F4F17"/>
    <w:rsid w:val="004F55B5"/>
    <w:rsid w:val="0050141C"/>
    <w:rsid w:val="005022D2"/>
    <w:rsid w:val="005038A8"/>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2E30"/>
    <w:rsid w:val="0056563A"/>
    <w:rsid w:val="00570354"/>
    <w:rsid w:val="005717C5"/>
    <w:rsid w:val="005722D1"/>
    <w:rsid w:val="005729D1"/>
    <w:rsid w:val="00572E47"/>
    <w:rsid w:val="00574D7B"/>
    <w:rsid w:val="0057547B"/>
    <w:rsid w:val="005761C6"/>
    <w:rsid w:val="0057656F"/>
    <w:rsid w:val="00577E90"/>
    <w:rsid w:val="00583762"/>
    <w:rsid w:val="00583B7A"/>
    <w:rsid w:val="0059169D"/>
    <w:rsid w:val="00593C26"/>
    <w:rsid w:val="005947E2"/>
    <w:rsid w:val="00597266"/>
    <w:rsid w:val="005A12C5"/>
    <w:rsid w:val="005A24E4"/>
    <w:rsid w:val="005A2BDD"/>
    <w:rsid w:val="005A3938"/>
    <w:rsid w:val="005B0297"/>
    <w:rsid w:val="005B15C4"/>
    <w:rsid w:val="005B5D5C"/>
    <w:rsid w:val="005C06B0"/>
    <w:rsid w:val="005C216A"/>
    <w:rsid w:val="005C3D47"/>
    <w:rsid w:val="005C7062"/>
    <w:rsid w:val="005D2AEF"/>
    <w:rsid w:val="005D471B"/>
    <w:rsid w:val="005D4914"/>
    <w:rsid w:val="005E09BC"/>
    <w:rsid w:val="005E3C02"/>
    <w:rsid w:val="005E51BF"/>
    <w:rsid w:val="005F1298"/>
    <w:rsid w:val="005F2A9F"/>
    <w:rsid w:val="005F3075"/>
    <w:rsid w:val="005F4408"/>
    <w:rsid w:val="005F4DBF"/>
    <w:rsid w:val="005F5EAE"/>
    <w:rsid w:val="005F667A"/>
    <w:rsid w:val="005F78B9"/>
    <w:rsid w:val="00606313"/>
    <w:rsid w:val="00606E70"/>
    <w:rsid w:val="00607646"/>
    <w:rsid w:val="00610C2C"/>
    <w:rsid w:val="00611611"/>
    <w:rsid w:val="006128B2"/>
    <w:rsid w:val="006137B8"/>
    <w:rsid w:val="00614E49"/>
    <w:rsid w:val="0061612E"/>
    <w:rsid w:val="0061624A"/>
    <w:rsid w:val="00617BBF"/>
    <w:rsid w:val="00622027"/>
    <w:rsid w:val="006227CA"/>
    <w:rsid w:val="00622DE5"/>
    <w:rsid w:val="00625705"/>
    <w:rsid w:val="00626EE8"/>
    <w:rsid w:val="00627299"/>
    <w:rsid w:val="006277B0"/>
    <w:rsid w:val="00627D47"/>
    <w:rsid w:val="00632EE1"/>
    <w:rsid w:val="006333C1"/>
    <w:rsid w:val="0063660B"/>
    <w:rsid w:val="006370B8"/>
    <w:rsid w:val="00637799"/>
    <w:rsid w:val="00640177"/>
    <w:rsid w:val="00643587"/>
    <w:rsid w:val="006446EA"/>
    <w:rsid w:val="006478AC"/>
    <w:rsid w:val="0065046D"/>
    <w:rsid w:val="006520B6"/>
    <w:rsid w:val="00653999"/>
    <w:rsid w:val="00663B2B"/>
    <w:rsid w:val="00666B25"/>
    <w:rsid w:val="0067089C"/>
    <w:rsid w:val="00671E4D"/>
    <w:rsid w:val="00677BB5"/>
    <w:rsid w:val="00677E55"/>
    <w:rsid w:val="006822C4"/>
    <w:rsid w:val="00685E30"/>
    <w:rsid w:val="00685EB8"/>
    <w:rsid w:val="006860C3"/>
    <w:rsid w:val="0068647B"/>
    <w:rsid w:val="00691622"/>
    <w:rsid w:val="00691688"/>
    <w:rsid w:val="00695014"/>
    <w:rsid w:val="00695934"/>
    <w:rsid w:val="00696E5F"/>
    <w:rsid w:val="006A04AE"/>
    <w:rsid w:val="006A086C"/>
    <w:rsid w:val="006A726B"/>
    <w:rsid w:val="006A7F32"/>
    <w:rsid w:val="006B0BA5"/>
    <w:rsid w:val="006B7455"/>
    <w:rsid w:val="006C09EB"/>
    <w:rsid w:val="006C107E"/>
    <w:rsid w:val="006C1D32"/>
    <w:rsid w:val="006C3E98"/>
    <w:rsid w:val="006C66F4"/>
    <w:rsid w:val="006C6DC5"/>
    <w:rsid w:val="006C72B8"/>
    <w:rsid w:val="006C7619"/>
    <w:rsid w:val="006D0EBA"/>
    <w:rsid w:val="006D2463"/>
    <w:rsid w:val="006D7A67"/>
    <w:rsid w:val="006E0DC0"/>
    <w:rsid w:val="006E11DD"/>
    <w:rsid w:val="006E1C12"/>
    <w:rsid w:val="006E2018"/>
    <w:rsid w:val="006E27B8"/>
    <w:rsid w:val="006E5C07"/>
    <w:rsid w:val="006E65DB"/>
    <w:rsid w:val="006E67E4"/>
    <w:rsid w:val="006F04A0"/>
    <w:rsid w:val="006F1DF3"/>
    <w:rsid w:val="006F2D31"/>
    <w:rsid w:val="00700043"/>
    <w:rsid w:val="00701EB8"/>
    <w:rsid w:val="00704EF8"/>
    <w:rsid w:val="00710C46"/>
    <w:rsid w:val="00712172"/>
    <w:rsid w:val="007138BA"/>
    <w:rsid w:val="00713918"/>
    <w:rsid w:val="00713B5F"/>
    <w:rsid w:val="00713F16"/>
    <w:rsid w:val="00715FEA"/>
    <w:rsid w:val="00716463"/>
    <w:rsid w:val="00720A4F"/>
    <w:rsid w:val="007239D2"/>
    <w:rsid w:val="0072535F"/>
    <w:rsid w:val="00726C06"/>
    <w:rsid w:val="007274D5"/>
    <w:rsid w:val="00727E02"/>
    <w:rsid w:val="00730006"/>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766"/>
    <w:rsid w:val="00782F0E"/>
    <w:rsid w:val="007833FE"/>
    <w:rsid w:val="00785417"/>
    <w:rsid w:val="00785A16"/>
    <w:rsid w:val="007A159A"/>
    <w:rsid w:val="007A1856"/>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D7C84"/>
    <w:rsid w:val="007E0122"/>
    <w:rsid w:val="007E0EC8"/>
    <w:rsid w:val="007E4370"/>
    <w:rsid w:val="007E470D"/>
    <w:rsid w:val="007E5A28"/>
    <w:rsid w:val="007E6040"/>
    <w:rsid w:val="007F1F4B"/>
    <w:rsid w:val="007F7AFF"/>
    <w:rsid w:val="008006B5"/>
    <w:rsid w:val="00800BB4"/>
    <w:rsid w:val="008161BE"/>
    <w:rsid w:val="00817E75"/>
    <w:rsid w:val="008215CC"/>
    <w:rsid w:val="00822CEE"/>
    <w:rsid w:val="00823AA8"/>
    <w:rsid w:val="0082678D"/>
    <w:rsid w:val="00827EC1"/>
    <w:rsid w:val="00830744"/>
    <w:rsid w:val="008348E1"/>
    <w:rsid w:val="008370AF"/>
    <w:rsid w:val="008405D1"/>
    <w:rsid w:val="0084069F"/>
    <w:rsid w:val="00841C8A"/>
    <w:rsid w:val="00842397"/>
    <w:rsid w:val="00843D6B"/>
    <w:rsid w:val="00843EFA"/>
    <w:rsid w:val="00845B7F"/>
    <w:rsid w:val="00846BCC"/>
    <w:rsid w:val="0085014A"/>
    <w:rsid w:val="00850434"/>
    <w:rsid w:val="00851B70"/>
    <w:rsid w:val="00852E94"/>
    <w:rsid w:val="00854AF2"/>
    <w:rsid w:val="008568D0"/>
    <w:rsid w:val="00857DBC"/>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229"/>
    <w:rsid w:val="0088753F"/>
    <w:rsid w:val="00890E91"/>
    <w:rsid w:val="00891400"/>
    <w:rsid w:val="00893DAB"/>
    <w:rsid w:val="00893EF8"/>
    <w:rsid w:val="00893FA7"/>
    <w:rsid w:val="008943FF"/>
    <w:rsid w:val="00894F9F"/>
    <w:rsid w:val="008A5463"/>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431E"/>
    <w:rsid w:val="008D43D5"/>
    <w:rsid w:val="008D5039"/>
    <w:rsid w:val="008D5532"/>
    <w:rsid w:val="008D6329"/>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0FB7"/>
    <w:rsid w:val="009313C8"/>
    <w:rsid w:val="00933380"/>
    <w:rsid w:val="0093552D"/>
    <w:rsid w:val="00935A79"/>
    <w:rsid w:val="0093620D"/>
    <w:rsid w:val="00937D02"/>
    <w:rsid w:val="00941EBE"/>
    <w:rsid w:val="00941F96"/>
    <w:rsid w:val="00943569"/>
    <w:rsid w:val="00944E61"/>
    <w:rsid w:val="00950BAA"/>
    <w:rsid w:val="00950FC5"/>
    <w:rsid w:val="00951B5C"/>
    <w:rsid w:val="0095362F"/>
    <w:rsid w:val="0095596B"/>
    <w:rsid w:val="009572DD"/>
    <w:rsid w:val="00965A79"/>
    <w:rsid w:val="0097161E"/>
    <w:rsid w:val="00975D3C"/>
    <w:rsid w:val="00976D98"/>
    <w:rsid w:val="00977314"/>
    <w:rsid w:val="00977EC9"/>
    <w:rsid w:val="00982F2A"/>
    <w:rsid w:val="00985E5A"/>
    <w:rsid w:val="00986892"/>
    <w:rsid w:val="00990646"/>
    <w:rsid w:val="00990979"/>
    <w:rsid w:val="00992E72"/>
    <w:rsid w:val="00995C69"/>
    <w:rsid w:val="009960C2"/>
    <w:rsid w:val="00997013"/>
    <w:rsid w:val="009A3DC7"/>
    <w:rsid w:val="009A4515"/>
    <w:rsid w:val="009A71EB"/>
    <w:rsid w:val="009B0212"/>
    <w:rsid w:val="009B261D"/>
    <w:rsid w:val="009B6910"/>
    <w:rsid w:val="009B78A3"/>
    <w:rsid w:val="009C1E77"/>
    <w:rsid w:val="009C3888"/>
    <w:rsid w:val="009C7254"/>
    <w:rsid w:val="009D0F0F"/>
    <w:rsid w:val="009D2901"/>
    <w:rsid w:val="009D3BEA"/>
    <w:rsid w:val="009D5301"/>
    <w:rsid w:val="009D7B3A"/>
    <w:rsid w:val="009E0389"/>
    <w:rsid w:val="009E2AC7"/>
    <w:rsid w:val="009E3333"/>
    <w:rsid w:val="009E7F0D"/>
    <w:rsid w:val="009F01AE"/>
    <w:rsid w:val="009F1FFF"/>
    <w:rsid w:val="009F5426"/>
    <w:rsid w:val="00A008A7"/>
    <w:rsid w:val="00A00A7E"/>
    <w:rsid w:val="00A01568"/>
    <w:rsid w:val="00A02D8E"/>
    <w:rsid w:val="00A02F5B"/>
    <w:rsid w:val="00A04F1E"/>
    <w:rsid w:val="00A067AD"/>
    <w:rsid w:val="00A06CF9"/>
    <w:rsid w:val="00A072E7"/>
    <w:rsid w:val="00A07EED"/>
    <w:rsid w:val="00A1036A"/>
    <w:rsid w:val="00A109F4"/>
    <w:rsid w:val="00A11D4D"/>
    <w:rsid w:val="00A122C8"/>
    <w:rsid w:val="00A142D0"/>
    <w:rsid w:val="00A15441"/>
    <w:rsid w:val="00A16B4D"/>
    <w:rsid w:val="00A2057F"/>
    <w:rsid w:val="00A2633E"/>
    <w:rsid w:val="00A33AB4"/>
    <w:rsid w:val="00A35DCD"/>
    <w:rsid w:val="00A3611A"/>
    <w:rsid w:val="00A412AA"/>
    <w:rsid w:val="00A423E3"/>
    <w:rsid w:val="00A46421"/>
    <w:rsid w:val="00A5007D"/>
    <w:rsid w:val="00A515F0"/>
    <w:rsid w:val="00A54D12"/>
    <w:rsid w:val="00A6159E"/>
    <w:rsid w:val="00A61985"/>
    <w:rsid w:val="00A632A3"/>
    <w:rsid w:val="00A6541D"/>
    <w:rsid w:val="00A71218"/>
    <w:rsid w:val="00A722AE"/>
    <w:rsid w:val="00A7443D"/>
    <w:rsid w:val="00A75365"/>
    <w:rsid w:val="00A77C9C"/>
    <w:rsid w:val="00A81A69"/>
    <w:rsid w:val="00A84E71"/>
    <w:rsid w:val="00A85925"/>
    <w:rsid w:val="00A86BE7"/>
    <w:rsid w:val="00A91A8E"/>
    <w:rsid w:val="00A9296A"/>
    <w:rsid w:val="00A92D73"/>
    <w:rsid w:val="00A93530"/>
    <w:rsid w:val="00A943FF"/>
    <w:rsid w:val="00A94CE4"/>
    <w:rsid w:val="00A96D46"/>
    <w:rsid w:val="00AA0864"/>
    <w:rsid w:val="00AA1D4D"/>
    <w:rsid w:val="00AA3627"/>
    <w:rsid w:val="00AA372B"/>
    <w:rsid w:val="00AA44DC"/>
    <w:rsid w:val="00AA4D22"/>
    <w:rsid w:val="00AB0BE7"/>
    <w:rsid w:val="00AB2FC7"/>
    <w:rsid w:val="00AB3BA3"/>
    <w:rsid w:val="00AB3D20"/>
    <w:rsid w:val="00AB7DB8"/>
    <w:rsid w:val="00AC0146"/>
    <w:rsid w:val="00AC04D3"/>
    <w:rsid w:val="00AC09DF"/>
    <w:rsid w:val="00AC159B"/>
    <w:rsid w:val="00AC180D"/>
    <w:rsid w:val="00AC1D25"/>
    <w:rsid w:val="00AC5562"/>
    <w:rsid w:val="00AD15BF"/>
    <w:rsid w:val="00AD2140"/>
    <w:rsid w:val="00AD5031"/>
    <w:rsid w:val="00AE117D"/>
    <w:rsid w:val="00AE2E6F"/>
    <w:rsid w:val="00AE335E"/>
    <w:rsid w:val="00AE5F98"/>
    <w:rsid w:val="00AF01D6"/>
    <w:rsid w:val="00AF3DFA"/>
    <w:rsid w:val="00AF4357"/>
    <w:rsid w:val="00AF5EE4"/>
    <w:rsid w:val="00AF62D1"/>
    <w:rsid w:val="00B00090"/>
    <w:rsid w:val="00B016B2"/>
    <w:rsid w:val="00B02BAC"/>
    <w:rsid w:val="00B04009"/>
    <w:rsid w:val="00B05C4A"/>
    <w:rsid w:val="00B06DD9"/>
    <w:rsid w:val="00B13224"/>
    <w:rsid w:val="00B14437"/>
    <w:rsid w:val="00B158BE"/>
    <w:rsid w:val="00B174B8"/>
    <w:rsid w:val="00B22937"/>
    <w:rsid w:val="00B25544"/>
    <w:rsid w:val="00B255BA"/>
    <w:rsid w:val="00B3091D"/>
    <w:rsid w:val="00B31506"/>
    <w:rsid w:val="00B340AE"/>
    <w:rsid w:val="00B37551"/>
    <w:rsid w:val="00B4029D"/>
    <w:rsid w:val="00B41AC8"/>
    <w:rsid w:val="00B41B20"/>
    <w:rsid w:val="00B43A70"/>
    <w:rsid w:val="00B45B8F"/>
    <w:rsid w:val="00B46E58"/>
    <w:rsid w:val="00B5047E"/>
    <w:rsid w:val="00B51A27"/>
    <w:rsid w:val="00B52323"/>
    <w:rsid w:val="00B52754"/>
    <w:rsid w:val="00B527E8"/>
    <w:rsid w:val="00B538AB"/>
    <w:rsid w:val="00B5540A"/>
    <w:rsid w:val="00B56B61"/>
    <w:rsid w:val="00B56D4E"/>
    <w:rsid w:val="00B577E3"/>
    <w:rsid w:val="00B608AE"/>
    <w:rsid w:val="00B61EB0"/>
    <w:rsid w:val="00B62988"/>
    <w:rsid w:val="00B6742C"/>
    <w:rsid w:val="00B713F8"/>
    <w:rsid w:val="00B72194"/>
    <w:rsid w:val="00B74654"/>
    <w:rsid w:val="00B7588B"/>
    <w:rsid w:val="00B82816"/>
    <w:rsid w:val="00B83C5B"/>
    <w:rsid w:val="00B8588F"/>
    <w:rsid w:val="00B86C58"/>
    <w:rsid w:val="00B90EF7"/>
    <w:rsid w:val="00B91C9E"/>
    <w:rsid w:val="00B934D4"/>
    <w:rsid w:val="00B95500"/>
    <w:rsid w:val="00B96805"/>
    <w:rsid w:val="00BA67DA"/>
    <w:rsid w:val="00BA7B39"/>
    <w:rsid w:val="00BA7DD0"/>
    <w:rsid w:val="00BB1D0F"/>
    <w:rsid w:val="00BB2970"/>
    <w:rsid w:val="00BB33F6"/>
    <w:rsid w:val="00BB7DB1"/>
    <w:rsid w:val="00BC005B"/>
    <w:rsid w:val="00BC2E51"/>
    <w:rsid w:val="00BC42F7"/>
    <w:rsid w:val="00BC5F63"/>
    <w:rsid w:val="00BC6934"/>
    <w:rsid w:val="00BD020A"/>
    <w:rsid w:val="00BD0AB5"/>
    <w:rsid w:val="00BD0C2E"/>
    <w:rsid w:val="00BD4EE4"/>
    <w:rsid w:val="00BD5234"/>
    <w:rsid w:val="00BD5E5E"/>
    <w:rsid w:val="00BE183E"/>
    <w:rsid w:val="00BE5334"/>
    <w:rsid w:val="00BF3947"/>
    <w:rsid w:val="00BF4C9B"/>
    <w:rsid w:val="00BF4F04"/>
    <w:rsid w:val="00BF5875"/>
    <w:rsid w:val="00C0221B"/>
    <w:rsid w:val="00C047A8"/>
    <w:rsid w:val="00C049E1"/>
    <w:rsid w:val="00C05928"/>
    <w:rsid w:val="00C0755A"/>
    <w:rsid w:val="00C0785A"/>
    <w:rsid w:val="00C110EF"/>
    <w:rsid w:val="00C11231"/>
    <w:rsid w:val="00C11C43"/>
    <w:rsid w:val="00C140BA"/>
    <w:rsid w:val="00C179B0"/>
    <w:rsid w:val="00C21CA3"/>
    <w:rsid w:val="00C23E99"/>
    <w:rsid w:val="00C26A3E"/>
    <w:rsid w:val="00C2733D"/>
    <w:rsid w:val="00C27B68"/>
    <w:rsid w:val="00C3242F"/>
    <w:rsid w:val="00C33B5E"/>
    <w:rsid w:val="00C34EB5"/>
    <w:rsid w:val="00C35427"/>
    <w:rsid w:val="00C35E05"/>
    <w:rsid w:val="00C35F16"/>
    <w:rsid w:val="00C3745A"/>
    <w:rsid w:val="00C37C4F"/>
    <w:rsid w:val="00C4017B"/>
    <w:rsid w:val="00C40430"/>
    <w:rsid w:val="00C42102"/>
    <w:rsid w:val="00C445F2"/>
    <w:rsid w:val="00C45A1E"/>
    <w:rsid w:val="00C46FE6"/>
    <w:rsid w:val="00C475FF"/>
    <w:rsid w:val="00C50F91"/>
    <w:rsid w:val="00C51F05"/>
    <w:rsid w:val="00C5286F"/>
    <w:rsid w:val="00C54FFF"/>
    <w:rsid w:val="00C55B7A"/>
    <w:rsid w:val="00C5640D"/>
    <w:rsid w:val="00C564A1"/>
    <w:rsid w:val="00C57ECA"/>
    <w:rsid w:val="00C60770"/>
    <w:rsid w:val="00C61D2F"/>
    <w:rsid w:val="00C648C0"/>
    <w:rsid w:val="00C66C68"/>
    <w:rsid w:val="00C66D7F"/>
    <w:rsid w:val="00C67871"/>
    <w:rsid w:val="00C734C2"/>
    <w:rsid w:val="00C736D5"/>
    <w:rsid w:val="00C73CBB"/>
    <w:rsid w:val="00C759D1"/>
    <w:rsid w:val="00C75DAF"/>
    <w:rsid w:val="00C77D3F"/>
    <w:rsid w:val="00C80567"/>
    <w:rsid w:val="00C84422"/>
    <w:rsid w:val="00C92950"/>
    <w:rsid w:val="00CA4BBD"/>
    <w:rsid w:val="00CA77DA"/>
    <w:rsid w:val="00CB355F"/>
    <w:rsid w:val="00CB35C5"/>
    <w:rsid w:val="00CB3A02"/>
    <w:rsid w:val="00CC177A"/>
    <w:rsid w:val="00CC1A0B"/>
    <w:rsid w:val="00CC23AB"/>
    <w:rsid w:val="00CC5737"/>
    <w:rsid w:val="00CC5BF4"/>
    <w:rsid w:val="00CD017A"/>
    <w:rsid w:val="00CD0FC4"/>
    <w:rsid w:val="00CD1204"/>
    <w:rsid w:val="00CD297F"/>
    <w:rsid w:val="00CD2D59"/>
    <w:rsid w:val="00CD39BC"/>
    <w:rsid w:val="00CD3EBE"/>
    <w:rsid w:val="00CD79BF"/>
    <w:rsid w:val="00CE496E"/>
    <w:rsid w:val="00CE58B0"/>
    <w:rsid w:val="00CE5FF5"/>
    <w:rsid w:val="00CE6F64"/>
    <w:rsid w:val="00CE7473"/>
    <w:rsid w:val="00CF049A"/>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27E11"/>
    <w:rsid w:val="00D32A56"/>
    <w:rsid w:val="00D33247"/>
    <w:rsid w:val="00D33D03"/>
    <w:rsid w:val="00D3626D"/>
    <w:rsid w:val="00D36B87"/>
    <w:rsid w:val="00D407AB"/>
    <w:rsid w:val="00D4093F"/>
    <w:rsid w:val="00D426E5"/>
    <w:rsid w:val="00D43EDE"/>
    <w:rsid w:val="00D4500C"/>
    <w:rsid w:val="00D5104A"/>
    <w:rsid w:val="00D5143C"/>
    <w:rsid w:val="00D523ED"/>
    <w:rsid w:val="00D52E90"/>
    <w:rsid w:val="00D54525"/>
    <w:rsid w:val="00D54D51"/>
    <w:rsid w:val="00D55605"/>
    <w:rsid w:val="00D56403"/>
    <w:rsid w:val="00D6038A"/>
    <w:rsid w:val="00D60AF8"/>
    <w:rsid w:val="00D614FB"/>
    <w:rsid w:val="00D63B94"/>
    <w:rsid w:val="00D6616A"/>
    <w:rsid w:val="00D66F94"/>
    <w:rsid w:val="00D677B9"/>
    <w:rsid w:val="00D706F5"/>
    <w:rsid w:val="00D76089"/>
    <w:rsid w:val="00D76E0D"/>
    <w:rsid w:val="00D7794C"/>
    <w:rsid w:val="00D8190E"/>
    <w:rsid w:val="00D83AEE"/>
    <w:rsid w:val="00D853A4"/>
    <w:rsid w:val="00D859B8"/>
    <w:rsid w:val="00D91573"/>
    <w:rsid w:val="00D923AA"/>
    <w:rsid w:val="00D92A45"/>
    <w:rsid w:val="00D92D3F"/>
    <w:rsid w:val="00D93B1C"/>
    <w:rsid w:val="00D93DB5"/>
    <w:rsid w:val="00D94E8D"/>
    <w:rsid w:val="00D95250"/>
    <w:rsid w:val="00DA0400"/>
    <w:rsid w:val="00DA0666"/>
    <w:rsid w:val="00DA07BA"/>
    <w:rsid w:val="00DA3894"/>
    <w:rsid w:val="00DA3D41"/>
    <w:rsid w:val="00DA6F8F"/>
    <w:rsid w:val="00DA7A32"/>
    <w:rsid w:val="00DB21A5"/>
    <w:rsid w:val="00DB447A"/>
    <w:rsid w:val="00DB5EC7"/>
    <w:rsid w:val="00DC15DF"/>
    <w:rsid w:val="00DC20D5"/>
    <w:rsid w:val="00DC2BBD"/>
    <w:rsid w:val="00DC6638"/>
    <w:rsid w:val="00DD1C0B"/>
    <w:rsid w:val="00DD6295"/>
    <w:rsid w:val="00DE0E8D"/>
    <w:rsid w:val="00DE4B0B"/>
    <w:rsid w:val="00DE6532"/>
    <w:rsid w:val="00DF2887"/>
    <w:rsid w:val="00DF2F42"/>
    <w:rsid w:val="00DF414A"/>
    <w:rsid w:val="00DF7F5B"/>
    <w:rsid w:val="00E02E80"/>
    <w:rsid w:val="00E03496"/>
    <w:rsid w:val="00E03EDF"/>
    <w:rsid w:val="00E04A73"/>
    <w:rsid w:val="00E0553F"/>
    <w:rsid w:val="00E11A30"/>
    <w:rsid w:val="00E12E4C"/>
    <w:rsid w:val="00E144E0"/>
    <w:rsid w:val="00E16138"/>
    <w:rsid w:val="00E16797"/>
    <w:rsid w:val="00E16D72"/>
    <w:rsid w:val="00E20F8D"/>
    <w:rsid w:val="00E23223"/>
    <w:rsid w:val="00E25874"/>
    <w:rsid w:val="00E2799A"/>
    <w:rsid w:val="00E3000F"/>
    <w:rsid w:val="00E31A50"/>
    <w:rsid w:val="00E3329D"/>
    <w:rsid w:val="00E364C6"/>
    <w:rsid w:val="00E37A9C"/>
    <w:rsid w:val="00E401CF"/>
    <w:rsid w:val="00E4194B"/>
    <w:rsid w:val="00E41CB2"/>
    <w:rsid w:val="00E431A1"/>
    <w:rsid w:val="00E434B4"/>
    <w:rsid w:val="00E44F00"/>
    <w:rsid w:val="00E4750A"/>
    <w:rsid w:val="00E52DCA"/>
    <w:rsid w:val="00E53781"/>
    <w:rsid w:val="00E5421D"/>
    <w:rsid w:val="00E57180"/>
    <w:rsid w:val="00E608F8"/>
    <w:rsid w:val="00E623F7"/>
    <w:rsid w:val="00E6279E"/>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365"/>
    <w:rsid w:val="00E96804"/>
    <w:rsid w:val="00EA1D56"/>
    <w:rsid w:val="00EA1F18"/>
    <w:rsid w:val="00EA29A0"/>
    <w:rsid w:val="00EA2C87"/>
    <w:rsid w:val="00EA364B"/>
    <w:rsid w:val="00EA5AEE"/>
    <w:rsid w:val="00EA6DEA"/>
    <w:rsid w:val="00EB6131"/>
    <w:rsid w:val="00EC1553"/>
    <w:rsid w:val="00EC56C5"/>
    <w:rsid w:val="00EC6465"/>
    <w:rsid w:val="00EC6DD1"/>
    <w:rsid w:val="00ED0188"/>
    <w:rsid w:val="00ED0395"/>
    <w:rsid w:val="00ED1C9E"/>
    <w:rsid w:val="00ED382A"/>
    <w:rsid w:val="00ED5828"/>
    <w:rsid w:val="00ED5C7C"/>
    <w:rsid w:val="00ED625D"/>
    <w:rsid w:val="00ED7FD1"/>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4300"/>
    <w:rsid w:val="00F05939"/>
    <w:rsid w:val="00F075F6"/>
    <w:rsid w:val="00F15742"/>
    <w:rsid w:val="00F17629"/>
    <w:rsid w:val="00F17B86"/>
    <w:rsid w:val="00F21FCF"/>
    <w:rsid w:val="00F27A74"/>
    <w:rsid w:val="00F31344"/>
    <w:rsid w:val="00F31386"/>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1AD4"/>
    <w:rsid w:val="00F52EF7"/>
    <w:rsid w:val="00F53061"/>
    <w:rsid w:val="00F60A51"/>
    <w:rsid w:val="00F61E0B"/>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93B"/>
    <w:rsid w:val="00F87B64"/>
    <w:rsid w:val="00F905F8"/>
    <w:rsid w:val="00F92DA9"/>
    <w:rsid w:val="00F93C54"/>
    <w:rsid w:val="00F951A0"/>
    <w:rsid w:val="00FB0E51"/>
    <w:rsid w:val="00FB22E3"/>
    <w:rsid w:val="00FB2E05"/>
    <w:rsid w:val="00FB5C71"/>
    <w:rsid w:val="00FB6F98"/>
    <w:rsid w:val="00FC0ADE"/>
    <w:rsid w:val="00FC1FD8"/>
    <w:rsid w:val="00FC56D3"/>
    <w:rsid w:val="00FD0516"/>
    <w:rsid w:val="00FD1271"/>
    <w:rsid w:val="00FD238D"/>
    <w:rsid w:val="00FD4641"/>
    <w:rsid w:val="00FD606B"/>
    <w:rsid w:val="00FD7C3C"/>
    <w:rsid w:val="00FE3846"/>
    <w:rsid w:val="00FE4E78"/>
    <w:rsid w:val="00FE6DCE"/>
    <w:rsid w:val="00FE7F49"/>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paragraph" w:customStyle="1" w:styleId="TableParagraph">
    <w:name w:val="Table Paragraph"/>
    <w:basedOn w:val="Normal"/>
    <w:uiPriority w:val="1"/>
    <w:qFormat/>
    <w:rsid w:val="00EA1F18"/>
    <w:pPr>
      <w:widowControl w:val="0"/>
      <w:autoSpaceDE w:val="0"/>
      <w:autoSpaceDN w:val="0"/>
      <w:spacing w:before="144" w:after="0" w:line="240" w:lineRule="auto"/>
      <w:ind w:left="107"/>
    </w:pPr>
    <w:rPr>
      <w:rFonts w:eastAsia="Arial" w:cs="Arial"/>
      <w:sz w:val="22"/>
      <w:szCs w:val="22"/>
      <w:lang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6075">
      <w:bodyDiv w:val="1"/>
      <w:marLeft w:val="0"/>
      <w:marRight w:val="0"/>
      <w:marTop w:val="0"/>
      <w:marBottom w:val="0"/>
      <w:divBdr>
        <w:top w:val="none" w:sz="0" w:space="0" w:color="auto"/>
        <w:left w:val="none" w:sz="0" w:space="0" w:color="auto"/>
        <w:bottom w:val="none" w:sz="0" w:space="0" w:color="auto"/>
        <w:right w:val="none" w:sz="0" w:space="0" w:color="auto"/>
      </w:divBdr>
    </w:div>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284703844">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53882896">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168326680">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595897146">
      <w:bodyDiv w:val="1"/>
      <w:marLeft w:val="0"/>
      <w:marRight w:val="0"/>
      <w:marTop w:val="0"/>
      <w:marBottom w:val="0"/>
      <w:divBdr>
        <w:top w:val="none" w:sz="0" w:space="0" w:color="auto"/>
        <w:left w:val="none" w:sz="0" w:space="0" w:color="auto"/>
        <w:bottom w:val="none" w:sz="0" w:space="0" w:color="auto"/>
        <w:right w:val="none" w:sz="0" w:space="0" w:color="auto"/>
      </w:divBdr>
    </w:div>
    <w:div w:id="1619948999">
      <w:bodyDiv w:val="1"/>
      <w:marLeft w:val="0"/>
      <w:marRight w:val="0"/>
      <w:marTop w:val="0"/>
      <w:marBottom w:val="0"/>
      <w:divBdr>
        <w:top w:val="none" w:sz="0" w:space="0" w:color="auto"/>
        <w:left w:val="none" w:sz="0" w:space="0" w:color="auto"/>
        <w:bottom w:val="none" w:sz="0" w:space="0" w:color="auto"/>
        <w:right w:val="none" w:sz="0" w:space="0" w:color="auto"/>
      </w:divBdr>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35279381">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2" ma:contentTypeDescription="Create a new document." ma:contentTypeScope="" ma:versionID="2c51092bb21753fef359484d740de79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a81dcd48eddf192caf48c109f6907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A280E8-72B1-4C54-9118-9EA3504B1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3.xml><?xml version="1.0" encoding="utf-8"?>
<ds:datastoreItem xmlns:ds="http://schemas.openxmlformats.org/officeDocument/2006/customXml" ds:itemID="{5C22F264-9E11-4DF0-A8E5-45C429F58C58}">
  <ds:schemaRefs>
    <ds:schemaRef ds:uri="http://schemas.openxmlformats.org/officeDocument/2006/bibliography"/>
  </ds:schemaRefs>
</ds:datastoreItem>
</file>

<file path=customXml/itemProps4.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43</TotalTime>
  <Pages>4</Pages>
  <Words>1044</Words>
  <Characters>5952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Guidance</dc:creator>
  <cp:lastModifiedBy>ESO Code Admin</cp:lastModifiedBy>
  <cp:revision>44</cp:revision>
  <cp:lastPrinted>2023-05-30T15:18:00Z</cp:lastPrinted>
  <dcterms:created xsi:type="dcterms:W3CDTF">2023-05-30T15:17:00Z</dcterms:created>
  <dcterms:modified xsi:type="dcterms:W3CDTF">2023-06-30T15:29:00Z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_NewReviewCycle">
    <vt:lpwstr/>
  </property>
  <property fmtid="{D5CDD505-2E9C-101B-9397-08002B2CF9AE}" pid="4" name="MediaServiceImageTags">
    <vt:lpwstr/>
  </property>
</Properties>
</file>