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EFD1F" w14:textId="0685BADF" w:rsidR="002672E7" w:rsidRPr="00782E47" w:rsidRDefault="002672E7" w:rsidP="002672E7">
      <w:pPr>
        <w:pStyle w:val="DocumentTitle"/>
        <w:framePr w:w="7696" w:wrap="notBeside" w:x="1096" w:y="2341"/>
      </w:pPr>
      <w:r>
        <w:t>Order of action - Winter 2024/25</w:t>
      </w:r>
    </w:p>
    <w:p w14:paraId="23E4452F" w14:textId="77777777" w:rsidR="000E1DE7" w:rsidRPr="00A04C4B" w:rsidRDefault="000E1DE7" w:rsidP="000E1DE7">
      <w:pPr>
        <w:pStyle w:val="Heading1"/>
        <w:rPr>
          <w:rFonts w:cstheme="majorHAnsi"/>
        </w:rPr>
      </w:pPr>
      <w:r w:rsidRPr="00A04C4B">
        <w:rPr>
          <w:rFonts w:cstheme="majorHAnsi"/>
        </w:rPr>
        <w:t>Context</w:t>
      </w:r>
    </w:p>
    <w:p w14:paraId="39E7421A" w14:textId="406EC473" w:rsidR="00CC5704" w:rsidRPr="000B31FA" w:rsidRDefault="00470155" w:rsidP="00470155">
      <w:pPr>
        <w:pStyle w:val="BodyText"/>
        <w:rPr>
          <w:rFonts w:cstheme="minorHAnsi"/>
          <w:color w:val="auto"/>
          <w:sz w:val="22"/>
          <w:szCs w:val="22"/>
        </w:rPr>
      </w:pPr>
      <w:r w:rsidRPr="000B31FA">
        <w:rPr>
          <w:rFonts w:cstheme="minorHAnsi"/>
          <w:color w:val="auto"/>
          <w:sz w:val="22"/>
          <w:szCs w:val="22"/>
        </w:rPr>
        <w:t xml:space="preserve">The Order of Action is as agreed by </w:t>
      </w:r>
      <w:r w:rsidR="002C7C7D">
        <w:rPr>
          <w:rFonts w:cstheme="minorHAnsi"/>
          <w:color w:val="auto"/>
          <w:sz w:val="22"/>
          <w:szCs w:val="22"/>
        </w:rPr>
        <w:t>NESO Executive Leadership Team</w:t>
      </w:r>
      <w:r w:rsidR="002C7C7D" w:rsidRPr="000B31FA">
        <w:rPr>
          <w:rFonts w:cstheme="minorHAnsi"/>
          <w:color w:val="auto"/>
          <w:sz w:val="22"/>
          <w:szCs w:val="22"/>
        </w:rPr>
        <w:t xml:space="preserve"> </w:t>
      </w:r>
      <w:r w:rsidRPr="000B31FA">
        <w:rPr>
          <w:rFonts w:cstheme="minorHAnsi"/>
          <w:color w:val="auto"/>
          <w:sz w:val="22"/>
          <w:szCs w:val="22"/>
        </w:rPr>
        <w:t>and communicated externally at Markets Forum. The Order of Action for Winter 2024/25 is summarised in the tables below:</w:t>
      </w:r>
    </w:p>
    <w:p w14:paraId="16F77243" w14:textId="77777777" w:rsidR="00CC5704" w:rsidRPr="000B31FA" w:rsidRDefault="00CC5704" w:rsidP="00470155">
      <w:pPr>
        <w:pStyle w:val="BodyText"/>
        <w:rPr>
          <w:rFonts w:cstheme="minorHAnsi"/>
          <w:color w:val="auto"/>
          <w:sz w:val="22"/>
          <w:szCs w:val="22"/>
        </w:rPr>
      </w:pPr>
    </w:p>
    <w:tbl>
      <w:tblPr>
        <w:tblStyle w:val="GridTable5Dark-Accent1"/>
        <w:tblpPr w:leftFromText="180" w:rightFromText="180" w:vertAnchor="page" w:horzAnchor="margin" w:tblpY="5656"/>
        <w:tblW w:w="0" w:type="auto"/>
        <w:tblLook w:val="0600" w:firstRow="0" w:lastRow="0" w:firstColumn="0" w:lastColumn="0" w:noHBand="1" w:noVBand="1"/>
      </w:tblPr>
      <w:tblGrid>
        <w:gridCol w:w="4248"/>
        <w:gridCol w:w="1134"/>
        <w:gridCol w:w="4354"/>
      </w:tblGrid>
      <w:tr w:rsidR="00292573" w:rsidRPr="000B31FA" w14:paraId="7247D1C4" w14:textId="77777777" w:rsidTr="73208A03">
        <w:trPr>
          <w:trHeight w:val="558"/>
        </w:trPr>
        <w:tc>
          <w:tcPr>
            <w:tcW w:w="0" w:type="auto"/>
            <w:shd w:val="clear" w:color="auto" w:fill="FF99FF" w:themeFill="accent1" w:themeFillTint="66"/>
            <w:vAlign w:val="center"/>
            <w:hideMark/>
          </w:tcPr>
          <w:p w14:paraId="78D9569E" w14:textId="77777777" w:rsidR="00494DDA" w:rsidRPr="000B31FA" w:rsidRDefault="00494DDA" w:rsidP="00981E9E">
            <w:pPr>
              <w:pStyle w:val="BodyText"/>
              <w:jc w:val="center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b/>
                <w:bCs/>
                <w:sz w:val="22"/>
                <w:szCs w:val="22"/>
              </w:rPr>
              <w:t>Everyday Actions​​</w:t>
            </w:r>
          </w:p>
        </w:tc>
        <w:tc>
          <w:tcPr>
            <w:tcW w:w="1098" w:type="dxa"/>
            <w:shd w:val="clear" w:color="auto" w:fill="FF99FF" w:themeFill="accent1" w:themeFillTint="66"/>
            <w:vAlign w:val="center"/>
            <w:hideMark/>
          </w:tcPr>
          <w:p w14:paraId="44DCF5B7" w14:textId="77777777" w:rsidR="00494DDA" w:rsidRPr="000B31FA" w:rsidRDefault="00494DDA" w:rsidP="00981E9E">
            <w:pPr>
              <w:pStyle w:val="BodyText"/>
              <w:jc w:val="center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b/>
                <w:bCs/>
                <w:sz w:val="22"/>
                <w:szCs w:val="22"/>
              </w:rPr>
              <w:t>Order ​​</w:t>
            </w:r>
          </w:p>
        </w:tc>
        <w:tc>
          <w:tcPr>
            <w:tcW w:w="4354" w:type="dxa"/>
            <w:shd w:val="clear" w:color="auto" w:fill="FF99FF" w:themeFill="accent1" w:themeFillTint="66"/>
            <w:vAlign w:val="center"/>
            <w:hideMark/>
          </w:tcPr>
          <w:p w14:paraId="6BCB534E" w14:textId="77777777" w:rsidR="00494DDA" w:rsidRPr="000B31FA" w:rsidRDefault="00494DDA" w:rsidP="00981E9E">
            <w:pPr>
              <w:pStyle w:val="BodyText"/>
              <w:jc w:val="center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b/>
                <w:bCs/>
                <w:sz w:val="22"/>
                <w:szCs w:val="22"/>
              </w:rPr>
              <w:t>Comments​​</w:t>
            </w:r>
          </w:p>
        </w:tc>
      </w:tr>
      <w:tr w:rsidR="000B31FA" w:rsidRPr="000B31FA" w14:paraId="71720F64" w14:textId="77777777" w:rsidTr="73208A03">
        <w:trPr>
          <w:trHeight w:val="1410"/>
        </w:trPr>
        <w:tc>
          <w:tcPr>
            <w:tcW w:w="0" w:type="auto"/>
            <w:vAlign w:val="center"/>
            <w:hideMark/>
          </w:tcPr>
          <w:p w14:paraId="484744EA" w14:textId="77777777" w:rsidR="00494DDA" w:rsidRPr="000B31FA" w:rsidRDefault="00494DDA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sz w:val="22"/>
                <w:szCs w:val="22"/>
              </w:rPr>
              <w:t>Reconfigure Transmission Network to reduce network congestion: Change substation running arrangements, Tap Quad Boosters, and make use of enhanced ratings​​</w:t>
            </w:r>
          </w:p>
        </w:tc>
        <w:tc>
          <w:tcPr>
            <w:tcW w:w="1098" w:type="dxa"/>
            <w:vAlign w:val="center"/>
            <w:hideMark/>
          </w:tcPr>
          <w:p w14:paraId="712B9075" w14:textId="77777777" w:rsidR="00494DDA" w:rsidRPr="000B31FA" w:rsidRDefault="00494DDA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sz w:val="22"/>
                <w:szCs w:val="22"/>
              </w:rPr>
              <w:t>Normal operating practice – no cost​​</w:t>
            </w:r>
          </w:p>
        </w:tc>
        <w:tc>
          <w:tcPr>
            <w:tcW w:w="4354" w:type="dxa"/>
            <w:vAlign w:val="center"/>
            <w:hideMark/>
          </w:tcPr>
          <w:p w14:paraId="2F51D556" w14:textId="77777777" w:rsidR="00494DDA" w:rsidRPr="000B31FA" w:rsidRDefault="00494DDA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sz w:val="22"/>
                <w:szCs w:val="22"/>
              </w:rPr>
              <w:t>Changing daily operating conditions can result in different network configurations to reduce congestion​​.</w:t>
            </w:r>
          </w:p>
        </w:tc>
      </w:tr>
      <w:tr w:rsidR="00292573" w:rsidRPr="000B31FA" w14:paraId="3721404D" w14:textId="77777777" w:rsidTr="73208A03">
        <w:trPr>
          <w:trHeight w:val="964"/>
        </w:trPr>
        <w:tc>
          <w:tcPr>
            <w:tcW w:w="0" w:type="auto"/>
            <w:shd w:val="clear" w:color="auto" w:fill="FFE6FF"/>
            <w:vAlign w:val="center"/>
            <w:hideMark/>
          </w:tcPr>
          <w:p w14:paraId="3FC576A6" w14:textId="77777777" w:rsidR="00494DDA" w:rsidRPr="000B31FA" w:rsidRDefault="00494DDA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sz w:val="22"/>
                <w:szCs w:val="22"/>
              </w:rPr>
              <w:t>Review and refine reserve requirement within day dependent on system conditions​</w:t>
            </w:r>
          </w:p>
        </w:tc>
        <w:tc>
          <w:tcPr>
            <w:tcW w:w="1098" w:type="dxa"/>
            <w:shd w:val="clear" w:color="auto" w:fill="FFE6FF"/>
            <w:vAlign w:val="center"/>
            <w:hideMark/>
          </w:tcPr>
          <w:p w14:paraId="156599F2" w14:textId="77777777" w:rsidR="00494DDA" w:rsidRPr="000B31FA" w:rsidRDefault="00494DDA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sz w:val="22"/>
                <w:szCs w:val="22"/>
              </w:rPr>
              <w:t>Normal operating practice – no cost​</w:t>
            </w:r>
          </w:p>
        </w:tc>
        <w:tc>
          <w:tcPr>
            <w:tcW w:w="4354" w:type="dxa"/>
            <w:shd w:val="clear" w:color="auto" w:fill="FFE6FF"/>
            <w:vAlign w:val="center"/>
            <w:hideMark/>
          </w:tcPr>
          <w:p w14:paraId="75CF9202" w14:textId="77777777" w:rsidR="00494DDA" w:rsidRPr="000B31FA" w:rsidRDefault="00494DDA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sz w:val="22"/>
                <w:szCs w:val="22"/>
              </w:rPr>
              <w:t>Changing system conditions can relieve requirements for reserve or increase requirements. This can change at any time as the conditions change.​</w:t>
            </w:r>
          </w:p>
        </w:tc>
      </w:tr>
      <w:tr w:rsidR="000B31FA" w:rsidRPr="000B31FA" w14:paraId="62D447C4" w14:textId="77777777" w:rsidTr="73208A03">
        <w:trPr>
          <w:trHeight w:val="964"/>
        </w:trPr>
        <w:tc>
          <w:tcPr>
            <w:tcW w:w="0" w:type="auto"/>
            <w:vAlign w:val="center"/>
            <w:hideMark/>
          </w:tcPr>
          <w:p w14:paraId="11ACA144" w14:textId="79DA302C" w:rsidR="00494DDA" w:rsidRPr="000B31FA" w:rsidRDefault="00494DDA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sz w:val="22"/>
                <w:szCs w:val="22"/>
              </w:rPr>
              <w:t xml:space="preserve">All deliverable Offer action on all available </w:t>
            </w:r>
            <w:r w:rsidR="00761742">
              <w:rPr>
                <w:rFonts w:cstheme="minorHAnsi"/>
                <w:sz w:val="22"/>
                <w:szCs w:val="22"/>
              </w:rPr>
              <w:t>Balancing Mechanism (</w:t>
            </w:r>
            <w:r w:rsidRPr="000B31FA">
              <w:rPr>
                <w:rFonts w:cstheme="minorHAnsi"/>
                <w:sz w:val="22"/>
                <w:szCs w:val="22"/>
              </w:rPr>
              <w:t>BM</w:t>
            </w:r>
            <w:r w:rsidR="00761742">
              <w:rPr>
                <w:rFonts w:cstheme="minorHAnsi"/>
                <w:sz w:val="22"/>
                <w:szCs w:val="22"/>
              </w:rPr>
              <w:t>)</w:t>
            </w:r>
            <w:r w:rsidRPr="000B31FA">
              <w:rPr>
                <w:rFonts w:cstheme="minorHAnsi"/>
                <w:sz w:val="22"/>
                <w:szCs w:val="22"/>
              </w:rPr>
              <w:t xml:space="preserve"> participants​​</w:t>
            </w:r>
          </w:p>
        </w:tc>
        <w:tc>
          <w:tcPr>
            <w:tcW w:w="1098" w:type="dxa"/>
            <w:vAlign w:val="center"/>
            <w:hideMark/>
          </w:tcPr>
          <w:p w14:paraId="26B378A2" w14:textId="77777777" w:rsidR="00494DDA" w:rsidRPr="000B31FA" w:rsidRDefault="00494DDA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sz w:val="22"/>
                <w:szCs w:val="22"/>
              </w:rPr>
              <w:t>#1 based on Cost​​</w:t>
            </w:r>
          </w:p>
        </w:tc>
        <w:tc>
          <w:tcPr>
            <w:tcW w:w="4354" w:type="dxa"/>
            <w:vAlign w:val="center"/>
            <w:hideMark/>
          </w:tcPr>
          <w:p w14:paraId="4E27AAE7" w14:textId="77777777" w:rsidR="00494DDA" w:rsidRPr="000B31FA" w:rsidRDefault="00494DDA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sz w:val="22"/>
                <w:szCs w:val="22"/>
              </w:rPr>
              <w:t>Scheduled from Day Ahead, action taken in real time – some offers may not be available due to network congestion​​.</w:t>
            </w:r>
          </w:p>
        </w:tc>
      </w:tr>
      <w:tr w:rsidR="00292573" w:rsidRPr="000B31FA" w14:paraId="5391D615" w14:textId="77777777" w:rsidTr="001D193C">
        <w:trPr>
          <w:trHeight w:val="1386"/>
        </w:trPr>
        <w:tc>
          <w:tcPr>
            <w:tcW w:w="0" w:type="auto"/>
            <w:shd w:val="clear" w:color="auto" w:fill="FFE6FF"/>
            <w:vAlign w:val="center"/>
            <w:hideMark/>
          </w:tcPr>
          <w:p w14:paraId="04D220F8" w14:textId="107C9F6E" w:rsidR="00E222B2" w:rsidRPr="000B31FA" w:rsidRDefault="00494DDA" w:rsidP="00981E9E">
            <w:pPr>
              <w:pStyle w:val="BodyText"/>
              <w:rPr>
                <w:sz w:val="22"/>
                <w:szCs w:val="22"/>
              </w:rPr>
            </w:pPr>
            <w:r w:rsidRPr="3399FE96">
              <w:rPr>
                <w:sz w:val="22"/>
                <w:szCs w:val="22"/>
              </w:rPr>
              <w:t>Issue warming instructions to cold BM participants​​</w:t>
            </w:r>
          </w:p>
        </w:tc>
        <w:tc>
          <w:tcPr>
            <w:tcW w:w="1098" w:type="dxa"/>
            <w:shd w:val="clear" w:color="auto" w:fill="FFE6FF"/>
            <w:vAlign w:val="center"/>
            <w:hideMark/>
          </w:tcPr>
          <w:p w14:paraId="0C4779C0" w14:textId="77777777" w:rsidR="00494DDA" w:rsidRPr="000B31FA" w:rsidRDefault="00494DDA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sz w:val="22"/>
                <w:szCs w:val="22"/>
              </w:rPr>
              <w:t>#1 based on Cost​​</w:t>
            </w:r>
          </w:p>
        </w:tc>
        <w:tc>
          <w:tcPr>
            <w:tcW w:w="4354" w:type="dxa"/>
            <w:shd w:val="clear" w:color="auto" w:fill="FFE6FF"/>
            <w:vAlign w:val="center"/>
            <w:hideMark/>
          </w:tcPr>
          <w:p w14:paraId="2D16824F" w14:textId="3411F83A" w:rsidR="00494DDA" w:rsidRPr="000B31FA" w:rsidRDefault="00494DDA" w:rsidP="73208A03">
            <w:pPr>
              <w:pStyle w:val="BodyText"/>
              <w:rPr>
                <w:sz w:val="22"/>
                <w:szCs w:val="22"/>
              </w:rPr>
            </w:pPr>
            <w:r w:rsidRPr="73208A03">
              <w:rPr>
                <w:sz w:val="22"/>
                <w:szCs w:val="22"/>
              </w:rPr>
              <w:t>Scheduled from Day Ahead, action taken in real time​​.</w:t>
            </w:r>
            <w:r w:rsidR="00463656" w:rsidRPr="73208A03">
              <w:rPr>
                <w:sz w:val="22"/>
                <w:szCs w:val="22"/>
              </w:rPr>
              <w:t xml:space="preserve"> </w:t>
            </w:r>
            <w:r w:rsidR="00C15FE9">
              <w:rPr>
                <w:sz w:val="22"/>
                <w:szCs w:val="22"/>
              </w:rPr>
              <w:t xml:space="preserve">Warming instruction </w:t>
            </w:r>
            <w:r w:rsidR="00C5347C">
              <w:rPr>
                <w:sz w:val="22"/>
                <w:szCs w:val="22"/>
              </w:rPr>
              <w:t xml:space="preserve">required for any </w:t>
            </w:r>
            <w:r w:rsidR="00761742">
              <w:rPr>
                <w:sz w:val="22"/>
                <w:szCs w:val="22"/>
              </w:rPr>
              <w:t>Balancing Mechanism Unit (</w:t>
            </w:r>
            <w:r w:rsidR="00C5347C">
              <w:rPr>
                <w:sz w:val="22"/>
                <w:szCs w:val="22"/>
              </w:rPr>
              <w:t>BMU</w:t>
            </w:r>
            <w:r w:rsidR="00761742">
              <w:rPr>
                <w:sz w:val="22"/>
                <w:szCs w:val="22"/>
              </w:rPr>
              <w:t>)</w:t>
            </w:r>
            <w:r w:rsidR="00463656" w:rsidRPr="73208A03">
              <w:rPr>
                <w:sz w:val="22"/>
                <w:szCs w:val="22"/>
              </w:rPr>
              <w:t xml:space="preserve"> with</w:t>
            </w:r>
            <w:r w:rsidR="003A6419">
              <w:rPr>
                <w:sz w:val="22"/>
                <w:szCs w:val="22"/>
              </w:rPr>
              <w:t xml:space="preserve"> Notice to Deviate</w:t>
            </w:r>
            <w:r w:rsidR="00D57C8B">
              <w:rPr>
                <w:sz w:val="22"/>
                <w:szCs w:val="22"/>
              </w:rPr>
              <w:t xml:space="preserve"> from Zero </w:t>
            </w:r>
            <w:r w:rsidR="00D57C8B" w:rsidRPr="73208A03">
              <w:rPr>
                <w:sz w:val="22"/>
                <w:szCs w:val="22"/>
              </w:rPr>
              <w:t>(</w:t>
            </w:r>
            <w:r w:rsidR="00463656" w:rsidRPr="73208A03">
              <w:rPr>
                <w:sz w:val="22"/>
                <w:szCs w:val="22"/>
              </w:rPr>
              <w:t>NDZ</w:t>
            </w:r>
            <w:r w:rsidR="00D57C8B">
              <w:rPr>
                <w:sz w:val="22"/>
                <w:szCs w:val="22"/>
              </w:rPr>
              <w:t xml:space="preserve">) </w:t>
            </w:r>
            <w:r w:rsidR="00463656" w:rsidRPr="73208A03">
              <w:rPr>
                <w:sz w:val="22"/>
                <w:szCs w:val="22"/>
              </w:rPr>
              <w:t>&gt;89mins</w:t>
            </w:r>
            <w:r w:rsidR="2758BD93" w:rsidRPr="73208A03">
              <w:rPr>
                <w:sz w:val="22"/>
                <w:szCs w:val="22"/>
              </w:rPr>
              <w:t>.</w:t>
            </w:r>
          </w:p>
        </w:tc>
      </w:tr>
      <w:tr w:rsidR="000B31FA" w:rsidRPr="000B31FA" w14:paraId="048CA3A1" w14:textId="77777777" w:rsidTr="73208A03">
        <w:trPr>
          <w:trHeight w:val="964"/>
        </w:trPr>
        <w:tc>
          <w:tcPr>
            <w:tcW w:w="0" w:type="auto"/>
            <w:vAlign w:val="center"/>
            <w:hideMark/>
          </w:tcPr>
          <w:p w14:paraId="1CCEC51D" w14:textId="77777777" w:rsidR="00494DDA" w:rsidRPr="000B31FA" w:rsidRDefault="00494DDA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sz w:val="22"/>
                <w:szCs w:val="22"/>
              </w:rPr>
              <w:t>Buy energy from continental Europe​​</w:t>
            </w:r>
          </w:p>
        </w:tc>
        <w:tc>
          <w:tcPr>
            <w:tcW w:w="1098" w:type="dxa"/>
            <w:vAlign w:val="center"/>
            <w:hideMark/>
          </w:tcPr>
          <w:p w14:paraId="436CA913" w14:textId="77777777" w:rsidR="00494DDA" w:rsidRPr="000B31FA" w:rsidRDefault="00494DDA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sz w:val="22"/>
                <w:szCs w:val="22"/>
              </w:rPr>
              <w:t>#1 based on Cost​​</w:t>
            </w:r>
          </w:p>
        </w:tc>
        <w:tc>
          <w:tcPr>
            <w:tcW w:w="4354" w:type="dxa"/>
            <w:vAlign w:val="center"/>
            <w:hideMark/>
          </w:tcPr>
          <w:p w14:paraId="3A9F18F1" w14:textId="77777777" w:rsidR="00494DDA" w:rsidRPr="000B31FA" w:rsidRDefault="00494DDA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sz w:val="22"/>
                <w:szCs w:val="22"/>
              </w:rPr>
              <w:t>Scheduled from Day Ahead, action taken from Day Ahead to 4hrs ahead of time by ESO Traders​​.</w:t>
            </w:r>
          </w:p>
        </w:tc>
      </w:tr>
      <w:tr w:rsidR="00292573" w:rsidRPr="000B31FA" w14:paraId="5F9CA67B" w14:textId="77777777" w:rsidTr="73208A03">
        <w:trPr>
          <w:trHeight w:val="850"/>
        </w:trPr>
        <w:tc>
          <w:tcPr>
            <w:tcW w:w="0" w:type="auto"/>
            <w:shd w:val="clear" w:color="auto" w:fill="FFE6FF"/>
            <w:vAlign w:val="center"/>
            <w:hideMark/>
          </w:tcPr>
          <w:p w14:paraId="226E154E" w14:textId="4A95DFB7" w:rsidR="00494DDA" w:rsidRPr="000B31FA" w:rsidRDefault="00494DDA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sz w:val="22"/>
                <w:szCs w:val="22"/>
              </w:rPr>
              <w:t xml:space="preserve">Reconfigure </w:t>
            </w:r>
            <w:r w:rsidR="002F6AD2">
              <w:rPr>
                <w:rFonts w:cstheme="minorHAnsi"/>
                <w:sz w:val="22"/>
                <w:szCs w:val="22"/>
              </w:rPr>
              <w:t>Close Cycle Gas Turbines (</w:t>
            </w:r>
            <w:r w:rsidRPr="000B31FA">
              <w:rPr>
                <w:rFonts w:cstheme="minorHAnsi"/>
                <w:sz w:val="22"/>
                <w:szCs w:val="22"/>
              </w:rPr>
              <w:t>CCGTs</w:t>
            </w:r>
            <w:r w:rsidR="002F6AD2">
              <w:rPr>
                <w:rFonts w:cstheme="minorHAnsi"/>
                <w:sz w:val="22"/>
                <w:szCs w:val="22"/>
              </w:rPr>
              <w:t>)</w:t>
            </w:r>
            <w:r w:rsidRPr="000B31FA">
              <w:rPr>
                <w:rFonts w:cstheme="minorHAnsi"/>
                <w:sz w:val="22"/>
                <w:szCs w:val="22"/>
              </w:rPr>
              <w:t xml:space="preserve"> to increase available energy (</w:t>
            </w:r>
            <w:r w:rsidR="006F6D4A" w:rsidRPr="000B31FA">
              <w:rPr>
                <w:rFonts w:cstheme="minorHAnsi"/>
                <w:sz w:val="22"/>
                <w:szCs w:val="22"/>
              </w:rPr>
              <w:t>e.g. sync</w:t>
            </w:r>
            <w:r w:rsidRPr="000B31FA">
              <w:rPr>
                <w:rFonts w:cstheme="minorHAnsi"/>
                <w:sz w:val="22"/>
                <w:szCs w:val="22"/>
              </w:rPr>
              <w:t xml:space="preserve"> additional GTs)​​</w:t>
            </w:r>
          </w:p>
        </w:tc>
        <w:tc>
          <w:tcPr>
            <w:tcW w:w="1098" w:type="dxa"/>
            <w:shd w:val="clear" w:color="auto" w:fill="FFE6FF"/>
            <w:vAlign w:val="center"/>
            <w:hideMark/>
          </w:tcPr>
          <w:p w14:paraId="7434258D" w14:textId="77777777" w:rsidR="00494DDA" w:rsidRPr="000B31FA" w:rsidRDefault="00494DDA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sz w:val="22"/>
                <w:szCs w:val="22"/>
              </w:rPr>
              <w:t>#1 based on Cost​​</w:t>
            </w:r>
          </w:p>
        </w:tc>
        <w:tc>
          <w:tcPr>
            <w:tcW w:w="4354" w:type="dxa"/>
            <w:shd w:val="clear" w:color="auto" w:fill="FFE6FF"/>
            <w:vAlign w:val="center"/>
            <w:hideMark/>
          </w:tcPr>
          <w:p w14:paraId="0F9198B9" w14:textId="77777777" w:rsidR="00494DDA" w:rsidRPr="000B31FA" w:rsidRDefault="00494DDA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sz w:val="22"/>
                <w:szCs w:val="22"/>
              </w:rPr>
              <w:t>Scheduled from Day Ahead, managed within the control timescales within day.​​</w:t>
            </w:r>
          </w:p>
        </w:tc>
      </w:tr>
      <w:tr w:rsidR="000B31FA" w:rsidRPr="000B31FA" w14:paraId="29ED5B6D" w14:textId="77777777" w:rsidTr="73208A03">
        <w:trPr>
          <w:trHeight w:val="850"/>
        </w:trPr>
        <w:tc>
          <w:tcPr>
            <w:tcW w:w="0" w:type="auto"/>
            <w:vAlign w:val="center"/>
            <w:hideMark/>
          </w:tcPr>
          <w:p w14:paraId="17AB9C25" w14:textId="41731858" w:rsidR="00494DDA" w:rsidRPr="000B31FA" w:rsidRDefault="002F6AD2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System Oper</w:t>
            </w:r>
            <w:r w:rsidR="003A6419">
              <w:rPr>
                <w:rFonts w:cstheme="minorHAnsi"/>
                <w:sz w:val="22"/>
                <w:szCs w:val="22"/>
              </w:rPr>
              <w:t>a</w:t>
            </w:r>
            <w:r>
              <w:rPr>
                <w:rFonts w:cstheme="minorHAnsi"/>
                <w:sz w:val="22"/>
                <w:szCs w:val="22"/>
              </w:rPr>
              <w:t>tor (</w:t>
            </w:r>
            <w:r w:rsidR="00494DDA" w:rsidRPr="000B31FA">
              <w:rPr>
                <w:rFonts w:cstheme="minorHAnsi"/>
                <w:sz w:val="22"/>
                <w:szCs w:val="22"/>
              </w:rPr>
              <w:t>SO</w:t>
            </w:r>
            <w:r>
              <w:rPr>
                <w:rFonts w:cstheme="minorHAnsi"/>
                <w:sz w:val="22"/>
                <w:szCs w:val="22"/>
              </w:rPr>
              <w:t>)</w:t>
            </w:r>
            <w:r w:rsidR="00494DDA" w:rsidRPr="000B31FA">
              <w:rPr>
                <w:rFonts w:cstheme="minorHAnsi"/>
                <w:sz w:val="22"/>
                <w:szCs w:val="22"/>
              </w:rPr>
              <w:t>-SO trade in cost order​​</w:t>
            </w:r>
          </w:p>
        </w:tc>
        <w:tc>
          <w:tcPr>
            <w:tcW w:w="1098" w:type="dxa"/>
            <w:vAlign w:val="center"/>
            <w:hideMark/>
          </w:tcPr>
          <w:p w14:paraId="2D91FAA7" w14:textId="77777777" w:rsidR="00494DDA" w:rsidRPr="000B31FA" w:rsidRDefault="00494DDA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sz w:val="22"/>
                <w:szCs w:val="22"/>
              </w:rPr>
              <w:t>#1 based on Cost​​</w:t>
            </w:r>
          </w:p>
        </w:tc>
        <w:tc>
          <w:tcPr>
            <w:tcW w:w="4354" w:type="dxa"/>
            <w:vAlign w:val="center"/>
            <w:hideMark/>
          </w:tcPr>
          <w:p w14:paraId="5449AFE2" w14:textId="77777777" w:rsidR="00494DDA" w:rsidRPr="000B31FA" w:rsidRDefault="00494DDA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sz w:val="22"/>
                <w:szCs w:val="22"/>
              </w:rPr>
              <w:t>SO to SO trade with other SO in Europe/ Ireland​​.</w:t>
            </w:r>
          </w:p>
        </w:tc>
      </w:tr>
      <w:tr w:rsidR="00292573" w:rsidRPr="000B31FA" w14:paraId="750E89A1" w14:textId="77777777" w:rsidTr="73208A03">
        <w:trPr>
          <w:trHeight w:val="850"/>
        </w:trPr>
        <w:tc>
          <w:tcPr>
            <w:tcW w:w="0" w:type="auto"/>
            <w:shd w:val="clear" w:color="auto" w:fill="FFE6FF"/>
            <w:vAlign w:val="center"/>
          </w:tcPr>
          <w:p w14:paraId="11D934C6" w14:textId="77777777" w:rsidR="00494DDA" w:rsidRPr="000B31FA" w:rsidRDefault="00494DDA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sz w:val="22"/>
                <w:szCs w:val="22"/>
              </w:rPr>
              <w:t>Instruct Demand Flexibility product</w:t>
            </w:r>
          </w:p>
        </w:tc>
        <w:tc>
          <w:tcPr>
            <w:tcW w:w="1098" w:type="dxa"/>
            <w:shd w:val="clear" w:color="auto" w:fill="FFE6FF"/>
            <w:vAlign w:val="center"/>
          </w:tcPr>
          <w:p w14:paraId="54CA510B" w14:textId="77777777" w:rsidR="00494DDA" w:rsidRPr="000B31FA" w:rsidRDefault="00494DDA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sz w:val="22"/>
                <w:szCs w:val="22"/>
              </w:rPr>
              <w:t>#1 based on Cost</w:t>
            </w:r>
          </w:p>
        </w:tc>
        <w:tc>
          <w:tcPr>
            <w:tcW w:w="4354" w:type="dxa"/>
            <w:shd w:val="clear" w:color="auto" w:fill="FFE6FF"/>
            <w:vAlign w:val="center"/>
          </w:tcPr>
          <w:p w14:paraId="7093E6EA" w14:textId="77777777" w:rsidR="00494DDA" w:rsidRPr="000B31FA" w:rsidRDefault="00494DDA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sz w:val="22"/>
                <w:szCs w:val="22"/>
              </w:rPr>
              <w:t>For predominantly peak periods (16:00 to 19:00) activated within day.</w:t>
            </w:r>
          </w:p>
        </w:tc>
      </w:tr>
    </w:tbl>
    <w:p w14:paraId="145EAFD7" w14:textId="77777777" w:rsidR="000E1DE7" w:rsidRPr="000B31FA" w:rsidRDefault="000E1DE7" w:rsidP="000E1DE7">
      <w:pPr>
        <w:pStyle w:val="BodyText"/>
        <w:rPr>
          <w:rFonts w:cstheme="minorHAnsi"/>
          <w:sz w:val="22"/>
          <w:szCs w:val="22"/>
        </w:rPr>
      </w:pPr>
    </w:p>
    <w:p w14:paraId="45045E28" w14:textId="77777777" w:rsidR="001709F3" w:rsidRPr="000B31FA" w:rsidRDefault="001709F3" w:rsidP="000E1DE7">
      <w:pPr>
        <w:pStyle w:val="BodyText"/>
        <w:rPr>
          <w:rFonts w:cstheme="minorHAnsi"/>
          <w:sz w:val="22"/>
          <w:szCs w:val="22"/>
        </w:rPr>
      </w:pPr>
    </w:p>
    <w:p w14:paraId="7CF8973B" w14:textId="77777777" w:rsidR="000E1DE7" w:rsidRPr="000B31FA" w:rsidRDefault="000E1DE7" w:rsidP="000E1DE7">
      <w:pPr>
        <w:pStyle w:val="BodyText"/>
        <w:rPr>
          <w:rFonts w:cstheme="minorHAnsi"/>
          <w:sz w:val="22"/>
          <w:szCs w:val="22"/>
        </w:rPr>
      </w:pPr>
    </w:p>
    <w:tbl>
      <w:tblPr>
        <w:tblStyle w:val="GridTable5Dark-Accent1"/>
        <w:tblpPr w:leftFromText="180" w:rightFromText="180" w:vertAnchor="page" w:horzAnchor="margin" w:tblpY="8524"/>
        <w:tblW w:w="9634" w:type="dxa"/>
        <w:tblLook w:val="0600" w:firstRow="0" w:lastRow="0" w:firstColumn="0" w:lastColumn="0" w:noHBand="1" w:noVBand="1"/>
      </w:tblPr>
      <w:tblGrid>
        <w:gridCol w:w="3788"/>
        <w:gridCol w:w="885"/>
        <w:gridCol w:w="4961"/>
      </w:tblGrid>
      <w:tr w:rsidR="001F7335" w:rsidRPr="000B31FA" w14:paraId="003B1914" w14:textId="77777777" w:rsidTr="00981E9E">
        <w:trPr>
          <w:trHeight w:val="850"/>
        </w:trPr>
        <w:tc>
          <w:tcPr>
            <w:tcW w:w="3788" w:type="dxa"/>
            <w:shd w:val="clear" w:color="auto" w:fill="FF99FF" w:themeFill="accent1" w:themeFillTint="66"/>
            <w:vAlign w:val="center"/>
            <w:hideMark/>
          </w:tcPr>
          <w:p w14:paraId="6A42D7D1" w14:textId="77777777" w:rsidR="009F51B7" w:rsidRPr="000B31FA" w:rsidRDefault="00C13EDF" w:rsidP="00981E9E">
            <w:pPr>
              <w:pStyle w:val="BodyText"/>
              <w:jc w:val="center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0B31FA">
              <w:rPr>
                <w:rFonts w:cstheme="minorHAnsi"/>
                <w:b/>
                <w:bCs/>
                <w:color w:val="auto"/>
                <w:sz w:val="22"/>
                <w:szCs w:val="22"/>
              </w:rPr>
              <w:t xml:space="preserve">Emergency Actions​ </w:t>
            </w:r>
          </w:p>
          <w:p w14:paraId="1FCBE2C9" w14:textId="4D9D7F6E" w:rsidR="00C13EDF" w:rsidRPr="000B31FA" w:rsidRDefault="00C13EDF" w:rsidP="00981E9E">
            <w:pPr>
              <w:pStyle w:val="BodyTex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B31FA">
              <w:rPr>
                <w:rFonts w:cstheme="minorHAnsi"/>
                <w:b/>
                <w:bCs/>
                <w:color w:val="auto"/>
                <w:sz w:val="22"/>
                <w:szCs w:val="22"/>
              </w:rPr>
              <w:t>(</w:t>
            </w:r>
            <w:r w:rsidR="00095BBB" w:rsidRPr="000B31FA">
              <w:rPr>
                <w:rFonts w:cstheme="minorHAnsi"/>
                <w:b/>
                <w:bCs/>
                <w:color w:val="auto"/>
                <w:sz w:val="22"/>
                <w:szCs w:val="22"/>
              </w:rPr>
              <w:t>If</w:t>
            </w:r>
            <w:r w:rsidRPr="000B31FA">
              <w:rPr>
                <w:rFonts w:cstheme="minorHAnsi"/>
                <w:b/>
                <w:bCs/>
                <w:color w:val="auto"/>
                <w:sz w:val="22"/>
                <w:szCs w:val="22"/>
              </w:rPr>
              <w:t xml:space="preserve"> enhanced actions are insufficient)</w:t>
            </w:r>
          </w:p>
        </w:tc>
        <w:tc>
          <w:tcPr>
            <w:tcW w:w="885" w:type="dxa"/>
            <w:shd w:val="clear" w:color="auto" w:fill="FF99FF" w:themeFill="accent1" w:themeFillTint="66"/>
            <w:vAlign w:val="center"/>
            <w:hideMark/>
          </w:tcPr>
          <w:p w14:paraId="6BC80F1C" w14:textId="77777777" w:rsidR="00C13EDF" w:rsidRPr="000B31FA" w:rsidRDefault="00C13EDF" w:rsidP="00981E9E">
            <w:pPr>
              <w:pStyle w:val="BodyTex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B31FA">
              <w:rPr>
                <w:rFonts w:cstheme="minorHAnsi"/>
                <w:b/>
                <w:bCs/>
                <w:color w:val="auto"/>
                <w:sz w:val="22"/>
                <w:szCs w:val="22"/>
              </w:rPr>
              <w:t>Order ​</w:t>
            </w:r>
          </w:p>
        </w:tc>
        <w:tc>
          <w:tcPr>
            <w:tcW w:w="4961" w:type="dxa"/>
            <w:shd w:val="clear" w:color="auto" w:fill="FF99FF" w:themeFill="accent1" w:themeFillTint="66"/>
            <w:vAlign w:val="center"/>
            <w:hideMark/>
          </w:tcPr>
          <w:p w14:paraId="74F89A0F" w14:textId="77777777" w:rsidR="00C13EDF" w:rsidRPr="000B31FA" w:rsidRDefault="00C13EDF" w:rsidP="00981E9E">
            <w:pPr>
              <w:pStyle w:val="BodyTex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B31FA">
              <w:rPr>
                <w:rFonts w:cstheme="minorHAnsi"/>
                <w:b/>
                <w:bCs/>
                <w:color w:val="auto"/>
                <w:sz w:val="22"/>
                <w:szCs w:val="22"/>
              </w:rPr>
              <w:t>Comments​</w:t>
            </w:r>
          </w:p>
        </w:tc>
      </w:tr>
      <w:tr w:rsidR="00C13EDF" w:rsidRPr="000B31FA" w14:paraId="59624F61" w14:textId="77777777" w:rsidTr="00981E9E">
        <w:trPr>
          <w:trHeight w:val="1410"/>
        </w:trPr>
        <w:tc>
          <w:tcPr>
            <w:tcW w:w="3788" w:type="dxa"/>
            <w:vAlign w:val="center"/>
            <w:hideMark/>
          </w:tcPr>
          <w:p w14:paraId="763DCFD5" w14:textId="77777777" w:rsidR="00C13EDF" w:rsidRPr="000B31FA" w:rsidRDefault="00C13EDF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color w:val="auto"/>
                <w:sz w:val="22"/>
                <w:szCs w:val="22"/>
                <w:lang w:val="en-US"/>
              </w:rPr>
              <w:t>Emergency Instruction (EI) to other SO</w:t>
            </w:r>
          </w:p>
        </w:tc>
        <w:tc>
          <w:tcPr>
            <w:tcW w:w="885" w:type="dxa"/>
            <w:vAlign w:val="center"/>
            <w:hideMark/>
          </w:tcPr>
          <w:p w14:paraId="3C5B07BB" w14:textId="77777777" w:rsidR="00C13EDF" w:rsidRPr="000B31FA" w:rsidRDefault="00C13EDF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color w:val="auto"/>
                <w:sz w:val="22"/>
                <w:szCs w:val="22"/>
              </w:rPr>
              <w:t>#5</w:t>
            </w:r>
          </w:p>
        </w:tc>
        <w:tc>
          <w:tcPr>
            <w:tcW w:w="4961" w:type="dxa"/>
            <w:vAlign w:val="center"/>
            <w:hideMark/>
          </w:tcPr>
          <w:p w14:paraId="0B4461A3" w14:textId="77777777" w:rsidR="00C13EDF" w:rsidRPr="000B31FA" w:rsidRDefault="00C13EDF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color w:val="auto"/>
                <w:sz w:val="22"/>
                <w:szCs w:val="22"/>
              </w:rPr>
              <w:t>Only applicable if this does not cause demand control in the interconnected countries.</w:t>
            </w:r>
          </w:p>
        </w:tc>
      </w:tr>
      <w:tr w:rsidR="001F7335" w:rsidRPr="000B31FA" w14:paraId="61F453B9" w14:textId="77777777" w:rsidTr="00981E9E">
        <w:trPr>
          <w:trHeight w:val="964"/>
        </w:trPr>
        <w:tc>
          <w:tcPr>
            <w:tcW w:w="3788" w:type="dxa"/>
            <w:shd w:val="clear" w:color="auto" w:fill="FFE6FF"/>
            <w:vAlign w:val="center"/>
            <w:hideMark/>
          </w:tcPr>
          <w:p w14:paraId="2B8C19AD" w14:textId="77777777" w:rsidR="00C13EDF" w:rsidRPr="000B31FA" w:rsidRDefault="00C13EDF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color w:val="auto"/>
                <w:sz w:val="22"/>
                <w:szCs w:val="22"/>
              </w:rPr>
              <w:t xml:space="preserve">Use of </w:t>
            </w:r>
            <w:proofErr w:type="spellStart"/>
            <w:r w:rsidRPr="000B31FA">
              <w:rPr>
                <w:rFonts w:cstheme="minorHAnsi"/>
                <w:color w:val="auto"/>
                <w:sz w:val="22"/>
                <w:szCs w:val="22"/>
              </w:rPr>
              <w:t>MaxGen</w:t>
            </w:r>
            <w:proofErr w:type="spellEnd"/>
            <w:r w:rsidRPr="000B31FA">
              <w:rPr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shd w:val="clear" w:color="auto" w:fill="FFE6FF"/>
            <w:vAlign w:val="center"/>
            <w:hideMark/>
          </w:tcPr>
          <w:p w14:paraId="38C1C8BB" w14:textId="77777777" w:rsidR="00C13EDF" w:rsidRPr="000B31FA" w:rsidRDefault="00C13EDF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color w:val="auto"/>
                <w:sz w:val="22"/>
                <w:szCs w:val="22"/>
              </w:rPr>
              <w:t>#5</w:t>
            </w:r>
          </w:p>
        </w:tc>
        <w:tc>
          <w:tcPr>
            <w:tcW w:w="4961" w:type="dxa"/>
            <w:shd w:val="clear" w:color="auto" w:fill="FFE6FF"/>
            <w:vAlign w:val="center"/>
            <w:hideMark/>
          </w:tcPr>
          <w:p w14:paraId="7D3E8153" w14:textId="553E8CD4" w:rsidR="00C13EDF" w:rsidRPr="000B31FA" w:rsidRDefault="00C13EDF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color w:val="auto"/>
                <w:sz w:val="22"/>
                <w:szCs w:val="22"/>
              </w:rPr>
              <w:t xml:space="preserve">This should be used at the same time as EI to other SO. This service will be initiated by the issuing of an Emergency Instruction. </w:t>
            </w:r>
          </w:p>
        </w:tc>
      </w:tr>
      <w:tr w:rsidR="00C13EDF" w:rsidRPr="000B31FA" w14:paraId="78345518" w14:textId="77777777" w:rsidTr="00981E9E">
        <w:trPr>
          <w:trHeight w:val="1020"/>
        </w:trPr>
        <w:tc>
          <w:tcPr>
            <w:tcW w:w="3788" w:type="dxa"/>
            <w:vAlign w:val="center"/>
            <w:hideMark/>
          </w:tcPr>
          <w:p w14:paraId="753CC2BC" w14:textId="67B3DA1C" w:rsidR="00C13EDF" w:rsidRPr="000B31FA" w:rsidRDefault="00C13EDF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eastAsia="Times New Roman" w:cstheme="minorHAnsi"/>
                <w:color w:val="auto"/>
                <w:sz w:val="22"/>
                <w:szCs w:val="22"/>
              </w:rPr>
              <w:t xml:space="preserve">OC6.5.3 Fast Demand Control instructions to </w:t>
            </w:r>
            <w:r w:rsidR="005B53DC">
              <w:rPr>
                <w:rFonts w:eastAsia="Times New Roman" w:cstheme="minorHAnsi"/>
                <w:color w:val="auto"/>
                <w:sz w:val="22"/>
                <w:szCs w:val="22"/>
              </w:rPr>
              <w:t>Distribution Network Operators (</w:t>
            </w:r>
            <w:r w:rsidRPr="000B31FA">
              <w:rPr>
                <w:rFonts w:eastAsia="Times New Roman" w:cstheme="minorHAnsi"/>
                <w:color w:val="auto"/>
                <w:sz w:val="22"/>
                <w:szCs w:val="22"/>
              </w:rPr>
              <w:t>DNOs</w:t>
            </w:r>
            <w:r w:rsidR="005B53DC">
              <w:rPr>
                <w:rFonts w:eastAsia="Times New Roman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885" w:type="dxa"/>
            <w:vAlign w:val="center"/>
            <w:hideMark/>
          </w:tcPr>
          <w:p w14:paraId="3707A108" w14:textId="77777777" w:rsidR="00C13EDF" w:rsidRPr="000B31FA" w:rsidRDefault="00C13EDF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color w:val="auto"/>
                <w:sz w:val="22"/>
                <w:szCs w:val="22"/>
              </w:rPr>
              <w:t>#6</w:t>
            </w:r>
          </w:p>
        </w:tc>
        <w:tc>
          <w:tcPr>
            <w:tcW w:w="4961" w:type="dxa"/>
            <w:vAlign w:val="center"/>
            <w:hideMark/>
          </w:tcPr>
          <w:p w14:paraId="3AB977C3" w14:textId="77777777" w:rsidR="00C13EDF" w:rsidRPr="000B31FA" w:rsidRDefault="00C13EDF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eastAsia="Times New Roman" w:cstheme="minorHAnsi"/>
                <w:color w:val="auto"/>
                <w:sz w:val="22"/>
                <w:szCs w:val="22"/>
              </w:rPr>
              <w:t>This could be via voltage control or demand control of fast disconnection blocks up to 20%, protecting critical sites.</w:t>
            </w:r>
          </w:p>
        </w:tc>
      </w:tr>
      <w:tr w:rsidR="001F7335" w:rsidRPr="000B31FA" w14:paraId="29826F2D" w14:textId="77777777" w:rsidTr="00981E9E">
        <w:trPr>
          <w:trHeight w:val="1247"/>
        </w:trPr>
        <w:tc>
          <w:tcPr>
            <w:tcW w:w="3788" w:type="dxa"/>
            <w:shd w:val="clear" w:color="auto" w:fill="FFE6FF"/>
            <w:vAlign w:val="center"/>
            <w:hideMark/>
          </w:tcPr>
          <w:p w14:paraId="0AB17115" w14:textId="77777777" w:rsidR="00C13EDF" w:rsidRPr="000B31FA" w:rsidRDefault="00C13EDF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eastAsia="Times New Roman" w:cstheme="minorHAnsi"/>
                <w:color w:val="auto"/>
                <w:sz w:val="22"/>
                <w:szCs w:val="22"/>
              </w:rPr>
              <w:t>OC6.5.4. Demand Control Rotation Protocol</w:t>
            </w:r>
          </w:p>
        </w:tc>
        <w:tc>
          <w:tcPr>
            <w:tcW w:w="885" w:type="dxa"/>
            <w:shd w:val="clear" w:color="auto" w:fill="FFE6FF"/>
            <w:vAlign w:val="center"/>
            <w:hideMark/>
          </w:tcPr>
          <w:p w14:paraId="544BF3BE" w14:textId="77777777" w:rsidR="00C13EDF" w:rsidRPr="000B31FA" w:rsidRDefault="00C13EDF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color w:val="auto"/>
                <w:sz w:val="22"/>
                <w:szCs w:val="22"/>
              </w:rPr>
              <w:t>#7</w:t>
            </w:r>
          </w:p>
        </w:tc>
        <w:tc>
          <w:tcPr>
            <w:tcW w:w="4961" w:type="dxa"/>
            <w:shd w:val="clear" w:color="auto" w:fill="FFE6FF"/>
            <w:vAlign w:val="center"/>
            <w:hideMark/>
          </w:tcPr>
          <w:p w14:paraId="00D293F3" w14:textId="433DA905" w:rsidR="00C13EDF" w:rsidRPr="000B31FA" w:rsidRDefault="00C13EDF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eastAsia="Times New Roman" w:cstheme="minorHAnsi"/>
                <w:color w:val="auto"/>
                <w:sz w:val="22"/>
                <w:szCs w:val="22"/>
              </w:rPr>
              <w:t xml:space="preserve">In-day </w:t>
            </w:r>
            <w:proofErr w:type="spellStart"/>
            <w:r w:rsidRPr="000B31FA">
              <w:rPr>
                <w:rFonts w:eastAsia="Times New Roman" w:cstheme="minorHAnsi"/>
                <w:color w:val="auto"/>
                <w:sz w:val="22"/>
                <w:szCs w:val="22"/>
              </w:rPr>
              <w:t>rota’d</w:t>
            </w:r>
            <w:proofErr w:type="spellEnd"/>
            <w:r w:rsidRPr="000B31FA">
              <w:rPr>
                <w:rFonts w:eastAsia="Times New Roman" w:cstheme="minorHAnsi"/>
                <w:color w:val="auto"/>
                <w:sz w:val="22"/>
                <w:szCs w:val="22"/>
              </w:rPr>
              <w:t xml:space="preserve"> demand control disconnections up to 40%, protecting critical sites. </w:t>
            </w:r>
            <w:r w:rsidR="005B53DC">
              <w:rPr>
                <w:rFonts w:eastAsia="Times New Roman" w:cstheme="minorHAnsi"/>
                <w:color w:val="auto"/>
                <w:sz w:val="22"/>
                <w:szCs w:val="22"/>
              </w:rPr>
              <w:t>N</w:t>
            </w:r>
            <w:r w:rsidRPr="000B31FA">
              <w:rPr>
                <w:rFonts w:eastAsia="Times New Roman" w:cstheme="minorHAnsi"/>
                <w:color w:val="auto"/>
                <w:sz w:val="22"/>
                <w:szCs w:val="22"/>
              </w:rPr>
              <w:t xml:space="preserve">ESO has emergency powers to do this, when approved by </w:t>
            </w:r>
            <w:r w:rsidR="008F5B54">
              <w:rPr>
                <w:rFonts w:eastAsia="Times New Roman" w:cstheme="minorHAnsi"/>
                <w:color w:val="auto"/>
                <w:sz w:val="22"/>
                <w:szCs w:val="22"/>
              </w:rPr>
              <w:t xml:space="preserve">NESO’s </w:t>
            </w:r>
            <w:r w:rsidRPr="000B31FA">
              <w:rPr>
                <w:rFonts w:eastAsia="Times New Roman" w:cstheme="minorHAnsi"/>
                <w:color w:val="auto"/>
                <w:sz w:val="22"/>
                <w:szCs w:val="22"/>
              </w:rPr>
              <w:t xml:space="preserve">Gold </w:t>
            </w:r>
            <w:r w:rsidR="008F5B54">
              <w:rPr>
                <w:rFonts w:eastAsia="Times New Roman" w:cstheme="minorHAnsi"/>
                <w:color w:val="auto"/>
                <w:sz w:val="22"/>
                <w:szCs w:val="22"/>
              </w:rPr>
              <w:t>Crisis Management Team</w:t>
            </w:r>
            <w:r w:rsidRPr="000B31FA">
              <w:rPr>
                <w:rFonts w:eastAsia="Times New Roman" w:cstheme="minorHAnsi"/>
                <w:color w:val="auto"/>
                <w:sz w:val="22"/>
                <w:szCs w:val="22"/>
              </w:rPr>
              <w:t>.</w:t>
            </w:r>
          </w:p>
        </w:tc>
      </w:tr>
    </w:tbl>
    <w:tbl>
      <w:tblPr>
        <w:tblStyle w:val="GridTable5Dark-Accent1"/>
        <w:tblpPr w:leftFromText="180" w:rightFromText="180" w:vertAnchor="page" w:horzAnchor="margin" w:tblpY="2296"/>
        <w:tblW w:w="9634" w:type="dxa"/>
        <w:tblLook w:val="0600" w:firstRow="0" w:lastRow="0" w:firstColumn="0" w:lastColumn="0" w:noHBand="1" w:noVBand="1"/>
      </w:tblPr>
      <w:tblGrid>
        <w:gridCol w:w="3788"/>
        <w:gridCol w:w="885"/>
        <w:gridCol w:w="4961"/>
      </w:tblGrid>
      <w:tr w:rsidR="001F7335" w:rsidRPr="000B31FA" w14:paraId="534E1DA5" w14:textId="77777777" w:rsidTr="00981E9E">
        <w:trPr>
          <w:trHeight w:val="850"/>
        </w:trPr>
        <w:tc>
          <w:tcPr>
            <w:tcW w:w="3788" w:type="dxa"/>
            <w:shd w:val="clear" w:color="auto" w:fill="FF99FF" w:themeFill="accent1" w:themeFillTint="66"/>
            <w:vAlign w:val="center"/>
            <w:hideMark/>
          </w:tcPr>
          <w:p w14:paraId="41933F80" w14:textId="77777777" w:rsidR="009F51B7" w:rsidRPr="000B31FA" w:rsidRDefault="00CC4FFE" w:rsidP="00981E9E">
            <w:pPr>
              <w:pStyle w:val="BodyText"/>
              <w:jc w:val="center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0B31FA">
              <w:rPr>
                <w:rFonts w:cstheme="minorHAnsi"/>
                <w:b/>
                <w:bCs/>
                <w:color w:val="auto"/>
                <w:sz w:val="22"/>
                <w:szCs w:val="22"/>
              </w:rPr>
              <w:t xml:space="preserve">Enhanced Actions </w:t>
            </w:r>
          </w:p>
          <w:p w14:paraId="2C36C9E2" w14:textId="408066DB" w:rsidR="00CC4FFE" w:rsidRPr="000B31FA" w:rsidRDefault="00CC4FFE" w:rsidP="00981E9E">
            <w:pPr>
              <w:pStyle w:val="BodyTex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B31FA">
              <w:rPr>
                <w:rFonts w:cstheme="minorHAnsi"/>
                <w:b/>
                <w:bCs/>
                <w:color w:val="auto"/>
                <w:sz w:val="22"/>
                <w:szCs w:val="22"/>
              </w:rPr>
              <w:t>(</w:t>
            </w:r>
            <w:r w:rsidR="00095BBB" w:rsidRPr="000B31FA">
              <w:rPr>
                <w:rFonts w:cstheme="minorHAnsi"/>
                <w:b/>
                <w:bCs/>
                <w:color w:val="auto"/>
                <w:sz w:val="22"/>
                <w:szCs w:val="22"/>
              </w:rPr>
              <w:t>If</w:t>
            </w:r>
            <w:r w:rsidRPr="000B31FA">
              <w:rPr>
                <w:rFonts w:cstheme="minorHAnsi"/>
                <w:b/>
                <w:bCs/>
                <w:color w:val="auto"/>
                <w:sz w:val="22"/>
                <w:szCs w:val="22"/>
              </w:rPr>
              <w:t xml:space="preserve"> everyday actions are insufficient)​​</w:t>
            </w:r>
          </w:p>
        </w:tc>
        <w:tc>
          <w:tcPr>
            <w:tcW w:w="885" w:type="dxa"/>
            <w:shd w:val="clear" w:color="auto" w:fill="FF99FF" w:themeFill="accent1" w:themeFillTint="66"/>
            <w:vAlign w:val="center"/>
            <w:hideMark/>
          </w:tcPr>
          <w:p w14:paraId="4CEBA543" w14:textId="77777777" w:rsidR="00CC4FFE" w:rsidRPr="000B31FA" w:rsidRDefault="00CC4FFE" w:rsidP="00981E9E">
            <w:pPr>
              <w:pStyle w:val="BodyTex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B31FA">
              <w:rPr>
                <w:rFonts w:cstheme="minorHAnsi"/>
                <w:b/>
                <w:bCs/>
                <w:color w:val="auto"/>
                <w:sz w:val="22"/>
                <w:szCs w:val="22"/>
              </w:rPr>
              <w:t>Order ​​</w:t>
            </w:r>
          </w:p>
        </w:tc>
        <w:tc>
          <w:tcPr>
            <w:tcW w:w="4961" w:type="dxa"/>
            <w:shd w:val="clear" w:color="auto" w:fill="FF99FF" w:themeFill="accent1" w:themeFillTint="66"/>
            <w:vAlign w:val="center"/>
            <w:hideMark/>
          </w:tcPr>
          <w:p w14:paraId="072FE418" w14:textId="77777777" w:rsidR="00CC4FFE" w:rsidRPr="000B31FA" w:rsidRDefault="00CC4FFE" w:rsidP="00981E9E">
            <w:pPr>
              <w:pStyle w:val="BodyTex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B31FA">
              <w:rPr>
                <w:rFonts w:cstheme="minorHAnsi"/>
                <w:b/>
                <w:bCs/>
                <w:color w:val="auto"/>
                <w:sz w:val="22"/>
                <w:szCs w:val="22"/>
              </w:rPr>
              <w:t>Comments​​</w:t>
            </w:r>
          </w:p>
        </w:tc>
      </w:tr>
      <w:tr w:rsidR="00CC4FFE" w:rsidRPr="000B31FA" w14:paraId="7FF6FAD7" w14:textId="77777777" w:rsidTr="00981E9E">
        <w:trPr>
          <w:trHeight w:val="1410"/>
        </w:trPr>
        <w:tc>
          <w:tcPr>
            <w:tcW w:w="3788" w:type="dxa"/>
            <w:vAlign w:val="center"/>
            <w:hideMark/>
          </w:tcPr>
          <w:p w14:paraId="76D4343B" w14:textId="48C9A817" w:rsidR="00CC4FFE" w:rsidRPr="000B31FA" w:rsidRDefault="00CC4FFE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color w:val="auto"/>
                <w:sz w:val="22"/>
                <w:szCs w:val="22"/>
              </w:rPr>
              <w:t xml:space="preserve">Recall </w:t>
            </w:r>
            <w:r w:rsidR="002F6AD2">
              <w:rPr>
                <w:rFonts w:cstheme="minorHAnsi"/>
                <w:color w:val="auto"/>
                <w:sz w:val="22"/>
                <w:szCs w:val="22"/>
              </w:rPr>
              <w:t>Transmission Owner (</w:t>
            </w:r>
            <w:r w:rsidRPr="000B31FA">
              <w:rPr>
                <w:rFonts w:cstheme="minorHAnsi"/>
                <w:color w:val="auto"/>
                <w:sz w:val="22"/>
                <w:szCs w:val="22"/>
              </w:rPr>
              <w:t>TO</w:t>
            </w:r>
            <w:r w:rsidR="002F6AD2">
              <w:rPr>
                <w:rFonts w:cstheme="minorHAnsi"/>
                <w:color w:val="auto"/>
                <w:sz w:val="22"/>
                <w:szCs w:val="22"/>
              </w:rPr>
              <w:t>)</w:t>
            </w:r>
            <w:r w:rsidRPr="000B31FA">
              <w:rPr>
                <w:rFonts w:cstheme="minorHAnsi"/>
                <w:color w:val="auto"/>
                <w:sz w:val="22"/>
                <w:szCs w:val="22"/>
              </w:rPr>
              <w:t xml:space="preserve"> assets from outage to increase network availability and available capacity​​</w:t>
            </w:r>
          </w:p>
        </w:tc>
        <w:tc>
          <w:tcPr>
            <w:tcW w:w="885" w:type="dxa"/>
            <w:vAlign w:val="center"/>
            <w:hideMark/>
          </w:tcPr>
          <w:p w14:paraId="45E4ADD9" w14:textId="77777777" w:rsidR="00CC4FFE" w:rsidRPr="000B31FA" w:rsidRDefault="00CC4FFE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color w:val="auto"/>
                <w:sz w:val="22"/>
                <w:szCs w:val="22"/>
              </w:rPr>
              <w:t>#2​</w:t>
            </w:r>
          </w:p>
        </w:tc>
        <w:tc>
          <w:tcPr>
            <w:tcW w:w="4961" w:type="dxa"/>
            <w:vAlign w:val="center"/>
            <w:hideMark/>
          </w:tcPr>
          <w:p w14:paraId="70EE45C1" w14:textId="77777777" w:rsidR="00CC4FFE" w:rsidRPr="000B31FA" w:rsidRDefault="00CC4FFE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color w:val="auto"/>
                <w:sz w:val="22"/>
                <w:szCs w:val="22"/>
              </w:rPr>
              <w:t>Anytime through to control room timescales, depending on ERTS (Emergency Return to Service) time​​.</w:t>
            </w:r>
          </w:p>
        </w:tc>
      </w:tr>
      <w:tr w:rsidR="001F7335" w:rsidRPr="000B31FA" w14:paraId="7DA7FBF1" w14:textId="77777777" w:rsidTr="00981E9E">
        <w:trPr>
          <w:trHeight w:val="2211"/>
        </w:trPr>
        <w:tc>
          <w:tcPr>
            <w:tcW w:w="3788" w:type="dxa"/>
            <w:shd w:val="clear" w:color="auto" w:fill="FFE6FF"/>
            <w:vAlign w:val="center"/>
            <w:hideMark/>
          </w:tcPr>
          <w:p w14:paraId="41020284" w14:textId="77777777" w:rsidR="00CC4FFE" w:rsidRPr="000B31FA" w:rsidRDefault="00CC4FFE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color w:val="auto"/>
                <w:sz w:val="22"/>
                <w:szCs w:val="22"/>
              </w:rPr>
              <w:t xml:space="preserve">Net Transfer Capacity (NTC) restrictions </w:t>
            </w:r>
          </w:p>
        </w:tc>
        <w:tc>
          <w:tcPr>
            <w:tcW w:w="885" w:type="dxa"/>
            <w:shd w:val="clear" w:color="auto" w:fill="FFE6FF"/>
            <w:vAlign w:val="center"/>
            <w:hideMark/>
          </w:tcPr>
          <w:p w14:paraId="052757E6" w14:textId="77777777" w:rsidR="00CC4FFE" w:rsidRPr="000B31FA" w:rsidRDefault="00CC4FFE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color w:val="auto"/>
                <w:sz w:val="22"/>
                <w:szCs w:val="22"/>
              </w:rPr>
              <w:t>#3</w:t>
            </w:r>
          </w:p>
        </w:tc>
        <w:tc>
          <w:tcPr>
            <w:tcW w:w="4961" w:type="dxa"/>
            <w:shd w:val="clear" w:color="auto" w:fill="FFE6FF"/>
            <w:vAlign w:val="center"/>
            <w:hideMark/>
          </w:tcPr>
          <w:p w14:paraId="5163D324" w14:textId="50C0C990" w:rsidR="00CC4FFE" w:rsidRPr="000B31FA" w:rsidRDefault="00CC4FFE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Style w:val="xui-provider"/>
                <w:rFonts w:eastAsia="Times New Roman" w:cstheme="minorHAnsi"/>
                <w:color w:val="auto"/>
                <w:sz w:val="22"/>
                <w:szCs w:val="22"/>
              </w:rPr>
              <w:t xml:space="preserve">Required to ensure interconnectors flows remain within operation security limits. Used as a last resort after all commercial actions and system optimisations have been taken. Can be use for margin extremes when an interconnector flow can result in an </w:t>
            </w:r>
            <w:r w:rsidR="00DC4E3B" w:rsidRPr="001D193C">
              <w:rPr>
                <w:rStyle w:val="xui-provider"/>
                <w:rFonts w:eastAsia="Times New Roman" w:cstheme="minorHAnsi"/>
                <w:color w:val="auto"/>
                <w:sz w:val="22"/>
                <w:szCs w:val="22"/>
              </w:rPr>
              <w:t>E</w:t>
            </w:r>
            <w:r w:rsidR="00DC4E3B" w:rsidRPr="001D193C">
              <w:rPr>
                <w:rStyle w:val="xui-provider"/>
                <w:rFonts w:eastAsia="Times New Roman"/>
                <w:sz w:val="22"/>
                <w:szCs w:val="22"/>
              </w:rPr>
              <w:t>lectricity Margin Notice</w:t>
            </w:r>
            <w:r w:rsidR="00DC4E3B">
              <w:rPr>
                <w:rStyle w:val="xui-provider"/>
                <w:rFonts w:eastAsia="Times New Roman"/>
              </w:rPr>
              <w:t xml:space="preserve"> (</w:t>
            </w:r>
            <w:r w:rsidRPr="000B31FA">
              <w:rPr>
                <w:rStyle w:val="xui-provider"/>
                <w:rFonts w:eastAsia="Times New Roman" w:cstheme="minorHAnsi"/>
                <w:color w:val="auto"/>
                <w:sz w:val="22"/>
                <w:szCs w:val="22"/>
              </w:rPr>
              <w:t>EMN</w:t>
            </w:r>
            <w:proofErr w:type="gramStart"/>
            <w:r w:rsidR="00D261E7">
              <w:rPr>
                <w:rStyle w:val="xui-provider"/>
                <w:rFonts w:eastAsia="Times New Roman" w:cstheme="minorHAnsi"/>
                <w:color w:val="auto"/>
                <w:sz w:val="22"/>
                <w:szCs w:val="22"/>
              </w:rPr>
              <w:t>)</w:t>
            </w:r>
            <w:proofErr w:type="gramEnd"/>
            <w:r w:rsidRPr="000B31FA">
              <w:rPr>
                <w:rStyle w:val="xui-provider"/>
                <w:rFonts w:eastAsia="Times New Roman" w:cstheme="minorHAnsi"/>
                <w:color w:val="auto"/>
                <w:sz w:val="22"/>
                <w:szCs w:val="22"/>
              </w:rPr>
              <w:t xml:space="preserve"> or </w:t>
            </w:r>
            <w:r w:rsidR="00DC4E3B">
              <w:rPr>
                <w:rStyle w:val="xui-provider"/>
                <w:rFonts w:eastAsia="Times New Roman" w:cstheme="minorHAnsi"/>
                <w:color w:val="auto"/>
                <w:sz w:val="22"/>
                <w:szCs w:val="22"/>
              </w:rPr>
              <w:t>High Risk of Demand Reduction (</w:t>
            </w:r>
            <w:r w:rsidRPr="000B31FA">
              <w:rPr>
                <w:rStyle w:val="xui-provider"/>
                <w:rFonts w:eastAsia="Times New Roman" w:cstheme="minorHAnsi"/>
                <w:color w:val="auto"/>
                <w:sz w:val="22"/>
                <w:szCs w:val="22"/>
              </w:rPr>
              <w:t>HRDR</w:t>
            </w:r>
            <w:r w:rsidR="00DC4E3B">
              <w:rPr>
                <w:rStyle w:val="xui-provider"/>
                <w:rFonts w:eastAsia="Times New Roman" w:cstheme="minorHAnsi"/>
                <w:color w:val="auto"/>
                <w:sz w:val="22"/>
                <w:szCs w:val="22"/>
              </w:rPr>
              <w:t>)</w:t>
            </w:r>
            <w:r w:rsidRPr="000B31FA">
              <w:rPr>
                <w:rStyle w:val="xui-provider"/>
                <w:rFonts w:eastAsia="Times New Roman" w:cstheme="minorHAnsi"/>
                <w:color w:val="auto"/>
                <w:sz w:val="22"/>
                <w:szCs w:val="22"/>
              </w:rPr>
              <w:t xml:space="preserve"> being issued (this is detailed further in the internal and external NTC policies).</w:t>
            </w:r>
          </w:p>
        </w:tc>
      </w:tr>
      <w:tr w:rsidR="00CC4FFE" w:rsidRPr="000B31FA" w14:paraId="1B7FE70A" w14:textId="77777777" w:rsidTr="00981E9E">
        <w:trPr>
          <w:trHeight w:val="1020"/>
        </w:trPr>
        <w:tc>
          <w:tcPr>
            <w:tcW w:w="3788" w:type="dxa"/>
            <w:vAlign w:val="center"/>
            <w:hideMark/>
          </w:tcPr>
          <w:p w14:paraId="30795406" w14:textId="77777777" w:rsidR="00CC4FFE" w:rsidRPr="000B31FA" w:rsidRDefault="00CC4FFE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color w:val="auto"/>
                <w:sz w:val="22"/>
                <w:szCs w:val="22"/>
              </w:rPr>
              <w:t>Use of Emergency Assistance (EA) from other SO​</w:t>
            </w:r>
          </w:p>
        </w:tc>
        <w:tc>
          <w:tcPr>
            <w:tcW w:w="885" w:type="dxa"/>
            <w:vAlign w:val="center"/>
            <w:hideMark/>
          </w:tcPr>
          <w:p w14:paraId="39992D3E" w14:textId="77777777" w:rsidR="00CC4FFE" w:rsidRPr="000B31FA" w:rsidRDefault="00CC4FFE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color w:val="auto"/>
                <w:sz w:val="22"/>
                <w:szCs w:val="22"/>
              </w:rPr>
              <w:t>#4​</w:t>
            </w:r>
          </w:p>
        </w:tc>
        <w:tc>
          <w:tcPr>
            <w:tcW w:w="4961" w:type="dxa"/>
            <w:vAlign w:val="center"/>
            <w:hideMark/>
          </w:tcPr>
          <w:p w14:paraId="44696CCE" w14:textId="77777777" w:rsidR="00CC4FFE" w:rsidRPr="000B31FA" w:rsidRDefault="00CC4FFE" w:rsidP="00981E9E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color w:val="auto"/>
                <w:sz w:val="22"/>
                <w:szCs w:val="22"/>
              </w:rPr>
              <w:t>Enacted close to real-time. Only applicable if capacity is available on interconnectors​. EA can be withdrawn at any time​.</w:t>
            </w:r>
          </w:p>
        </w:tc>
      </w:tr>
    </w:tbl>
    <w:p w14:paraId="3DEBA88C" w14:textId="6787E455" w:rsidR="000E1DE7" w:rsidRPr="000B31FA" w:rsidRDefault="000E1DE7" w:rsidP="000E1DE7">
      <w:pPr>
        <w:rPr>
          <w:rFonts w:cstheme="minorHAnsi"/>
        </w:rPr>
      </w:pPr>
      <w:r w:rsidRPr="000B31FA">
        <w:rPr>
          <w:rFonts w:cstheme="minorHAnsi"/>
        </w:rPr>
        <w:br w:type="page"/>
      </w:r>
    </w:p>
    <w:tbl>
      <w:tblPr>
        <w:tblStyle w:val="GridTable5Dark-Accent1"/>
        <w:tblpPr w:leftFromText="180" w:rightFromText="180" w:vertAnchor="page" w:horzAnchor="margin" w:tblpY="2296"/>
        <w:tblW w:w="9634" w:type="dxa"/>
        <w:tblLook w:val="0600" w:firstRow="0" w:lastRow="0" w:firstColumn="0" w:lastColumn="0" w:noHBand="1" w:noVBand="1"/>
      </w:tblPr>
      <w:tblGrid>
        <w:gridCol w:w="3788"/>
        <w:gridCol w:w="885"/>
        <w:gridCol w:w="4961"/>
      </w:tblGrid>
      <w:tr w:rsidR="001F7335" w:rsidRPr="000B31FA" w14:paraId="6D513F2C" w14:textId="77777777" w:rsidTr="00236B38">
        <w:trPr>
          <w:trHeight w:val="850"/>
        </w:trPr>
        <w:tc>
          <w:tcPr>
            <w:tcW w:w="3788" w:type="dxa"/>
            <w:shd w:val="clear" w:color="auto" w:fill="FF99FF" w:themeFill="accent1" w:themeFillTint="66"/>
            <w:vAlign w:val="center"/>
            <w:hideMark/>
          </w:tcPr>
          <w:p w14:paraId="3E3FC027" w14:textId="77777777" w:rsidR="009F51B7" w:rsidRPr="000B31FA" w:rsidRDefault="00CC4FFE" w:rsidP="00236B38">
            <w:pPr>
              <w:pStyle w:val="BodyText"/>
              <w:jc w:val="center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0B31FA">
              <w:rPr>
                <w:rFonts w:cstheme="minorHAnsi"/>
                <w:b/>
                <w:bCs/>
                <w:color w:val="auto"/>
                <w:sz w:val="22"/>
                <w:szCs w:val="22"/>
              </w:rPr>
              <w:lastRenderedPageBreak/>
              <w:t xml:space="preserve">Emergency Powers​ </w:t>
            </w:r>
          </w:p>
          <w:p w14:paraId="2AC708F3" w14:textId="4A780424" w:rsidR="00CC4FFE" w:rsidRPr="000B31FA" w:rsidRDefault="00CC4FFE" w:rsidP="00236B38">
            <w:pPr>
              <w:pStyle w:val="BodyTex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B31FA">
              <w:rPr>
                <w:rFonts w:cstheme="minorHAnsi"/>
                <w:b/>
                <w:bCs/>
                <w:color w:val="auto"/>
                <w:sz w:val="22"/>
                <w:szCs w:val="22"/>
              </w:rPr>
              <w:t>(</w:t>
            </w:r>
            <w:r w:rsidR="00095BBB" w:rsidRPr="000B31FA">
              <w:rPr>
                <w:rFonts w:cstheme="minorHAnsi"/>
                <w:b/>
                <w:bCs/>
                <w:color w:val="auto"/>
                <w:sz w:val="22"/>
                <w:szCs w:val="22"/>
              </w:rPr>
              <w:t>If</w:t>
            </w:r>
            <w:r w:rsidRPr="000B31FA">
              <w:rPr>
                <w:rFonts w:cstheme="minorHAnsi"/>
                <w:b/>
                <w:bCs/>
                <w:color w:val="auto"/>
                <w:sz w:val="22"/>
                <w:szCs w:val="22"/>
              </w:rPr>
              <w:t xml:space="preserve"> emergency actions are insufficient)</w:t>
            </w:r>
          </w:p>
        </w:tc>
        <w:tc>
          <w:tcPr>
            <w:tcW w:w="885" w:type="dxa"/>
            <w:shd w:val="clear" w:color="auto" w:fill="FF99FF" w:themeFill="accent1" w:themeFillTint="66"/>
            <w:vAlign w:val="center"/>
            <w:hideMark/>
          </w:tcPr>
          <w:p w14:paraId="30AF2620" w14:textId="77777777" w:rsidR="00CC4FFE" w:rsidRPr="000B31FA" w:rsidRDefault="00CC4FFE" w:rsidP="00236B38">
            <w:pPr>
              <w:pStyle w:val="BodyTex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B31FA">
              <w:rPr>
                <w:rFonts w:cstheme="minorHAnsi"/>
                <w:b/>
                <w:bCs/>
                <w:color w:val="auto"/>
                <w:sz w:val="22"/>
                <w:szCs w:val="22"/>
              </w:rPr>
              <w:t>Order ​</w:t>
            </w:r>
          </w:p>
        </w:tc>
        <w:tc>
          <w:tcPr>
            <w:tcW w:w="4961" w:type="dxa"/>
            <w:shd w:val="clear" w:color="auto" w:fill="FF99FF" w:themeFill="accent1" w:themeFillTint="66"/>
            <w:vAlign w:val="center"/>
            <w:hideMark/>
          </w:tcPr>
          <w:p w14:paraId="4A5656EB" w14:textId="77777777" w:rsidR="00CC4FFE" w:rsidRPr="000B31FA" w:rsidRDefault="00CC4FFE" w:rsidP="00236B38">
            <w:pPr>
              <w:pStyle w:val="BodyTex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B31FA">
              <w:rPr>
                <w:rFonts w:cstheme="minorHAnsi"/>
                <w:b/>
                <w:bCs/>
                <w:color w:val="auto"/>
                <w:sz w:val="22"/>
                <w:szCs w:val="22"/>
              </w:rPr>
              <w:t>Comments​</w:t>
            </w:r>
          </w:p>
        </w:tc>
      </w:tr>
      <w:tr w:rsidR="00CC4FFE" w:rsidRPr="000B31FA" w14:paraId="1DE0AAD2" w14:textId="77777777" w:rsidTr="00236B38">
        <w:trPr>
          <w:trHeight w:val="1410"/>
        </w:trPr>
        <w:tc>
          <w:tcPr>
            <w:tcW w:w="3788" w:type="dxa"/>
            <w:vAlign w:val="center"/>
            <w:hideMark/>
          </w:tcPr>
          <w:p w14:paraId="60F177F7" w14:textId="4ABDB804" w:rsidR="00CC4FFE" w:rsidRPr="000B31FA" w:rsidRDefault="00CC4FFE" w:rsidP="00236B38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Recommend to </w:t>
            </w:r>
            <w:r w:rsidR="008F5B54">
              <w:rPr>
                <w:rFonts w:cstheme="minorHAnsi"/>
                <w:color w:val="auto"/>
                <w:sz w:val="22"/>
                <w:szCs w:val="22"/>
                <w:lang w:val="en-US"/>
              </w:rPr>
              <w:t>Department of Energy Security and Net Zero (</w:t>
            </w:r>
            <w:r w:rsidRPr="000B31FA">
              <w:rPr>
                <w:rFonts w:cstheme="minorHAnsi"/>
                <w:color w:val="auto"/>
                <w:sz w:val="22"/>
                <w:szCs w:val="22"/>
                <w:lang w:val="en-US"/>
              </w:rPr>
              <w:t>DESNZ</w:t>
            </w:r>
            <w:r w:rsidR="008F5B54">
              <w:rPr>
                <w:rFonts w:cstheme="minorHAnsi"/>
                <w:color w:val="auto"/>
                <w:sz w:val="22"/>
                <w:szCs w:val="22"/>
                <w:lang w:val="en-US"/>
              </w:rPr>
              <w:t>)</w:t>
            </w:r>
            <w:r w:rsidRPr="000B31FA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 to implement </w:t>
            </w:r>
            <w:r w:rsidR="008F5B54">
              <w:rPr>
                <w:rFonts w:cstheme="minorHAnsi"/>
                <w:color w:val="auto"/>
                <w:sz w:val="22"/>
                <w:szCs w:val="22"/>
                <w:lang w:val="en-US"/>
              </w:rPr>
              <w:t>the Electricity Supply Emergency Code (</w:t>
            </w:r>
            <w:r w:rsidRPr="000B31FA">
              <w:rPr>
                <w:rFonts w:cstheme="minorHAnsi"/>
                <w:color w:val="auto"/>
                <w:sz w:val="22"/>
                <w:szCs w:val="22"/>
                <w:lang w:val="en-US"/>
              </w:rPr>
              <w:t>ESEC</w:t>
            </w:r>
            <w:r w:rsidR="008F5B54">
              <w:rPr>
                <w:rFonts w:cstheme="minorHAnsi"/>
                <w:color w:val="auto"/>
                <w:sz w:val="22"/>
                <w:szCs w:val="22"/>
                <w:lang w:val="en-US"/>
              </w:rPr>
              <w:t>)</w:t>
            </w:r>
          </w:p>
        </w:tc>
        <w:tc>
          <w:tcPr>
            <w:tcW w:w="885" w:type="dxa"/>
            <w:vAlign w:val="center"/>
            <w:hideMark/>
          </w:tcPr>
          <w:p w14:paraId="2A9417AC" w14:textId="77777777" w:rsidR="00CC4FFE" w:rsidRPr="000B31FA" w:rsidRDefault="00CC4FFE" w:rsidP="00236B38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color w:val="auto"/>
                <w:sz w:val="22"/>
                <w:szCs w:val="22"/>
              </w:rPr>
              <w:t>#8</w:t>
            </w:r>
          </w:p>
        </w:tc>
        <w:tc>
          <w:tcPr>
            <w:tcW w:w="4961" w:type="dxa"/>
            <w:vAlign w:val="center"/>
            <w:hideMark/>
          </w:tcPr>
          <w:p w14:paraId="0E5CEC44" w14:textId="77777777" w:rsidR="00CC4FFE" w:rsidRPr="000B31FA" w:rsidRDefault="00CC4FFE" w:rsidP="00236B38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color w:val="auto"/>
                <w:sz w:val="22"/>
                <w:szCs w:val="22"/>
                <w:lang w:val="en-US"/>
              </w:rPr>
              <w:t>Ongoing conversations prior to this so all parties would be aware of risk.</w:t>
            </w:r>
          </w:p>
        </w:tc>
      </w:tr>
      <w:tr w:rsidR="001F7335" w:rsidRPr="000B31FA" w14:paraId="7F210CA5" w14:textId="77777777" w:rsidTr="00236B38">
        <w:trPr>
          <w:trHeight w:val="964"/>
        </w:trPr>
        <w:tc>
          <w:tcPr>
            <w:tcW w:w="3788" w:type="dxa"/>
            <w:shd w:val="clear" w:color="auto" w:fill="FFE6FF"/>
            <w:vAlign w:val="center"/>
            <w:hideMark/>
          </w:tcPr>
          <w:p w14:paraId="4F060405" w14:textId="77777777" w:rsidR="00CC4FFE" w:rsidRPr="000B31FA" w:rsidRDefault="00CC4FFE" w:rsidP="00236B38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color w:val="auto"/>
                <w:sz w:val="22"/>
                <w:szCs w:val="22"/>
                <w:lang w:val="en-US"/>
              </w:rPr>
              <w:t>ESEC instructed by DESNZ</w:t>
            </w:r>
          </w:p>
        </w:tc>
        <w:tc>
          <w:tcPr>
            <w:tcW w:w="885" w:type="dxa"/>
            <w:shd w:val="clear" w:color="auto" w:fill="FFE6FF"/>
            <w:vAlign w:val="center"/>
            <w:hideMark/>
          </w:tcPr>
          <w:p w14:paraId="34D50377" w14:textId="77777777" w:rsidR="00CC4FFE" w:rsidRPr="000B31FA" w:rsidRDefault="00CC4FFE" w:rsidP="00236B38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color w:val="auto"/>
                <w:sz w:val="22"/>
                <w:szCs w:val="22"/>
              </w:rPr>
              <w:t>#9</w:t>
            </w:r>
          </w:p>
        </w:tc>
        <w:tc>
          <w:tcPr>
            <w:tcW w:w="4961" w:type="dxa"/>
            <w:shd w:val="clear" w:color="auto" w:fill="FFE6FF"/>
            <w:vAlign w:val="center"/>
            <w:hideMark/>
          </w:tcPr>
          <w:p w14:paraId="6AF2C94A" w14:textId="6945D2BE" w:rsidR="00CC4FFE" w:rsidRPr="000B31FA" w:rsidRDefault="008F5B54" w:rsidP="00236B38">
            <w:pPr>
              <w:pStyle w:val="Body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  <w:lang w:val="en-US"/>
              </w:rPr>
              <w:t>N</w:t>
            </w:r>
            <w:r w:rsidR="00CC4FFE" w:rsidRPr="000B31FA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ESO implement </w:t>
            </w:r>
            <w:proofErr w:type="spellStart"/>
            <w:r w:rsidR="00CC4FFE" w:rsidRPr="000B31FA">
              <w:rPr>
                <w:rFonts w:cstheme="minorHAnsi"/>
                <w:color w:val="auto"/>
                <w:sz w:val="22"/>
                <w:szCs w:val="22"/>
                <w:lang w:val="en-US"/>
              </w:rPr>
              <w:t>rota</w:t>
            </w:r>
            <w:proofErr w:type="spellEnd"/>
            <w:r w:rsidR="00CC4FFE" w:rsidRPr="000B31FA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 disconnections within ESEC framework, likely with 48h notice. Demand Control greater than 40%.</w:t>
            </w:r>
          </w:p>
        </w:tc>
      </w:tr>
    </w:tbl>
    <w:p w14:paraId="14ADD728" w14:textId="77777777" w:rsidR="000E1DE7" w:rsidRPr="000B31FA" w:rsidRDefault="000E1DE7" w:rsidP="000E1DE7">
      <w:pPr>
        <w:pStyle w:val="BodyText"/>
        <w:rPr>
          <w:rFonts w:cstheme="minorHAnsi"/>
          <w:sz w:val="22"/>
          <w:szCs w:val="22"/>
        </w:rPr>
      </w:pPr>
    </w:p>
    <w:tbl>
      <w:tblPr>
        <w:tblStyle w:val="GridTable5Dark-Accent1"/>
        <w:tblpPr w:leftFromText="180" w:rightFromText="180" w:vertAnchor="page" w:horzAnchor="margin" w:tblpY="6264"/>
        <w:tblW w:w="9634" w:type="dxa"/>
        <w:tblLook w:val="0600" w:firstRow="0" w:lastRow="0" w:firstColumn="0" w:lastColumn="0" w:noHBand="1" w:noVBand="1"/>
      </w:tblPr>
      <w:tblGrid>
        <w:gridCol w:w="3788"/>
        <w:gridCol w:w="5846"/>
      </w:tblGrid>
      <w:tr w:rsidR="00CC4FFE" w:rsidRPr="000B31FA" w14:paraId="0CBF3C83" w14:textId="77777777" w:rsidTr="00236B38">
        <w:trPr>
          <w:trHeight w:val="850"/>
        </w:trPr>
        <w:tc>
          <w:tcPr>
            <w:tcW w:w="3788" w:type="dxa"/>
            <w:shd w:val="clear" w:color="auto" w:fill="FF99FF" w:themeFill="accent1" w:themeFillTint="66"/>
            <w:vAlign w:val="center"/>
            <w:hideMark/>
          </w:tcPr>
          <w:p w14:paraId="2F57346A" w14:textId="1A98F409" w:rsidR="00CC4FFE" w:rsidRPr="000B31FA" w:rsidRDefault="00CC4FFE" w:rsidP="00236B38">
            <w:pPr>
              <w:pStyle w:val="BodyTex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B31FA">
              <w:rPr>
                <w:rFonts w:cstheme="minorHAnsi"/>
                <w:b/>
                <w:bCs/>
                <w:color w:val="auto"/>
                <w:sz w:val="22"/>
                <w:szCs w:val="22"/>
              </w:rPr>
              <w:t>Notices issued at any time as required</w:t>
            </w:r>
          </w:p>
        </w:tc>
        <w:tc>
          <w:tcPr>
            <w:tcW w:w="5846" w:type="dxa"/>
            <w:shd w:val="clear" w:color="auto" w:fill="FF99FF" w:themeFill="accent1" w:themeFillTint="66"/>
            <w:vAlign w:val="center"/>
            <w:hideMark/>
          </w:tcPr>
          <w:p w14:paraId="3F8281ED" w14:textId="77777777" w:rsidR="00CC4FFE" w:rsidRPr="000B31FA" w:rsidRDefault="00CC4FFE" w:rsidP="00236B38">
            <w:pPr>
              <w:pStyle w:val="BodyTex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B31FA">
              <w:rPr>
                <w:rFonts w:cstheme="minorHAnsi"/>
                <w:b/>
                <w:bCs/>
                <w:color w:val="auto"/>
                <w:sz w:val="22"/>
                <w:szCs w:val="22"/>
              </w:rPr>
              <w:t>Comment</w:t>
            </w:r>
          </w:p>
        </w:tc>
      </w:tr>
      <w:tr w:rsidR="00CC4FFE" w:rsidRPr="000B31FA" w14:paraId="1507768C" w14:textId="77777777" w:rsidTr="00236B38">
        <w:trPr>
          <w:trHeight w:val="1410"/>
        </w:trPr>
        <w:tc>
          <w:tcPr>
            <w:tcW w:w="3788" w:type="dxa"/>
            <w:vAlign w:val="center"/>
            <w:hideMark/>
          </w:tcPr>
          <w:p w14:paraId="1F813825" w14:textId="77777777" w:rsidR="00CC4FFE" w:rsidRPr="000B31FA" w:rsidRDefault="00CC4FFE" w:rsidP="00236B38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color w:val="auto"/>
                <w:sz w:val="22"/>
                <w:szCs w:val="22"/>
                <w:lang w:val="en-US"/>
              </w:rPr>
              <w:t>Issue Electricity Margin Notice (EMN)</w:t>
            </w:r>
          </w:p>
        </w:tc>
        <w:tc>
          <w:tcPr>
            <w:tcW w:w="5846" w:type="dxa"/>
            <w:vAlign w:val="center"/>
            <w:hideMark/>
          </w:tcPr>
          <w:p w14:paraId="3B53B304" w14:textId="77777777" w:rsidR="00CC4FFE" w:rsidRPr="000B31FA" w:rsidRDefault="00CC4FFE" w:rsidP="00236B38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color w:val="auto"/>
                <w:sz w:val="22"/>
                <w:szCs w:val="22"/>
                <w:lang w:val="en-US"/>
              </w:rPr>
              <w:t>Request to market to increase available energy or reduce demand. Likely to be issued at Day Ahead. Updated regularly​.</w:t>
            </w:r>
          </w:p>
        </w:tc>
      </w:tr>
      <w:tr w:rsidR="00CC4FFE" w:rsidRPr="000B31FA" w14:paraId="41C68CED" w14:textId="77777777" w:rsidTr="00236B38">
        <w:trPr>
          <w:trHeight w:val="964"/>
        </w:trPr>
        <w:tc>
          <w:tcPr>
            <w:tcW w:w="3788" w:type="dxa"/>
            <w:shd w:val="clear" w:color="auto" w:fill="FFE6FF"/>
            <w:vAlign w:val="center"/>
            <w:hideMark/>
          </w:tcPr>
          <w:p w14:paraId="5A5BA762" w14:textId="77777777" w:rsidR="00CC4FFE" w:rsidRPr="000B31FA" w:rsidRDefault="00CC4FFE" w:rsidP="00236B38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color w:val="auto"/>
                <w:sz w:val="22"/>
                <w:szCs w:val="22"/>
                <w:lang w:val="en-US"/>
              </w:rPr>
              <w:t>Issue a High Risk of Demand Reduction (HRDR) system warning​</w:t>
            </w:r>
          </w:p>
        </w:tc>
        <w:tc>
          <w:tcPr>
            <w:tcW w:w="5846" w:type="dxa"/>
            <w:shd w:val="clear" w:color="auto" w:fill="FFE6FF"/>
            <w:vAlign w:val="center"/>
            <w:hideMark/>
          </w:tcPr>
          <w:p w14:paraId="0931423B" w14:textId="3EB300E4" w:rsidR="00CC4FFE" w:rsidRPr="000B31FA" w:rsidRDefault="00CC4FFE" w:rsidP="00236B38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color w:val="auto"/>
                <w:sz w:val="22"/>
                <w:szCs w:val="22"/>
                <w:lang w:val="en-US"/>
              </w:rPr>
              <w:t>Warning network operators of high likelihood of demand control. Further request to market to increase available energy or reduce demand. Closer to real-time than EM</w:t>
            </w:r>
            <w:r w:rsidR="00A66CA9">
              <w:rPr>
                <w:rFonts w:cstheme="minorHAnsi"/>
                <w:color w:val="auto"/>
                <w:sz w:val="22"/>
                <w:szCs w:val="22"/>
                <w:lang w:val="en-US"/>
              </w:rPr>
              <w:t>N</w:t>
            </w:r>
            <w:r w:rsidRPr="000B31FA">
              <w:rPr>
                <w:rFonts w:cstheme="minorHAnsi"/>
                <w:color w:val="auto"/>
                <w:sz w:val="22"/>
                <w:szCs w:val="22"/>
                <w:lang w:val="en-US"/>
              </w:rPr>
              <w:t>​.</w:t>
            </w:r>
          </w:p>
        </w:tc>
      </w:tr>
      <w:tr w:rsidR="00CC4FFE" w:rsidRPr="000B31FA" w14:paraId="0FD461DA" w14:textId="77777777" w:rsidTr="00236B38">
        <w:trPr>
          <w:trHeight w:val="850"/>
        </w:trPr>
        <w:tc>
          <w:tcPr>
            <w:tcW w:w="3788" w:type="dxa"/>
            <w:vAlign w:val="center"/>
            <w:hideMark/>
          </w:tcPr>
          <w:p w14:paraId="7919427A" w14:textId="77777777" w:rsidR="00CC4FFE" w:rsidRPr="000B31FA" w:rsidRDefault="00CC4FFE" w:rsidP="00236B38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color w:val="auto"/>
                <w:sz w:val="22"/>
                <w:szCs w:val="22"/>
                <w:lang w:val="en-US"/>
              </w:rPr>
              <w:t>Issue Demand Control Imminent (DCI) system warning​</w:t>
            </w:r>
          </w:p>
        </w:tc>
        <w:tc>
          <w:tcPr>
            <w:tcW w:w="5846" w:type="dxa"/>
            <w:vAlign w:val="center"/>
            <w:hideMark/>
          </w:tcPr>
          <w:p w14:paraId="59182F1D" w14:textId="77777777" w:rsidR="00CC4FFE" w:rsidRPr="000B31FA" w:rsidRDefault="00CC4FFE" w:rsidP="00236B38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color w:val="auto"/>
                <w:sz w:val="22"/>
                <w:szCs w:val="22"/>
                <w:lang w:val="en-US"/>
              </w:rPr>
              <w:t>If possible, this system warning will be issued 30 minutes prior to demand control. Warning to network operators​.</w:t>
            </w:r>
          </w:p>
        </w:tc>
      </w:tr>
      <w:tr w:rsidR="00CC4FFE" w:rsidRPr="000B31FA" w14:paraId="0EECA388" w14:textId="77777777" w:rsidTr="00236B38">
        <w:trPr>
          <w:trHeight w:val="850"/>
        </w:trPr>
        <w:tc>
          <w:tcPr>
            <w:tcW w:w="3788" w:type="dxa"/>
            <w:shd w:val="clear" w:color="auto" w:fill="FFE6FF"/>
            <w:vAlign w:val="center"/>
            <w:hideMark/>
          </w:tcPr>
          <w:p w14:paraId="61BA9467" w14:textId="6002F46B" w:rsidR="00CC4FFE" w:rsidRPr="000B31FA" w:rsidRDefault="00CC4FFE" w:rsidP="00236B38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A Capacity Market Notice (CMN) is </w:t>
            </w:r>
            <w:r w:rsidRPr="000B31FA">
              <w:rPr>
                <w:rFonts w:cstheme="minorHAnsi"/>
                <w:color w:val="auto"/>
                <w:sz w:val="22"/>
                <w:szCs w:val="22"/>
                <w:u w:val="single"/>
                <w:lang w:val="en-US"/>
              </w:rPr>
              <w:t>automatically triggered</w:t>
            </w:r>
            <w:r w:rsidRPr="000B31FA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 to alert C</w:t>
            </w:r>
            <w:r w:rsidR="000B4AD6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apacity </w:t>
            </w:r>
            <w:r w:rsidRPr="000B31FA">
              <w:rPr>
                <w:rFonts w:cstheme="minorHAnsi"/>
                <w:color w:val="auto"/>
                <w:sz w:val="22"/>
                <w:szCs w:val="22"/>
                <w:lang w:val="en-US"/>
              </w:rPr>
              <w:t>M</w:t>
            </w:r>
            <w:r w:rsidR="000B4AD6">
              <w:rPr>
                <w:rFonts w:cstheme="minorHAnsi"/>
                <w:color w:val="auto"/>
                <w:sz w:val="22"/>
                <w:szCs w:val="22"/>
                <w:lang w:val="en-US"/>
              </w:rPr>
              <w:t>arket</w:t>
            </w:r>
            <w:r w:rsidRPr="000B31FA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 participants​</w:t>
            </w:r>
          </w:p>
        </w:tc>
        <w:tc>
          <w:tcPr>
            <w:tcW w:w="5846" w:type="dxa"/>
            <w:shd w:val="clear" w:color="auto" w:fill="FFE6FF"/>
            <w:vAlign w:val="center"/>
            <w:hideMark/>
          </w:tcPr>
          <w:p w14:paraId="4DDC13B3" w14:textId="77777777" w:rsidR="00CC4FFE" w:rsidRPr="000B31FA" w:rsidRDefault="00CC4FFE" w:rsidP="00236B38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color w:val="auto"/>
                <w:sz w:val="22"/>
                <w:szCs w:val="22"/>
                <w:lang w:val="en-US"/>
              </w:rPr>
              <w:t>Driven by calculation of Market data at 4 hours ahead of real time​.</w:t>
            </w:r>
          </w:p>
        </w:tc>
      </w:tr>
      <w:tr w:rsidR="00CC4FFE" w:rsidRPr="000B31FA" w14:paraId="6D990950" w14:textId="77777777" w:rsidTr="00236B38">
        <w:trPr>
          <w:trHeight w:val="850"/>
        </w:trPr>
        <w:tc>
          <w:tcPr>
            <w:tcW w:w="3788" w:type="dxa"/>
            <w:vAlign w:val="center"/>
            <w:hideMark/>
          </w:tcPr>
          <w:p w14:paraId="274A424B" w14:textId="77777777" w:rsidR="00CC4FFE" w:rsidRPr="000B31FA" w:rsidRDefault="00CC4FFE" w:rsidP="00236B38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color w:val="auto"/>
                <w:sz w:val="22"/>
                <w:szCs w:val="22"/>
                <w:lang w:val="en-US"/>
              </w:rPr>
              <w:t>Optional - Anticipated Requirement Notice (ARN)</w:t>
            </w:r>
          </w:p>
        </w:tc>
        <w:tc>
          <w:tcPr>
            <w:tcW w:w="5846" w:type="dxa"/>
            <w:vAlign w:val="center"/>
            <w:hideMark/>
          </w:tcPr>
          <w:p w14:paraId="66DDFF53" w14:textId="1FBB74ED" w:rsidR="00CC4FFE" w:rsidRPr="000B31FA" w:rsidRDefault="00CC4FFE" w:rsidP="00236B38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0B31FA">
              <w:rPr>
                <w:rFonts w:cstheme="minorHAnsi"/>
                <w:color w:val="auto"/>
                <w:sz w:val="22"/>
                <w:szCs w:val="22"/>
                <w:lang w:val="en-US"/>
              </w:rPr>
              <w:t>ARN issued if D</w:t>
            </w:r>
            <w:r w:rsidR="00D261E7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emand </w:t>
            </w:r>
            <w:r w:rsidRPr="000B31FA">
              <w:rPr>
                <w:rFonts w:cstheme="minorHAnsi"/>
                <w:color w:val="auto"/>
                <w:sz w:val="22"/>
                <w:szCs w:val="22"/>
                <w:lang w:val="en-US"/>
              </w:rPr>
              <w:t>F</w:t>
            </w:r>
            <w:r w:rsidR="00D261E7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lexibility </w:t>
            </w:r>
            <w:r w:rsidRPr="000B31FA">
              <w:rPr>
                <w:rFonts w:cstheme="minorHAnsi"/>
                <w:color w:val="auto"/>
                <w:sz w:val="22"/>
                <w:szCs w:val="22"/>
                <w:lang w:val="en-US"/>
              </w:rPr>
              <w:t>S</w:t>
            </w:r>
            <w:r w:rsidR="00D261E7">
              <w:rPr>
                <w:rFonts w:cstheme="minorHAnsi"/>
                <w:color w:val="auto"/>
                <w:sz w:val="22"/>
                <w:szCs w:val="22"/>
                <w:lang w:val="en-US"/>
              </w:rPr>
              <w:t>ervice (DFS)</w:t>
            </w:r>
            <w:r w:rsidRPr="000B31FA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 may be required within day. Issued between 8am and 10am.</w:t>
            </w:r>
          </w:p>
        </w:tc>
      </w:tr>
    </w:tbl>
    <w:p w14:paraId="4BE1AC13" w14:textId="77777777" w:rsidR="00DA2D65" w:rsidRPr="000B31FA" w:rsidRDefault="00DA2D65" w:rsidP="00E26402">
      <w:pPr>
        <w:pStyle w:val="Heading2"/>
        <w:rPr>
          <w:rFonts w:asciiTheme="minorHAnsi" w:hAnsiTheme="minorHAnsi" w:cstheme="minorHAnsi"/>
          <w:sz w:val="22"/>
          <w:szCs w:val="22"/>
        </w:rPr>
      </w:pPr>
    </w:p>
    <w:sectPr w:rsidR="00DA2D65" w:rsidRPr="000B31FA" w:rsidSect="008529D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A1205" w14:textId="77777777" w:rsidR="00C96978" w:rsidRDefault="00C96978" w:rsidP="00A62BFF">
      <w:pPr>
        <w:spacing w:after="0"/>
      </w:pPr>
      <w:r>
        <w:separator/>
      </w:r>
    </w:p>
  </w:endnote>
  <w:endnote w:type="continuationSeparator" w:id="0">
    <w:p w14:paraId="03CB5F9C" w14:textId="77777777" w:rsidR="00C96978" w:rsidRDefault="00C96978" w:rsidP="00A62BFF">
      <w:pPr>
        <w:spacing w:after="0"/>
      </w:pPr>
      <w:r>
        <w:continuationSeparator/>
      </w:r>
    </w:p>
  </w:endnote>
  <w:endnote w:type="continuationNotice" w:id="1">
    <w:p w14:paraId="51C5AC2F" w14:textId="77777777" w:rsidR="00C96978" w:rsidRDefault="00C969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F2A5E" w14:textId="77777777" w:rsidR="00B26D29" w:rsidRDefault="00F4613D" w:rsidP="00B17C6A">
    <w:pPr>
      <w:pStyle w:val="Footer"/>
    </w:pPr>
    <w:r w:rsidRPr="00EB2BC1">
      <w:rPr>
        <w:rFonts w:ascii="Helvetica" w:eastAsia="HGPMinchoE" w:hAnsi="Helvetica"/>
        <w:noProof/>
        <w:sz w:val="28"/>
        <w:szCs w:val="40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3B45A54E" wp14:editId="79E3781A">
              <wp:simplePos x="0" y="0"/>
              <wp:positionH relativeFrom="rightMargin">
                <wp:posOffset>88265</wp:posOffset>
              </wp:positionH>
              <wp:positionV relativeFrom="paragraph">
                <wp:posOffset>-240030</wp:posOffset>
              </wp:positionV>
              <wp:extent cx="342900" cy="295275"/>
              <wp:effectExtent l="0" t="0" r="0" b="0"/>
              <wp:wrapSquare wrapText="bothSides"/>
              <wp:docPr id="5336756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EBA2B4" w14:textId="77777777" w:rsidR="00F4613D" w:rsidRDefault="00F4613D" w:rsidP="00F4613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45A5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.95pt;margin-top:-18.9pt;width:27pt;height:23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" filled="f" stroked="f">
              <v:textbox>
                <w:txbxContent>
                  <w:p w14:paraId="53EBA2B4" w14:textId="77777777" w:rsidR="00F4613D" w:rsidRDefault="00F4613D" w:rsidP="00F4613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EC97C" w14:textId="77777777" w:rsidR="00B26D29" w:rsidRDefault="00EB2BC1">
    <w:pPr>
      <w:pStyle w:val="Footer"/>
    </w:pPr>
    <w:r w:rsidRPr="00EB2BC1">
      <w:rPr>
        <w:rFonts w:ascii="Helvetica" w:eastAsia="HGPMinchoE" w:hAnsi="Helvetica"/>
        <w:noProof/>
        <w:sz w:val="28"/>
        <w:szCs w:val="40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ABAD30A" wp14:editId="3C3EE533">
              <wp:simplePos x="0" y="0"/>
              <wp:positionH relativeFrom="rightMargin">
                <wp:posOffset>88265</wp:posOffset>
              </wp:positionH>
              <wp:positionV relativeFrom="paragraph">
                <wp:posOffset>-249555</wp:posOffset>
              </wp:positionV>
              <wp:extent cx="323850" cy="2952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FFBC29" w14:textId="77777777" w:rsidR="00EB2BC1" w:rsidRDefault="00EB2BC1" w:rsidP="00F4613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BAD30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.95pt;margin-top:-19.65pt;width:25.5pt;height:23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" filled="f" stroked="f">
              <v:textbox>
                <w:txbxContent>
                  <w:p w14:paraId="1AFFBC29" w14:textId="77777777" w:rsidR="00EB2BC1" w:rsidRDefault="00EB2BC1" w:rsidP="00F4613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DA974" w14:textId="77777777" w:rsidR="00C96978" w:rsidRDefault="00C96978" w:rsidP="00A62BFF">
      <w:pPr>
        <w:spacing w:after="0"/>
      </w:pPr>
      <w:r>
        <w:separator/>
      </w:r>
    </w:p>
  </w:footnote>
  <w:footnote w:type="continuationSeparator" w:id="0">
    <w:p w14:paraId="36B6EE27" w14:textId="77777777" w:rsidR="00C96978" w:rsidRDefault="00C96978" w:rsidP="00A62BFF">
      <w:pPr>
        <w:spacing w:after="0"/>
      </w:pPr>
      <w:r>
        <w:continuationSeparator/>
      </w:r>
    </w:p>
  </w:footnote>
  <w:footnote w:type="continuationNotice" w:id="1">
    <w:p w14:paraId="4C83A76F" w14:textId="77777777" w:rsidR="00C96978" w:rsidRDefault="00C969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96CFA" w14:textId="77777777" w:rsidR="00EB2BC1" w:rsidRPr="00FE7A0E" w:rsidRDefault="00EB2BC1" w:rsidP="00EB2BC1">
    <w:pPr>
      <w:pStyle w:val="Header"/>
      <w:ind w:left="0"/>
      <w:jc w:val="left"/>
      <w:rPr>
        <w:rFonts w:asciiTheme="majorHAnsi" w:eastAsia="HGPMinchoE" w:hAnsiTheme="majorHAnsi" w:cstheme="majorHAnsi"/>
        <w:color w:val="3F0730"/>
        <w:sz w:val="28"/>
        <w:szCs w:val="40"/>
      </w:rPr>
    </w:pPr>
    <w:r w:rsidRPr="00FE7A0E">
      <w:rPr>
        <w:rFonts w:asciiTheme="majorHAnsi" w:hAnsiTheme="majorHAnsi" w:cstheme="majorHAnsi"/>
        <w:b/>
        <w:bCs/>
      </w:rPr>
      <w:drawing>
        <wp:anchor distT="0" distB="0" distL="114300" distR="114300" simplePos="0" relativeHeight="251658241" behindDoc="1" locked="0" layoutInCell="1" allowOverlap="1" wp14:anchorId="6B5101B5" wp14:editId="1DBB735E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0000" cy="1069200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66731B" w14:textId="77777777" w:rsidR="00EB2BC1" w:rsidRPr="00FE7A0E" w:rsidRDefault="00EB2BC1" w:rsidP="00EB2BC1">
    <w:pPr>
      <w:pStyle w:val="Header"/>
      <w:ind w:left="0"/>
      <w:jc w:val="left"/>
      <w:rPr>
        <w:rFonts w:asciiTheme="majorHAnsi" w:eastAsia="HGPMinchoE" w:hAnsiTheme="majorHAnsi" w:cstheme="majorHAnsi"/>
        <w:color w:val="3F0730"/>
        <w:sz w:val="28"/>
        <w:szCs w:val="40"/>
      </w:rPr>
    </w:pPr>
  </w:p>
  <w:p w14:paraId="785ACD2A" w14:textId="77777777" w:rsidR="00EB2BC1" w:rsidRPr="00FE7A0E" w:rsidRDefault="00EB2BC1" w:rsidP="00EB2BC1">
    <w:pPr>
      <w:pStyle w:val="Header"/>
      <w:ind w:left="0"/>
      <w:jc w:val="left"/>
      <w:rPr>
        <w:rFonts w:asciiTheme="majorHAnsi" w:eastAsia="HGPMinchoE" w:hAnsiTheme="majorHAnsi" w:cstheme="majorHAnsi"/>
        <w:color w:val="3F0730"/>
        <w:sz w:val="28"/>
        <w:szCs w:val="40"/>
      </w:rPr>
    </w:pPr>
  </w:p>
  <w:p w14:paraId="4E7DB5D9" w14:textId="77777777" w:rsidR="00EB2BC1" w:rsidRPr="00FE7A0E" w:rsidRDefault="00EB2BC1" w:rsidP="00EB2BC1">
    <w:pPr>
      <w:pStyle w:val="Header"/>
      <w:ind w:left="0"/>
      <w:jc w:val="left"/>
      <w:rPr>
        <w:rFonts w:asciiTheme="majorHAnsi" w:eastAsia="HGPMinchoE" w:hAnsiTheme="majorHAnsi" w:cstheme="majorHAnsi"/>
        <w:color w:val="3F0730"/>
        <w:sz w:val="28"/>
        <w:szCs w:val="40"/>
      </w:rPr>
    </w:pPr>
  </w:p>
  <w:p w14:paraId="47B62DC2" w14:textId="3B835C41" w:rsidR="008313D5" w:rsidRPr="00FE7A0E" w:rsidRDefault="008313D5" w:rsidP="002F4B76">
    <w:pPr>
      <w:pStyle w:val="Header"/>
      <w:ind w:left="0"/>
      <w:jc w:val="left"/>
      <w:rPr>
        <w:rFonts w:asciiTheme="majorHAnsi" w:eastAsia="HGPMinchoE" w:hAnsiTheme="majorHAnsi" w:cstheme="majorHAnsi"/>
        <w:color w:val="3F0730"/>
        <w:sz w:val="28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0877E" w14:textId="77777777" w:rsidR="00DF17EF" w:rsidRPr="00FE7A0E" w:rsidRDefault="006E510D" w:rsidP="00DF17EF">
    <w:pPr>
      <w:pStyle w:val="Header"/>
      <w:ind w:left="0"/>
      <w:jc w:val="left"/>
      <w:rPr>
        <w:rFonts w:asciiTheme="majorHAnsi" w:eastAsia="HGPMinchoE" w:hAnsiTheme="majorHAnsi" w:cstheme="majorHAnsi"/>
        <w:sz w:val="28"/>
        <w:szCs w:val="40"/>
      </w:rPr>
    </w:pPr>
    <w:r w:rsidRPr="00FE7A0E">
      <w:rPr>
        <w:rFonts w:asciiTheme="majorHAnsi" w:eastAsia="HGPMinchoE" w:hAnsiTheme="majorHAnsi" w:cstheme="majorHAnsi"/>
        <w:sz w:val="28"/>
        <w:szCs w:val="40"/>
      </w:rPr>
      <w:drawing>
        <wp:anchor distT="0" distB="0" distL="114300" distR="114300" simplePos="0" relativeHeight="251658240" behindDoc="1" locked="0" layoutInCell="1" allowOverlap="1" wp14:anchorId="26836453" wp14:editId="19AC86C4">
          <wp:simplePos x="0" y="0"/>
          <wp:positionH relativeFrom="column">
            <wp:posOffset>-693986</wp:posOffset>
          </wp:positionH>
          <wp:positionV relativeFrom="paragraph">
            <wp:posOffset>-261620</wp:posOffset>
          </wp:positionV>
          <wp:extent cx="7559524" cy="1068876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524" cy="1068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3AB9A6" w14:textId="77777777" w:rsidR="00DF17EF" w:rsidRPr="00FE7A0E" w:rsidRDefault="00DF17EF" w:rsidP="00DF17EF">
    <w:pPr>
      <w:pStyle w:val="Header"/>
      <w:ind w:left="0"/>
      <w:jc w:val="left"/>
      <w:rPr>
        <w:rFonts w:asciiTheme="majorHAnsi" w:eastAsia="HGPMinchoE" w:hAnsiTheme="majorHAnsi" w:cstheme="majorHAnsi"/>
        <w:sz w:val="28"/>
        <w:szCs w:val="40"/>
      </w:rPr>
    </w:pPr>
  </w:p>
  <w:p w14:paraId="0DF0FD15" w14:textId="77777777" w:rsidR="00DF17EF" w:rsidRPr="00FE7A0E" w:rsidRDefault="00DF17EF" w:rsidP="00DF17EF">
    <w:pPr>
      <w:pStyle w:val="Header"/>
      <w:ind w:left="0"/>
      <w:jc w:val="left"/>
      <w:rPr>
        <w:rFonts w:asciiTheme="majorHAnsi" w:eastAsia="HGPMinchoE" w:hAnsiTheme="majorHAnsi" w:cstheme="majorHAnsi"/>
        <w:sz w:val="28"/>
        <w:szCs w:val="40"/>
      </w:rPr>
    </w:pPr>
  </w:p>
  <w:p w14:paraId="7129D80E" w14:textId="77777777" w:rsidR="00DF17EF" w:rsidRPr="00FE7A0E" w:rsidRDefault="00DF17EF" w:rsidP="00DF17EF">
    <w:pPr>
      <w:pStyle w:val="Header"/>
      <w:ind w:left="0"/>
      <w:jc w:val="left"/>
      <w:rPr>
        <w:rFonts w:asciiTheme="majorHAnsi" w:eastAsia="HGPMinchoE" w:hAnsiTheme="majorHAnsi" w:cstheme="majorHAnsi"/>
        <w:sz w:val="28"/>
        <w:szCs w:val="40"/>
      </w:rPr>
    </w:pPr>
  </w:p>
  <w:p w14:paraId="6D529196" w14:textId="5AFAD1F9" w:rsidR="00B26D29" w:rsidRPr="00FE7A0E" w:rsidRDefault="00B26D29" w:rsidP="002F4B76">
    <w:pPr>
      <w:pStyle w:val="Header"/>
      <w:ind w:left="0"/>
      <w:jc w:val="left"/>
      <w:rPr>
        <w:rFonts w:asciiTheme="majorHAnsi" w:eastAsia="HGPMinchoE" w:hAnsiTheme="majorHAnsi" w:cstheme="majorHAnsi"/>
        <w:color w:val="3F0730"/>
        <w:sz w:val="28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3917BAC"/>
    <w:multiLevelType w:val="hybridMultilevel"/>
    <w:tmpl w:val="5BF42184"/>
    <w:lvl w:ilvl="0" w:tplc="FD52E83C">
      <w:start w:val="1"/>
      <w:numFmt w:val="decimal"/>
      <w:pStyle w:val="SectionHeader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24149"/>
    <w:multiLevelType w:val="multilevel"/>
    <w:tmpl w:val="CE981792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43900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9674420"/>
    <w:multiLevelType w:val="multilevel"/>
    <w:tmpl w:val="F44CB518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360ACD"/>
    <w:multiLevelType w:val="multilevel"/>
    <w:tmpl w:val="57861932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FF00FF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4" w15:restartNumberingAfterBreak="0">
    <w:nsid w:val="35AE1373"/>
    <w:multiLevelType w:val="hybridMultilevel"/>
    <w:tmpl w:val="63AE745A"/>
    <w:lvl w:ilvl="0" w:tplc="18CA66F2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  <w:color w:val="3F0731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A297C"/>
    <w:multiLevelType w:val="hybridMultilevel"/>
    <w:tmpl w:val="E12A832E"/>
    <w:lvl w:ilvl="0" w:tplc="72B87F12">
      <w:start w:val="1"/>
      <w:numFmt w:val="bullet"/>
      <w:pStyle w:val="Bullet3"/>
      <w:lvlText w:val=""/>
      <w:lvlJc w:val="left"/>
      <w:pPr>
        <w:ind w:left="1288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17" w15:restartNumberingAfterBreak="0">
    <w:nsid w:val="6C19419A"/>
    <w:multiLevelType w:val="hybridMultilevel"/>
    <w:tmpl w:val="7B0E26B2"/>
    <w:lvl w:ilvl="0" w:tplc="972E6C4A">
      <w:start w:val="1"/>
      <w:numFmt w:val="bullet"/>
      <w:pStyle w:val="Bullet2"/>
      <w:lvlText w:val=""/>
      <w:lvlJc w:val="left"/>
      <w:pPr>
        <w:ind w:left="1004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78E4D1C"/>
    <w:multiLevelType w:val="multilevel"/>
    <w:tmpl w:val="1BEC746E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num w:numId="1" w16cid:durableId="98840366">
    <w:abstractNumId w:val="9"/>
  </w:num>
  <w:num w:numId="2" w16cid:durableId="1631471937">
    <w:abstractNumId w:val="7"/>
  </w:num>
  <w:num w:numId="3" w16cid:durableId="186868467">
    <w:abstractNumId w:val="6"/>
  </w:num>
  <w:num w:numId="4" w16cid:durableId="1738285083">
    <w:abstractNumId w:val="5"/>
  </w:num>
  <w:num w:numId="5" w16cid:durableId="992416223">
    <w:abstractNumId w:val="4"/>
  </w:num>
  <w:num w:numId="6" w16cid:durableId="1066412967">
    <w:abstractNumId w:val="8"/>
  </w:num>
  <w:num w:numId="7" w16cid:durableId="371350953">
    <w:abstractNumId w:val="3"/>
  </w:num>
  <w:num w:numId="8" w16cid:durableId="2008558331">
    <w:abstractNumId w:val="2"/>
  </w:num>
  <w:num w:numId="9" w16cid:durableId="1590698444">
    <w:abstractNumId w:val="1"/>
  </w:num>
  <w:num w:numId="10" w16cid:durableId="321347623">
    <w:abstractNumId w:val="0"/>
  </w:num>
  <w:num w:numId="11" w16cid:durableId="400979428">
    <w:abstractNumId w:val="16"/>
  </w:num>
  <w:num w:numId="12" w16cid:durableId="351030145">
    <w:abstractNumId w:val="11"/>
  </w:num>
  <w:num w:numId="13" w16cid:durableId="784930126">
    <w:abstractNumId w:val="12"/>
  </w:num>
  <w:num w:numId="14" w16cid:durableId="101996277">
    <w:abstractNumId w:val="13"/>
  </w:num>
  <w:num w:numId="15" w16cid:durableId="744689866">
    <w:abstractNumId w:val="17"/>
  </w:num>
  <w:num w:numId="16" w16cid:durableId="1526407234">
    <w:abstractNumId w:val="15"/>
  </w:num>
  <w:num w:numId="17" w16cid:durableId="1352950697">
    <w:abstractNumId w:val="18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18" w16cid:durableId="416361996">
    <w:abstractNumId w:val="14"/>
  </w:num>
  <w:num w:numId="19" w16cid:durableId="856121010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3D"/>
    <w:rsid w:val="0000092C"/>
    <w:rsid w:val="000017C7"/>
    <w:rsid w:val="000024AB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569"/>
    <w:rsid w:val="0004599D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9211E"/>
    <w:rsid w:val="0009276B"/>
    <w:rsid w:val="00092C02"/>
    <w:rsid w:val="00092D2F"/>
    <w:rsid w:val="00093369"/>
    <w:rsid w:val="000946F1"/>
    <w:rsid w:val="00094E5F"/>
    <w:rsid w:val="00094F88"/>
    <w:rsid w:val="000952D4"/>
    <w:rsid w:val="00095BBB"/>
    <w:rsid w:val="0009609C"/>
    <w:rsid w:val="000966D4"/>
    <w:rsid w:val="00096F31"/>
    <w:rsid w:val="00097FED"/>
    <w:rsid w:val="000A1C65"/>
    <w:rsid w:val="000A2C20"/>
    <w:rsid w:val="000A4598"/>
    <w:rsid w:val="000A6F51"/>
    <w:rsid w:val="000A730E"/>
    <w:rsid w:val="000B0F9C"/>
    <w:rsid w:val="000B19B2"/>
    <w:rsid w:val="000B1B73"/>
    <w:rsid w:val="000B296B"/>
    <w:rsid w:val="000B304C"/>
    <w:rsid w:val="000B31FA"/>
    <w:rsid w:val="000B3F97"/>
    <w:rsid w:val="000B475E"/>
    <w:rsid w:val="000B4AD6"/>
    <w:rsid w:val="000B5338"/>
    <w:rsid w:val="000B6756"/>
    <w:rsid w:val="000B6A4C"/>
    <w:rsid w:val="000B7E99"/>
    <w:rsid w:val="000C0D0A"/>
    <w:rsid w:val="000C35E2"/>
    <w:rsid w:val="000C5017"/>
    <w:rsid w:val="000C53DB"/>
    <w:rsid w:val="000C60C2"/>
    <w:rsid w:val="000C64F6"/>
    <w:rsid w:val="000C66C7"/>
    <w:rsid w:val="000D16EC"/>
    <w:rsid w:val="000D2220"/>
    <w:rsid w:val="000D3A7B"/>
    <w:rsid w:val="000D3E58"/>
    <w:rsid w:val="000D4C01"/>
    <w:rsid w:val="000D5FFD"/>
    <w:rsid w:val="000D65A7"/>
    <w:rsid w:val="000E068A"/>
    <w:rsid w:val="000E1DE7"/>
    <w:rsid w:val="000E1ECB"/>
    <w:rsid w:val="000E3824"/>
    <w:rsid w:val="000E43B5"/>
    <w:rsid w:val="000E496F"/>
    <w:rsid w:val="000E5122"/>
    <w:rsid w:val="000E6380"/>
    <w:rsid w:val="000E6C6B"/>
    <w:rsid w:val="000F0182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407"/>
    <w:rsid w:val="001137FB"/>
    <w:rsid w:val="0011389F"/>
    <w:rsid w:val="00113BF5"/>
    <w:rsid w:val="00113CB3"/>
    <w:rsid w:val="00113F39"/>
    <w:rsid w:val="0011423A"/>
    <w:rsid w:val="001145E7"/>
    <w:rsid w:val="00114BDB"/>
    <w:rsid w:val="001155B3"/>
    <w:rsid w:val="00116009"/>
    <w:rsid w:val="001173F1"/>
    <w:rsid w:val="00117DA6"/>
    <w:rsid w:val="00120547"/>
    <w:rsid w:val="00124925"/>
    <w:rsid w:val="001258BB"/>
    <w:rsid w:val="00127759"/>
    <w:rsid w:val="00127984"/>
    <w:rsid w:val="00130F65"/>
    <w:rsid w:val="0013208D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49A"/>
    <w:rsid w:val="00152912"/>
    <w:rsid w:val="00153066"/>
    <w:rsid w:val="001535B0"/>
    <w:rsid w:val="001536C3"/>
    <w:rsid w:val="00154713"/>
    <w:rsid w:val="00154C3B"/>
    <w:rsid w:val="00155E29"/>
    <w:rsid w:val="00157EBF"/>
    <w:rsid w:val="00162ADF"/>
    <w:rsid w:val="0016337B"/>
    <w:rsid w:val="00164401"/>
    <w:rsid w:val="0016480C"/>
    <w:rsid w:val="0016594A"/>
    <w:rsid w:val="001668BE"/>
    <w:rsid w:val="00166A57"/>
    <w:rsid w:val="0016758D"/>
    <w:rsid w:val="001709F3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2640"/>
    <w:rsid w:val="00183AD0"/>
    <w:rsid w:val="001849AD"/>
    <w:rsid w:val="00186A6D"/>
    <w:rsid w:val="00186DF4"/>
    <w:rsid w:val="00186FE8"/>
    <w:rsid w:val="001917FE"/>
    <w:rsid w:val="001920B4"/>
    <w:rsid w:val="00192165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067C"/>
    <w:rsid w:val="001C1745"/>
    <w:rsid w:val="001C185D"/>
    <w:rsid w:val="001C1930"/>
    <w:rsid w:val="001C2E31"/>
    <w:rsid w:val="001C30D3"/>
    <w:rsid w:val="001C4ABF"/>
    <w:rsid w:val="001C4DB5"/>
    <w:rsid w:val="001C67DA"/>
    <w:rsid w:val="001C7AA0"/>
    <w:rsid w:val="001D00F7"/>
    <w:rsid w:val="001D14F7"/>
    <w:rsid w:val="001D193C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B69"/>
    <w:rsid w:val="001E74F3"/>
    <w:rsid w:val="001E7752"/>
    <w:rsid w:val="001F04C9"/>
    <w:rsid w:val="001F0AA2"/>
    <w:rsid w:val="001F101E"/>
    <w:rsid w:val="001F1748"/>
    <w:rsid w:val="001F2EF2"/>
    <w:rsid w:val="001F59CD"/>
    <w:rsid w:val="001F6599"/>
    <w:rsid w:val="001F7335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17E5E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36B38"/>
    <w:rsid w:val="0024092B"/>
    <w:rsid w:val="0024129E"/>
    <w:rsid w:val="00241AA1"/>
    <w:rsid w:val="00241B4F"/>
    <w:rsid w:val="00243FD9"/>
    <w:rsid w:val="00246FF1"/>
    <w:rsid w:val="0024734E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1382"/>
    <w:rsid w:val="00261FDF"/>
    <w:rsid w:val="00265B9C"/>
    <w:rsid w:val="002672E7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ADD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573"/>
    <w:rsid w:val="0029281D"/>
    <w:rsid w:val="0029334F"/>
    <w:rsid w:val="00293E01"/>
    <w:rsid w:val="0029478F"/>
    <w:rsid w:val="002968DD"/>
    <w:rsid w:val="00297C15"/>
    <w:rsid w:val="002A0F5B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C7C7D"/>
    <w:rsid w:val="002D02A7"/>
    <w:rsid w:val="002D02FA"/>
    <w:rsid w:val="002D313A"/>
    <w:rsid w:val="002D3490"/>
    <w:rsid w:val="002D3503"/>
    <w:rsid w:val="002D4CD5"/>
    <w:rsid w:val="002D5145"/>
    <w:rsid w:val="002D522D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500"/>
    <w:rsid w:val="002F46B4"/>
    <w:rsid w:val="002F4B76"/>
    <w:rsid w:val="002F592C"/>
    <w:rsid w:val="002F6AD2"/>
    <w:rsid w:val="002F6F4F"/>
    <w:rsid w:val="002F7DB8"/>
    <w:rsid w:val="003003BD"/>
    <w:rsid w:val="00300CC5"/>
    <w:rsid w:val="0030117E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429"/>
    <w:rsid w:val="00310AB7"/>
    <w:rsid w:val="00313E6E"/>
    <w:rsid w:val="00314D99"/>
    <w:rsid w:val="00314E7F"/>
    <w:rsid w:val="0031633F"/>
    <w:rsid w:val="003179A9"/>
    <w:rsid w:val="00322CC4"/>
    <w:rsid w:val="00323E4E"/>
    <w:rsid w:val="00323F41"/>
    <w:rsid w:val="00325261"/>
    <w:rsid w:val="0032644E"/>
    <w:rsid w:val="00326473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1C5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57C1D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419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365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0415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2DA8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591A"/>
    <w:rsid w:val="00426F5C"/>
    <w:rsid w:val="00427EE0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5837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3656"/>
    <w:rsid w:val="00464A3D"/>
    <w:rsid w:val="00467853"/>
    <w:rsid w:val="00470155"/>
    <w:rsid w:val="004710DC"/>
    <w:rsid w:val="004713FB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4DDA"/>
    <w:rsid w:val="00496719"/>
    <w:rsid w:val="00496763"/>
    <w:rsid w:val="004969EE"/>
    <w:rsid w:val="00497673"/>
    <w:rsid w:val="00497F0C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738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2DB3"/>
    <w:rsid w:val="005034BD"/>
    <w:rsid w:val="005035E2"/>
    <w:rsid w:val="0050387B"/>
    <w:rsid w:val="005046DF"/>
    <w:rsid w:val="005048A3"/>
    <w:rsid w:val="005051CD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8B8"/>
    <w:rsid w:val="00522F09"/>
    <w:rsid w:val="005253BF"/>
    <w:rsid w:val="00527EF2"/>
    <w:rsid w:val="00530B60"/>
    <w:rsid w:val="0053334A"/>
    <w:rsid w:val="005337E8"/>
    <w:rsid w:val="00533C8E"/>
    <w:rsid w:val="00535700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E46"/>
    <w:rsid w:val="00582238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48DA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A7071"/>
    <w:rsid w:val="005B1133"/>
    <w:rsid w:val="005B2215"/>
    <w:rsid w:val="005B27BD"/>
    <w:rsid w:val="005B2A08"/>
    <w:rsid w:val="005B2C13"/>
    <w:rsid w:val="005B2CA5"/>
    <w:rsid w:val="005B4ACD"/>
    <w:rsid w:val="005B53DB"/>
    <w:rsid w:val="005B53DC"/>
    <w:rsid w:val="005B7AC4"/>
    <w:rsid w:val="005B7BD5"/>
    <w:rsid w:val="005C0E6B"/>
    <w:rsid w:val="005C1268"/>
    <w:rsid w:val="005C1546"/>
    <w:rsid w:val="005C2176"/>
    <w:rsid w:val="005C221A"/>
    <w:rsid w:val="005C3952"/>
    <w:rsid w:val="005C4154"/>
    <w:rsid w:val="005C5728"/>
    <w:rsid w:val="005C57DB"/>
    <w:rsid w:val="005C7EE5"/>
    <w:rsid w:val="005D0442"/>
    <w:rsid w:val="005D0750"/>
    <w:rsid w:val="005D11B0"/>
    <w:rsid w:val="005D1276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1022B"/>
    <w:rsid w:val="00610A63"/>
    <w:rsid w:val="006114A6"/>
    <w:rsid w:val="00611B4B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19A1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C7996"/>
    <w:rsid w:val="006D4919"/>
    <w:rsid w:val="006D6073"/>
    <w:rsid w:val="006D6266"/>
    <w:rsid w:val="006E055E"/>
    <w:rsid w:val="006E0E6C"/>
    <w:rsid w:val="006E1030"/>
    <w:rsid w:val="006E5041"/>
    <w:rsid w:val="006E510D"/>
    <w:rsid w:val="006E6687"/>
    <w:rsid w:val="006E7597"/>
    <w:rsid w:val="006F2637"/>
    <w:rsid w:val="006F2FDC"/>
    <w:rsid w:val="006F3637"/>
    <w:rsid w:val="006F37D9"/>
    <w:rsid w:val="006F4409"/>
    <w:rsid w:val="006F4CCF"/>
    <w:rsid w:val="006F4F97"/>
    <w:rsid w:val="006F6119"/>
    <w:rsid w:val="006F6D4A"/>
    <w:rsid w:val="006F6E18"/>
    <w:rsid w:val="00701F36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2F2F"/>
    <w:rsid w:val="00713F7A"/>
    <w:rsid w:val="00714246"/>
    <w:rsid w:val="00714FD2"/>
    <w:rsid w:val="007155D1"/>
    <w:rsid w:val="00716462"/>
    <w:rsid w:val="00717C5D"/>
    <w:rsid w:val="0072207E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4FA5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1742"/>
    <w:rsid w:val="0076418A"/>
    <w:rsid w:val="007642CB"/>
    <w:rsid w:val="00765226"/>
    <w:rsid w:val="00765520"/>
    <w:rsid w:val="00766879"/>
    <w:rsid w:val="00767CC0"/>
    <w:rsid w:val="00770F29"/>
    <w:rsid w:val="007713DD"/>
    <w:rsid w:val="00771B86"/>
    <w:rsid w:val="00773A6C"/>
    <w:rsid w:val="007742FE"/>
    <w:rsid w:val="00774DFB"/>
    <w:rsid w:val="0077660A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1F31"/>
    <w:rsid w:val="00792077"/>
    <w:rsid w:val="0079312B"/>
    <w:rsid w:val="0079338A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5544"/>
    <w:rsid w:val="007B6414"/>
    <w:rsid w:val="007B7D81"/>
    <w:rsid w:val="007C021A"/>
    <w:rsid w:val="007C07F2"/>
    <w:rsid w:val="007C2500"/>
    <w:rsid w:val="007C4D8A"/>
    <w:rsid w:val="007C51CD"/>
    <w:rsid w:val="007D025A"/>
    <w:rsid w:val="007D0F6C"/>
    <w:rsid w:val="007D2B50"/>
    <w:rsid w:val="007D644D"/>
    <w:rsid w:val="007D6535"/>
    <w:rsid w:val="007D706B"/>
    <w:rsid w:val="007E09AC"/>
    <w:rsid w:val="007E24ED"/>
    <w:rsid w:val="007E3511"/>
    <w:rsid w:val="007E39F2"/>
    <w:rsid w:val="007E436B"/>
    <w:rsid w:val="007E68A9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1442"/>
    <w:rsid w:val="00801E7C"/>
    <w:rsid w:val="0080323E"/>
    <w:rsid w:val="008040A5"/>
    <w:rsid w:val="00804C27"/>
    <w:rsid w:val="00804F2C"/>
    <w:rsid w:val="00805FAF"/>
    <w:rsid w:val="008060A0"/>
    <w:rsid w:val="00806C71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3D5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4A7E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9D4"/>
    <w:rsid w:val="00852AA7"/>
    <w:rsid w:val="00854A1A"/>
    <w:rsid w:val="0085555A"/>
    <w:rsid w:val="00861F86"/>
    <w:rsid w:val="00862888"/>
    <w:rsid w:val="00863B8C"/>
    <w:rsid w:val="008645ED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2A3"/>
    <w:rsid w:val="00880C66"/>
    <w:rsid w:val="00882021"/>
    <w:rsid w:val="00883242"/>
    <w:rsid w:val="0088329E"/>
    <w:rsid w:val="0088425A"/>
    <w:rsid w:val="008848AA"/>
    <w:rsid w:val="00885439"/>
    <w:rsid w:val="00885573"/>
    <w:rsid w:val="00887A9E"/>
    <w:rsid w:val="00887B6D"/>
    <w:rsid w:val="008916ED"/>
    <w:rsid w:val="00891F1B"/>
    <w:rsid w:val="008944AD"/>
    <w:rsid w:val="00894833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5B54"/>
    <w:rsid w:val="008F766D"/>
    <w:rsid w:val="008F77DF"/>
    <w:rsid w:val="00900693"/>
    <w:rsid w:val="009013FF"/>
    <w:rsid w:val="00905AFB"/>
    <w:rsid w:val="009061CA"/>
    <w:rsid w:val="00906DCA"/>
    <w:rsid w:val="00907A53"/>
    <w:rsid w:val="00910067"/>
    <w:rsid w:val="0091036B"/>
    <w:rsid w:val="00910CE2"/>
    <w:rsid w:val="00911589"/>
    <w:rsid w:val="00912347"/>
    <w:rsid w:val="00915ADB"/>
    <w:rsid w:val="00916FA7"/>
    <w:rsid w:val="0091763D"/>
    <w:rsid w:val="00917FD0"/>
    <w:rsid w:val="009201C2"/>
    <w:rsid w:val="00922001"/>
    <w:rsid w:val="00924256"/>
    <w:rsid w:val="00924420"/>
    <w:rsid w:val="00925178"/>
    <w:rsid w:val="0092544F"/>
    <w:rsid w:val="00927FFD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1E9E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61F7"/>
    <w:rsid w:val="009B6F65"/>
    <w:rsid w:val="009B7149"/>
    <w:rsid w:val="009B7A42"/>
    <w:rsid w:val="009C072F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1BD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E5EF7"/>
    <w:rsid w:val="009F073A"/>
    <w:rsid w:val="009F3A22"/>
    <w:rsid w:val="009F4258"/>
    <w:rsid w:val="009F51B7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4C4B"/>
    <w:rsid w:val="00A05374"/>
    <w:rsid w:val="00A061CE"/>
    <w:rsid w:val="00A06AAD"/>
    <w:rsid w:val="00A1119B"/>
    <w:rsid w:val="00A12FAD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97E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E6F"/>
    <w:rsid w:val="00A57BBD"/>
    <w:rsid w:val="00A57E79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6CA9"/>
    <w:rsid w:val="00A6701C"/>
    <w:rsid w:val="00A71500"/>
    <w:rsid w:val="00A72448"/>
    <w:rsid w:val="00A72545"/>
    <w:rsid w:val="00A72F70"/>
    <w:rsid w:val="00A73516"/>
    <w:rsid w:val="00A747CE"/>
    <w:rsid w:val="00A74C1D"/>
    <w:rsid w:val="00A7636B"/>
    <w:rsid w:val="00A77D5B"/>
    <w:rsid w:val="00A84E23"/>
    <w:rsid w:val="00A85844"/>
    <w:rsid w:val="00A86291"/>
    <w:rsid w:val="00A8656F"/>
    <w:rsid w:val="00A87456"/>
    <w:rsid w:val="00A87471"/>
    <w:rsid w:val="00A8770E"/>
    <w:rsid w:val="00A907DE"/>
    <w:rsid w:val="00A90FC5"/>
    <w:rsid w:val="00A938C7"/>
    <w:rsid w:val="00A95EB0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3F5F"/>
    <w:rsid w:val="00AB4A75"/>
    <w:rsid w:val="00AB5A67"/>
    <w:rsid w:val="00AB5A91"/>
    <w:rsid w:val="00AB6717"/>
    <w:rsid w:val="00AC0A59"/>
    <w:rsid w:val="00AC2267"/>
    <w:rsid w:val="00AC613B"/>
    <w:rsid w:val="00AC721F"/>
    <w:rsid w:val="00AC78CA"/>
    <w:rsid w:val="00AD2BDC"/>
    <w:rsid w:val="00AD3CA9"/>
    <w:rsid w:val="00AD43E2"/>
    <w:rsid w:val="00AD5D5A"/>
    <w:rsid w:val="00AD7030"/>
    <w:rsid w:val="00AE087D"/>
    <w:rsid w:val="00AE387D"/>
    <w:rsid w:val="00AE4A2C"/>
    <w:rsid w:val="00AE4A93"/>
    <w:rsid w:val="00AE4F3E"/>
    <w:rsid w:val="00AE5606"/>
    <w:rsid w:val="00AE5899"/>
    <w:rsid w:val="00AE6B76"/>
    <w:rsid w:val="00AF1890"/>
    <w:rsid w:val="00AF1F50"/>
    <w:rsid w:val="00AF1FA0"/>
    <w:rsid w:val="00AF2B12"/>
    <w:rsid w:val="00AF317E"/>
    <w:rsid w:val="00AF35FF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17D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052D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309B6"/>
    <w:rsid w:val="00B30D62"/>
    <w:rsid w:val="00B31D55"/>
    <w:rsid w:val="00B3753F"/>
    <w:rsid w:val="00B379FC"/>
    <w:rsid w:val="00B37DFD"/>
    <w:rsid w:val="00B4166E"/>
    <w:rsid w:val="00B425FB"/>
    <w:rsid w:val="00B4286A"/>
    <w:rsid w:val="00B42BC6"/>
    <w:rsid w:val="00B47721"/>
    <w:rsid w:val="00B51375"/>
    <w:rsid w:val="00B528EA"/>
    <w:rsid w:val="00B532FD"/>
    <w:rsid w:val="00B54EFE"/>
    <w:rsid w:val="00B552D5"/>
    <w:rsid w:val="00B55BEB"/>
    <w:rsid w:val="00B60E8B"/>
    <w:rsid w:val="00B6242E"/>
    <w:rsid w:val="00B64D66"/>
    <w:rsid w:val="00B64EA4"/>
    <w:rsid w:val="00B71156"/>
    <w:rsid w:val="00B73DF8"/>
    <w:rsid w:val="00B7445D"/>
    <w:rsid w:val="00B74EB4"/>
    <w:rsid w:val="00B763EA"/>
    <w:rsid w:val="00B76A6A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0FA9"/>
    <w:rsid w:val="00BA1CA4"/>
    <w:rsid w:val="00BA30ED"/>
    <w:rsid w:val="00BA3134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2F3"/>
    <w:rsid w:val="00BB55E9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27EE"/>
    <w:rsid w:val="00BD41E7"/>
    <w:rsid w:val="00BD48DD"/>
    <w:rsid w:val="00BD5BD8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201A"/>
    <w:rsid w:val="00BF25FB"/>
    <w:rsid w:val="00BF4453"/>
    <w:rsid w:val="00BF4C86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34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3EDF"/>
    <w:rsid w:val="00C14777"/>
    <w:rsid w:val="00C14C21"/>
    <w:rsid w:val="00C15FE9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347C"/>
    <w:rsid w:val="00C54A40"/>
    <w:rsid w:val="00C54AEA"/>
    <w:rsid w:val="00C550A7"/>
    <w:rsid w:val="00C55842"/>
    <w:rsid w:val="00C56DB8"/>
    <w:rsid w:val="00C571EE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1224"/>
    <w:rsid w:val="00C950D4"/>
    <w:rsid w:val="00C952D5"/>
    <w:rsid w:val="00C96978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4FFE"/>
    <w:rsid w:val="00CC5704"/>
    <w:rsid w:val="00CC5851"/>
    <w:rsid w:val="00CC5AC6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631"/>
    <w:rsid w:val="00D2182C"/>
    <w:rsid w:val="00D22E06"/>
    <w:rsid w:val="00D23BAC"/>
    <w:rsid w:val="00D2454F"/>
    <w:rsid w:val="00D247C0"/>
    <w:rsid w:val="00D256C4"/>
    <w:rsid w:val="00D25A92"/>
    <w:rsid w:val="00D25D7A"/>
    <w:rsid w:val="00D261E7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1319"/>
    <w:rsid w:val="00D43277"/>
    <w:rsid w:val="00D434A8"/>
    <w:rsid w:val="00D43EAB"/>
    <w:rsid w:val="00D44CF0"/>
    <w:rsid w:val="00D45F83"/>
    <w:rsid w:val="00D4627A"/>
    <w:rsid w:val="00D4680A"/>
    <w:rsid w:val="00D479C1"/>
    <w:rsid w:val="00D50BDF"/>
    <w:rsid w:val="00D52C83"/>
    <w:rsid w:val="00D53510"/>
    <w:rsid w:val="00D53D3D"/>
    <w:rsid w:val="00D5478A"/>
    <w:rsid w:val="00D5488D"/>
    <w:rsid w:val="00D57C8B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BA9"/>
    <w:rsid w:val="00D81DB8"/>
    <w:rsid w:val="00D856B2"/>
    <w:rsid w:val="00D856EB"/>
    <w:rsid w:val="00D857EE"/>
    <w:rsid w:val="00D9034A"/>
    <w:rsid w:val="00D90712"/>
    <w:rsid w:val="00D94027"/>
    <w:rsid w:val="00D94EBE"/>
    <w:rsid w:val="00D95190"/>
    <w:rsid w:val="00D96571"/>
    <w:rsid w:val="00D96C6E"/>
    <w:rsid w:val="00D977E3"/>
    <w:rsid w:val="00DA0444"/>
    <w:rsid w:val="00DA2A5D"/>
    <w:rsid w:val="00DA2B44"/>
    <w:rsid w:val="00DA2D2A"/>
    <w:rsid w:val="00DA2D65"/>
    <w:rsid w:val="00DA303C"/>
    <w:rsid w:val="00DA37BC"/>
    <w:rsid w:val="00DA4F32"/>
    <w:rsid w:val="00DA5EE8"/>
    <w:rsid w:val="00DA6CFF"/>
    <w:rsid w:val="00DA7175"/>
    <w:rsid w:val="00DA753F"/>
    <w:rsid w:val="00DA7625"/>
    <w:rsid w:val="00DA79A9"/>
    <w:rsid w:val="00DB304A"/>
    <w:rsid w:val="00DB4920"/>
    <w:rsid w:val="00DB4A0A"/>
    <w:rsid w:val="00DB7E60"/>
    <w:rsid w:val="00DC2EC5"/>
    <w:rsid w:val="00DC4E3B"/>
    <w:rsid w:val="00DC6012"/>
    <w:rsid w:val="00DD114E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46BB"/>
    <w:rsid w:val="00DE52BF"/>
    <w:rsid w:val="00DE7D00"/>
    <w:rsid w:val="00DF09E2"/>
    <w:rsid w:val="00DF17EF"/>
    <w:rsid w:val="00DF3165"/>
    <w:rsid w:val="00DF371E"/>
    <w:rsid w:val="00DF61A8"/>
    <w:rsid w:val="00DF6407"/>
    <w:rsid w:val="00DF6561"/>
    <w:rsid w:val="00DF6613"/>
    <w:rsid w:val="00DF7557"/>
    <w:rsid w:val="00E002D6"/>
    <w:rsid w:val="00E02A70"/>
    <w:rsid w:val="00E03154"/>
    <w:rsid w:val="00E039D5"/>
    <w:rsid w:val="00E052B7"/>
    <w:rsid w:val="00E062A4"/>
    <w:rsid w:val="00E06BA3"/>
    <w:rsid w:val="00E0784E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20324"/>
    <w:rsid w:val="00E20A1E"/>
    <w:rsid w:val="00E219D2"/>
    <w:rsid w:val="00E222B2"/>
    <w:rsid w:val="00E24628"/>
    <w:rsid w:val="00E26402"/>
    <w:rsid w:val="00E26A3B"/>
    <w:rsid w:val="00E305BA"/>
    <w:rsid w:val="00E30654"/>
    <w:rsid w:val="00E30E61"/>
    <w:rsid w:val="00E31C05"/>
    <w:rsid w:val="00E326A4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33ED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2129"/>
    <w:rsid w:val="00EB2266"/>
    <w:rsid w:val="00EB2BC1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6B63"/>
    <w:rsid w:val="00ED76A6"/>
    <w:rsid w:val="00ED7861"/>
    <w:rsid w:val="00ED7DF6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186C"/>
    <w:rsid w:val="00F024CC"/>
    <w:rsid w:val="00F02534"/>
    <w:rsid w:val="00F04767"/>
    <w:rsid w:val="00F05BBE"/>
    <w:rsid w:val="00F061E5"/>
    <w:rsid w:val="00F06D0B"/>
    <w:rsid w:val="00F0728A"/>
    <w:rsid w:val="00F07413"/>
    <w:rsid w:val="00F07551"/>
    <w:rsid w:val="00F10153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5211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613D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1076"/>
    <w:rsid w:val="00F82397"/>
    <w:rsid w:val="00F83546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25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4DC5"/>
    <w:rsid w:val="00FD548F"/>
    <w:rsid w:val="00FD756F"/>
    <w:rsid w:val="00FE0634"/>
    <w:rsid w:val="00FE35D2"/>
    <w:rsid w:val="00FE443D"/>
    <w:rsid w:val="00FE5424"/>
    <w:rsid w:val="00FE694C"/>
    <w:rsid w:val="00FE7A0E"/>
    <w:rsid w:val="00FE7F05"/>
    <w:rsid w:val="00FF110E"/>
    <w:rsid w:val="00FF1C5F"/>
    <w:rsid w:val="00FF2443"/>
    <w:rsid w:val="00FF29A2"/>
    <w:rsid w:val="00FF3C2C"/>
    <w:rsid w:val="00FF40BD"/>
    <w:rsid w:val="00FF4518"/>
    <w:rsid w:val="00FF4603"/>
    <w:rsid w:val="00FF6A8D"/>
    <w:rsid w:val="00FF6CA9"/>
    <w:rsid w:val="00FF6ED8"/>
    <w:rsid w:val="00FF722C"/>
    <w:rsid w:val="2758BD93"/>
    <w:rsid w:val="3399FE96"/>
    <w:rsid w:val="63C83C43"/>
    <w:rsid w:val="73208A03"/>
    <w:rsid w:val="7B96F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76AE54"/>
  <w15:docId w15:val="{04A354D1-4042-42F4-8FE3-0F51368E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473"/>
    <w:pPr>
      <w:spacing w:after="160" w:line="259" w:lineRule="auto"/>
    </w:pPr>
    <w:rPr>
      <w:kern w:val="2"/>
      <w:sz w:val="22"/>
      <w:szCs w:val="22"/>
      <w:lang w:val="en-GB"/>
      <w14:ligatures w14:val="standardContextual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5D12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F0731" w:themeColor="text2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5D127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3F0731" w:themeColor="text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5D1276"/>
    <w:pPr>
      <w:keepNext/>
      <w:keepLines/>
      <w:spacing w:before="240"/>
      <w:outlineLvl w:val="2"/>
    </w:pPr>
    <w:rPr>
      <w:rFonts w:eastAsiaTheme="majorEastAsia" w:cstheme="majorBidi"/>
      <w:color w:val="3F0731" w:themeColor="text2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D1276"/>
    <w:pPr>
      <w:keepNext/>
      <w:keepLines/>
      <w:numPr>
        <w:ilvl w:val="3"/>
        <w:numId w:val="13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2CB9FF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5D1276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BF00BF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5D1276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7F007F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5D1276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F007F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5D1276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5D1276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32647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26473"/>
  </w:style>
  <w:style w:type="paragraph" w:customStyle="1" w:styleId="TableColumnHeading">
    <w:name w:val="Table Column Heading"/>
    <w:basedOn w:val="BodyText"/>
    <w:uiPriority w:val="7"/>
    <w:qFormat/>
    <w:rsid w:val="005D1276"/>
    <w:pPr>
      <w:spacing w:before="60" w:after="60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5D12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1276"/>
    <w:rPr>
      <w:kern w:val="2"/>
      <w:sz w:val="22"/>
      <w:szCs w:val="22"/>
      <w:lang w:val="en-GB"/>
      <w14:ligatures w14:val="standardContextual"/>
    </w:rPr>
  </w:style>
  <w:style w:type="paragraph" w:customStyle="1" w:styleId="TableColumnHeadingRight">
    <w:name w:val="Table Column Heading Right"/>
    <w:basedOn w:val="TableColumnHeading"/>
    <w:uiPriority w:val="7"/>
    <w:qFormat/>
    <w:rsid w:val="005D1276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5D1276"/>
    <w:pPr>
      <w:keepNext/>
      <w:spacing w:before="480"/>
      <w:outlineLvl w:val="0"/>
    </w:pPr>
    <w:rPr>
      <w:rFonts w:asciiTheme="majorHAnsi" w:hAnsiTheme="majorHAnsi"/>
      <w:b/>
      <w:noProof/>
      <w:color w:val="3F0731" w:themeColor="text2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5D1276"/>
    <w:pPr>
      <w:jc w:val="right"/>
    </w:pPr>
  </w:style>
  <w:style w:type="character" w:customStyle="1" w:styleId="Bold">
    <w:name w:val="Bold"/>
    <w:basedOn w:val="DefaultParagraphFont"/>
    <w:uiPriority w:val="2"/>
    <w:qFormat/>
    <w:rsid w:val="005D1276"/>
    <w:rPr>
      <w:rFonts w:asciiTheme="minorHAnsi" w:hAnsiTheme="minorHAnsi"/>
      <w:b/>
      <w:i w:val="0"/>
      <w:color w:val="000000" w:themeColor="text1"/>
    </w:rPr>
  </w:style>
  <w:style w:type="paragraph" w:customStyle="1" w:styleId="DocumentTitle">
    <w:name w:val="Document Title"/>
    <w:next w:val="DocumentSubtitle"/>
    <w:uiPriority w:val="26"/>
    <w:rsid w:val="005D1276"/>
    <w:pPr>
      <w:framePr w:w="8108" w:wrap="notBeside" w:vAnchor="page" w:hAnchor="page" w:x="710" w:y="2149" w:anchorLock="1"/>
      <w:ind w:right="306"/>
    </w:pPr>
    <w:rPr>
      <w:rFonts w:asciiTheme="majorHAnsi" w:hAnsiTheme="majorHAnsi"/>
      <w:b/>
      <w:bCs/>
      <w:color w:val="000000" w:themeColor="text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D1276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2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276"/>
    <w:rPr>
      <w:rFonts w:ascii="Tahoma" w:hAnsi="Tahoma" w:cs="Tahoma"/>
      <w:kern w:val="2"/>
      <w:sz w:val="16"/>
      <w:szCs w:val="16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D1276"/>
    <w:rPr>
      <w:noProof/>
      <w:kern w:val="2"/>
      <w:sz w:val="18"/>
      <w:szCs w:val="22"/>
      <w:lang w:val="en-GB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4"/>
    <w:rsid w:val="005D1276"/>
    <w:rPr>
      <w:rFonts w:asciiTheme="majorHAnsi" w:eastAsiaTheme="majorEastAsia" w:hAnsiTheme="majorHAnsi" w:cstheme="majorBidi"/>
      <w:b/>
      <w:bCs/>
      <w:color w:val="3F0731" w:themeColor="text2"/>
      <w:kern w:val="2"/>
      <w:sz w:val="28"/>
      <w:szCs w:val="28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4"/>
    <w:rsid w:val="005D1276"/>
    <w:rPr>
      <w:rFonts w:asciiTheme="majorHAnsi" w:eastAsiaTheme="majorEastAsia" w:hAnsiTheme="majorHAnsi" w:cstheme="majorBidi"/>
      <w:b/>
      <w:bCs/>
      <w:color w:val="3F0731" w:themeColor="text2"/>
      <w:kern w:val="2"/>
      <w:sz w:val="28"/>
      <w:szCs w:val="26"/>
      <w:lang w:val="en-GB"/>
      <w14:ligatures w14:val="standardContextual"/>
    </w:rPr>
  </w:style>
  <w:style w:type="table" w:styleId="TableGrid">
    <w:name w:val="Table Grid"/>
    <w:basedOn w:val="TableNormal"/>
    <w:uiPriority w:val="59"/>
    <w:rsid w:val="005D127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5D1276"/>
    <w:pPr>
      <w:spacing w:before="60" w:after="60"/>
    </w:pPr>
    <w:rPr>
      <w:rFonts w:ascii="Arial" w:hAnsi="Arial"/>
      <w:lang w:eastAsia="en-NZ"/>
    </w:rPr>
  </w:style>
  <w:style w:type="paragraph" w:styleId="ListBullet">
    <w:name w:val="List Bullet"/>
    <w:basedOn w:val="Normal"/>
    <w:uiPriority w:val="99"/>
    <w:semiHidden/>
    <w:rsid w:val="005D127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5D127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5D127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5D127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5D1276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5D127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5D12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5D12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5D12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5D1276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5D12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5D12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5D12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5D12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5D1276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1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1276"/>
  </w:style>
  <w:style w:type="character" w:customStyle="1" w:styleId="CommentTextChar">
    <w:name w:val="Comment Text Char"/>
    <w:basedOn w:val="DefaultParagraphFont"/>
    <w:link w:val="CommentText"/>
    <w:uiPriority w:val="99"/>
    <w:rsid w:val="005D1276"/>
    <w:rPr>
      <w:kern w:val="2"/>
      <w:sz w:val="22"/>
      <w:szCs w:val="22"/>
      <w:lang w:val="en-GB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276"/>
    <w:rPr>
      <w:b/>
      <w:bCs/>
      <w:kern w:val="2"/>
      <w:sz w:val="22"/>
      <w:szCs w:val="22"/>
      <w:lang w:val="en-GB"/>
      <w14:ligatures w14:val="standardContextual"/>
    </w:rPr>
  </w:style>
  <w:style w:type="character" w:styleId="Emphasis">
    <w:name w:val="Emphasis"/>
    <w:basedOn w:val="DefaultParagraphFont"/>
    <w:uiPriority w:val="27"/>
    <w:qFormat/>
    <w:rsid w:val="005D1276"/>
    <w:rPr>
      <w:rFonts w:ascii="Arial" w:hAnsi="Arial"/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5D1276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5D1276"/>
    <w:rPr>
      <w:rFonts w:eastAsiaTheme="majorEastAsia" w:cstheme="majorBidi"/>
      <w:color w:val="3F0731" w:themeColor="text2"/>
      <w:kern w:val="2"/>
      <w:sz w:val="24"/>
      <w:szCs w:val="24"/>
      <w:lang w:val="en-GB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5D1276"/>
    <w:rPr>
      <w:rFonts w:asciiTheme="majorHAnsi" w:eastAsiaTheme="majorEastAsia" w:hAnsiTheme="majorHAnsi" w:cstheme="majorBidi"/>
      <w:color w:val="BF00BF" w:themeColor="accent1" w:themeShade="BF"/>
      <w:kern w:val="2"/>
      <w:sz w:val="22"/>
      <w:szCs w:val="22"/>
      <w:lang w:val="en-GB"/>
      <w14:ligatures w14:val="standardContextual"/>
    </w:rPr>
  </w:style>
  <w:style w:type="paragraph" w:customStyle="1" w:styleId="Bullet1">
    <w:name w:val="Bullet 1"/>
    <w:basedOn w:val="BodyText"/>
    <w:uiPriority w:val="1"/>
    <w:qFormat/>
    <w:rsid w:val="005D1276"/>
    <w:pPr>
      <w:numPr>
        <w:numId w:val="14"/>
      </w:numPr>
    </w:pPr>
  </w:style>
  <w:style w:type="paragraph" w:customStyle="1" w:styleId="Bullet2">
    <w:name w:val="Bullet 2"/>
    <w:basedOn w:val="BodyText"/>
    <w:uiPriority w:val="1"/>
    <w:qFormat/>
    <w:rsid w:val="005D1276"/>
    <w:pPr>
      <w:numPr>
        <w:numId w:val="15"/>
      </w:numPr>
    </w:pPr>
  </w:style>
  <w:style w:type="paragraph" w:customStyle="1" w:styleId="Bullet3">
    <w:name w:val="Bullet 3"/>
    <w:basedOn w:val="BodyText"/>
    <w:uiPriority w:val="1"/>
    <w:qFormat/>
    <w:rsid w:val="005D1276"/>
    <w:pPr>
      <w:numPr>
        <w:numId w:val="16"/>
      </w:numPr>
    </w:pPr>
  </w:style>
  <w:style w:type="paragraph" w:customStyle="1" w:styleId="NumberedBullet1">
    <w:name w:val="Numbered Bullet 1"/>
    <w:basedOn w:val="BodyText"/>
    <w:uiPriority w:val="5"/>
    <w:qFormat/>
    <w:rsid w:val="005D1276"/>
    <w:pPr>
      <w:numPr>
        <w:numId w:val="17"/>
      </w:numPr>
      <w:spacing w:before="60" w:after="60"/>
    </w:pPr>
  </w:style>
  <w:style w:type="paragraph" w:customStyle="1" w:styleId="NumberedBullet2">
    <w:name w:val="Numbered Bullet 2"/>
    <w:basedOn w:val="BodyText"/>
    <w:uiPriority w:val="5"/>
    <w:qFormat/>
    <w:rsid w:val="005D1276"/>
    <w:pPr>
      <w:numPr>
        <w:ilvl w:val="1"/>
        <w:numId w:val="17"/>
      </w:numPr>
      <w:tabs>
        <w:tab w:val="left" w:pos="709"/>
      </w:tabs>
    </w:pPr>
  </w:style>
  <w:style w:type="paragraph" w:customStyle="1" w:styleId="NumberedBullet3">
    <w:name w:val="Numbered Bullet 3"/>
    <w:basedOn w:val="BodyText"/>
    <w:uiPriority w:val="5"/>
    <w:qFormat/>
    <w:rsid w:val="005D1276"/>
    <w:pPr>
      <w:numPr>
        <w:ilvl w:val="2"/>
        <w:numId w:val="17"/>
      </w:numPr>
      <w:tabs>
        <w:tab w:val="left" w:pos="1276"/>
      </w:tabs>
    </w:pPr>
  </w:style>
  <w:style w:type="numbering" w:customStyle="1" w:styleId="NumberedBulletsList">
    <w:name w:val="Numbered Bullets List"/>
    <w:uiPriority w:val="99"/>
    <w:rsid w:val="005D1276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5D1276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5D1276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5D1276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5D1276"/>
    <w:pPr>
      <w:keepNext/>
      <w:keepLines/>
      <w:pBdr>
        <w:top w:val="single" w:sz="2" w:space="2" w:color="FF00FF" w:themeColor="accent1"/>
        <w:left w:val="single" w:sz="2" w:space="4" w:color="FF00FF" w:themeColor="accent1"/>
        <w:bottom w:val="single" w:sz="2" w:space="2" w:color="FF00FF" w:themeColor="accent1"/>
        <w:right w:val="single" w:sz="2" w:space="4" w:color="FF00FF" w:themeColor="accent1"/>
      </w:pBdr>
      <w:shd w:val="clear" w:color="auto" w:fill="FF00FF" w:themeFill="accent1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5D1276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5D1276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5D1276"/>
    <w:rPr>
      <w:rFonts w:asciiTheme="majorHAnsi" w:eastAsiaTheme="majorEastAsia" w:hAnsiTheme="majorHAnsi" w:cstheme="majorBidi"/>
      <w:b/>
      <w:iCs/>
      <w:color w:val="2CB9FF" w:themeColor="accent2"/>
      <w:kern w:val="2"/>
      <w:sz w:val="22"/>
      <w:szCs w:val="22"/>
      <w:lang w:val="en-GB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5D1276"/>
    <w:rPr>
      <w:rFonts w:asciiTheme="majorHAnsi" w:eastAsiaTheme="majorEastAsia" w:hAnsiTheme="majorHAnsi" w:cstheme="majorBidi"/>
      <w:color w:val="7F007F" w:themeColor="accent1" w:themeShade="7F"/>
      <w:kern w:val="2"/>
      <w:sz w:val="22"/>
      <w:szCs w:val="22"/>
      <w:lang w:val="en-GB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5D1276"/>
    <w:rPr>
      <w:rFonts w:asciiTheme="majorHAnsi" w:eastAsiaTheme="majorEastAsia" w:hAnsiTheme="majorHAnsi" w:cstheme="majorBidi"/>
      <w:i/>
      <w:iCs/>
      <w:color w:val="7F007F" w:themeColor="accent1" w:themeShade="7F"/>
      <w:kern w:val="2"/>
      <w:sz w:val="22"/>
      <w:szCs w:val="22"/>
      <w:lang w:val="en-GB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5D1276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val="en-GB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5D1276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val="en-GB"/>
      <w14:ligatures w14:val="standardContextual"/>
    </w:rPr>
  </w:style>
  <w:style w:type="paragraph" w:styleId="Title">
    <w:name w:val="Title"/>
    <w:basedOn w:val="Normal"/>
    <w:next w:val="Normal"/>
    <w:link w:val="TitleChar"/>
    <w:uiPriority w:val="25"/>
    <w:qFormat/>
    <w:rsid w:val="005D12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rsid w:val="005D127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paragraph" w:customStyle="1" w:styleId="TableRowHeading">
    <w:name w:val="Table Row Heading"/>
    <w:basedOn w:val="TableBody"/>
    <w:uiPriority w:val="7"/>
    <w:qFormat/>
    <w:rsid w:val="005D1276"/>
    <w:rPr>
      <w:b/>
    </w:rPr>
  </w:style>
  <w:style w:type="character" w:customStyle="1" w:styleId="HighlightAccent4">
    <w:name w:val="Highlight Accent 4"/>
    <w:basedOn w:val="DefaultParagraphFont"/>
    <w:uiPriority w:val="9"/>
    <w:qFormat/>
    <w:rsid w:val="005D1276"/>
    <w:rPr>
      <w:rFonts w:asciiTheme="minorHAnsi" w:hAnsiTheme="minorHAnsi"/>
      <w:color w:val="000000" w:themeColor="text1"/>
      <w:bdr w:val="none" w:sz="0" w:space="0" w:color="auto"/>
      <w:shd w:val="clear" w:color="auto" w:fill="FCF2BE" w:themeFill="accent5" w:themeFillTint="66"/>
    </w:rPr>
  </w:style>
  <w:style w:type="character" w:customStyle="1" w:styleId="HighlightAccent1">
    <w:name w:val="Highlight Accent 1"/>
    <w:basedOn w:val="DefaultParagraphFont"/>
    <w:uiPriority w:val="9"/>
    <w:qFormat/>
    <w:rsid w:val="005D1276"/>
    <w:rPr>
      <w:rFonts w:asciiTheme="minorHAnsi" w:hAnsiTheme="minorHAnsi"/>
      <w:color w:val="000000" w:themeColor="text1"/>
      <w:bdr w:val="none" w:sz="0" w:space="0" w:color="auto"/>
      <w:shd w:val="clear" w:color="auto" w:fill="FF99FF" w:themeFill="accent1" w:themeFillTint="66"/>
    </w:rPr>
  </w:style>
  <w:style w:type="character" w:customStyle="1" w:styleId="HighlightAccent3">
    <w:name w:val="Highlight Accent 3"/>
    <w:basedOn w:val="DefaultParagraphFont"/>
    <w:uiPriority w:val="9"/>
    <w:qFormat/>
    <w:rsid w:val="005D1276"/>
    <w:rPr>
      <w:rFonts w:asciiTheme="minorHAnsi" w:hAnsiTheme="minorHAnsi"/>
      <w:color w:val="000000" w:themeColor="text1"/>
      <w:bdr w:val="none" w:sz="0" w:space="0" w:color="auto"/>
      <w:shd w:val="clear" w:color="auto" w:fill="C5F5BE" w:themeFill="accent6" w:themeFillTint="66"/>
    </w:rPr>
  </w:style>
  <w:style w:type="table" w:customStyle="1" w:styleId="NESO">
    <w:name w:val="NESO"/>
    <w:basedOn w:val="TableNormal"/>
    <w:uiPriority w:val="99"/>
    <w:rsid w:val="005D1276"/>
    <w:pPr>
      <w:spacing w:before="60" w:after="60"/>
    </w:pPr>
    <w:tblPr>
      <w:tblBorders>
        <w:top w:val="single" w:sz="4" w:space="0" w:color="FF00FF"/>
        <w:bottom w:val="single" w:sz="4" w:space="0" w:color="FF00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F00FF" w:themeColor="accent1"/>
          <w:left w:val="nil"/>
          <w:bottom w:val="single" w:sz="8" w:space="0" w:color="FF00FF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F00FF" w:themeColor="accent1"/>
          <w:bottom w:val="single" w:sz="4" w:space="0" w:color="FF00FF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5D1276"/>
    <w:rPr>
      <w:color w:val="000000" w:themeColor="text1"/>
      <w:u w:val="single"/>
    </w:rPr>
  </w:style>
  <w:style w:type="paragraph" w:styleId="ListParagraph">
    <w:name w:val="List Paragraph"/>
    <w:basedOn w:val="Normal"/>
    <w:uiPriority w:val="35"/>
    <w:qFormat/>
    <w:rsid w:val="005D1276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5D1276"/>
    <w:pPr>
      <w:numPr>
        <w:numId w:val="18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5D1276"/>
    <w:rPr>
      <w:rFonts w:asciiTheme="minorHAnsi" w:hAnsiTheme="minorHAnsi"/>
      <w:color w:val="000000" w:themeColor="text1"/>
      <w:bdr w:val="none" w:sz="0" w:space="0" w:color="auto"/>
      <w:shd w:val="clear" w:color="auto" w:fill="AAE2FF" w:themeFill="accent2" w:themeFillTint="66"/>
    </w:rPr>
  </w:style>
  <w:style w:type="character" w:customStyle="1" w:styleId="BoldItalic">
    <w:name w:val="Bold Italic"/>
    <w:basedOn w:val="DefaultParagraphFont"/>
    <w:uiPriority w:val="2"/>
    <w:rsid w:val="005D1276"/>
    <w:rPr>
      <w:b/>
      <w:i/>
    </w:rPr>
  </w:style>
  <w:style w:type="paragraph" w:styleId="NoSpacing">
    <w:name w:val="No Spacing"/>
    <w:next w:val="BodyText"/>
    <w:rsid w:val="005D1276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5D1276"/>
    <w:pPr>
      <w:tabs>
        <w:tab w:val="right" w:leader="do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5D1276"/>
    <w:pPr>
      <w:tabs>
        <w:tab w:val="right" w:leader="dot" w:pos="10194"/>
      </w:tabs>
      <w:spacing w:before="240" w:after="0"/>
    </w:pPr>
    <w:rPr>
      <w:rFonts w:cstheme="minorHAnsi"/>
      <w:noProof/>
      <w:color w:val="3F0731" w:themeColor="text2"/>
      <w:szCs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5D1276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5D1276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5D1276"/>
    <w:rPr>
      <w:color w:val="3F0731" w:themeColor="text2"/>
      <w:sz w:val="24"/>
    </w:rPr>
  </w:style>
  <w:style w:type="paragraph" w:customStyle="1" w:styleId="FrameBody">
    <w:name w:val="Frame Body"/>
    <w:basedOn w:val="FrameHeading"/>
    <w:uiPriority w:val="13"/>
    <w:rsid w:val="005D1276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5D1276"/>
    <w:rPr>
      <w:color w:val="000000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5D1276"/>
    <w:rPr>
      <w:color w:val="000000" w:themeColor="text1"/>
      <w:lang w:val="en-GB"/>
    </w:rPr>
  </w:style>
  <w:style w:type="numbering" w:customStyle="1" w:styleId="Bullets">
    <w:name w:val="Bullets"/>
    <w:uiPriority w:val="99"/>
    <w:rsid w:val="005D1276"/>
    <w:pPr>
      <w:numPr>
        <w:numId w:val="12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5D1276"/>
    <w:pPr>
      <w:keepNext/>
      <w:keepLines/>
      <w:spacing w:before="120"/>
    </w:pPr>
    <w:rPr>
      <w:rFonts w:cstheme="majorHAnsi"/>
      <w:b/>
      <w:color w:val="3F0731" w:themeColor="text2"/>
    </w:rPr>
  </w:style>
  <w:style w:type="paragraph" w:customStyle="1" w:styleId="ShadedBody">
    <w:name w:val="Shaded Body"/>
    <w:basedOn w:val="ShadedHeading"/>
    <w:uiPriority w:val="11"/>
    <w:rsid w:val="005D1276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5D1276"/>
    <w:pPr>
      <w:keepNext/>
      <w:keepLines/>
      <w:framePr w:w="2268" w:hSpace="170" w:wrap="around" w:vAnchor="text" w:hAnchor="page" w:x="8841" w:y="1"/>
      <w:pBdr>
        <w:top w:val="single" w:sz="8" w:space="2" w:color="FF00FF" w:themeColor="accent1"/>
        <w:left w:val="single" w:sz="8" w:space="3" w:color="FF00FF" w:themeColor="accent1"/>
        <w:bottom w:val="single" w:sz="8" w:space="2" w:color="FF00FF" w:themeColor="accent1"/>
        <w:right w:val="single" w:sz="8" w:space="3" w:color="FF00FF" w:themeColor="accent1"/>
      </w:pBdr>
      <w:shd w:val="clear" w:color="auto" w:fill="FF00FF" w:themeFill="accent1"/>
    </w:pPr>
    <w:rPr>
      <w:b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5D1276"/>
    <w:rPr>
      <w:kern w:val="2"/>
      <w:sz w:val="22"/>
      <w:szCs w:val="22"/>
      <w:lang w:val="en-GB"/>
      <w14:ligatures w14:val="standardContextual"/>
    </w:rPr>
  </w:style>
  <w:style w:type="character" w:customStyle="1" w:styleId="DateofpapersChar">
    <w:name w:val="Date of papers Char"/>
    <w:basedOn w:val="FooterChar"/>
    <w:link w:val="Dateofpapers"/>
    <w:uiPriority w:val="99"/>
    <w:rsid w:val="005D1276"/>
    <w:rPr>
      <w:kern w:val="2"/>
      <w:sz w:val="22"/>
      <w:szCs w:val="22"/>
      <w:lang w:val="en-GB"/>
      <w14:ligatures w14:val="standardContextual"/>
    </w:rPr>
  </w:style>
  <w:style w:type="paragraph" w:customStyle="1" w:styleId="CVName">
    <w:name w:val="CV Name"/>
    <w:basedOn w:val="BodyText"/>
    <w:uiPriority w:val="99"/>
    <w:qFormat/>
    <w:rsid w:val="005D1276"/>
    <w:pPr>
      <w:spacing w:before="60" w:after="0"/>
    </w:pPr>
    <w:rPr>
      <w:b/>
      <w:bCs/>
      <w:color w:val="3F0731" w:themeColor="text2"/>
      <w:sz w:val="22"/>
    </w:rPr>
  </w:style>
  <w:style w:type="paragraph" w:customStyle="1" w:styleId="CVlocation">
    <w:name w:val="CV location"/>
    <w:basedOn w:val="BodyText"/>
    <w:uiPriority w:val="99"/>
    <w:rsid w:val="005D1276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qFormat/>
    <w:rsid w:val="005D1276"/>
    <w:pPr>
      <w:spacing w:after="0"/>
    </w:pPr>
  </w:style>
  <w:style w:type="paragraph" w:customStyle="1" w:styleId="Backcoverdisclaimer">
    <w:name w:val="Back cover disclaimer"/>
    <w:basedOn w:val="Footer"/>
    <w:uiPriority w:val="99"/>
    <w:qFormat/>
    <w:rsid w:val="005D1276"/>
    <w:pPr>
      <w:tabs>
        <w:tab w:val="clear" w:pos="4513"/>
        <w:tab w:val="clear" w:pos="9026"/>
      </w:tabs>
      <w:spacing w:after="160"/>
    </w:pPr>
    <w:rPr>
      <w:noProof/>
      <w:sz w:val="18"/>
    </w:rPr>
  </w:style>
  <w:style w:type="paragraph" w:customStyle="1" w:styleId="Disclaimertext">
    <w:name w:val="Disclaimer text"/>
    <w:basedOn w:val="Backcoverdisclaimer"/>
    <w:uiPriority w:val="99"/>
    <w:rsid w:val="005D1276"/>
  </w:style>
  <w:style w:type="paragraph" w:customStyle="1" w:styleId="SourceNotes">
    <w:name w:val="Source &amp; Notes"/>
    <w:basedOn w:val="BodyText"/>
    <w:uiPriority w:val="99"/>
    <w:qFormat/>
    <w:rsid w:val="005D1276"/>
    <w:pPr>
      <w:tabs>
        <w:tab w:val="left" w:pos="709"/>
      </w:tabs>
      <w:contextualSpacing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D12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276"/>
    <w:rPr>
      <w:color w:val="7A3864" w:themeColor="followedHyperlink"/>
      <w:u w:val="single"/>
    </w:rPr>
  </w:style>
  <w:style w:type="paragraph" w:customStyle="1" w:styleId="SectionHeading">
    <w:name w:val="Section Heading"/>
    <w:basedOn w:val="DocumentTitle"/>
    <w:uiPriority w:val="99"/>
    <w:rsid w:val="005D1276"/>
    <w:pPr>
      <w:framePr w:w="10038" w:wrap="notBeside" w:x="1140" w:y="13885"/>
      <w:ind w:left="1080" w:hanging="720"/>
    </w:pPr>
    <w:rPr>
      <w:color w:val="D43900"/>
      <w:sz w:val="56"/>
      <w:szCs w:val="24"/>
    </w:rPr>
  </w:style>
  <w:style w:type="paragraph" w:customStyle="1" w:styleId="SectionHeader">
    <w:name w:val="Section Header"/>
    <w:basedOn w:val="Normal"/>
    <w:uiPriority w:val="99"/>
    <w:qFormat/>
    <w:rsid w:val="005D1276"/>
    <w:pPr>
      <w:framePr w:w="10038" w:wrap="notBeside" w:vAnchor="page" w:hAnchor="page" w:x="397" w:y="14053" w:anchorLock="1"/>
      <w:numPr>
        <w:numId w:val="19"/>
      </w:numPr>
      <w:spacing w:after="120" w:line="240" w:lineRule="auto"/>
      <w:ind w:right="306"/>
    </w:pPr>
    <w:rPr>
      <w:rFonts w:asciiTheme="majorHAnsi" w:hAnsiTheme="majorHAnsi"/>
      <w:b/>
      <w:bCs/>
      <w:color w:val="000000" w:themeColor="text1"/>
      <w:kern w:val="0"/>
      <w:sz w:val="56"/>
      <w:szCs w:val="24"/>
      <w14:ligatures w14:val="none"/>
    </w:rPr>
  </w:style>
  <w:style w:type="paragraph" w:customStyle="1" w:styleId="SectionSubtitle">
    <w:name w:val="Section Subtitle"/>
    <w:basedOn w:val="Normal"/>
    <w:uiPriority w:val="99"/>
    <w:qFormat/>
    <w:rsid w:val="005D1276"/>
    <w:pPr>
      <w:framePr w:w="10038" w:wrap="notBeside" w:vAnchor="page" w:hAnchor="page" w:x="1140" w:y="13885" w:anchorLock="1"/>
      <w:spacing w:after="120" w:line="240" w:lineRule="auto"/>
      <w:ind w:left="1080" w:right="306" w:hanging="720"/>
    </w:pPr>
    <w:rPr>
      <w:rFonts w:ascii="Arial" w:hAnsi="Arial"/>
      <w:color w:val="636462"/>
      <w:kern w:val="0"/>
      <w:sz w:val="5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5D1276"/>
  </w:style>
  <w:style w:type="paragraph" w:customStyle="1" w:styleId="Shadedheading0">
    <w:name w:val="Shaded heading"/>
    <w:basedOn w:val="SectionHeader"/>
    <w:uiPriority w:val="99"/>
    <w:qFormat/>
    <w:rsid w:val="005D1276"/>
    <w:pPr>
      <w:framePr w:wrap="notBeside"/>
      <w:numPr>
        <w:numId w:val="0"/>
      </w:numPr>
      <w:ind w:left="284" w:right="259"/>
    </w:pPr>
    <w:rPr>
      <w:sz w:val="28"/>
      <w:szCs w:val="28"/>
    </w:rPr>
  </w:style>
  <w:style w:type="paragraph" w:customStyle="1" w:styleId="AppendixPageTitle">
    <w:name w:val="Appendix Page Title"/>
    <w:basedOn w:val="PageTitle"/>
    <w:next w:val="BodyText"/>
    <w:uiPriority w:val="99"/>
    <w:qFormat/>
    <w:rsid w:val="005D1276"/>
    <w:pPr>
      <w:pageBreakBefore/>
      <w:framePr w:w="8732" w:wrap="notBeside" w:vAnchor="page" w:hAnchor="page" w:x="1589" w:y="772" w:anchorLock="1"/>
      <w:spacing w:before="240"/>
    </w:pPr>
    <w:rPr>
      <w:noProof w:val="0"/>
      <w:sz w:val="48"/>
    </w:rPr>
  </w:style>
  <w:style w:type="paragraph" w:customStyle="1" w:styleId="CVEmail">
    <w:name w:val="CV Email"/>
    <w:basedOn w:val="BodyText"/>
    <w:uiPriority w:val="99"/>
    <w:qFormat/>
    <w:rsid w:val="005D1276"/>
    <w:pPr>
      <w:tabs>
        <w:tab w:val="center" w:pos="1438"/>
      </w:tabs>
      <w:spacing w:before="60" w:after="0"/>
    </w:pPr>
    <w:rPr>
      <w:color w:val="3F0731" w:themeColor="text2"/>
      <w:sz w:val="18"/>
    </w:rPr>
  </w:style>
  <w:style w:type="paragraph" w:styleId="NormalWeb">
    <w:name w:val="Normal (Web)"/>
    <w:basedOn w:val="Normal"/>
    <w:uiPriority w:val="99"/>
    <w:unhideWhenUsed/>
    <w:rsid w:val="005D12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25"/>
    <w:semiHidden/>
    <w:qFormat/>
    <w:rsid w:val="005D1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5"/>
    <w:semiHidden/>
    <w:rsid w:val="005D1276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paragraph" w:styleId="Quote">
    <w:name w:val="Quote"/>
    <w:basedOn w:val="Normal"/>
    <w:next w:val="Normal"/>
    <w:link w:val="QuoteChar"/>
    <w:uiPriority w:val="30"/>
    <w:semiHidden/>
    <w:qFormat/>
    <w:rsid w:val="005D1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30"/>
    <w:semiHidden/>
    <w:rsid w:val="005D1276"/>
    <w:rPr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8"/>
    <w:semiHidden/>
    <w:qFormat/>
    <w:rsid w:val="005D1276"/>
    <w:rPr>
      <w:i/>
      <w:iCs/>
      <w:color w:val="BF00BF" w:themeColor="accent1" w:themeShade="BF"/>
    </w:rPr>
  </w:style>
  <w:style w:type="character" w:styleId="IntenseReference">
    <w:name w:val="Intense Reference"/>
    <w:basedOn w:val="DefaultParagraphFont"/>
    <w:uiPriority w:val="33"/>
    <w:semiHidden/>
    <w:qFormat/>
    <w:rsid w:val="005D1276"/>
    <w:rPr>
      <w:b/>
      <w:bCs/>
      <w:smallCaps/>
      <w:color w:val="BF00BF" w:themeColor="accent1" w:themeShade="BF"/>
      <w:spacing w:val="5"/>
    </w:rPr>
  </w:style>
  <w:style w:type="table" w:styleId="ListTable2-Accent1">
    <w:name w:val="List Table 2 Accent 1"/>
    <w:basedOn w:val="TableNormal"/>
    <w:uiPriority w:val="47"/>
    <w:rsid w:val="00494DDA"/>
    <w:pPr>
      <w:spacing w:after="0"/>
    </w:pPr>
    <w:tblPr>
      <w:tblStyleRowBandSize w:val="1"/>
      <w:tblStyleColBandSize w:val="1"/>
      <w:tblBorders>
        <w:top w:val="single" w:sz="4" w:space="0" w:color="FF66FF" w:themeColor="accent1" w:themeTint="99"/>
        <w:bottom w:val="single" w:sz="4" w:space="0" w:color="FF66FF" w:themeColor="accent1" w:themeTint="99"/>
        <w:insideH w:val="single" w:sz="4" w:space="0" w:color="FF6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1" w:themeFillTint="33"/>
      </w:tcPr>
    </w:tblStylePr>
    <w:tblStylePr w:type="band1Horz">
      <w:tblPr/>
      <w:tcPr>
        <w:shd w:val="clear" w:color="auto" w:fill="FFCCFF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494DDA"/>
    <w:pPr>
      <w:spacing w:after="0"/>
    </w:pPr>
    <w:rPr>
      <w:color w:val="BF00BF" w:themeColor="accent1" w:themeShade="BF"/>
    </w:rPr>
    <w:tblPr>
      <w:tblStyleRowBandSize w:val="1"/>
      <w:tblStyleColBandSize w:val="1"/>
      <w:tblBorders>
        <w:top w:val="single" w:sz="4" w:space="0" w:color="FF66FF" w:themeColor="accent1" w:themeTint="99"/>
        <w:left w:val="single" w:sz="4" w:space="0" w:color="FF66FF" w:themeColor="accent1" w:themeTint="99"/>
        <w:bottom w:val="single" w:sz="4" w:space="0" w:color="FF66FF" w:themeColor="accent1" w:themeTint="99"/>
        <w:right w:val="single" w:sz="4" w:space="0" w:color="FF66FF" w:themeColor="accent1" w:themeTint="99"/>
        <w:insideH w:val="single" w:sz="4" w:space="0" w:color="FF66FF" w:themeColor="accent1" w:themeTint="99"/>
        <w:insideV w:val="single" w:sz="4" w:space="0" w:color="FF6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1" w:themeFillTint="33"/>
      </w:tcPr>
    </w:tblStylePr>
    <w:tblStylePr w:type="band1Horz">
      <w:tblPr/>
      <w:tcPr>
        <w:shd w:val="clear" w:color="auto" w:fill="FFCCFF" w:themeFill="accent1" w:themeFillTint="33"/>
      </w:tcPr>
    </w:tblStylePr>
    <w:tblStylePr w:type="neCell">
      <w:tblPr/>
      <w:tcPr>
        <w:tcBorders>
          <w:bottom w:val="single" w:sz="4" w:space="0" w:color="FF66FF" w:themeColor="accent1" w:themeTint="99"/>
        </w:tcBorders>
      </w:tcPr>
    </w:tblStylePr>
    <w:tblStylePr w:type="nwCell">
      <w:tblPr/>
      <w:tcPr>
        <w:tcBorders>
          <w:bottom w:val="single" w:sz="4" w:space="0" w:color="FF66FF" w:themeColor="accent1" w:themeTint="99"/>
        </w:tcBorders>
      </w:tcPr>
    </w:tblStylePr>
    <w:tblStylePr w:type="seCell">
      <w:tblPr/>
      <w:tcPr>
        <w:tcBorders>
          <w:top w:val="single" w:sz="4" w:space="0" w:color="FF66FF" w:themeColor="accent1" w:themeTint="99"/>
        </w:tcBorders>
      </w:tcPr>
    </w:tblStylePr>
    <w:tblStylePr w:type="swCell">
      <w:tblPr/>
      <w:tcPr>
        <w:tcBorders>
          <w:top w:val="single" w:sz="4" w:space="0" w:color="FF66FF" w:themeColor="accent1" w:themeTint="99"/>
        </w:tcBorders>
      </w:tcPr>
    </w:tblStylePr>
  </w:style>
  <w:style w:type="table" w:styleId="GridTable5Dark-Accent1">
    <w:name w:val="Grid Table 5 Dark Accent 1"/>
    <w:basedOn w:val="TableNormal"/>
    <w:uiPriority w:val="50"/>
    <w:rsid w:val="00494DD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FF" w:themeFill="accent1"/>
      </w:tcPr>
    </w:tblStylePr>
    <w:tblStylePr w:type="band1Vert">
      <w:tblPr/>
      <w:tcPr>
        <w:shd w:val="clear" w:color="auto" w:fill="FF99FF" w:themeFill="accent1" w:themeFillTint="66"/>
      </w:tcPr>
    </w:tblStylePr>
    <w:tblStylePr w:type="band1Horz">
      <w:tblPr/>
      <w:tcPr>
        <w:shd w:val="clear" w:color="auto" w:fill="FF99FF" w:themeFill="accent1" w:themeFillTint="66"/>
      </w:tcPr>
    </w:tblStylePr>
  </w:style>
  <w:style w:type="paragraph" w:customStyle="1" w:styleId="Default">
    <w:name w:val="Default"/>
    <w:rsid w:val="001709F3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xui-provider">
    <w:name w:val="x_ui-provider"/>
    <w:basedOn w:val="DefaultParagraphFont"/>
    <w:rsid w:val="001709F3"/>
  </w:style>
  <w:style w:type="table" w:styleId="GridTable6Colorful-Accent1">
    <w:name w:val="Grid Table 6 Colorful Accent 1"/>
    <w:basedOn w:val="TableNormal"/>
    <w:uiPriority w:val="51"/>
    <w:rsid w:val="00A8656F"/>
    <w:pPr>
      <w:spacing w:after="0"/>
    </w:pPr>
    <w:rPr>
      <w:color w:val="BF00BF" w:themeColor="accent1" w:themeShade="BF"/>
    </w:rPr>
    <w:tblPr>
      <w:tblStyleRowBandSize w:val="1"/>
      <w:tblStyleColBandSize w:val="1"/>
      <w:tblBorders>
        <w:top w:val="single" w:sz="4" w:space="0" w:color="FF66FF" w:themeColor="accent1" w:themeTint="99"/>
        <w:left w:val="single" w:sz="4" w:space="0" w:color="FF66FF" w:themeColor="accent1" w:themeTint="99"/>
        <w:bottom w:val="single" w:sz="4" w:space="0" w:color="FF66FF" w:themeColor="accent1" w:themeTint="99"/>
        <w:right w:val="single" w:sz="4" w:space="0" w:color="FF66FF" w:themeColor="accent1" w:themeTint="99"/>
        <w:insideH w:val="single" w:sz="4" w:space="0" w:color="FF66FF" w:themeColor="accent1" w:themeTint="99"/>
        <w:insideV w:val="single" w:sz="4" w:space="0" w:color="FF6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1" w:themeFillTint="33"/>
      </w:tcPr>
    </w:tblStylePr>
    <w:tblStylePr w:type="band1Horz">
      <w:tblPr/>
      <w:tcPr>
        <w:shd w:val="clear" w:color="auto" w:fill="FFCCFF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A8656F"/>
    <w:pPr>
      <w:spacing w:after="0"/>
    </w:pPr>
    <w:tblPr>
      <w:tblStyleRowBandSize w:val="1"/>
      <w:tblStyleColBandSize w:val="1"/>
      <w:tblBorders>
        <w:top w:val="single" w:sz="4" w:space="0" w:color="FF66FF" w:themeColor="accent1" w:themeTint="99"/>
        <w:left w:val="single" w:sz="4" w:space="0" w:color="FF66FF" w:themeColor="accent1" w:themeTint="99"/>
        <w:bottom w:val="single" w:sz="4" w:space="0" w:color="FF66FF" w:themeColor="accent1" w:themeTint="99"/>
        <w:right w:val="single" w:sz="4" w:space="0" w:color="FF66FF" w:themeColor="accent1" w:themeTint="99"/>
        <w:insideH w:val="single" w:sz="4" w:space="0" w:color="FF66FF" w:themeColor="accent1" w:themeTint="99"/>
        <w:insideV w:val="single" w:sz="4" w:space="0" w:color="FF6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1" w:themeFillTint="33"/>
      </w:tcPr>
    </w:tblStylePr>
    <w:tblStylePr w:type="band1Horz">
      <w:tblPr/>
      <w:tcPr>
        <w:shd w:val="clear" w:color="auto" w:fill="FFCCFF" w:themeFill="accent1" w:themeFillTint="33"/>
      </w:tcPr>
    </w:tblStylePr>
    <w:tblStylePr w:type="neCell">
      <w:tblPr/>
      <w:tcPr>
        <w:tcBorders>
          <w:bottom w:val="single" w:sz="4" w:space="0" w:color="FF66FF" w:themeColor="accent1" w:themeTint="99"/>
        </w:tcBorders>
      </w:tcPr>
    </w:tblStylePr>
    <w:tblStylePr w:type="nwCell">
      <w:tblPr/>
      <w:tcPr>
        <w:tcBorders>
          <w:bottom w:val="single" w:sz="4" w:space="0" w:color="FF66FF" w:themeColor="accent1" w:themeTint="99"/>
        </w:tcBorders>
      </w:tcPr>
    </w:tblStylePr>
    <w:tblStylePr w:type="seCell">
      <w:tblPr/>
      <w:tcPr>
        <w:tcBorders>
          <w:top w:val="single" w:sz="4" w:space="0" w:color="FF66FF" w:themeColor="accent1" w:themeTint="99"/>
        </w:tcBorders>
      </w:tcPr>
    </w:tblStylePr>
    <w:tblStylePr w:type="swCell">
      <w:tblPr/>
      <w:tcPr>
        <w:tcBorders>
          <w:top w:val="single" w:sz="4" w:space="0" w:color="FF66FF" w:themeColor="accent1" w:themeTint="99"/>
        </w:tcBorders>
      </w:tcPr>
    </w:tblStylePr>
  </w:style>
  <w:style w:type="paragraph" w:styleId="Revision">
    <w:name w:val="Revision"/>
    <w:hidden/>
    <w:uiPriority w:val="99"/>
    <w:semiHidden/>
    <w:rsid w:val="00F25211"/>
    <w:pPr>
      <w:spacing w:after="0"/>
    </w:pPr>
    <w:rPr>
      <w:kern w:val="2"/>
      <w:sz w:val="22"/>
      <w:szCs w:val="2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ESO_Office_Theme_PPT">
  <a:themeElements>
    <a:clrScheme name="NESO">
      <a:dk1>
        <a:sysClr val="windowText" lastClr="000000"/>
      </a:dk1>
      <a:lt1>
        <a:sysClr val="window" lastClr="FFFFFF"/>
      </a:lt1>
      <a:dk2>
        <a:srgbClr val="3F0731"/>
      </a:dk2>
      <a:lt2>
        <a:srgbClr val="070E40"/>
      </a:lt2>
      <a:accent1>
        <a:srgbClr val="FF00FF"/>
      </a:accent1>
      <a:accent2>
        <a:srgbClr val="2CB9FF"/>
      </a:accent2>
      <a:accent3>
        <a:srgbClr val="385B16"/>
      </a:accent3>
      <a:accent4>
        <a:srgbClr val="B0322B"/>
      </a:accent4>
      <a:accent5>
        <a:srgbClr val="F9DF5E"/>
      </a:accent5>
      <a:accent6>
        <a:srgbClr val="70E85E"/>
      </a:accent6>
      <a:hlink>
        <a:srgbClr val="0000FF"/>
      </a:hlink>
      <a:folHlink>
        <a:srgbClr val="7A38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NESO_Office_Theme_PPT" id="{1BE572A3-3079-4C34-9F9E-38632D18EA54}" vid="{A5F4C047-3F68-4E86-A5FC-339EFF72BD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d54b08-95e6-4702-bbaf-9c106da15a3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1005108375849BDAD9E57A342BA8D" ma:contentTypeVersion="10" ma:contentTypeDescription="Create a new document." ma:contentTypeScope="" ma:versionID="0ca44a5936c36147496c86b9d2e92abf">
  <xsd:schema xmlns:xsd="http://www.w3.org/2001/XMLSchema" xmlns:xs="http://www.w3.org/2001/XMLSchema" xmlns:p="http://schemas.microsoft.com/office/2006/metadata/properties" xmlns:ns2="5c92b4fc-dd30-4006-aefe-50c30abe1996" xmlns:ns3="dbd54b08-95e6-4702-bbaf-9c106da15a3d" targetNamespace="http://schemas.microsoft.com/office/2006/metadata/properties" ma:root="true" ma:fieldsID="ed7cb7ac26dc72a80128efed7afe7fd3" ns2:_="" ns3:_="">
    <xsd:import namespace="5c92b4fc-dd30-4006-aefe-50c30abe1996"/>
    <xsd:import namespace="dbd54b08-95e6-4702-bbaf-9c106da15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2b4fc-dd30-4006-aefe-50c30abe1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54b08-95e6-4702-bbaf-9c106da15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44EFE6-547C-46A6-9E02-B11BD741E93E}">
  <ds:schemaRefs>
    <ds:schemaRef ds:uri="http://purl.org/dc/elements/1.1/"/>
    <ds:schemaRef ds:uri="http://schemas.microsoft.com/office/2006/metadata/properties"/>
    <ds:schemaRef ds:uri="dbd54b08-95e6-4702-bbaf-9c106da15a3d"/>
    <ds:schemaRef ds:uri="5c92b4fc-dd30-4006-aefe-50c30abe199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14236D-D5B5-4DD8-AE7E-97151F09A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2b4fc-dd30-4006-aefe-50c30abe1996"/>
    <ds:schemaRef ds:uri="dbd54b08-95e6-4702-bbaf-9c106da15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89CE42-23A1-463E-BD83-1AEDF1B1CA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4215</Characters>
  <Application>Microsoft Office Word</Application>
  <DocSecurity>0</DocSecurity>
  <Lines>35</Lines>
  <Paragraphs>9</Paragraphs>
  <ScaleCrop>false</ScaleCrop>
  <Company>Hamilton-Brown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Noblejas(ESO), Paz Torres</dc:creator>
  <cp:keywords/>
  <dc:description/>
  <cp:lastModifiedBy>Paz Torres Noblejas (NESO)</cp:lastModifiedBy>
  <cp:revision>2</cp:revision>
  <cp:lastPrinted>2020-06-01T14:47:00Z</cp:lastPrinted>
  <dcterms:created xsi:type="dcterms:W3CDTF">2025-01-09T12:08:00Z</dcterms:created>
  <dcterms:modified xsi:type="dcterms:W3CDTF">2025-01-09T12:08:00Z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0x01010062D1005108375849BDAD9E57A342BA8D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