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0CE8A0D4" w:rsidR="00DD6295" w:rsidRDefault="00BF59BA" w:rsidP="00AD0C15">
      <w:pPr>
        <w:pStyle w:val="Footer"/>
        <w:tabs>
          <w:tab w:val="left" w:pos="720"/>
        </w:tabs>
        <w:jc w:val="both"/>
        <w:rPr>
          <w:b/>
          <w:color w:val="F26522" w:themeColor="accent1"/>
          <w:sz w:val="28"/>
          <w:szCs w:val="28"/>
        </w:rPr>
      </w:pPr>
      <w:bookmarkStart w:id="0" w:name="_Executive_Summary"/>
      <w:bookmarkStart w:id="1" w:name="_Workgroup_Consultation_Introduction"/>
      <w:bookmarkEnd w:id="0"/>
      <w:bookmarkEnd w:id="1"/>
      <w:r w:rsidRPr="00AD0C15">
        <w:rPr>
          <w:rFonts w:cs="Arial"/>
          <w:b/>
          <w:color w:val="F26522" w:themeColor="accent1"/>
          <w:sz w:val="28"/>
          <w:szCs w:val="28"/>
        </w:rPr>
        <w:t>CMP</w:t>
      </w:r>
      <w:r w:rsidR="00D160D3" w:rsidRPr="00AD0C15">
        <w:rPr>
          <w:rFonts w:cs="Arial"/>
          <w:b/>
          <w:color w:val="F26522" w:themeColor="accent1"/>
          <w:sz w:val="28"/>
          <w:szCs w:val="28"/>
        </w:rPr>
        <w:t xml:space="preserve">379: </w:t>
      </w:r>
      <w:r w:rsidR="00AD0C15" w:rsidRPr="00AD0C15">
        <w:rPr>
          <w:b/>
          <w:color w:val="F26522" w:themeColor="accent1"/>
          <w:sz w:val="28"/>
          <w:szCs w:val="28"/>
        </w:rPr>
        <w:t>Determining TNUoS demand zones for transmission</w:t>
      </w:r>
      <w:r w:rsidR="00AD0C15">
        <w:rPr>
          <w:b/>
          <w:color w:val="F26522" w:themeColor="accent1"/>
          <w:sz w:val="28"/>
          <w:szCs w:val="28"/>
        </w:rPr>
        <w:t xml:space="preserve"> c</w:t>
      </w:r>
      <w:r w:rsidR="00AD0C15" w:rsidRPr="00AD0C15">
        <w:rPr>
          <w:b/>
          <w:color w:val="F26522" w:themeColor="accent1"/>
          <w:sz w:val="28"/>
          <w:szCs w:val="28"/>
        </w:rPr>
        <w:t>onnected demand at sites with multiple Distribution Network Operators (DNOs)</w:t>
      </w:r>
    </w:p>
    <w:p w14:paraId="536EAD05" w14:textId="77777777" w:rsidR="00AD0C15" w:rsidRDefault="00AD0C15" w:rsidP="00AD0C15">
      <w:pPr>
        <w:pStyle w:val="Footer"/>
        <w:tabs>
          <w:tab w:val="left" w:pos="720"/>
        </w:tabs>
        <w:jc w:val="both"/>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D242086"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AD0C15">
        <w:rPr>
          <w:b/>
          <w:sz w:val="24"/>
        </w:rPr>
        <w:t xml:space="preserve">CMP379 </w:t>
      </w:r>
      <w:r w:rsidR="00E44F00" w:rsidRPr="00810B20">
        <w:rPr>
          <w:sz w:val="24"/>
        </w:rPr>
        <w:t xml:space="preserve">raised by </w:t>
      </w:r>
      <w:r w:rsidR="00AD0C15">
        <w:rPr>
          <w:b/>
          <w:sz w:val="24"/>
        </w:rPr>
        <w:t>National Grid ESO</w:t>
      </w:r>
      <w:r w:rsidR="00E44F00" w:rsidRPr="00810B20">
        <w:rPr>
          <w:sz w:val="24"/>
        </w:rPr>
        <w:t xml:space="preserve"> at the Modifications Panel meeting on </w:t>
      </w:r>
      <w:r w:rsidR="00AD0C15">
        <w:rPr>
          <w:b/>
          <w:sz w:val="24"/>
        </w:rPr>
        <w:t>24 Se</w:t>
      </w:r>
      <w:r w:rsidR="00977D7E">
        <w:rPr>
          <w:b/>
          <w:sz w:val="24"/>
        </w:rPr>
        <w:t>ptember 2021</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77777777" w:rsidR="00FD2295" w:rsidRPr="00FD2295" w:rsidRDefault="00FD2295" w:rsidP="00FD2295">
      <w:pPr>
        <w:pStyle w:val="BodyText"/>
        <w:rPr>
          <w:sz w:val="24"/>
        </w:rPr>
      </w:pPr>
      <w:r w:rsidRPr="00FD2295">
        <w:rPr>
          <w:sz w:val="24"/>
        </w:rPr>
        <w:t>*Objective (d) refers specifically to European Regulation 2009/714/EC. Reference to the Agency is to the Agency for the Cooperation of Energy Regulators (ACER).</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06900915" w:rsidR="00ED5C7C" w:rsidRPr="00572954" w:rsidRDefault="00572954" w:rsidP="00572954">
            <w:pPr>
              <w:pStyle w:val="BodyText"/>
              <w:numPr>
                <w:ilvl w:val="0"/>
                <w:numId w:val="19"/>
              </w:numPr>
              <w:jc w:val="both"/>
              <w:rPr>
                <w:sz w:val="24"/>
              </w:rPr>
            </w:pPr>
            <w:r w:rsidRPr="00572954">
              <w:rPr>
                <w:sz w:val="24"/>
              </w:rPr>
              <w:t>Consider EB</w:t>
            </w:r>
            <w:r w:rsidR="00346F80">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4332C16D" w:rsidR="00346F80" w:rsidRPr="0025577F" w:rsidRDefault="0025577F" w:rsidP="00346F80">
            <w:pPr>
              <w:pStyle w:val="BodyText"/>
              <w:numPr>
                <w:ilvl w:val="0"/>
                <w:numId w:val="19"/>
              </w:numPr>
              <w:rPr>
                <w:sz w:val="24"/>
                <w:lang w:val="en-GB"/>
              </w:rPr>
            </w:pPr>
            <w:r w:rsidRPr="0025577F">
              <w:rPr>
                <w:sz w:val="24"/>
              </w:rPr>
              <w:t xml:space="preserve">Consider the indicative aggregated demand charge variation analysis for the 2022/23 charging year </w:t>
            </w:r>
            <w:r>
              <w:rPr>
                <w:sz w:val="24"/>
              </w:rPr>
              <w:t xml:space="preserve">and any further forward looking analysis </w:t>
            </w:r>
            <w:r w:rsidRPr="0025577F">
              <w:rPr>
                <w:sz w:val="24"/>
              </w:rPr>
              <w:t xml:space="preserve">and assess TNUoS impacts on demand users, </w:t>
            </w:r>
            <w:proofErr w:type="gramStart"/>
            <w:r w:rsidRPr="0025577F">
              <w:rPr>
                <w:sz w:val="24"/>
              </w:rPr>
              <w:t>suppliers</w:t>
            </w:r>
            <w:proofErr w:type="gramEnd"/>
            <w:r w:rsidRPr="0025577F">
              <w:rPr>
                <w:sz w:val="24"/>
              </w:rPr>
              <w:t xml:space="preserve"> and generator</w:t>
            </w:r>
            <w:r w:rsidR="004769C9">
              <w:rPr>
                <w:sz w:val="24"/>
              </w:rPr>
              <w:t>s</w:t>
            </w:r>
          </w:p>
        </w:tc>
        <w:tc>
          <w:tcPr>
            <w:tcW w:w="4232" w:type="dxa"/>
          </w:tcPr>
          <w:p w14:paraId="1C50510C" w14:textId="77777777" w:rsidR="00D9152C" w:rsidRDefault="00D9152C" w:rsidP="00D9152C">
            <w:pPr>
              <w:pStyle w:val="BodyText"/>
              <w:jc w:val="both"/>
              <w:rPr>
                <w:b/>
                <w:szCs w:val="22"/>
              </w:rPr>
            </w:pPr>
          </w:p>
        </w:tc>
      </w:tr>
      <w:tr w:rsidR="009D12CC" w14:paraId="66A4765F" w14:textId="77777777" w:rsidTr="00D6616A">
        <w:tc>
          <w:tcPr>
            <w:tcW w:w="5124" w:type="dxa"/>
          </w:tcPr>
          <w:p w14:paraId="3A4F2A59" w14:textId="59E99699" w:rsidR="009D12CC" w:rsidRPr="0025577F" w:rsidRDefault="009D12CC" w:rsidP="00346F80">
            <w:pPr>
              <w:pStyle w:val="BodyText"/>
              <w:numPr>
                <w:ilvl w:val="0"/>
                <w:numId w:val="19"/>
              </w:numPr>
              <w:rPr>
                <w:sz w:val="24"/>
              </w:rPr>
            </w:pPr>
            <w:r>
              <w:rPr>
                <w:sz w:val="24"/>
              </w:rPr>
              <w:t>Consider the potential volatility in Demand Zone tariffs in future years and the potential to fix Demand Zone allocation</w:t>
            </w:r>
          </w:p>
        </w:tc>
        <w:tc>
          <w:tcPr>
            <w:tcW w:w="4232" w:type="dxa"/>
          </w:tcPr>
          <w:p w14:paraId="0A18709A" w14:textId="77777777" w:rsidR="009D12CC" w:rsidRDefault="009D12CC" w:rsidP="00D9152C">
            <w:pPr>
              <w:pStyle w:val="BodyText"/>
              <w:jc w:val="both"/>
              <w:rPr>
                <w:b/>
                <w:szCs w:val="22"/>
              </w:rPr>
            </w:pPr>
          </w:p>
        </w:tc>
      </w:tr>
      <w:tr w:rsidR="009D12CC" w14:paraId="6E49F28F" w14:textId="77777777" w:rsidTr="00D6616A">
        <w:tc>
          <w:tcPr>
            <w:tcW w:w="5124" w:type="dxa"/>
          </w:tcPr>
          <w:p w14:paraId="5C700A68" w14:textId="4B1830B1" w:rsidR="009D12CC" w:rsidRPr="0025577F" w:rsidRDefault="009D12CC" w:rsidP="0025577F">
            <w:pPr>
              <w:pStyle w:val="BodyText"/>
              <w:numPr>
                <w:ilvl w:val="0"/>
                <w:numId w:val="19"/>
              </w:numPr>
              <w:rPr>
                <w:bCs/>
                <w:sz w:val="24"/>
              </w:rPr>
            </w:pPr>
            <w:r w:rsidRPr="009D12CC">
              <w:rPr>
                <w:bCs/>
                <w:sz w:val="24"/>
              </w:rPr>
              <w:t>Consider whether the demand load of individual customers should be taken into account</w:t>
            </w:r>
          </w:p>
        </w:tc>
        <w:tc>
          <w:tcPr>
            <w:tcW w:w="4232" w:type="dxa"/>
          </w:tcPr>
          <w:p w14:paraId="514C118B" w14:textId="77777777" w:rsidR="009D12CC" w:rsidRDefault="009D12CC" w:rsidP="00D9152C">
            <w:pPr>
              <w:pStyle w:val="BodyText"/>
              <w:jc w:val="both"/>
              <w:rPr>
                <w:b/>
                <w:szCs w:val="22"/>
              </w:rPr>
            </w:pPr>
          </w:p>
        </w:tc>
      </w:tr>
      <w:tr w:rsidR="00D9152C" w14:paraId="3F8C53FC" w14:textId="77777777" w:rsidTr="00D6616A">
        <w:tc>
          <w:tcPr>
            <w:tcW w:w="5124" w:type="dxa"/>
          </w:tcPr>
          <w:p w14:paraId="110A0729" w14:textId="34119D28" w:rsidR="00D9152C" w:rsidRPr="0025577F" w:rsidRDefault="0025577F" w:rsidP="0025577F">
            <w:pPr>
              <w:pStyle w:val="BodyText"/>
              <w:numPr>
                <w:ilvl w:val="0"/>
                <w:numId w:val="19"/>
              </w:numPr>
              <w:rPr>
                <w:bCs/>
                <w:sz w:val="24"/>
                <w:lang w:val="en-GB"/>
              </w:rPr>
            </w:pPr>
            <w:r w:rsidRPr="0025577F">
              <w:rPr>
                <w:bCs/>
                <w:sz w:val="24"/>
              </w:rPr>
              <w:t>Consider impacts on consumers</w:t>
            </w:r>
          </w:p>
        </w:tc>
        <w:tc>
          <w:tcPr>
            <w:tcW w:w="4232" w:type="dxa"/>
          </w:tcPr>
          <w:p w14:paraId="48C16D56" w14:textId="77777777" w:rsidR="00D9152C" w:rsidRDefault="00D9152C" w:rsidP="00D9152C">
            <w:pPr>
              <w:pStyle w:val="BodyText"/>
              <w:jc w:val="both"/>
              <w:rPr>
                <w:b/>
                <w:szCs w:val="22"/>
              </w:rPr>
            </w:pPr>
          </w:p>
        </w:tc>
      </w:tr>
      <w:tr w:rsidR="004769C9" w14:paraId="7FAD593D" w14:textId="77777777" w:rsidTr="00D6616A">
        <w:tc>
          <w:tcPr>
            <w:tcW w:w="5124" w:type="dxa"/>
          </w:tcPr>
          <w:p w14:paraId="34243A09" w14:textId="7DEB0DE9" w:rsidR="004769C9" w:rsidRPr="0025577F" w:rsidRDefault="004769C9" w:rsidP="0025577F">
            <w:pPr>
              <w:pStyle w:val="BodyText"/>
              <w:numPr>
                <w:ilvl w:val="0"/>
                <w:numId w:val="19"/>
              </w:numPr>
              <w:rPr>
                <w:bCs/>
                <w:sz w:val="24"/>
              </w:rPr>
            </w:pPr>
            <w:r>
              <w:rPr>
                <w:bCs/>
                <w:sz w:val="24"/>
              </w:rPr>
              <w:t>Consider the relevance of the ESO’s proposed 2022/23 Guidance Note for this change</w:t>
            </w:r>
          </w:p>
        </w:tc>
        <w:tc>
          <w:tcPr>
            <w:tcW w:w="4232" w:type="dxa"/>
          </w:tcPr>
          <w:p w14:paraId="6CD3428F" w14:textId="77777777" w:rsidR="004769C9" w:rsidRDefault="004769C9" w:rsidP="00D9152C">
            <w:pPr>
              <w:pStyle w:val="BodyText"/>
              <w:jc w:val="both"/>
              <w:rPr>
                <w:b/>
                <w:szCs w:val="22"/>
              </w:rPr>
            </w:pPr>
          </w:p>
        </w:tc>
      </w:tr>
      <w:tr w:rsidR="004769C9" w14:paraId="248F55D2" w14:textId="77777777" w:rsidTr="00D6616A">
        <w:tc>
          <w:tcPr>
            <w:tcW w:w="5124" w:type="dxa"/>
          </w:tcPr>
          <w:p w14:paraId="2FE3A87C" w14:textId="6FC7A340" w:rsidR="004769C9" w:rsidRDefault="009D12CC" w:rsidP="009D12CC">
            <w:pPr>
              <w:pStyle w:val="BodyText"/>
              <w:numPr>
                <w:ilvl w:val="0"/>
                <w:numId w:val="19"/>
              </w:numPr>
              <w:rPr>
                <w:bCs/>
                <w:sz w:val="24"/>
              </w:rPr>
            </w:pPr>
            <w:r w:rsidRPr="009D12CC">
              <w:rPr>
                <w:bCs/>
                <w:sz w:val="24"/>
              </w:rPr>
              <w:t>Consider the legal implications of non-geographic charging e.g. applying the charges relating to 1 DNO to another DN</w:t>
            </w:r>
            <w:r>
              <w:rPr>
                <w:bCs/>
                <w:sz w:val="24"/>
              </w:rPr>
              <w:t>O (</w:t>
            </w:r>
            <w:r w:rsidRPr="009D12CC">
              <w:rPr>
                <w:bCs/>
                <w:sz w:val="24"/>
                <w:lang w:val="en-GB"/>
              </w:rPr>
              <w:t>Consider the appropriate criteria for identifying the relevant DNO</w:t>
            </w:r>
            <w:r>
              <w:rPr>
                <w:bCs/>
                <w:sz w:val="24"/>
                <w:lang w:val="en-GB"/>
              </w:rPr>
              <w:t>)</w:t>
            </w:r>
          </w:p>
        </w:tc>
        <w:tc>
          <w:tcPr>
            <w:tcW w:w="4232" w:type="dxa"/>
          </w:tcPr>
          <w:p w14:paraId="4BC375E9" w14:textId="77777777" w:rsidR="004769C9" w:rsidRDefault="004769C9" w:rsidP="00D9152C">
            <w:pPr>
              <w:pStyle w:val="BodyText"/>
              <w:jc w:val="both"/>
              <w:rPr>
                <w:b/>
                <w:szCs w:val="22"/>
              </w:rPr>
            </w:pPr>
          </w:p>
        </w:tc>
      </w:tr>
      <w:tr w:rsidR="0066527B" w14:paraId="65C26BDC" w14:textId="77777777" w:rsidTr="00D6616A">
        <w:tc>
          <w:tcPr>
            <w:tcW w:w="5124" w:type="dxa"/>
          </w:tcPr>
          <w:p w14:paraId="10868BB5" w14:textId="1E82DD78" w:rsidR="0066527B" w:rsidRPr="009D12CC" w:rsidRDefault="0066527B" w:rsidP="009D12CC">
            <w:pPr>
              <w:pStyle w:val="BodyText"/>
              <w:numPr>
                <w:ilvl w:val="0"/>
                <w:numId w:val="19"/>
              </w:numPr>
              <w:rPr>
                <w:bCs/>
                <w:sz w:val="24"/>
              </w:rPr>
            </w:pPr>
            <w:r>
              <w:rPr>
                <w:bCs/>
                <w:sz w:val="24"/>
              </w:rPr>
              <w:t>Consider what DNOs do currently</w:t>
            </w:r>
          </w:p>
        </w:tc>
        <w:tc>
          <w:tcPr>
            <w:tcW w:w="4232" w:type="dxa"/>
          </w:tcPr>
          <w:p w14:paraId="14AA566E" w14:textId="77777777" w:rsidR="0066527B" w:rsidRDefault="0066527B"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 xml:space="preserve">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w:t>
      </w:r>
      <w:r w:rsidRPr="00DF3EDE">
        <w:rPr>
          <w:sz w:val="24"/>
        </w:rPr>
        <w:lastRenderedPageBreak/>
        <w:t>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7777777"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A856CC2"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002441E8">
        <w:rPr>
          <w:b/>
          <w:sz w:val="24"/>
        </w:rPr>
        <w:t xml:space="preserve">17 March 2022 </w:t>
      </w:r>
      <w:r w:rsidRPr="00E35941">
        <w:rPr>
          <w:sz w:val="24"/>
        </w:rPr>
        <w:t xml:space="preserve">for circulation to Panel Members. The final </w:t>
      </w:r>
      <w:r w:rsidRPr="002441E8">
        <w:rPr>
          <w:sz w:val="24"/>
        </w:rPr>
        <w:t xml:space="preserve">report conclusions will be presented to the CUSC Modifications Panel meeting on </w:t>
      </w:r>
      <w:r w:rsidR="002441E8" w:rsidRPr="002441E8">
        <w:rPr>
          <w:b/>
          <w:sz w:val="24"/>
        </w:rPr>
        <w:t>25 March 2022</w:t>
      </w:r>
      <w:r w:rsidRPr="002441E8">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lastRenderedPageBreak/>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D233B9" w:rsidR="00C72699" w:rsidRPr="00C72699" w:rsidRDefault="00C72699" w:rsidP="00C72699">
      <w:pPr>
        <w:pStyle w:val="ListParagraph"/>
        <w:numPr>
          <w:ilvl w:val="0"/>
          <w:numId w:val="15"/>
        </w:numPr>
        <w:jc w:val="both"/>
        <w:rPr>
          <w:sz w:val="24"/>
        </w:rPr>
      </w:pPr>
      <w:r w:rsidRPr="00C72699">
        <w:rPr>
          <w:sz w:val="24"/>
        </w:rPr>
        <w:t xml:space="preserve">The chairman of the Workgroup and the Modifications Panel Chairman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32BAF51E" w14:textId="453B325E" w:rsidR="00C72699" w:rsidRPr="00C7269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495A4116" w14:textId="77777777" w:rsidR="00C72699" w:rsidRPr="00C72699" w:rsidRDefault="00C72699" w:rsidP="00C72699">
      <w:pPr>
        <w:jc w:val="both"/>
        <w:rPr>
          <w:sz w:val="24"/>
        </w:rPr>
      </w:pPr>
    </w:p>
    <w:p w14:paraId="267FC3E2" w14:textId="77777777" w:rsidR="00C72699" w:rsidRPr="00C72699" w:rsidRDefault="00C72699" w:rsidP="00555A17">
      <w:pPr>
        <w:tabs>
          <w:tab w:val="left" w:pos="1276"/>
        </w:tabs>
        <w:spacing w:before="0" w:after="0" w:line="240" w:lineRule="auto"/>
        <w:ind w:left="720"/>
        <w:jc w:val="both"/>
        <w:rPr>
          <w:sz w:val="24"/>
        </w:rPr>
      </w:pPr>
      <w:r w:rsidRPr="00C72699">
        <w:rPr>
          <w:sz w:val="24"/>
        </w:rPr>
        <w:t>Vote 1: whether each proposal better facilitates the Applicable CUSC Objectives;</w:t>
      </w:r>
    </w:p>
    <w:p w14:paraId="104D5952" w14:textId="77777777" w:rsidR="00555A17" w:rsidRDefault="00555A17" w:rsidP="00555A17">
      <w:pPr>
        <w:spacing w:before="0" w:after="0" w:line="240" w:lineRule="auto"/>
        <w:ind w:left="720"/>
        <w:jc w:val="both"/>
        <w:rPr>
          <w:sz w:val="24"/>
        </w:rPr>
      </w:pPr>
    </w:p>
    <w:p w14:paraId="0E8A753E" w14:textId="608603D1" w:rsidR="00C72699" w:rsidRPr="00C72699" w:rsidRDefault="00C72699" w:rsidP="00555A17">
      <w:pPr>
        <w:spacing w:before="0" w:after="0" w:line="240" w:lineRule="auto"/>
        <w:ind w:left="720"/>
        <w:jc w:val="both"/>
        <w:rPr>
          <w:sz w:val="24"/>
        </w:rPr>
      </w:pPr>
      <w:r w:rsidRPr="00C72699">
        <w:rPr>
          <w:sz w:val="24"/>
        </w:rPr>
        <w:t>Vote 2: where one or more WACMs exist, whether each WACM better facilitates the Applicable CUSC Objectives than the original Modification Proposal;</w:t>
      </w:r>
    </w:p>
    <w:p w14:paraId="79CF2DDA" w14:textId="77777777" w:rsidR="00555A17" w:rsidRDefault="00555A17" w:rsidP="00555A17">
      <w:pPr>
        <w:spacing w:before="0" w:after="0" w:line="240" w:lineRule="auto"/>
        <w:ind w:left="720"/>
        <w:jc w:val="both"/>
        <w:rPr>
          <w:sz w:val="24"/>
        </w:rPr>
      </w:pPr>
    </w:p>
    <w:p w14:paraId="70C09194" w14:textId="026863F4" w:rsidR="00C72699" w:rsidRPr="00C72699" w:rsidRDefault="00C72699" w:rsidP="00555A17">
      <w:pPr>
        <w:spacing w:before="0" w:after="0" w:line="240" w:lineRule="auto"/>
        <w:ind w:left="720"/>
        <w:jc w:val="both"/>
        <w:rPr>
          <w:sz w:val="24"/>
        </w:rPr>
      </w:pPr>
      <w:r w:rsidRPr="00C72699">
        <w:rPr>
          <w:sz w:val="24"/>
        </w:rPr>
        <w:t>Vote 3: which option is considered to BEST facilitate achievement of the Applicable CUSC Objectives.  For the avoidance of doubt, this vote should include the existing CUSC baseline as an option.</w:t>
      </w:r>
    </w:p>
    <w:p w14:paraId="0FF1D8E9" w14:textId="756BF96B" w:rsidR="00C72699" w:rsidRDefault="00C72699" w:rsidP="00555A17">
      <w:pPr>
        <w:ind w:left="709"/>
        <w:jc w:val="both"/>
        <w:rPr>
          <w:sz w:val="24"/>
        </w:rPr>
      </w:pPr>
      <w:r w:rsidRPr="00555A17">
        <w:rPr>
          <w:sz w:val="24"/>
        </w:rPr>
        <w:t>The results from the vote and the reasons for such voting shall be recorded in the Workgroup report in as much detail as practicable.</w:t>
      </w:r>
    </w:p>
    <w:p w14:paraId="4A4C6892" w14:textId="77777777" w:rsidR="00853917" w:rsidRPr="00555A17" w:rsidRDefault="00853917" w:rsidP="00555A17">
      <w:pPr>
        <w:ind w:left="709"/>
        <w:jc w:val="both"/>
        <w:rPr>
          <w:sz w:val="24"/>
        </w:rPr>
      </w:pPr>
    </w:p>
    <w:p w14:paraId="48F274FD" w14:textId="77777777" w:rsidR="00C72699" w:rsidRPr="00C72699" w:rsidRDefault="00C72699" w:rsidP="00C72699">
      <w:pPr>
        <w:numPr>
          <w:ilvl w:val="0"/>
          <w:numId w:val="15"/>
        </w:numPr>
        <w:spacing w:before="0" w:after="0" w:line="240" w:lineRule="auto"/>
        <w:jc w:val="both"/>
        <w:rPr>
          <w:sz w:val="24"/>
        </w:rPr>
      </w:pPr>
      <w:r w:rsidRPr="00C72699">
        <w:rPr>
          <w:sz w:val="24"/>
        </w:rPr>
        <w:t xml:space="preserve">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w:t>
      </w:r>
      <w:r w:rsidRPr="00C72699">
        <w:rPr>
          <w:sz w:val="24"/>
        </w:rPr>
        <w:lastRenderedPageBreak/>
        <w:t>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BF208" w14:textId="77777777" w:rsidR="003C04FC" w:rsidRDefault="003C04FC" w:rsidP="00D06DC4">
      <w:pPr>
        <w:spacing w:before="0" w:after="0" w:line="240" w:lineRule="auto"/>
      </w:pPr>
      <w:r>
        <w:separator/>
      </w:r>
    </w:p>
  </w:endnote>
  <w:endnote w:type="continuationSeparator" w:id="0">
    <w:p w14:paraId="64C82D7D" w14:textId="77777777" w:rsidR="003C04FC" w:rsidRDefault="003C04FC" w:rsidP="00D06DC4">
      <w:pPr>
        <w:spacing w:before="0" w:after="0" w:line="240" w:lineRule="auto"/>
      </w:pPr>
      <w:r>
        <w:continuationSeparator/>
      </w:r>
    </w:p>
  </w:endnote>
  <w:endnote w:type="continuationNotice" w:id="1">
    <w:p w14:paraId="26171C23" w14:textId="77777777" w:rsidR="003C04FC" w:rsidRDefault="003C04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0B199" w14:textId="77777777" w:rsidR="003C04FC" w:rsidRDefault="003C04FC" w:rsidP="00D06DC4">
      <w:pPr>
        <w:spacing w:before="0" w:after="0" w:line="240" w:lineRule="auto"/>
      </w:pPr>
      <w:r>
        <w:separator/>
      </w:r>
    </w:p>
  </w:footnote>
  <w:footnote w:type="continuationSeparator" w:id="0">
    <w:p w14:paraId="617C6832" w14:textId="77777777" w:rsidR="003C04FC" w:rsidRDefault="003C04FC" w:rsidP="00D06DC4">
      <w:pPr>
        <w:spacing w:before="0" w:after="0" w:line="240" w:lineRule="auto"/>
      </w:pPr>
      <w:r>
        <w:continuationSeparator/>
      </w:r>
    </w:p>
  </w:footnote>
  <w:footnote w:type="continuationNotice" w:id="1">
    <w:p w14:paraId="72C58EB9" w14:textId="77777777" w:rsidR="003C04FC" w:rsidRDefault="003C04F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43F17" w14:textId="77777777" w:rsidR="00D160D3"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710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D160D3">
      <w:t>379</w:t>
    </w:r>
    <w:bookmarkEnd w:id="2"/>
    <w:bookmarkEnd w:id="3"/>
  </w:p>
  <w:p w14:paraId="3A18547B" w14:textId="76260A1F" w:rsidR="00B8588F" w:rsidRDefault="00D160D3" w:rsidP="000C711B">
    <w:pPr>
      <w:pStyle w:val="Header"/>
      <w:ind w:left="720" w:firstLine="720"/>
      <w:jc w:val="right"/>
    </w:pPr>
    <w:r>
      <w:t>P</w:t>
    </w:r>
    <w:r w:rsidR="00040B6A">
      <w:t xml:space="preserve">anel date: </w:t>
    </w:r>
    <w:r>
      <w:t>24 September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7"/>
  </w:num>
  <w:num w:numId="3">
    <w:abstractNumId w:val="5"/>
  </w:num>
  <w:num w:numId="4">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13"/>
  </w:num>
  <w:num w:numId="8">
    <w:abstractNumId w:val="0"/>
  </w:num>
  <w:num w:numId="9">
    <w:abstractNumId w:val="14"/>
  </w:num>
  <w:num w:numId="10">
    <w:abstractNumId w:val="9"/>
  </w:num>
  <w:num w:numId="11">
    <w:abstractNumId w:val="4"/>
  </w:num>
  <w:num w:numId="12">
    <w:abstractNumId w:val="12"/>
  </w:num>
  <w:num w:numId="13">
    <w:abstractNumId w:val="6"/>
  </w:num>
  <w:num w:numId="14">
    <w:abstractNumId w:val="1"/>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1E8"/>
    <w:rsid w:val="00244A90"/>
    <w:rsid w:val="00250A22"/>
    <w:rsid w:val="00254599"/>
    <w:rsid w:val="00254CB4"/>
    <w:rsid w:val="0025577F"/>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6F80"/>
    <w:rsid w:val="003476D6"/>
    <w:rsid w:val="00347C7C"/>
    <w:rsid w:val="003559D2"/>
    <w:rsid w:val="0035711D"/>
    <w:rsid w:val="00360977"/>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04FC"/>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69C9"/>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5A17"/>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4D58"/>
    <w:rsid w:val="00663B2B"/>
    <w:rsid w:val="0066527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3917"/>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142"/>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D98"/>
    <w:rsid w:val="00977314"/>
    <w:rsid w:val="00977D7E"/>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12CC"/>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0C15"/>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60D3"/>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4A9F"/>
    <w:rsid w:val="00D6616A"/>
    <w:rsid w:val="00D66F94"/>
    <w:rsid w:val="00D706F5"/>
    <w:rsid w:val="00D76089"/>
    <w:rsid w:val="00D76E0D"/>
    <w:rsid w:val="00D7794C"/>
    <w:rsid w:val="00D8190E"/>
    <w:rsid w:val="00D83AEE"/>
    <w:rsid w:val="00D8526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555509915">
      <w:bodyDiv w:val="1"/>
      <w:marLeft w:val="0"/>
      <w:marRight w:val="0"/>
      <w:marTop w:val="0"/>
      <w:marBottom w:val="0"/>
      <w:divBdr>
        <w:top w:val="none" w:sz="0" w:space="0" w:color="auto"/>
        <w:left w:val="none" w:sz="0" w:space="0" w:color="auto"/>
        <w:bottom w:val="none" w:sz="0" w:space="0" w:color="auto"/>
        <w:right w:val="none" w:sz="0" w:space="0" w:color="auto"/>
      </w:divBdr>
      <w:divsChild>
        <w:div w:id="1199272458">
          <w:marLeft w:val="0"/>
          <w:marRight w:val="0"/>
          <w:marTop w:val="0"/>
          <w:marBottom w:val="0"/>
          <w:divBdr>
            <w:top w:val="none" w:sz="0" w:space="0" w:color="auto"/>
            <w:left w:val="none" w:sz="0" w:space="0" w:color="auto"/>
            <w:bottom w:val="none" w:sz="0" w:space="0" w:color="auto"/>
            <w:right w:val="none" w:sz="0" w:space="0" w:color="auto"/>
          </w:divBdr>
        </w:div>
      </w:divsChild>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617329697">
      <w:bodyDiv w:val="1"/>
      <w:marLeft w:val="0"/>
      <w:marRight w:val="0"/>
      <w:marTop w:val="0"/>
      <w:marBottom w:val="0"/>
      <w:divBdr>
        <w:top w:val="none" w:sz="0" w:space="0" w:color="auto"/>
        <w:left w:val="none" w:sz="0" w:space="0" w:color="auto"/>
        <w:bottom w:val="none" w:sz="0" w:space="0" w:color="auto"/>
        <w:right w:val="none" w:sz="0" w:space="0" w:color="auto"/>
      </w:divBdr>
      <w:divsChild>
        <w:div w:id="2067411594">
          <w:marLeft w:val="0"/>
          <w:marRight w:val="0"/>
          <w:marTop w:val="0"/>
          <w:marBottom w:val="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DF05A9-3397-4E20-8ADE-343FFE189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A5C4F25D-CBA3-4826-9D69-D083E4575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250</TotalTime>
  <Pages>5</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Mullen (ESO), Paul J</cp:lastModifiedBy>
  <cp:revision>49</cp:revision>
  <cp:lastPrinted>2020-02-06T13:28:00Z</cp:lastPrinted>
  <dcterms:created xsi:type="dcterms:W3CDTF">2020-09-14T10:45:00Z</dcterms:created>
  <dcterms:modified xsi:type="dcterms:W3CDTF">2021-09-24T09:57:00Z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