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23276E45" w:rsidR="001166C1" w:rsidRPr="00460A4F" w:rsidRDefault="00BF59BA" w:rsidP="001166C1">
      <w:pPr>
        <w:pStyle w:val="Footer"/>
        <w:tabs>
          <w:tab w:val="left" w:pos="720"/>
        </w:tabs>
        <w:rPr>
          <w:rFonts w:cs="Arial"/>
          <w:b/>
          <w:color w:val="F26522" w:themeColor="accent1"/>
          <w:sz w:val="28"/>
          <w:szCs w:val="28"/>
        </w:rPr>
      </w:pPr>
      <w:r>
        <w:rPr>
          <w:rFonts w:cs="Arial"/>
          <w:b/>
          <w:color w:val="F26522" w:themeColor="accent1"/>
          <w:sz w:val="28"/>
        </w:rPr>
        <w:t>CMP</w:t>
      </w:r>
      <w:r w:rsidR="00460A4F">
        <w:rPr>
          <w:rFonts w:cs="Arial"/>
          <w:b/>
          <w:color w:val="F26522" w:themeColor="accent1"/>
          <w:sz w:val="28"/>
        </w:rPr>
        <w:t>304</w:t>
      </w:r>
      <w:r w:rsidR="001166C1">
        <w:rPr>
          <w:rFonts w:cs="Arial"/>
          <w:b/>
          <w:color w:val="F26522" w:themeColor="accent1"/>
          <w:sz w:val="28"/>
        </w:rPr>
        <w:t xml:space="preserve">: </w:t>
      </w:r>
      <w:r w:rsidR="00460A4F" w:rsidRPr="00460A4F">
        <w:rPr>
          <w:rFonts w:cs="Arial"/>
          <w:color w:val="F26522" w:themeColor="accent1"/>
          <w:sz w:val="28"/>
          <w:szCs w:val="28"/>
        </w:rPr>
        <w:t>Improving the Enhanced Reactive Power Service by making it fit for purpose</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9761E0A"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460A4F">
        <w:rPr>
          <w:b/>
          <w:sz w:val="24"/>
        </w:rPr>
        <w:t xml:space="preserve">CMP304 ‘Improving the Enhanced Reactive Power Service by making it fit for purpose’ </w:t>
      </w:r>
      <w:r w:rsidR="00E44F00" w:rsidRPr="00810B20">
        <w:rPr>
          <w:sz w:val="24"/>
        </w:rPr>
        <w:t xml:space="preserve">raised by </w:t>
      </w:r>
      <w:r w:rsidR="00460A4F">
        <w:rPr>
          <w:b/>
          <w:sz w:val="24"/>
        </w:rPr>
        <w:t xml:space="preserve">SSE Generation Ltd </w:t>
      </w:r>
      <w:r w:rsidR="00E44F00" w:rsidRPr="00810B20">
        <w:rPr>
          <w:sz w:val="24"/>
        </w:rPr>
        <w:t>at the Modifications Panel meeting on</w:t>
      </w:r>
      <w:r w:rsidR="00460A4F">
        <w:rPr>
          <w:sz w:val="24"/>
        </w:rPr>
        <w:t xml:space="preserve"> </w:t>
      </w:r>
      <w:r w:rsidR="00460A4F">
        <w:rPr>
          <w:b/>
          <w:sz w:val="24"/>
        </w:rPr>
        <w:t>31 August 2018</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7E9151F4" w14:textId="0E0428B9" w:rsidR="00FD2295" w:rsidRDefault="00FD2295" w:rsidP="00E11E76">
      <w:pPr>
        <w:pStyle w:val="BodyText"/>
        <w:spacing w:before="0" w:after="0" w:line="240" w:lineRule="auto"/>
        <w:jc w:val="both"/>
        <w:rPr>
          <w:sz w:val="24"/>
        </w:rPr>
      </w:pPr>
    </w:p>
    <w:p w14:paraId="6190276E" w14:textId="77777777" w:rsidR="00B13F32" w:rsidRPr="004F1A02" w:rsidRDefault="00B13F32" w:rsidP="00B13F32">
      <w:pPr>
        <w:pStyle w:val="Checklist"/>
      </w:pPr>
      <w:r>
        <w:t>Applicable CUSC (non-charging) Objectives</w:t>
      </w:r>
    </w:p>
    <w:p w14:paraId="1577E2F1" w14:textId="4A79107C" w:rsidR="00E015EA" w:rsidRPr="00DE08D0" w:rsidRDefault="00E015EA" w:rsidP="00DE08D0">
      <w:pPr>
        <w:pStyle w:val="ListParagraph"/>
        <w:numPr>
          <w:ilvl w:val="0"/>
          <w:numId w:val="20"/>
        </w:numPr>
        <w:spacing w:before="0" w:after="160" w:line="256" w:lineRule="auto"/>
        <w:jc w:val="both"/>
        <w:rPr>
          <w:sz w:val="24"/>
        </w:rPr>
      </w:pPr>
      <w:r w:rsidRPr="00DE08D0">
        <w:rPr>
          <w:sz w:val="24"/>
        </w:rPr>
        <w:t>The efficient discharge by the Licensee of the obligations imposed on it by the Act and the Transmission Licence;</w:t>
      </w:r>
    </w:p>
    <w:p w14:paraId="3349FE5C"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Facilitating effective competition in the generation and supply of electricity, and (so far as consistent therewith) facilitating such competition in the sale, distribution and purchase of electricity;</w:t>
      </w:r>
    </w:p>
    <w:p w14:paraId="38AFDBD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Compliance with the Electricity Regulation and any relevant legally binding decision of the European Commission and/or the Agency *; and</w:t>
      </w:r>
    </w:p>
    <w:p w14:paraId="4D91F82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Promoting efficiency in the implementation and administration of the CUSC arrangements.</w:t>
      </w:r>
    </w:p>
    <w:p w14:paraId="509AE6AC" w14:textId="73EA1F0C" w:rsidR="00B13F32" w:rsidRPr="00DE08D0" w:rsidRDefault="00E015EA" w:rsidP="00E015EA">
      <w:pPr>
        <w:pStyle w:val="BodyText"/>
        <w:spacing w:before="0" w:after="0" w:line="240" w:lineRule="auto"/>
        <w:jc w:val="both"/>
        <w:rPr>
          <w:sz w:val="24"/>
        </w:rPr>
      </w:pPr>
      <w:r w:rsidRPr="00DE08D0">
        <w:rPr>
          <w:sz w:val="24"/>
        </w:rPr>
        <w:t>*Objective (c) refers specifically to European Regulation 2009/714/EC. Reference to the Agency is to the Agency for the Cooperation of Energy Regulators (ACER).</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07459C3C" w:rsidR="00ED5C7C" w:rsidRPr="00460A4F" w:rsidRDefault="00460A4F" w:rsidP="00572954">
            <w:pPr>
              <w:pStyle w:val="BodyText"/>
              <w:numPr>
                <w:ilvl w:val="0"/>
                <w:numId w:val="19"/>
              </w:numPr>
              <w:jc w:val="both"/>
              <w:rPr>
                <w:sz w:val="24"/>
              </w:rPr>
            </w:pPr>
            <w:r w:rsidRPr="00460A4F">
              <w:rPr>
                <w:color w:val="000000"/>
                <w:sz w:val="24"/>
              </w:rPr>
              <w:t>Authority Decision on CMP305</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5C37B8CA" w:rsidR="00D9152C" w:rsidRPr="00460A4F" w:rsidRDefault="00460A4F" w:rsidP="00460A4F">
            <w:pPr>
              <w:pStyle w:val="BodyText"/>
              <w:numPr>
                <w:ilvl w:val="0"/>
                <w:numId w:val="19"/>
              </w:numPr>
              <w:spacing w:before="0" w:after="0" w:line="240" w:lineRule="auto"/>
              <w:jc w:val="both"/>
              <w:rPr>
                <w:b/>
                <w:color w:val="000000"/>
                <w:sz w:val="24"/>
              </w:rPr>
            </w:pPr>
            <w:r w:rsidRPr="00460A4F">
              <w:rPr>
                <w:color w:val="000000"/>
                <w:sz w:val="24"/>
              </w:rPr>
              <w:lastRenderedPageBreak/>
              <w:t>The impact faced by non-CUSC parties, in particular any administrative burden it entails.</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327AC145" w:rsidR="00D9152C" w:rsidRPr="00460A4F" w:rsidRDefault="00460A4F" w:rsidP="00460A4F">
            <w:pPr>
              <w:pStyle w:val="BodyText"/>
              <w:numPr>
                <w:ilvl w:val="0"/>
                <w:numId w:val="19"/>
              </w:numPr>
              <w:spacing w:before="0" w:after="0" w:line="240" w:lineRule="auto"/>
              <w:jc w:val="both"/>
              <w:rPr>
                <w:b/>
                <w:color w:val="000000"/>
                <w:sz w:val="24"/>
              </w:rPr>
            </w:pPr>
            <w:r w:rsidRPr="00460A4F">
              <w:rPr>
                <w:color w:val="000000"/>
                <w:sz w:val="24"/>
              </w:rPr>
              <w:t>Interaction with obligatory services and the overall requirement for reactive services (</w:t>
            </w:r>
            <w:proofErr w:type="spellStart"/>
            <w:r w:rsidRPr="00460A4F">
              <w:rPr>
                <w:color w:val="000000"/>
                <w:sz w:val="24"/>
              </w:rPr>
              <w:t>i.e</w:t>
            </w:r>
            <w:proofErr w:type="spellEnd"/>
            <w:r w:rsidRPr="00460A4F">
              <w:rPr>
                <w:color w:val="000000"/>
                <w:sz w:val="24"/>
              </w:rPr>
              <w:t xml:space="preserve"> locational and temporal requirements of the system).</w:t>
            </w:r>
          </w:p>
        </w:tc>
        <w:tc>
          <w:tcPr>
            <w:tcW w:w="4232" w:type="dxa"/>
          </w:tcPr>
          <w:p w14:paraId="48C16D56" w14:textId="77777777" w:rsidR="00D9152C" w:rsidRDefault="00D9152C" w:rsidP="00D9152C">
            <w:pPr>
              <w:pStyle w:val="BodyText"/>
              <w:jc w:val="both"/>
              <w:rPr>
                <w:b/>
                <w:szCs w:val="22"/>
              </w:rPr>
            </w:pPr>
          </w:p>
        </w:tc>
      </w:tr>
      <w:tr w:rsidR="00D9152C" w14:paraId="4A218C55" w14:textId="77777777" w:rsidTr="00D6616A">
        <w:tc>
          <w:tcPr>
            <w:tcW w:w="5124" w:type="dxa"/>
          </w:tcPr>
          <w:p w14:paraId="09F25B28" w14:textId="77777777" w:rsidR="00460A4F" w:rsidRPr="00460A4F" w:rsidRDefault="00460A4F" w:rsidP="00460A4F">
            <w:pPr>
              <w:pStyle w:val="BodyText"/>
              <w:numPr>
                <w:ilvl w:val="0"/>
                <w:numId w:val="19"/>
              </w:numPr>
              <w:spacing w:before="0" w:after="0" w:line="240" w:lineRule="auto"/>
              <w:jc w:val="both"/>
              <w:rPr>
                <w:b/>
                <w:color w:val="000000"/>
                <w:sz w:val="24"/>
              </w:rPr>
            </w:pPr>
            <w:r w:rsidRPr="00460A4F">
              <w:rPr>
                <w:color w:val="000000"/>
                <w:sz w:val="24"/>
              </w:rPr>
              <w:t xml:space="preserve">Interaction with requirements within the grid code in terms of reactive power provision. </w:t>
            </w:r>
          </w:p>
          <w:p w14:paraId="057EB8ED" w14:textId="094B668D" w:rsidR="00D9152C" w:rsidRPr="00460A4F" w:rsidRDefault="00D9152C" w:rsidP="00460A4F">
            <w:pPr>
              <w:pStyle w:val="BodyText"/>
              <w:spacing w:before="0" w:after="0" w:line="240" w:lineRule="auto"/>
              <w:rPr>
                <w:sz w:val="24"/>
                <w:lang w:val="en-GB"/>
              </w:rPr>
            </w:pPr>
          </w:p>
        </w:tc>
        <w:tc>
          <w:tcPr>
            <w:tcW w:w="4232" w:type="dxa"/>
          </w:tcPr>
          <w:p w14:paraId="69890F6C" w14:textId="77777777" w:rsidR="00D9152C" w:rsidRDefault="00D9152C" w:rsidP="00D9152C">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77777777" w:rsidR="00DF6303" w:rsidRPr="00E35941" w:rsidRDefault="00DF6303" w:rsidP="00DF6303">
      <w:pPr>
        <w:ind w:left="720"/>
        <w:jc w:val="both"/>
        <w:rPr>
          <w:sz w:val="24"/>
        </w:rPr>
      </w:pPr>
      <w:r w:rsidRPr="00E35941">
        <w:rPr>
          <w:sz w:val="24"/>
        </w:rPr>
        <w:lastRenderedPageBreak/>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chairman has exercised his right under the CUSC to progress a WG Consultation Alternative Request or a WACM against the majority views of Workgroup members.  It should also be explicitly stated where, under these circumstances, the Workgroup chairman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5D395DDD"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report to the Modifications Panel Secretary on </w:t>
      </w:r>
      <w:r w:rsidRPr="00E35941">
        <w:rPr>
          <w:b/>
          <w:sz w:val="24"/>
        </w:rPr>
        <w:t>XX Month XXXX</w:t>
      </w:r>
      <w:r w:rsidRPr="00E35941">
        <w:rPr>
          <w:sz w:val="24"/>
        </w:rPr>
        <w:t xml:space="preserve"> for circulation to Panel Members. The final report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488C3348" w:rsidR="00340100" w:rsidRPr="00194B25" w:rsidRDefault="00460A4F" w:rsidP="002A69BC">
            <w:pPr>
              <w:rPr>
                <w:rFonts w:cs="Arial"/>
                <w:sz w:val="24"/>
              </w:rPr>
            </w:pPr>
            <w:r>
              <w:rPr>
                <w:rFonts w:cs="Arial"/>
                <w:sz w:val="24"/>
              </w:rPr>
              <w:t>Ren Walker</w:t>
            </w:r>
          </w:p>
        </w:tc>
        <w:tc>
          <w:tcPr>
            <w:tcW w:w="3118" w:type="dxa"/>
          </w:tcPr>
          <w:p w14:paraId="255EBC02" w14:textId="0591995D" w:rsidR="00340100" w:rsidRPr="00194B25" w:rsidRDefault="00460A4F" w:rsidP="002A69BC">
            <w:pPr>
              <w:rPr>
                <w:rFonts w:cs="Arial"/>
                <w:sz w:val="24"/>
              </w:rPr>
            </w:pPr>
            <w:r>
              <w:rPr>
                <w:rFonts w:cs="Arial"/>
                <w:sz w:val="24"/>
              </w:rPr>
              <w:t>Code Administrator – National Grid ESO</w:t>
            </w: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4DBE1D08" w:rsidR="00340100" w:rsidRPr="00194B25" w:rsidRDefault="00460A4F" w:rsidP="002A69BC">
            <w:pPr>
              <w:rPr>
                <w:rFonts w:cs="Arial"/>
                <w:sz w:val="24"/>
              </w:rPr>
            </w:pPr>
            <w:r>
              <w:rPr>
                <w:rFonts w:cs="Arial"/>
                <w:sz w:val="24"/>
              </w:rPr>
              <w:t>Ruth Roberts</w:t>
            </w:r>
          </w:p>
        </w:tc>
        <w:tc>
          <w:tcPr>
            <w:tcW w:w="3118" w:type="dxa"/>
          </w:tcPr>
          <w:p w14:paraId="2540666D" w14:textId="3DB53929" w:rsidR="00340100" w:rsidRPr="00194B25" w:rsidRDefault="00460A4F" w:rsidP="002A69BC">
            <w:pPr>
              <w:rPr>
                <w:rFonts w:cs="Arial"/>
                <w:sz w:val="24"/>
              </w:rPr>
            </w:pPr>
            <w:r>
              <w:rPr>
                <w:rFonts w:cs="Arial"/>
                <w:sz w:val="24"/>
              </w:rPr>
              <w:t>Code Administrator – National Grid ESO</w:t>
            </w: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F23279B" w:rsidR="00340100" w:rsidRPr="00194B25" w:rsidRDefault="00460A4F" w:rsidP="002A69BC">
            <w:pPr>
              <w:rPr>
                <w:rFonts w:cs="Arial"/>
                <w:sz w:val="24"/>
              </w:rPr>
            </w:pPr>
            <w:r>
              <w:rPr>
                <w:rFonts w:cs="Arial"/>
                <w:sz w:val="24"/>
              </w:rPr>
              <w:t>Garth Graham</w:t>
            </w:r>
          </w:p>
        </w:tc>
        <w:tc>
          <w:tcPr>
            <w:tcW w:w="3118" w:type="dxa"/>
          </w:tcPr>
          <w:p w14:paraId="6845C55E" w14:textId="68EB16BB" w:rsidR="00340100" w:rsidRPr="00194B25" w:rsidRDefault="00460A4F" w:rsidP="002A69BC">
            <w:pPr>
              <w:rPr>
                <w:rFonts w:cs="Arial"/>
                <w:sz w:val="24"/>
              </w:rPr>
            </w:pPr>
            <w:r>
              <w:rPr>
                <w:rFonts w:cs="Arial"/>
                <w:sz w:val="24"/>
              </w:rPr>
              <w:t>SSE Generation Ltd</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76EDD24F" w:rsidR="00340100" w:rsidRPr="00194B25" w:rsidRDefault="00460A4F" w:rsidP="002A69BC">
            <w:pPr>
              <w:rPr>
                <w:rFonts w:cs="Arial"/>
                <w:sz w:val="24"/>
              </w:rPr>
            </w:pPr>
            <w:r>
              <w:rPr>
                <w:rFonts w:cs="Arial"/>
                <w:sz w:val="24"/>
              </w:rPr>
              <w:t>Keren Kelly</w:t>
            </w:r>
          </w:p>
        </w:tc>
        <w:tc>
          <w:tcPr>
            <w:tcW w:w="3118" w:type="dxa"/>
          </w:tcPr>
          <w:p w14:paraId="2887E482" w14:textId="304B88E9" w:rsidR="00340100" w:rsidRPr="00194B25" w:rsidRDefault="00460A4F" w:rsidP="002A69BC">
            <w:pPr>
              <w:rPr>
                <w:rFonts w:cs="Arial"/>
                <w:sz w:val="24"/>
              </w:rPr>
            </w:pPr>
            <w:r>
              <w:rPr>
                <w:rFonts w:cs="Arial"/>
                <w:sz w:val="24"/>
              </w:rPr>
              <w:t>National Grid ESO</w:t>
            </w:r>
          </w:p>
        </w:tc>
      </w:tr>
      <w:tr w:rsidR="00340100" w:rsidRPr="00194B25" w14:paraId="740838DA" w14:textId="77777777" w:rsidTr="00D6616A">
        <w:tc>
          <w:tcPr>
            <w:tcW w:w="2977" w:type="dxa"/>
            <w:hideMark/>
          </w:tcPr>
          <w:p w14:paraId="7FF196B4" w14:textId="5CD01FBF"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 xml:space="preserve">Member </w:t>
            </w:r>
          </w:p>
        </w:tc>
        <w:tc>
          <w:tcPr>
            <w:tcW w:w="3119" w:type="dxa"/>
          </w:tcPr>
          <w:p w14:paraId="722F7A10" w14:textId="0F535807" w:rsidR="00340100" w:rsidRPr="00194B25" w:rsidRDefault="00460A4F" w:rsidP="002A69BC">
            <w:pPr>
              <w:rPr>
                <w:rFonts w:cs="Arial"/>
                <w:sz w:val="24"/>
              </w:rPr>
            </w:pPr>
            <w:r>
              <w:rPr>
                <w:rFonts w:cs="Arial"/>
                <w:sz w:val="24"/>
              </w:rPr>
              <w:t>Cem Suleyman</w:t>
            </w:r>
          </w:p>
        </w:tc>
        <w:tc>
          <w:tcPr>
            <w:tcW w:w="3118" w:type="dxa"/>
          </w:tcPr>
          <w:p w14:paraId="226ABE03" w14:textId="15F4B77C" w:rsidR="00340100" w:rsidRPr="00194B25" w:rsidRDefault="00460A4F" w:rsidP="002A69BC">
            <w:pPr>
              <w:rPr>
                <w:rFonts w:cs="Arial"/>
                <w:sz w:val="24"/>
              </w:rPr>
            </w:pPr>
            <w:r>
              <w:rPr>
                <w:rFonts w:cs="Arial"/>
                <w:sz w:val="24"/>
              </w:rPr>
              <w:t>Drax Power</w:t>
            </w: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66B25C8C" w:rsidR="00340100" w:rsidRPr="00194B25" w:rsidRDefault="00460A4F" w:rsidP="002A69BC">
            <w:pPr>
              <w:rPr>
                <w:rFonts w:cs="Arial"/>
                <w:sz w:val="24"/>
              </w:rPr>
            </w:pPr>
            <w:r>
              <w:rPr>
                <w:rFonts w:cs="Arial"/>
                <w:sz w:val="24"/>
              </w:rPr>
              <w:t xml:space="preserve">Robert Longden </w:t>
            </w:r>
          </w:p>
        </w:tc>
        <w:tc>
          <w:tcPr>
            <w:tcW w:w="3118" w:type="dxa"/>
          </w:tcPr>
          <w:p w14:paraId="21938381" w14:textId="160BC6B2" w:rsidR="00340100" w:rsidRPr="00194B25" w:rsidRDefault="00460A4F" w:rsidP="002A69BC">
            <w:pPr>
              <w:rPr>
                <w:rFonts w:cs="Arial"/>
                <w:sz w:val="24"/>
              </w:rPr>
            </w:pPr>
            <w:r>
              <w:rPr>
                <w:rFonts w:cs="Arial"/>
                <w:sz w:val="24"/>
              </w:rPr>
              <w:t xml:space="preserve">Cornwall Energy </w:t>
            </w: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1235BFC1" w:rsidR="00340100" w:rsidRPr="00194B25" w:rsidRDefault="00460A4F" w:rsidP="002A69BC">
            <w:pPr>
              <w:rPr>
                <w:rFonts w:cs="Arial"/>
                <w:sz w:val="24"/>
              </w:rPr>
            </w:pPr>
            <w:r>
              <w:rPr>
                <w:rFonts w:cs="Arial"/>
                <w:sz w:val="24"/>
              </w:rPr>
              <w:t xml:space="preserve">Sean </w:t>
            </w:r>
            <w:proofErr w:type="spellStart"/>
            <w:r>
              <w:rPr>
                <w:rFonts w:cs="Arial"/>
                <w:sz w:val="24"/>
              </w:rPr>
              <w:t>Gauton</w:t>
            </w:r>
            <w:proofErr w:type="spellEnd"/>
          </w:p>
        </w:tc>
        <w:tc>
          <w:tcPr>
            <w:tcW w:w="3118" w:type="dxa"/>
          </w:tcPr>
          <w:p w14:paraId="1354B8E0" w14:textId="62C7D62A" w:rsidR="00340100" w:rsidRPr="00194B25" w:rsidRDefault="00460A4F" w:rsidP="002A69BC">
            <w:pPr>
              <w:rPr>
                <w:rFonts w:cs="Arial"/>
                <w:sz w:val="24"/>
              </w:rPr>
            </w:pPr>
            <w:proofErr w:type="spellStart"/>
            <w:r>
              <w:rPr>
                <w:rFonts w:cs="Arial"/>
                <w:sz w:val="24"/>
              </w:rPr>
              <w:t>Uniper</w:t>
            </w:r>
            <w:proofErr w:type="spellEnd"/>
          </w:p>
        </w:tc>
      </w:tr>
      <w:tr w:rsidR="00340100" w:rsidRPr="00194B25" w14:paraId="5C85D3CF" w14:textId="77777777" w:rsidTr="00D6616A">
        <w:tc>
          <w:tcPr>
            <w:tcW w:w="2977" w:type="dxa"/>
            <w:hideMark/>
          </w:tcPr>
          <w:p w14:paraId="5A904771" w14:textId="6C6D6FB0" w:rsidR="00340100" w:rsidRPr="00194B25" w:rsidRDefault="00460A4F" w:rsidP="002A69BC">
            <w:pPr>
              <w:rPr>
                <w:rFonts w:cs="Arial"/>
                <w:sz w:val="24"/>
              </w:rPr>
            </w:pPr>
            <w:r w:rsidRPr="00194B25">
              <w:rPr>
                <w:rFonts w:cs="Arial"/>
                <w:sz w:val="24"/>
              </w:rPr>
              <w:t>Workgroup Member</w:t>
            </w:r>
          </w:p>
        </w:tc>
        <w:tc>
          <w:tcPr>
            <w:tcW w:w="3119" w:type="dxa"/>
          </w:tcPr>
          <w:p w14:paraId="6C11B2D5" w14:textId="006832FD" w:rsidR="00340100" w:rsidRPr="00194B25" w:rsidRDefault="00460A4F" w:rsidP="002A69BC">
            <w:pPr>
              <w:rPr>
                <w:rFonts w:cs="Arial"/>
                <w:sz w:val="24"/>
              </w:rPr>
            </w:pPr>
            <w:r>
              <w:rPr>
                <w:rFonts w:cs="Arial"/>
                <w:sz w:val="24"/>
              </w:rPr>
              <w:t>Jason Hill</w:t>
            </w:r>
          </w:p>
        </w:tc>
        <w:tc>
          <w:tcPr>
            <w:tcW w:w="3118" w:type="dxa"/>
          </w:tcPr>
          <w:p w14:paraId="7E068E16" w14:textId="7B2AF5C6" w:rsidR="00340100" w:rsidRPr="00194B25" w:rsidRDefault="00460A4F" w:rsidP="002A69BC">
            <w:pPr>
              <w:rPr>
                <w:rFonts w:cs="Arial"/>
                <w:sz w:val="24"/>
              </w:rPr>
            </w:pPr>
            <w:proofErr w:type="spellStart"/>
            <w:r>
              <w:rPr>
                <w:rFonts w:cs="Arial"/>
                <w:sz w:val="24"/>
              </w:rPr>
              <w:t>Stratkraft</w:t>
            </w:r>
            <w:proofErr w:type="spellEnd"/>
            <w:r>
              <w:rPr>
                <w:rFonts w:cs="Arial"/>
                <w:sz w:val="24"/>
              </w:rPr>
              <w:t xml:space="preserve"> </w:t>
            </w:r>
          </w:p>
        </w:tc>
      </w:tr>
      <w:tr w:rsidR="00460A4F" w:rsidRPr="00194B25" w14:paraId="0213D0DC" w14:textId="77777777" w:rsidTr="00D6616A">
        <w:tc>
          <w:tcPr>
            <w:tcW w:w="2977" w:type="dxa"/>
          </w:tcPr>
          <w:p w14:paraId="7953BD42" w14:textId="3D62AE45" w:rsidR="00460A4F" w:rsidRPr="00194B25" w:rsidRDefault="00460A4F" w:rsidP="002A69BC">
            <w:pPr>
              <w:rPr>
                <w:rFonts w:cs="Arial"/>
                <w:sz w:val="24"/>
              </w:rPr>
            </w:pPr>
            <w:r w:rsidRPr="00194B25">
              <w:rPr>
                <w:rFonts w:cs="Arial"/>
                <w:sz w:val="24"/>
              </w:rPr>
              <w:t>Workgroup Member</w:t>
            </w:r>
          </w:p>
        </w:tc>
        <w:tc>
          <w:tcPr>
            <w:tcW w:w="3119" w:type="dxa"/>
          </w:tcPr>
          <w:p w14:paraId="1C907ECC" w14:textId="01E751E9" w:rsidR="00460A4F" w:rsidRDefault="00460A4F" w:rsidP="002A69BC">
            <w:pPr>
              <w:rPr>
                <w:rFonts w:cs="Arial"/>
                <w:sz w:val="24"/>
              </w:rPr>
            </w:pPr>
            <w:r>
              <w:rPr>
                <w:rFonts w:cs="Arial"/>
                <w:sz w:val="24"/>
              </w:rPr>
              <w:t>Tim Ellingham</w:t>
            </w:r>
          </w:p>
        </w:tc>
        <w:tc>
          <w:tcPr>
            <w:tcW w:w="3118" w:type="dxa"/>
          </w:tcPr>
          <w:p w14:paraId="6E5D0849" w14:textId="18F20BF7" w:rsidR="00460A4F" w:rsidRPr="00194B25" w:rsidRDefault="00460A4F" w:rsidP="002A69BC">
            <w:pPr>
              <w:rPr>
                <w:rFonts w:cs="Arial"/>
                <w:sz w:val="24"/>
              </w:rPr>
            </w:pPr>
            <w:r>
              <w:rPr>
                <w:rFonts w:cs="Arial"/>
                <w:sz w:val="24"/>
              </w:rPr>
              <w:t>RWE</w:t>
            </w:r>
          </w:p>
        </w:tc>
      </w:tr>
      <w:tr w:rsidR="00460A4F" w:rsidRPr="00194B25" w14:paraId="6D27B532" w14:textId="77777777" w:rsidTr="00D6616A">
        <w:tc>
          <w:tcPr>
            <w:tcW w:w="2977" w:type="dxa"/>
          </w:tcPr>
          <w:p w14:paraId="0B012F6B" w14:textId="406346C4" w:rsidR="00460A4F" w:rsidRPr="00194B25" w:rsidRDefault="00460A4F" w:rsidP="002A69BC">
            <w:pPr>
              <w:rPr>
                <w:rFonts w:cs="Arial"/>
                <w:sz w:val="24"/>
              </w:rPr>
            </w:pPr>
            <w:r w:rsidRPr="00194B25">
              <w:rPr>
                <w:rFonts w:cs="Arial"/>
                <w:sz w:val="24"/>
              </w:rPr>
              <w:t>Workgroup Member</w:t>
            </w:r>
          </w:p>
        </w:tc>
        <w:tc>
          <w:tcPr>
            <w:tcW w:w="3119" w:type="dxa"/>
          </w:tcPr>
          <w:p w14:paraId="4784C156" w14:textId="722693A2" w:rsidR="00460A4F" w:rsidRDefault="00460A4F" w:rsidP="002A69BC">
            <w:pPr>
              <w:rPr>
                <w:rFonts w:cs="Arial"/>
                <w:sz w:val="24"/>
              </w:rPr>
            </w:pPr>
            <w:r>
              <w:rPr>
                <w:rFonts w:cs="Arial"/>
                <w:sz w:val="24"/>
              </w:rPr>
              <w:t xml:space="preserve">Ricardo Da Silva </w:t>
            </w:r>
          </w:p>
        </w:tc>
        <w:tc>
          <w:tcPr>
            <w:tcW w:w="3118" w:type="dxa"/>
          </w:tcPr>
          <w:p w14:paraId="4AF9D330" w14:textId="637AE6E4" w:rsidR="00460A4F" w:rsidRDefault="00460A4F" w:rsidP="002A69BC">
            <w:pPr>
              <w:rPr>
                <w:rFonts w:cs="Arial"/>
                <w:sz w:val="24"/>
              </w:rPr>
            </w:pPr>
            <w:r>
              <w:rPr>
                <w:rFonts w:cs="Arial"/>
                <w:sz w:val="24"/>
              </w:rPr>
              <w:t>Scottish Power</w:t>
            </w: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223DFC83"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D233B9" w:rsidR="00C72699" w:rsidRPr="00C72699" w:rsidRDefault="00C72699" w:rsidP="00C72699">
      <w:pPr>
        <w:pStyle w:val="ListParagraph"/>
        <w:numPr>
          <w:ilvl w:val="0"/>
          <w:numId w:val="15"/>
        </w:numPr>
        <w:jc w:val="both"/>
        <w:rPr>
          <w:sz w:val="24"/>
        </w:rPr>
      </w:pPr>
      <w:r w:rsidRPr="00C72699">
        <w:rPr>
          <w:sz w:val="24"/>
        </w:rPr>
        <w:lastRenderedPageBreak/>
        <w:t xml:space="preserve">The chairman of the Workgroup and the Modifications Panel Chairman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65DC73EE"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chairman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7777777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chairman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8D3D9" w14:textId="77777777" w:rsidR="00361565" w:rsidRDefault="00361565" w:rsidP="00D06DC4">
      <w:pPr>
        <w:spacing w:before="0" w:after="0" w:line="240" w:lineRule="auto"/>
      </w:pPr>
      <w:r>
        <w:separator/>
      </w:r>
    </w:p>
  </w:endnote>
  <w:endnote w:type="continuationSeparator" w:id="0">
    <w:p w14:paraId="2075800D" w14:textId="77777777" w:rsidR="00361565" w:rsidRDefault="00361565" w:rsidP="00D06DC4">
      <w:pPr>
        <w:spacing w:before="0" w:after="0" w:line="240" w:lineRule="auto"/>
      </w:pPr>
      <w:r>
        <w:continuationSeparator/>
      </w:r>
    </w:p>
  </w:endnote>
  <w:endnote w:type="continuationNotice" w:id="1">
    <w:p w14:paraId="599B0F60" w14:textId="77777777" w:rsidR="00361565" w:rsidRDefault="0036156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F2ED6" w14:textId="77777777" w:rsidR="00361565" w:rsidRDefault="00361565" w:rsidP="00D06DC4">
      <w:pPr>
        <w:spacing w:before="0" w:after="0" w:line="240" w:lineRule="auto"/>
      </w:pPr>
      <w:r>
        <w:separator/>
      </w:r>
    </w:p>
  </w:footnote>
  <w:footnote w:type="continuationSeparator" w:id="0">
    <w:p w14:paraId="359CA406" w14:textId="77777777" w:rsidR="00361565" w:rsidRDefault="00361565" w:rsidP="00D06DC4">
      <w:pPr>
        <w:spacing w:before="0" w:after="0" w:line="240" w:lineRule="auto"/>
      </w:pPr>
      <w:r>
        <w:continuationSeparator/>
      </w:r>
    </w:p>
  </w:footnote>
  <w:footnote w:type="continuationNotice" w:id="1">
    <w:p w14:paraId="126677F3" w14:textId="77777777" w:rsidR="00361565" w:rsidRDefault="0036156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8547B" w14:textId="00B061FE" w:rsidR="00B8588F" w:rsidRDefault="00B8588F" w:rsidP="000C711B">
    <w:pPr>
      <w:pStyle w:val="Header"/>
      <w:ind w:left="720" w:firstLine="720"/>
      <w:jc w:val="right"/>
    </w:pPr>
    <w:bookmarkStart w:id="2" w:name="_Hlk31876634"/>
    <w:bookmarkStart w:id="3" w:name="_Hlk31876635"/>
    <w:r w:rsidRPr="00184853">
      <w:rPr>
        <w:noProof/>
      </w:rPr>
      <w:drawing>
        <wp:anchor distT="0" distB="0" distL="114300" distR="114300" simplePos="0" relativeHeight="2516710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810B20">
      <w:t xml:space="preserve">Terms of Reference </w:t>
    </w:r>
    <w:r w:rsidR="00BF59BA">
      <w:t>CMP</w:t>
    </w:r>
    <w:r w:rsidR="00460A4F">
      <w:t>304</w:t>
    </w:r>
    <w:r>
      <w:tab/>
    </w:r>
    <w:bookmarkEnd w:id="2"/>
    <w:bookmarkEnd w:id="3"/>
    <w:r w:rsidR="00040B6A">
      <w:t xml:space="preserve">Panel date: </w:t>
    </w:r>
    <w:r w:rsidR="00460A4F">
      <w:t>31 August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E76885"/>
    <w:multiLevelType w:val="hybridMultilevel"/>
    <w:tmpl w:val="F9BE74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E337FB"/>
    <w:multiLevelType w:val="hybridMultilevel"/>
    <w:tmpl w:val="D272F12C"/>
    <w:lvl w:ilvl="0" w:tplc="D102C2E8">
      <w:start w:val="1"/>
      <w:numFmt w:val="lowerLetter"/>
      <w:lvlText w:val="%1)"/>
      <w:lvlJc w:val="left"/>
      <w:pPr>
        <w:ind w:left="720" w:hanging="360"/>
      </w:pPr>
      <w:rPr>
        <w:b w:val="0"/>
        <w:bCs/>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8"/>
  </w:num>
  <w:num w:numId="3">
    <w:abstractNumId w:val="6"/>
  </w:num>
  <w:num w:numId="4">
    <w:abstractNumId w:val="1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6"/>
  </w:num>
  <w:num w:numId="7">
    <w:abstractNumId w:val="14"/>
  </w:num>
  <w:num w:numId="8">
    <w:abstractNumId w:val="0"/>
  </w:num>
  <w:num w:numId="9">
    <w:abstractNumId w:val="15"/>
  </w:num>
  <w:num w:numId="10">
    <w:abstractNumId w:val="10"/>
  </w:num>
  <w:num w:numId="11">
    <w:abstractNumId w:val="5"/>
  </w:num>
  <w:num w:numId="12">
    <w:abstractNumId w:val="13"/>
  </w:num>
  <w:num w:numId="13">
    <w:abstractNumId w:val="7"/>
  </w:num>
  <w:num w:numId="14">
    <w:abstractNumId w:val="2"/>
  </w:num>
  <w:num w:numId="15">
    <w:abstractNumId w:val="9"/>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3"/>
  </w:num>
  <w:num w:numId="19">
    <w:abstractNumId w:val="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1565"/>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A4F"/>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AB2AF0A1-CAC8-4027-863E-DB6052765423}"/>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1</TotalTime>
  <Pages>4</Pages>
  <Words>1209</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CMP306</cp:lastModifiedBy>
  <cp:revision>2</cp:revision>
  <cp:lastPrinted>2020-02-06T13:28:00Z</cp:lastPrinted>
  <dcterms:created xsi:type="dcterms:W3CDTF">2021-11-01T16:05:00Z</dcterms:created>
  <dcterms:modified xsi:type="dcterms:W3CDTF">2021-11-01T16:05:00Z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ies>
</file>