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C188B" w14:textId="4754B9EC"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249D45B5" w14:textId="77777777" w:rsidTr="00A747AE">
        <w:trPr>
          <w:trHeight w:val="217"/>
        </w:trPr>
        <w:tc>
          <w:tcPr>
            <w:tcW w:w="9639" w:type="dxa"/>
            <w:gridSpan w:val="4"/>
            <w:shd w:val="clear" w:color="auto" w:fill="F26522" w:themeFill="accent1"/>
          </w:tcPr>
          <w:p w14:paraId="3F867758" w14:textId="11C675BD" w:rsidR="009A206C" w:rsidRPr="005603D9" w:rsidRDefault="00DB1489" w:rsidP="00A747AE">
            <w:pPr>
              <w:pStyle w:val="Documentname"/>
              <w:framePr w:hSpace="0" w:wrap="auto" w:vAnchor="margin" w:hAnchor="text" w:xAlign="left" w:yAlign="inline"/>
            </w:pPr>
            <w:r w:rsidRPr="00403E9C">
              <w:rPr>
                <w:rFonts w:cs="Arial"/>
                <w:szCs w:val="28"/>
              </w:rPr>
              <w:t xml:space="preserve">Final </w:t>
            </w:r>
            <w:r w:rsidR="00A138E0">
              <w:rPr>
                <w:rFonts w:cs="Arial"/>
                <w:szCs w:val="28"/>
              </w:rPr>
              <w:t>M</w:t>
            </w:r>
            <w:r w:rsidRPr="00403E9C">
              <w:rPr>
                <w:rFonts w:cs="Arial"/>
                <w:szCs w:val="28"/>
              </w:rPr>
              <w:t>odification Report</w:t>
            </w:r>
          </w:p>
        </w:tc>
      </w:tr>
      <w:tr w:rsidR="00470B5B" w:rsidRPr="005603D9" w14:paraId="64953881" w14:textId="77777777" w:rsidTr="000863ED">
        <w:trPr>
          <w:trHeight w:val="4709"/>
        </w:trPr>
        <w:tc>
          <w:tcPr>
            <w:tcW w:w="5103" w:type="dxa"/>
            <w:gridSpan w:val="2"/>
            <w:shd w:val="clear" w:color="auto" w:fill="auto"/>
          </w:tcPr>
          <w:p w14:paraId="50524948" w14:textId="77777777" w:rsidR="007C0A90" w:rsidRDefault="007C0A90" w:rsidP="007C0A90">
            <w:pPr>
              <w:ind w:right="113"/>
              <w:rPr>
                <w:rFonts w:cs="Arial"/>
                <w:b/>
                <w:color w:val="F26522" w:themeColor="accent1"/>
                <w:sz w:val="56"/>
                <w:szCs w:val="56"/>
              </w:rPr>
            </w:pPr>
            <w:r w:rsidRPr="000B288C">
              <w:rPr>
                <w:rFonts w:cs="Arial"/>
                <w:b/>
                <w:color w:val="F26522" w:themeColor="accent1"/>
                <w:sz w:val="56"/>
                <w:szCs w:val="56"/>
              </w:rPr>
              <w:t>GC</w:t>
            </w:r>
            <w:r>
              <w:rPr>
                <w:rFonts w:cs="Arial"/>
                <w:b/>
                <w:color w:val="F26522" w:themeColor="accent1"/>
                <w:sz w:val="56"/>
                <w:szCs w:val="56"/>
              </w:rPr>
              <w:t>0133:</w:t>
            </w:r>
          </w:p>
          <w:p w14:paraId="7FD2314F" w14:textId="77777777" w:rsidR="007C0A90" w:rsidRDefault="007C0A90" w:rsidP="007C0A90">
            <w:pPr>
              <w:ind w:right="113"/>
              <w:rPr>
                <w:rFonts w:cs="Arial"/>
                <w:b/>
                <w:i/>
                <w:color w:val="00B274"/>
              </w:rPr>
            </w:pPr>
            <w:r w:rsidRPr="001E4F73">
              <w:rPr>
                <w:rFonts w:cs="Arial"/>
                <w:sz w:val="36"/>
                <w:szCs w:val="36"/>
              </w:rPr>
              <w:t>Timely informing of the GB NETS System State condition</w:t>
            </w:r>
          </w:p>
          <w:p w14:paraId="3DBAA1F4" w14:textId="77777777" w:rsidR="007C0A90" w:rsidRPr="000705ED" w:rsidRDefault="007C0A90" w:rsidP="007C0A90">
            <w:pPr>
              <w:ind w:left="113" w:right="113"/>
              <w:rPr>
                <w:rFonts w:cs="Arial"/>
                <w:b/>
                <w:i/>
                <w:color w:val="00B274"/>
              </w:rPr>
            </w:pPr>
          </w:p>
          <w:p w14:paraId="0452DD20" w14:textId="07F6368C" w:rsidR="005603D9" w:rsidRPr="005603D9" w:rsidRDefault="007C0A90" w:rsidP="007B0BBB">
            <w:r>
              <w:rPr>
                <w:rFonts w:cs="Arial"/>
                <w:b/>
              </w:rPr>
              <w:t>Overview:</w:t>
            </w:r>
            <w:r w:rsidRPr="6DC9E538">
              <w:rPr>
                <w:noProof/>
              </w:rPr>
              <w:t xml:space="preserve"> </w:t>
            </w:r>
            <w:r>
              <w:t xml:space="preserve"> This Modification will require the Transmission System Operator (TSO) for GB</w:t>
            </w:r>
            <w:r w:rsidR="007B0BBB">
              <w:t>,</w:t>
            </w:r>
            <w:r>
              <w:t xml:space="preserve"> National Grid Electricity System Operator (NGESO)</w:t>
            </w:r>
            <w:r w:rsidR="007B0BBB">
              <w:t>,</w:t>
            </w:r>
            <w:r>
              <w:t xml:space="preserve"> to inform, in a timely manner, the System State condition of the GB National Electricity Transmission System (NETS) to market participants.</w:t>
            </w:r>
          </w:p>
        </w:tc>
        <w:tc>
          <w:tcPr>
            <w:tcW w:w="4536" w:type="dxa"/>
            <w:gridSpan w:val="2"/>
            <w:shd w:val="clear" w:color="auto" w:fill="auto"/>
          </w:tcPr>
          <w:p w14:paraId="79F9CF97" w14:textId="3D21CD57" w:rsidR="008B5413" w:rsidRDefault="00470B5B" w:rsidP="009D3CD2">
            <w:pPr>
              <w:rPr>
                <w:b/>
              </w:rPr>
            </w:pPr>
            <w:r w:rsidRPr="005603D9">
              <w:rPr>
                <w:b/>
              </w:rPr>
              <w:t xml:space="preserve">Modification process &amp; timetable     </w:t>
            </w:r>
          </w:p>
          <w:p w14:paraId="5872DCAE" w14:textId="62EFC311" w:rsidR="00BA69B4" w:rsidRDefault="00F74623" w:rsidP="009D3CD2">
            <w:pPr>
              <w:rPr>
                <w:b/>
              </w:rPr>
            </w:pPr>
            <w:r>
              <w:rPr>
                <w:noProof/>
                <w:lang w:eastAsia="en-GB"/>
              </w:rPr>
              <mc:AlternateContent>
                <mc:Choice Requires="wpg">
                  <w:drawing>
                    <wp:anchor distT="0" distB="0" distL="114300" distR="114300" simplePos="0" relativeHeight="251658240" behindDoc="0" locked="0" layoutInCell="1" allowOverlap="1" wp14:anchorId="5D5B51C0" wp14:editId="43B1C9F9">
                      <wp:simplePos x="0" y="0"/>
                      <wp:positionH relativeFrom="column">
                        <wp:posOffset>-2540</wp:posOffset>
                      </wp:positionH>
                      <wp:positionV relativeFrom="paragraph">
                        <wp:posOffset>194945</wp:posOffset>
                      </wp:positionV>
                      <wp:extent cx="2777490" cy="2404110"/>
                      <wp:effectExtent l="0" t="0" r="22860" b="0"/>
                      <wp:wrapNone/>
                      <wp:docPr id="30" name="Group 30"/>
                      <wp:cNvGraphicFramePr/>
                      <a:graphic xmlns:a="http://schemas.openxmlformats.org/drawingml/2006/main">
                        <a:graphicData uri="http://schemas.microsoft.com/office/word/2010/wordprocessingGroup">
                          <wpg:wgp>
                            <wpg:cNvGrpSpPr/>
                            <wpg:grpSpPr>
                              <a:xfrm>
                                <a:off x="0" y="0"/>
                                <a:ext cx="2777490" cy="2404110"/>
                                <a:chOff x="50" y="0"/>
                                <a:chExt cx="3335628" cy="26673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88EDCE" w14:textId="77777777" w:rsidR="00E7355C" w:rsidRPr="00644FFB" w:rsidRDefault="00E7355C" w:rsidP="00BA69B4">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1571650285"/>
                                      <w:date w:fullDate="2019-10-14T00:00:00Z">
                                        <w:dateFormat w:val="dd MMMM yyyy"/>
                                        <w:lid w:val="en-GB"/>
                                        <w:storeMappedDataAs w:val="dateTime"/>
                                        <w:calendar w:val="gregorian"/>
                                      </w:date>
                                    </w:sdtPr>
                                    <w:sdtEndPr/>
                                    <w:sdtContent>
                                      <w:p w14:paraId="2517D593" w14:textId="77777777" w:rsidR="00E7355C" w:rsidRPr="00644FFB" w:rsidRDefault="00E7355C" w:rsidP="00BA69B4">
                                        <w:pPr>
                                          <w:rPr>
                                            <w:color w:val="000000"/>
                                            <w:sz w:val="20"/>
                                          </w:rPr>
                                        </w:pPr>
                                        <w:r w:rsidRPr="00EC1730">
                                          <w:rPr>
                                            <w:color w:val="000000"/>
                                            <w:sz w:val="20"/>
                                          </w:rPr>
                                          <w:t>14 October 201</w:t>
                                        </w:r>
                                        <w:r>
                                          <w:rPr>
                                            <w:color w:val="000000"/>
                                            <w:sz w:val="20"/>
                                          </w:rPr>
                                          <w:t>9</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5798" y="1006525"/>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8AC686" w14:textId="77777777" w:rsidR="00E7355C" w:rsidRPr="00BA69B4" w:rsidRDefault="00E7355C" w:rsidP="00BA69B4">
                                    <w:pPr>
                                      <w:rPr>
                                        <w:b/>
                                        <w:color w:val="FFFFFF" w:themeColor="background1"/>
                                        <w:sz w:val="22"/>
                                      </w:rPr>
                                    </w:pPr>
                                    <w:r w:rsidRPr="00BA69B4">
                                      <w:rPr>
                                        <w:b/>
                                        <w:color w:val="FFFFFF" w:themeColor="background1"/>
                                        <w:sz w:val="22"/>
                                      </w:rPr>
                                      <w:t>Draft Modification Report</w:t>
                                    </w:r>
                                  </w:p>
                                  <w:sdt>
                                    <w:sdtPr>
                                      <w:rPr>
                                        <w:rStyle w:val="TimelineChar"/>
                                        <w:color w:val="FFFFFF" w:themeColor="background1"/>
                                      </w:rPr>
                                      <w:alias w:val="Code Administrator Use"/>
                                      <w:tag w:val="Code Administrator Use"/>
                                      <w:id w:val="391854631"/>
                                      <w:date w:fullDate="2021-09-30T00:00:00Z">
                                        <w:dateFormat w:val="dd MMMM yyyy"/>
                                        <w:lid w:val="en-GB"/>
                                        <w:storeMappedDataAs w:val="dateTime"/>
                                        <w:calendar w:val="gregorian"/>
                                      </w:date>
                                    </w:sdtPr>
                                    <w:sdtEndPr>
                                      <w:rPr>
                                        <w:rStyle w:val="TimelineChar"/>
                                      </w:rPr>
                                    </w:sdtEndPr>
                                    <w:sdtContent>
                                      <w:p w14:paraId="1AEED720" w14:textId="573C60E9" w:rsidR="00E7355C" w:rsidRPr="00BA69B4" w:rsidRDefault="00AF0AC0" w:rsidP="00BA69B4">
                                        <w:pPr>
                                          <w:rPr>
                                            <w:color w:val="FFFFFF" w:themeColor="background1"/>
                                          </w:rPr>
                                        </w:pPr>
                                        <w:r>
                                          <w:rPr>
                                            <w:rStyle w:val="TimelineChar"/>
                                            <w:color w:val="FFFFFF" w:themeColor="background1"/>
                                          </w:rPr>
                                          <w:t>30 September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5798" y="1501826"/>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B54C" w14:textId="77777777" w:rsidR="00E7355C" w:rsidRPr="000F26AE" w:rsidRDefault="00E7355C" w:rsidP="00BA69B4">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172145735"/>
                                      <w:date w:fullDate="2021-10-11T00:00:00Z">
                                        <w:dateFormat w:val="dd MMMM yyyy"/>
                                        <w:lid w:val="en-GB"/>
                                        <w:storeMappedDataAs w:val="dateTime"/>
                                        <w:calendar w:val="gregorian"/>
                                      </w:date>
                                    </w:sdtPr>
                                    <w:sdtEndPr>
                                      <w:rPr>
                                        <w:rStyle w:val="TimelineChar"/>
                                      </w:rPr>
                                    </w:sdtEndPr>
                                    <w:sdtContent>
                                      <w:p w14:paraId="709B1A2B" w14:textId="5A36C02D" w:rsidR="00E7355C" w:rsidRPr="004F10E6" w:rsidRDefault="00AF0AC0" w:rsidP="00BA69B4">
                                        <w:pPr>
                                          <w:rPr>
                                            <w:color w:val="000000"/>
                                          </w:rPr>
                                        </w:pPr>
                                        <w:r>
                                          <w:rPr>
                                            <w:rStyle w:val="TimelineChar"/>
                                          </w:rPr>
                                          <w:t>11</w:t>
                                        </w:r>
                                        <w:r w:rsidR="00E7355C">
                                          <w:rPr>
                                            <w:rStyle w:val="TimelineChar"/>
                                          </w:rPr>
                                          <w:t xml:space="preserve"> </w:t>
                                        </w:r>
                                        <w:r>
                                          <w:rPr>
                                            <w:rStyle w:val="TimelineChar"/>
                                          </w:rPr>
                                          <w:t>October</w:t>
                                        </w:r>
                                        <w:r w:rsidR="00E7355C">
                                          <w:rPr>
                                            <w:rStyle w:val="TimelineChar"/>
                                          </w:rPr>
                                          <w:t xml:space="preserve"> 2021</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92148" y="2003476"/>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47E39A" w14:textId="77777777" w:rsidR="00E7355C" w:rsidRPr="000F26AE" w:rsidRDefault="00E7355C" w:rsidP="00BA69B4">
                                    <w:pPr>
                                      <w:rPr>
                                        <w:b/>
                                        <w:color w:val="F26522" w:themeColor="accent1"/>
                                        <w:sz w:val="22"/>
                                      </w:rPr>
                                    </w:pPr>
                                    <w:r w:rsidRPr="000F26AE">
                                      <w:rPr>
                                        <w:b/>
                                        <w:color w:val="F26522" w:themeColor="accent1"/>
                                        <w:sz w:val="22"/>
                                      </w:rPr>
                                      <w:t>Implementation</w:t>
                                    </w:r>
                                  </w:p>
                                  <w:p w14:paraId="25F347B7" w14:textId="77777777" w:rsidR="00E7355C" w:rsidRPr="004F10E6" w:rsidRDefault="00E7355C" w:rsidP="00BA69B4">
                                    <w:pPr>
                                      <w:rPr>
                                        <w:color w:val="000000"/>
                                      </w:rPr>
                                    </w:pPr>
                                    <w:r>
                                      <w:rPr>
                                        <w:rStyle w:val="TimelineChar"/>
                                      </w:rPr>
                                      <w:t>10 working days following decision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12F6E0" w14:textId="77777777" w:rsidR="00E7355C" w:rsidRPr="00B2143A" w:rsidRDefault="00E7355C" w:rsidP="00BA69B4">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95961D" w14:textId="77777777" w:rsidR="00E7355C" w:rsidRPr="00B2143A" w:rsidRDefault="00E7355C" w:rsidP="00BA69B4">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ACACDB" w14:textId="77777777" w:rsidR="00E7355C" w:rsidRPr="00B2143A" w:rsidRDefault="00E7355C" w:rsidP="00BA69B4">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701617" w14:textId="77777777" w:rsidR="00E7355C" w:rsidRPr="00B2143A" w:rsidRDefault="00E7355C" w:rsidP="00BA69B4">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0C439B" w14:textId="77777777" w:rsidR="00E7355C" w:rsidRPr="00B2143A" w:rsidRDefault="00E7355C" w:rsidP="00BA69B4">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5B51C0" id="Group 30" o:spid="_x0000_s1026" style="position:absolute;margin-left:-.2pt;margin-top:15.35pt;width:218.7pt;height:189.3pt;z-index:251658240;mso-width-relative:margin;mso-height-relative:margin" coordorigin="" coordsize="33356,26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4988EDCE" w14:textId="77777777" w:rsidR="00E7355C" w:rsidRPr="00644FFB" w:rsidRDefault="00E7355C" w:rsidP="00BA69B4">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1571650285"/>
                                <w:date w:fullDate="2019-10-14T00:00:00Z">
                                  <w:dateFormat w:val="dd MMMM yyyy"/>
                                  <w:lid w:val="en-GB"/>
                                  <w:storeMappedDataAs w:val="dateTime"/>
                                  <w:calendar w:val="gregorian"/>
                                </w:date>
                              </w:sdtPr>
                              <w:sdtEndPr/>
                              <w:sdtContent>
                                <w:p w14:paraId="2517D593" w14:textId="77777777" w:rsidR="00E7355C" w:rsidRPr="00644FFB" w:rsidRDefault="00E7355C" w:rsidP="00BA69B4">
                                  <w:pPr>
                                    <w:rPr>
                                      <w:color w:val="000000"/>
                                      <w:sz w:val="20"/>
                                    </w:rPr>
                                  </w:pPr>
                                  <w:r w:rsidRPr="00EC1730">
                                    <w:rPr>
                                      <w:color w:val="000000"/>
                                      <w:sz w:val="20"/>
                                    </w:rPr>
                                    <w:t>14 October 201</w:t>
                                  </w:r>
                                  <w:r>
                                    <w:rPr>
                                      <w:color w:val="000000"/>
                                      <w:sz w:val="20"/>
                                    </w:rPr>
                                    <w:t>9</w:t>
                                  </w:r>
                                </w:p>
                              </w:sdtContent>
                            </w:sdt>
                          </w:txbxContent>
                        </v:textbox>
                      </v:roundrect>
                      <v:roundrect id="Rectangle: Rounded Corners 35" o:spid="_x0000_s1028" style="position:absolute;left:4857;top:10065;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" fillcolor="#f26522 [3204]" strokecolor="#f26522 [3204]" strokeweight="2pt">
                        <v:textbox inset="0,0,0,0">
                          <w:txbxContent>
                            <w:p w14:paraId="448AC686" w14:textId="77777777" w:rsidR="00E7355C" w:rsidRPr="00BA69B4" w:rsidRDefault="00E7355C" w:rsidP="00BA69B4">
                              <w:pPr>
                                <w:rPr>
                                  <w:b/>
                                  <w:color w:val="FFFFFF" w:themeColor="background1"/>
                                  <w:sz w:val="22"/>
                                </w:rPr>
                              </w:pPr>
                              <w:r w:rsidRPr="00BA69B4">
                                <w:rPr>
                                  <w:b/>
                                  <w:color w:val="FFFFFF" w:themeColor="background1"/>
                                  <w:sz w:val="22"/>
                                </w:rPr>
                                <w:t>Draft Modification Report</w:t>
                              </w:r>
                            </w:p>
                            <w:sdt>
                              <w:sdtPr>
                                <w:rPr>
                                  <w:rStyle w:val="TimelineChar"/>
                                  <w:color w:val="FFFFFF" w:themeColor="background1"/>
                                </w:rPr>
                                <w:alias w:val="Code Administrator Use"/>
                                <w:tag w:val="Code Administrator Use"/>
                                <w:id w:val="391854631"/>
                                <w:date w:fullDate="2021-09-30T00:00:00Z">
                                  <w:dateFormat w:val="dd MMMM yyyy"/>
                                  <w:lid w:val="en-GB"/>
                                  <w:storeMappedDataAs w:val="dateTime"/>
                                  <w:calendar w:val="gregorian"/>
                                </w:date>
                              </w:sdtPr>
                              <w:sdtEndPr>
                                <w:rPr>
                                  <w:rStyle w:val="TimelineChar"/>
                                </w:rPr>
                              </w:sdtEndPr>
                              <w:sdtContent>
                                <w:p w14:paraId="1AEED720" w14:textId="573C60E9" w:rsidR="00E7355C" w:rsidRPr="00BA69B4" w:rsidRDefault="00AF0AC0" w:rsidP="00BA69B4">
                                  <w:pPr>
                                    <w:rPr>
                                      <w:color w:val="FFFFFF" w:themeColor="background1"/>
                                    </w:rPr>
                                  </w:pPr>
                                  <w:r>
                                    <w:rPr>
                                      <w:rStyle w:val="TimelineChar"/>
                                      <w:color w:val="FFFFFF" w:themeColor="background1"/>
                                    </w:rPr>
                                    <w:t>30 September 2021</w:t>
                                  </w:r>
                                </w:p>
                              </w:sdtContent>
                            </w:sdt>
                          </w:txbxContent>
                        </v:textbox>
                      </v:roundrect>
                      <v:roundrect id="Rectangle: Rounded Corners 36" o:spid="_x0000_s1029" style="position:absolute;left:4857;top:15018;width:28436;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57BFB54C" w14:textId="77777777" w:rsidR="00E7355C" w:rsidRPr="000F26AE" w:rsidRDefault="00E7355C" w:rsidP="00BA69B4">
                              <w:pPr>
                                <w:rPr>
                                  <w:b/>
                                  <w:color w:val="F26522" w:themeColor="accent1"/>
                                  <w:sz w:val="22"/>
                                </w:rPr>
                              </w:pPr>
                              <w:r w:rsidRPr="000F26AE">
                                <w:rPr>
                                  <w:b/>
                                  <w:color w:val="F26522" w:themeColor="accent1"/>
                                  <w:sz w:val="22"/>
                                </w:rPr>
                                <w:t>Final Modification Report</w:t>
                              </w:r>
                            </w:p>
                            <w:sdt>
                              <w:sdtPr>
                                <w:rPr>
                                  <w:rStyle w:val="TimelineChar"/>
                                </w:rPr>
                                <w:alias w:val="Code Administrator Use"/>
                                <w:tag w:val="Code Administrator Use"/>
                                <w:id w:val="1172145735"/>
                                <w:date w:fullDate="2021-10-11T00:00:00Z">
                                  <w:dateFormat w:val="dd MMMM yyyy"/>
                                  <w:lid w:val="en-GB"/>
                                  <w:storeMappedDataAs w:val="dateTime"/>
                                  <w:calendar w:val="gregorian"/>
                                </w:date>
                              </w:sdtPr>
                              <w:sdtEndPr>
                                <w:rPr>
                                  <w:rStyle w:val="TimelineChar"/>
                                </w:rPr>
                              </w:sdtEndPr>
                              <w:sdtContent>
                                <w:p w14:paraId="709B1A2B" w14:textId="5A36C02D" w:rsidR="00E7355C" w:rsidRPr="004F10E6" w:rsidRDefault="00AF0AC0" w:rsidP="00BA69B4">
                                  <w:pPr>
                                    <w:rPr>
                                      <w:color w:val="000000"/>
                                    </w:rPr>
                                  </w:pPr>
                                  <w:r>
                                    <w:rPr>
                                      <w:rStyle w:val="TimelineChar"/>
                                    </w:rPr>
                                    <w:t>11</w:t>
                                  </w:r>
                                  <w:r w:rsidR="00E7355C">
                                    <w:rPr>
                                      <w:rStyle w:val="TimelineChar"/>
                                    </w:rPr>
                                    <w:t xml:space="preserve"> </w:t>
                                  </w:r>
                                  <w:r>
                                    <w:rPr>
                                      <w:rStyle w:val="TimelineChar"/>
                                    </w:rPr>
                                    <w:t>October</w:t>
                                  </w:r>
                                  <w:r w:rsidR="00E7355C">
                                    <w:rPr>
                                      <w:rStyle w:val="TimelineChar"/>
                                    </w:rPr>
                                    <w:t xml:space="preserve"> 2021</w:t>
                                  </w:r>
                                </w:p>
                              </w:sdtContent>
                            </w:sdt>
                          </w:txbxContent>
                        </v:textbox>
                      </v:roundrect>
                      <v:roundrect id="Rectangle: Rounded Corners 37" o:spid="_x0000_s1030" style="position:absolute;left:4921;top:2003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0947E39A" w14:textId="77777777" w:rsidR="00E7355C" w:rsidRPr="000F26AE" w:rsidRDefault="00E7355C" w:rsidP="00BA69B4">
                              <w:pPr>
                                <w:rPr>
                                  <w:b/>
                                  <w:color w:val="F26522" w:themeColor="accent1"/>
                                  <w:sz w:val="22"/>
                                </w:rPr>
                              </w:pPr>
                              <w:r w:rsidRPr="000F26AE">
                                <w:rPr>
                                  <w:b/>
                                  <w:color w:val="F26522" w:themeColor="accent1"/>
                                  <w:sz w:val="22"/>
                                </w:rPr>
                                <w:t>Implementation</w:t>
                              </w:r>
                            </w:p>
                            <w:p w14:paraId="25F347B7" w14:textId="77777777" w:rsidR="00E7355C" w:rsidRPr="004F10E6" w:rsidRDefault="00E7355C" w:rsidP="00BA69B4">
                              <w:pPr>
                                <w:rPr>
                                  <w:color w:val="000000"/>
                                </w:rPr>
                              </w:pPr>
                              <w:r>
                                <w:rPr>
                                  <w:rStyle w:val="TimelineChar"/>
                                </w:rPr>
                                <w:t>10 working days following decision</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1"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0112F6E0" w14:textId="77777777" w:rsidR="00E7355C" w:rsidRPr="00B2143A" w:rsidRDefault="00E7355C" w:rsidP="00BA69B4">
                              <w:pPr>
                                <w:jc w:val="center"/>
                                <w:rPr>
                                  <w:b/>
                                  <w:sz w:val="22"/>
                                </w:rPr>
                              </w:pPr>
                              <w:r w:rsidRPr="00B2143A">
                                <w:rPr>
                                  <w:b/>
                                  <w:sz w:val="22"/>
                                </w:rPr>
                                <w:t>1</w:t>
                              </w:r>
                            </w:p>
                          </w:txbxContent>
                        </v:textbox>
                      </v:shape>
                      <v:shape id="Arrow: Chevron 39" o:spid="_x0000_s1032"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4F95961D" w14:textId="77777777" w:rsidR="00E7355C" w:rsidRPr="00B2143A" w:rsidRDefault="00E7355C" w:rsidP="00BA69B4">
                              <w:pPr>
                                <w:jc w:val="center"/>
                                <w:rPr>
                                  <w:b/>
                                  <w:sz w:val="22"/>
                                </w:rPr>
                              </w:pPr>
                              <w:r w:rsidRPr="00B2143A">
                                <w:rPr>
                                  <w:b/>
                                  <w:sz w:val="22"/>
                                </w:rPr>
                                <w:t>2</w:t>
                              </w:r>
                            </w:p>
                          </w:txbxContent>
                        </v:textbox>
                      </v:shape>
                      <v:shape id="Arrow: Chevron 40" o:spid="_x0000_s1033"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38ACACDB" w14:textId="77777777" w:rsidR="00E7355C" w:rsidRPr="00B2143A" w:rsidRDefault="00E7355C" w:rsidP="00BA69B4">
                              <w:pPr>
                                <w:jc w:val="center"/>
                                <w:rPr>
                                  <w:b/>
                                  <w:sz w:val="22"/>
                                </w:rPr>
                              </w:pPr>
                              <w:r w:rsidRPr="00B2143A">
                                <w:rPr>
                                  <w:b/>
                                  <w:sz w:val="22"/>
                                </w:rPr>
                                <w:t>3</w:t>
                              </w:r>
                            </w:p>
                          </w:txbxContent>
                        </v:textbox>
                      </v:shape>
                      <v:shape id="Arrow: Chevron 41" o:spid="_x0000_s1034"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53701617" w14:textId="77777777" w:rsidR="00E7355C" w:rsidRPr="00B2143A" w:rsidRDefault="00E7355C" w:rsidP="00BA69B4">
                              <w:pPr>
                                <w:jc w:val="center"/>
                                <w:rPr>
                                  <w:b/>
                                  <w:sz w:val="22"/>
                                </w:rPr>
                              </w:pPr>
                              <w:r w:rsidRPr="00B2143A">
                                <w:rPr>
                                  <w:b/>
                                  <w:sz w:val="22"/>
                                </w:rPr>
                                <w:t>4</w:t>
                              </w:r>
                            </w:p>
                          </w:txbxContent>
                        </v:textbox>
                      </v:shape>
                      <v:shape id="Arrow: Chevron 42" o:spid="_x0000_s1035"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0E0C439B" w14:textId="77777777" w:rsidR="00E7355C" w:rsidRPr="00B2143A" w:rsidRDefault="00E7355C" w:rsidP="00BA69B4">
                              <w:pPr>
                                <w:jc w:val="center"/>
                                <w:rPr>
                                  <w:b/>
                                  <w:sz w:val="22"/>
                                </w:rPr>
                              </w:pPr>
                              <w:r w:rsidRPr="00B2143A">
                                <w:rPr>
                                  <w:b/>
                                  <w:sz w:val="22"/>
                                </w:rPr>
                                <w:t>5</w:t>
                              </w:r>
                            </w:p>
                          </w:txbxContent>
                        </v:textbox>
                      </v:shape>
                    </v:group>
                  </w:pict>
                </mc:Fallback>
              </mc:AlternateContent>
            </w:r>
            <w:r w:rsidR="00470B5B" w:rsidRPr="005603D9">
              <w:rPr>
                <w:b/>
              </w:rPr>
              <w:t xml:space="preserve">             </w:t>
            </w:r>
          </w:p>
          <w:p w14:paraId="25CEB61F" w14:textId="77777777" w:rsidR="00470B5B" w:rsidRDefault="00470B5B" w:rsidP="009D3CD2">
            <w:pPr>
              <w:rPr>
                <w:b/>
              </w:rPr>
            </w:pPr>
            <w:r w:rsidRPr="005603D9">
              <w:rPr>
                <w:b/>
              </w:rPr>
              <w:t xml:space="preserve">        </w:t>
            </w:r>
          </w:p>
          <w:p w14:paraId="1E6A71EF" w14:textId="36D0ADF6" w:rsidR="00F74623" w:rsidRDefault="00F74623" w:rsidP="009D3CD2">
            <w:pPr>
              <w:rPr>
                <w:b/>
              </w:rPr>
            </w:pPr>
          </w:p>
          <w:p w14:paraId="789A42C0" w14:textId="5C6769C7" w:rsidR="005B51A5" w:rsidRDefault="005F3609" w:rsidP="009D3CD2">
            <w:pPr>
              <w:rPr>
                <w:b/>
              </w:rPr>
            </w:pPr>
            <w:r>
              <w:rPr>
                <w:noProof/>
                <w:lang w:eastAsia="en-GB"/>
              </w:rPr>
              <mc:AlternateContent>
                <mc:Choice Requires="wps">
                  <w:drawing>
                    <wp:anchor distT="0" distB="0" distL="114300" distR="114300" simplePos="0" relativeHeight="251658241" behindDoc="0" locked="0" layoutInCell="1" allowOverlap="1" wp14:anchorId="1AF42160" wp14:editId="5DE94FAC">
                      <wp:simplePos x="0" y="0"/>
                      <wp:positionH relativeFrom="column">
                        <wp:posOffset>401320</wp:posOffset>
                      </wp:positionH>
                      <wp:positionV relativeFrom="paragraph">
                        <wp:posOffset>77470</wp:posOffset>
                      </wp:positionV>
                      <wp:extent cx="2367428" cy="457628"/>
                      <wp:effectExtent l="0" t="0" r="13970" b="19050"/>
                      <wp:wrapNone/>
                      <wp:docPr id="4" name="Rectangle: Rounded Corners 4"/>
                      <wp:cNvGraphicFramePr/>
                      <a:graphic xmlns:a="http://schemas.openxmlformats.org/drawingml/2006/main">
                        <a:graphicData uri="http://schemas.microsoft.com/office/word/2010/wordprocessingShape">
                          <wps:wsp>
                            <wps:cNvSpPr/>
                            <wps:spPr>
                              <a:xfrm>
                                <a:off x="0" y="0"/>
                                <a:ext cx="2367428" cy="457628"/>
                              </a:xfrm>
                              <a:prstGeom prst="roundRect">
                                <a:avLst>
                                  <a:gd name="adj" fmla="val 4902"/>
                                </a:avLst>
                              </a:prstGeom>
                              <a:noFill/>
                              <a:ln w="25400" cap="flat" cmpd="sng" algn="ctr">
                                <a:solidFill>
                                  <a:srgbClr val="F26522"/>
                                </a:solidFill>
                                <a:prstDash val="solid"/>
                              </a:ln>
                              <a:effectLst/>
                            </wps:spPr>
                            <wps:txbx>
                              <w:txbxContent>
                                <w:p w14:paraId="6D7EB0C5" w14:textId="099D2BA0" w:rsidR="00E7355C" w:rsidRDefault="00E7355C" w:rsidP="005F3609">
                                  <w:pPr>
                                    <w:rPr>
                                      <w:b/>
                                      <w:color w:val="F26522" w:themeColor="accent1"/>
                                      <w:sz w:val="22"/>
                                    </w:rPr>
                                  </w:pPr>
                                  <w:r>
                                    <w:rPr>
                                      <w:b/>
                                      <w:color w:val="F26522" w:themeColor="accent1"/>
                                      <w:sz w:val="22"/>
                                    </w:rPr>
                                    <w:t>Code Administrator Consultation</w:t>
                                  </w:r>
                                </w:p>
                                <w:p w14:paraId="30506ECD" w14:textId="6649ECD2" w:rsidR="00E7355C" w:rsidRPr="004F10E6" w:rsidRDefault="0053415C" w:rsidP="005F3609">
                                  <w:sdt>
                                    <w:sdtPr>
                                      <w:rPr>
                                        <w:rStyle w:val="TimelineChar"/>
                                      </w:rPr>
                                      <w:alias w:val="Code Administrator Use"/>
                                      <w:tag w:val="Code Administrator Use"/>
                                      <w:id w:val="1754091012"/>
                                      <w:date w:fullDate="2021-04-13T00:00:00Z">
                                        <w:dateFormat w:val="dd MMMM yyyy"/>
                                        <w:lid w:val="en-GB"/>
                                        <w:storeMappedDataAs w:val="dateTime"/>
                                        <w:calendar w:val="gregorian"/>
                                      </w:date>
                                    </w:sdtPr>
                                    <w:sdtEndPr>
                                      <w:rPr>
                                        <w:rStyle w:val="TimelineChar"/>
                                      </w:rPr>
                                    </w:sdtEndPr>
                                    <w:sdtContent>
                                      <w:r w:rsidR="00E7355C">
                                        <w:rPr>
                                          <w:rStyle w:val="TimelineChar"/>
                                        </w:rPr>
                                        <w:t>13 April 2021</w:t>
                                      </w:r>
                                    </w:sdtContent>
                                  </w:sdt>
                                  <w:r w:rsidR="00E7355C">
                                    <w:t xml:space="preserve"> –</w:t>
                                  </w:r>
                                  <w:r w:rsidR="00E7355C" w:rsidRPr="005C34DD">
                                    <w:t xml:space="preserve"> </w:t>
                                  </w:r>
                                  <w:sdt>
                                    <w:sdtPr>
                                      <w:rPr>
                                        <w:rStyle w:val="TimelineChar"/>
                                      </w:rPr>
                                      <w:alias w:val="Code Administrator Use"/>
                                      <w:tag w:val="Code Administrator Use"/>
                                      <w:id w:val="1171368543"/>
                                      <w:date w:fullDate="2021-07-13T00:00:00Z">
                                        <w:dateFormat w:val="dd MMMM yyyy"/>
                                        <w:lid w:val="en-GB"/>
                                        <w:storeMappedDataAs w:val="dateTime"/>
                                        <w:calendar w:val="gregorian"/>
                                      </w:date>
                                    </w:sdtPr>
                                    <w:sdtEndPr>
                                      <w:rPr>
                                        <w:rStyle w:val="TimelineChar"/>
                                      </w:rPr>
                                    </w:sdtEndPr>
                                    <w:sdtContent>
                                      <w:r w:rsidR="00E7355C">
                                        <w:rPr>
                                          <w:rStyle w:val="TimelineChar"/>
                                        </w:rPr>
                                        <w:t>13 July 2021</w:t>
                                      </w:r>
                                    </w:sdtContent>
                                  </w:sdt>
                                </w:p>
                                <w:p w14:paraId="18B7846B" w14:textId="77777777" w:rsidR="00E7355C" w:rsidRPr="000F26AE" w:rsidRDefault="00E7355C" w:rsidP="005F3609">
                                  <w:pPr>
                                    <w:rPr>
                                      <w:b/>
                                      <w:color w:val="F26522" w:themeColor="accent1"/>
                                      <w:sz w:val="2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F42160" id="Rectangle: Rounded Corners 4" o:spid="_x0000_s1036" style="position:absolute;margin-left:31.6pt;margin-top:6.1pt;width:186.4pt;height:3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" filled="f" strokecolor="#f26522" strokeweight="2pt">
                      <v:textbox inset="0,0,0,0">
                        <w:txbxContent>
                          <w:p w14:paraId="6D7EB0C5" w14:textId="099D2BA0" w:rsidR="00E7355C" w:rsidRDefault="00E7355C" w:rsidP="005F3609">
                            <w:pPr>
                              <w:rPr>
                                <w:b/>
                                <w:color w:val="F26522" w:themeColor="accent1"/>
                                <w:sz w:val="22"/>
                              </w:rPr>
                            </w:pPr>
                            <w:r>
                              <w:rPr>
                                <w:b/>
                                <w:color w:val="F26522" w:themeColor="accent1"/>
                                <w:sz w:val="22"/>
                              </w:rPr>
                              <w:t>Code Administrator Consultation</w:t>
                            </w:r>
                          </w:p>
                          <w:p w14:paraId="30506ECD" w14:textId="6649ECD2" w:rsidR="00E7355C" w:rsidRPr="004F10E6" w:rsidRDefault="00FC3F7D" w:rsidP="005F3609">
                            <w:sdt>
                              <w:sdtPr>
                                <w:rPr>
                                  <w:rStyle w:val="TimelineChar"/>
                                </w:rPr>
                                <w:alias w:val="Code Administrator Use"/>
                                <w:tag w:val="Code Administrator Use"/>
                                <w:id w:val="1754091012"/>
                                <w:date w:fullDate="2021-04-13T00:00:00Z">
                                  <w:dateFormat w:val="dd MMMM yyyy"/>
                                  <w:lid w:val="en-GB"/>
                                  <w:storeMappedDataAs w:val="dateTime"/>
                                  <w:calendar w:val="gregorian"/>
                                </w:date>
                              </w:sdtPr>
                              <w:sdtEndPr>
                                <w:rPr>
                                  <w:rStyle w:val="TimelineChar"/>
                                </w:rPr>
                              </w:sdtEndPr>
                              <w:sdtContent>
                                <w:r w:rsidR="00E7355C">
                                  <w:rPr>
                                    <w:rStyle w:val="TimelineChar"/>
                                  </w:rPr>
                                  <w:t>13 April 2021</w:t>
                                </w:r>
                              </w:sdtContent>
                            </w:sdt>
                            <w:r w:rsidR="00E7355C">
                              <w:t xml:space="preserve"> –</w:t>
                            </w:r>
                            <w:r w:rsidR="00E7355C" w:rsidRPr="005C34DD">
                              <w:t xml:space="preserve"> </w:t>
                            </w:r>
                            <w:sdt>
                              <w:sdtPr>
                                <w:rPr>
                                  <w:rStyle w:val="TimelineChar"/>
                                </w:rPr>
                                <w:alias w:val="Code Administrator Use"/>
                                <w:tag w:val="Code Administrator Use"/>
                                <w:id w:val="1171368543"/>
                                <w:date w:fullDate="2021-07-13T00:00:00Z">
                                  <w:dateFormat w:val="dd MMMM yyyy"/>
                                  <w:lid w:val="en-GB"/>
                                  <w:storeMappedDataAs w:val="dateTime"/>
                                  <w:calendar w:val="gregorian"/>
                                </w:date>
                              </w:sdtPr>
                              <w:sdtEndPr>
                                <w:rPr>
                                  <w:rStyle w:val="TimelineChar"/>
                                </w:rPr>
                              </w:sdtEndPr>
                              <w:sdtContent>
                                <w:r w:rsidR="00E7355C">
                                  <w:rPr>
                                    <w:rStyle w:val="TimelineChar"/>
                                  </w:rPr>
                                  <w:t>13 July 2021</w:t>
                                </w:r>
                              </w:sdtContent>
                            </w:sdt>
                          </w:p>
                          <w:p w14:paraId="18B7846B" w14:textId="77777777" w:rsidR="00E7355C" w:rsidRPr="000F26AE" w:rsidRDefault="00E7355C" w:rsidP="005F3609">
                            <w:pPr>
                              <w:rPr>
                                <w:b/>
                                <w:color w:val="F26522" w:themeColor="accent1"/>
                                <w:sz w:val="22"/>
                              </w:rPr>
                            </w:pPr>
                          </w:p>
                        </w:txbxContent>
                      </v:textbox>
                    </v:roundrect>
                  </w:pict>
                </mc:Fallback>
              </mc:AlternateContent>
            </w:r>
          </w:p>
          <w:p w14:paraId="0B6DD4B4" w14:textId="790F561C" w:rsidR="003B516B" w:rsidRDefault="003B516B" w:rsidP="009D3CD2">
            <w:pPr>
              <w:rPr>
                <w:b/>
              </w:rPr>
            </w:pPr>
          </w:p>
          <w:p w14:paraId="7F9DD22E" w14:textId="6C122E97" w:rsidR="005B51A5" w:rsidRPr="005603D9" w:rsidRDefault="005B51A5" w:rsidP="009D3CD2">
            <w:pPr>
              <w:rPr>
                <w:b/>
              </w:rPr>
            </w:pPr>
          </w:p>
        </w:tc>
      </w:tr>
      <w:tr w:rsidR="00E52308" w:rsidRPr="005603D9" w14:paraId="59F7C12B" w14:textId="77777777" w:rsidTr="00A747AE">
        <w:trPr>
          <w:trHeight w:val="792"/>
        </w:trPr>
        <w:tc>
          <w:tcPr>
            <w:tcW w:w="9639" w:type="dxa"/>
            <w:gridSpan w:val="4"/>
            <w:shd w:val="clear" w:color="auto" w:fill="auto"/>
          </w:tcPr>
          <w:p w14:paraId="4BA58833"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2866F67A" w14:textId="610EE665"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Pr="0074129F">
                <w:rPr>
                  <w:rStyle w:val="Hyperlink"/>
                  <w:rFonts w:eastAsiaTheme="majorEastAsia"/>
                  <w:sz w:val="24"/>
                </w:rPr>
                <w:t>Final Modification Report</w:t>
              </w:r>
            </w:hyperlink>
          </w:p>
          <w:p w14:paraId="110A7A05" w14:textId="13A9A283"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Final Modification Report and </w:t>
            </w:r>
            <w:r w:rsidR="00771DE2">
              <w:rPr>
                <w:rFonts w:cs="Arial"/>
                <w:bCs/>
                <w:sz w:val="24"/>
              </w:rPr>
              <w:t>A</w:t>
            </w:r>
            <w:r w:rsidRPr="002025C5">
              <w:rPr>
                <w:rFonts w:cs="Arial"/>
                <w:bCs/>
                <w:sz w:val="24"/>
              </w:rPr>
              <w:t>nnexes.</w:t>
            </w:r>
          </w:p>
        </w:tc>
      </w:tr>
      <w:tr w:rsidR="00470B5B" w:rsidRPr="005603D9" w14:paraId="5EDB13C6" w14:textId="77777777" w:rsidTr="00A747AE">
        <w:trPr>
          <w:trHeight w:val="585"/>
        </w:trPr>
        <w:tc>
          <w:tcPr>
            <w:tcW w:w="9639" w:type="dxa"/>
            <w:gridSpan w:val="4"/>
            <w:shd w:val="clear" w:color="auto" w:fill="auto"/>
          </w:tcPr>
          <w:p w14:paraId="10BA8709" w14:textId="04A4449A" w:rsidR="00470B5B" w:rsidRPr="005603D9" w:rsidRDefault="00470B5B" w:rsidP="009D3CD2">
            <w:r w:rsidRPr="005603D9">
              <w:rPr>
                <w:b/>
              </w:rPr>
              <w:t>Status summary</w:t>
            </w:r>
            <w:r w:rsidRPr="0074129F">
              <w:rPr>
                <w:b/>
              </w:rPr>
              <w:t>:</w:t>
            </w:r>
            <w:r w:rsidRPr="0074129F">
              <w:t xml:space="preserve"> </w:t>
            </w:r>
            <w:r w:rsidR="005F7437" w:rsidRPr="0074129F">
              <w:rPr>
                <w:rFonts w:cs="Arial"/>
                <w:bCs/>
              </w:rPr>
              <w:t xml:space="preserve"> This report </w:t>
            </w:r>
            <w:r w:rsidR="00546EA8">
              <w:rPr>
                <w:rFonts w:cs="Arial"/>
                <w:bCs/>
              </w:rPr>
              <w:t xml:space="preserve">will be </w:t>
            </w:r>
            <w:r w:rsidR="005F7437" w:rsidRPr="0074129F">
              <w:rPr>
                <w:rFonts w:cs="Arial"/>
                <w:bCs/>
              </w:rPr>
              <w:t>submitted to the Authority for them to decide whether this change should happen.</w:t>
            </w:r>
            <w:r w:rsidR="005F7437">
              <w:rPr>
                <w:rFonts w:cs="Arial"/>
                <w:bCs/>
              </w:rPr>
              <w:t xml:space="preserve"> </w:t>
            </w:r>
          </w:p>
        </w:tc>
      </w:tr>
      <w:tr w:rsidR="00922BD0" w:rsidRPr="005603D9" w14:paraId="2E4F48A3" w14:textId="77777777" w:rsidTr="00A747AE">
        <w:trPr>
          <w:trHeight w:val="655"/>
        </w:trPr>
        <w:tc>
          <w:tcPr>
            <w:tcW w:w="9639" w:type="dxa"/>
            <w:gridSpan w:val="4"/>
            <w:shd w:val="clear" w:color="auto" w:fill="auto"/>
          </w:tcPr>
          <w:p w14:paraId="159272EA" w14:textId="1D2D122A" w:rsidR="00922BD0" w:rsidRPr="005603D9" w:rsidRDefault="00C06491" w:rsidP="009D3CD2">
            <w:pPr>
              <w:rPr>
                <w:b/>
              </w:rPr>
            </w:pPr>
            <w:r w:rsidRPr="00260B04">
              <w:rPr>
                <w:rFonts w:cs="Arial"/>
                <w:b/>
                <w:bCs/>
              </w:rPr>
              <w:t xml:space="preserve">Panel </w:t>
            </w:r>
            <w:r w:rsidR="00771DE2">
              <w:rPr>
                <w:rFonts w:cs="Arial"/>
                <w:b/>
                <w:bCs/>
              </w:rPr>
              <w:t>r</w:t>
            </w:r>
            <w:r w:rsidRPr="00260B04">
              <w:rPr>
                <w:rFonts w:cs="Arial"/>
                <w:b/>
                <w:bCs/>
              </w:rPr>
              <w:t>ecommendation:</w:t>
            </w:r>
            <w:r w:rsidRPr="00260B04">
              <w:rPr>
                <w:rFonts w:cs="Arial"/>
                <w:bCs/>
              </w:rPr>
              <w:t xml:space="preserve"> The Panel </w:t>
            </w:r>
            <w:r>
              <w:rPr>
                <w:rFonts w:cs="Arial"/>
                <w:bCs/>
              </w:rPr>
              <w:t xml:space="preserve">has </w:t>
            </w:r>
            <w:r w:rsidRPr="00260B04">
              <w:rPr>
                <w:rFonts w:cs="Arial"/>
                <w:bCs/>
              </w:rPr>
              <w:t>recommend</w:t>
            </w:r>
            <w:r>
              <w:rPr>
                <w:rFonts w:cs="Arial"/>
                <w:bCs/>
              </w:rPr>
              <w:t>ed</w:t>
            </w:r>
            <w:r w:rsidRPr="00260B04">
              <w:rPr>
                <w:rFonts w:cs="Arial"/>
                <w:bCs/>
              </w:rPr>
              <w:t xml:space="preserve"> </w:t>
            </w:r>
            <w:r w:rsidRPr="00260B04">
              <w:rPr>
                <w:rFonts w:cs="Arial"/>
                <w:bCs/>
                <w:highlight w:val="yellow"/>
              </w:rPr>
              <w:t>unanimously/by majority</w:t>
            </w:r>
            <w:r w:rsidRPr="00260B04">
              <w:rPr>
                <w:rFonts w:cs="Arial"/>
                <w:bCs/>
              </w:rPr>
              <w:t xml:space="preserve"> that the </w:t>
            </w:r>
            <w:r w:rsidRPr="0074129F">
              <w:rPr>
                <w:rFonts w:cs="Arial"/>
                <w:bCs/>
              </w:rPr>
              <w:t>Proposer’s solution is</w:t>
            </w:r>
            <w:r w:rsidRPr="00260B04">
              <w:rPr>
                <w:rFonts w:cs="Arial"/>
                <w:bCs/>
              </w:rPr>
              <w:t xml:space="preserve"> implemented</w:t>
            </w:r>
            <w:r>
              <w:rPr>
                <w:rFonts w:cs="Arial"/>
                <w:bCs/>
              </w:rPr>
              <w:t>.</w:t>
            </w:r>
          </w:p>
        </w:tc>
      </w:tr>
      <w:tr w:rsidR="00470B5B" w:rsidRPr="005603D9" w14:paraId="17D3F414" w14:textId="77777777" w:rsidTr="00A747AE">
        <w:trPr>
          <w:trHeight w:val="395"/>
        </w:trPr>
        <w:tc>
          <w:tcPr>
            <w:tcW w:w="9639" w:type="dxa"/>
            <w:gridSpan w:val="4"/>
            <w:shd w:val="clear" w:color="auto" w:fill="FFFFFF" w:themeFill="background1"/>
          </w:tcPr>
          <w:p w14:paraId="32A24F96" w14:textId="132B4089" w:rsidR="00470B5B" w:rsidRPr="000F7116" w:rsidRDefault="000F7116" w:rsidP="009D3CD2">
            <w:pPr>
              <w:spacing w:line="240" w:lineRule="auto"/>
              <w:rPr>
                <w:rFonts w:cs="Arial"/>
                <w:b/>
                <w:color w:val="00B050"/>
              </w:rPr>
            </w:pPr>
            <w:r w:rsidRPr="00B00090">
              <w:rPr>
                <w:rFonts w:cs="Arial"/>
                <w:b/>
              </w:rPr>
              <w:t xml:space="preserve">This modification is expected to </w:t>
            </w:r>
            <w:r>
              <w:rPr>
                <w:rFonts w:cs="Arial"/>
                <w:b/>
              </w:rPr>
              <w:t xml:space="preserve">have a: </w:t>
            </w:r>
            <w:r>
              <w:rPr>
                <w:rFonts w:cs="Arial"/>
                <w:b/>
                <w:color w:val="00B050"/>
              </w:rPr>
              <w:t>Low impact</w:t>
            </w:r>
            <w:r w:rsidR="00CA0880">
              <w:rPr>
                <w:rFonts w:cs="Arial"/>
                <w:b/>
                <w:color w:val="00B050"/>
              </w:rPr>
              <w:t>:</w:t>
            </w:r>
            <w:r w:rsidR="0074129F">
              <w:rPr>
                <w:rFonts w:cs="Arial"/>
                <w:b/>
                <w:color w:val="00B050"/>
              </w:rPr>
              <w:t xml:space="preserve"> </w:t>
            </w:r>
            <w:r w:rsidR="001C6B55" w:rsidRPr="00D34D19">
              <w:t xml:space="preserve"> </w:t>
            </w:r>
            <w:r w:rsidR="006F6E36">
              <w:t xml:space="preserve">on </w:t>
            </w:r>
            <w:r w:rsidR="001C6B55" w:rsidRPr="00D34D19">
              <w:t>ESO (in terms of reporting the System State condition)</w:t>
            </w:r>
            <w:r w:rsidR="001C6B55">
              <w:t xml:space="preserve"> and for Generators, Suppliers and other market participants (in terms of receiving, considering and taking internal action(s) arising from being notified of the System State condition).</w:t>
            </w:r>
          </w:p>
        </w:tc>
      </w:tr>
      <w:tr w:rsidR="000F7116" w:rsidRPr="005603D9" w14:paraId="0172C1B7" w14:textId="77777777" w:rsidTr="00A747AE">
        <w:trPr>
          <w:trHeight w:val="395"/>
        </w:trPr>
        <w:tc>
          <w:tcPr>
            <w:tcW w:w="9639" w:type="dxa"/>
            <w:gridSpan w:val="4"/>
            <w:shd w:val="clear" w:color="auto" w:fill="FFFFFF" w:themeFill="background1"/>
          </w:tcPr>
          <w:p w14:paraId="39475ACA" w14:textId="165AE5E5" w:rsidR="000F7116" w:rsidRPr="00B00090" w:rsidRDefault="00C3241B" w:rsidP="009D3CD2">
            <w:pPr>
              <w:spacing w:line="240" w:lineRule="auto"/>
              <w:rPr>
                <w:rFonts w:cs="Arial"/>
                <w:b/>
              </w:rPr>
            </w:pPr>
            <w:r>
              <w:rPr>
                <w:rFonts w:cs="Arial"/>
                <w:b/>
              </w:rPr>
              <w:t xml:space="preserve">Modification drivers: </w:t>
            </w:r>
            <w:r w:rsidR="00743650" w:rsidRPr="00743650">
              <w:rPr>
                <w:rFonts w:cs="Arial"/>
                <w:bCs/>
              </w:rPr>
              <w:t xml:space="preserve">Efficiency, </w:t>
            </w:r>
            <w:r w:rsidR="00482EB0" w:rsidRPr="00743650">
              <w:rPr>
                <w:rFonts w:cs="Arial"/>
                <w:bCs/>
              </w:rPr>
              <w:t>Trans</w:t>
            </w:r>
            <w:r w:rsidR="00482EB0" w:rsidRPr="00EC77EE">
              <w:rPr>
                <w:rFonts w:cs="Arial"/>
                <w:bCs/>
              </w:rPr>
              <w:t xml:space="preserve">parency </w:t>
            </w:r>
          </w:p>
        </w:tc>
      </w:tr>
      <w:tr w:rsidR="0056792D" w:rsidRPr="005603D9" w14:paraId="04260B3F" w14:textId="77777777" w:rsidTr="009D3CD2">
        <w:trPr>
          <w:trHeight w:val="388"/>
        </w:trPr>
        <w:tc>
          <w:tcPr>
            <w:tcW w:w="2268" w:type="dxa"/>
            <w:shd w:val="clear" w:color="auto" w:fill="FFFFFF" w:themeFill="background1"/>
          </w:tcPr>
          <w:p w14:paraId="2A7E4427"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31E49031" w14:textId="4D5F1EB9" w:rsidR="003660C8" w:rsidRDefault="003660C8" w:rsidP="003660C8">
            <w:pPr>
              <w:spacing w:line="240" w:lineRule="auto"/>
              <w:rPr>
                <w:rFonts w:ascii="Times New Roman" w:hAnsi="Times New Roman"/>
              </w:rPr>
            </w:pPr>
            <w:r w:rsidRPr="00161E6B">
              <w:t xml:space="preserve">Standard governance modification which </w:t>
            </w:r>
            <w:r w:rsidR="006F6E5E">
              <w:t>w</w:t>
            </w:r>
            <w:r w:rsidRPr="00161E6B">
              <w:t>as sent back by the Authority for refinement of the solution by a Workgroup</w:t>
            </w:r>
            <w:r>
              <w:rPr>
                <w:rFonts w:ascii="Times New Roman" w:hAnsi="Times New Roman"/>
              </w:rPr>
              <w:t xml:space="preserve">. </w:t>
            </w:r>
          </w:p>
          <w:p w14:paraId="287C69F7" w14:textId="77777777" w:rsidR="003660C8" w:rsidRDefault="003660C8" w:rsidP="003660C8">
            <w:pPr>
              <w:spacing w:line="240" w:lineRule="auto"/>
              <w:rPr>
                <w:rFonts w:ascii="Times New Roman" w:hAnsi="Times New Roman"/>
              </w:rPr>
            </w:pPr>
          </w:p>
          <w:p w14:paraId="49094843" w14:textId="47F9EB1E" w:rsidR="0056792D" w:rsidRPr="0056792D" w:rsidRDefault="003660C8" w:rsidP="003660C8">
            <w:pPr>
              <w:spacing w:line="240" w:lineRule="auto"/>
              <w:rPr>
                <w:rFonts w:ascii="Times New Roman" w:hAnsi="Times New Roman"/>
              </w:rPr>
            </w:pPr>
            <w:r w:rsidRPr="001A7565">
              <w:t>Please note</w:t>
            </w:r>
            <w:r>
              <w:t>:</w:t>
            </w:r>
            <w:r w:rsidRPr="001A7565">
              <w:t xml:space="preserve"> </w:t>
            </w:r>
            <w:r>
              <w:t>A</w:t>
            </w:r>
            <w:r w:rsidRPr="001A7565">
              <w:t xml:space="preserve">t the Grid Code Review Panel on 25 March 2021, it was agreed that </w:t>
            </w:r>
            <w:r>
              <w:t>this modification does not require a Workgroup Consultation or Workgroup Vote.</w:t>
            </w:r>
          </w:p>
        </w:tc>
      </w:tr>
      <w:tr w:rsidR="0042079D" w:rsidRPr="005603D9" w14:paraId="151D2AF3" w14:textId="77777777" w:rsidTr="009D3CD2">
        <w:trPr>
          <w:trHeight w:val="1302"/>
        </w:trPr>
        <w:tc>
          <w:tcPr>
            <w:tcW w:w="2268" w:type="dxa"/>
            <w:shd w:val="clear" w:color="auto" w:fill="FFFFFF" w:themeFill="background1"/>
          </w:tcPr>
          <w:p w14:paraId="428A2409" w14:textId="77777777" w:rsidR="0042079D" w:rsidRPr="005603D9" w:rsidRDefault="0042079D" w:rsidP="0042079D">
            <w:pPr>
              <w:rPr>
                <w:b/>
              </w:rPr>
            </w:pPr>
            <w:r w:rsidRPr="005603D9">
              <w:rPr>
                <w:b/>
              </w:rPr>
              <w:t>Who can I talk to about the change?</w:t>
            </w:r>
          </w:p>
          <w:p w14:paraId="4895574B" w14:textId="77777777" w:rsidR="0042079D" w:rsidRPr="005603D9" w:rsidRDefault="0042079D" w:rsidP="0042079D"/>
        </w:tc>
        <w:tc>
          <w:tcPr>
            <w:tcW w:w="3832" w:type="dxa"/>
            <w:gridSpan w:val="2"/>
            <w:shd w:val="clear" w:color="auto" w:fill="FFFFFF" w:themeFill="background1"/>
          </w:tcPr>
          <w:p w14:paraId="3DAC7795" w14:textId="77777777" w:rsidR="0042079D" w:rsidRPr="00AF0AC0" w:rsidRDefault="0042079D" w:rsidP="0042079D">
            <w:pPr>
              <w:rPr>
                <w:rFonts w:cs="Arial"/>
                <w:b/>
                <w:color w:val="008576"/>
                <w:szCs w:val="20"/>
                <w:lang w:val="fr-FR"/>
              </w:rPr>
            </w:pPr>
            <w:r w:rsidRPr="00AF0AC0">
              <w:rPr>
                <w:rFonts w:cs="Arial"/>
                <w:b/>
                <w:szCs w:val="20"/>
                <w:lang w:val="fr-FR"/>
              </w:rPr>
              <w:t xml:space="preserve">Proposer: </w:t>
            </w:r>
            <w:r w:rsidRPr="00AF0AC0">
              <w:rPr>
                <w:i/>
                <w:color w:val="00B050"/>
                <w:lang w:val="fr-FR"/>
              </w:rPr>
              <w:t xml:space="preserve"> </w:t>
            </w:r>
            <w:r w:rsidRPr="00AF0AC0">
              <w:rPr>
                <w:rFonts w:cs="Arial"/>
                <w:b/>
                <w:color w:val="008576"/>
                <w:szCs w:val="20"/>
                <w:lang w:val="fr-FR"/>
              </w:rPr>
              <w:t xml:space="preserve"> </w:t>
            </w:r>
            <w:hyperlink r:id="rId11" w:history="1">
              <w:r w:rsidRPr="00AF0AC0">
                <w:rPr>
                  <w:rStyle w:val="Hyperlink"/>
                  <w:rFonts w:cs="Arial"/>
                  <w:szCs w:val="20"/>
                  <w:lang w:val="fr-FR"/>
                </w:rPr>
                <w:t>Garth.Graham@sse.com</w:t>
              </w:r>
            </w:hyperlink>
            <w:r w:rsidRPr="00AF0AC0">
              <w:rPr>
                <w:rFonts w:cs="Arial"/>
                <w:b/>
                <w:color w:val="008576"/>
                <w:szCs w:val="20"/>
                <w:lang w:val="fr-FR"/>
              </w:rPr>
              <w:t xml:space="preserve"> </w:t>
            </w:r>
          </w:p>
          <w:p w14:paraId="1C746B85" w14:textId="77777777" w:rsidR="0042079D" w:rsidRPr="00AF0AC0" w:rsidRDefault="0042079D" w:rsidP="0042079D">
            <w:pPr>
              <w:pStyle w:val="BodyText"/>
              <w:rPr>
                <w:sz w:val="24"/>
                <w:lang w:val="fr-FR"/>
              </w:rPr>
            </w:pPr>
            <w:r w:rsidRPr="00AF0AC0">
              <w:rPr>
                <w:rFonts w:asciiTheme="minorHAnsi" w:eastAsiaTheme="minorHAnsi" w:hAnsiTheme="minorHAnsi" w:cstheme="minorBidi"/>
                <w:iCs/>
                <w:sz w:val="24"/>
                <w:szCs w:val="22"/>
                <w:lang w:val="fr-FR" w:eastAsia="en-US"/>
              </w:rPr>
              <w:t>Tel: 01738</w:t>
            </w:r>
            <w:r w:rsidRPr="00AF0AC0">
              <w:rPr>
                <w:sz w:val="24"/>
                <w:lang w:val="fr-FR"/>
              </w:rPr>
              <w:t xml:space="preserve"> 456000</w:t>
            </w:r>
          </w:p>
          <w:p w14:paraId="2442B2E9" w14:textId="505A9254" w:rsidR="0042079D" w:rsidRPr="00AF0AC0" w:rsidRDefault="0042079D" w:rsidP="0042079D">
            <w:pPr>
              <w:rPr>
                <w:lang w:val="fr-FR"/>
              </w:rPr>
            </w:pPr>
          </w:p>
        </w:tc>
        <w:tc>
          <w:tcPr>
            <w:tcW w:w="3539" w:type="dxa"/>
            <w:shd w:val="clear" w:color="auto" w:fill="FFFFFF" w:themeFill="background1"/>
          </w:tcPr>
          <w:p w14:paraId="6D1C1FDF" w14:textId="77777777" w:rsidR="0042079D" w:rsidRDefault="0042079D" w:rsidP="0042079D">
            <w:pPr>
              <w:rPr>
                <w:iCs/>
                <w:color w:val="00B050"/>
              </w:rPr>
            </w:pPr>
            <w:r w:rsidRPr="00007585">
              <w:rPr>
                <w:rFonts w:cs="Arial"/>
                <w:b/>
                <w:szCs w:val="20"/>
              </w:rPr>
              <w:t>Code Administrator</w:t>
            </w:r>
            <w:r w:rsidRPr="00007585">
              <w:rPr>
                <w:rFonts w:cs="Arial"/>
                <w:szCs w:val="20"/>
              </w:rPr>
              <w:t xml:space="preserve"> </w:t>
            </w:r>
            <w:r w:rsidRPr="00007585">
              <w:rPr>
                <w:rFonts w:cs="Arial"/>
                <w:b/>
                <w:szCs w:val="20"/>
              </w:rPr>
              <w:t>Chair</w:t>
            </w:r>
            <w:r w:rsidRPr="00007585">
              <w:rPr>
                <w:rFonts w:cs="Arial"/>
                <w:szCs w:val="20"/>
              </w:rPr>
              <w:t xml:space="preserve">: </w:t>
            </w:r>
            <w:r>
              <w:rPr>
                <w:i/>
                <w:color w:val="00B050"/>
              </w:rPr>
              <w:t xml:space="preserve"> </w:t>
            </w:r>
            <w:r>
              <w:t xml:space="preserve"> </w:t>
            </w:r>
            <w:hyperlink r:id="rId12" w:history="1">
              <w:r w:rsidRPr="00F103E0">
                <w:rPr>
                  <w:rStyle w:val="Hyperlink"/>
                  <w:iCs/>
                </w:rPr>
                <w:t>Nisar.Ahmed@nationalgrideso.com</w:t>
              </w:r>
            </w:hyperlink>
            <w:r>
              <w:rPr>
                <w:i/>
                <w:color w:val="00B050"/>
              </w:rPr>
              <w:t xml:space="preserve"> </w:t>
            </w:r>
          </w:p>
          <w:p w14:paraId="2DD6663E" w14:textId="6AFFAF56" w:rsidR="0042079D" w:rsidRPr="005603D9" w:rsidRDefault="0042079D" w:rsidP="0042079D">
            <w:r w:rsidRPr="005E7E84">
              <w:rPr>
                <w:iCs/>
              </w:rPr>
              <w:t>Tel:  07773 043068</w:t>
            </w:r>
          </w:p>
        </w:tc>
      </w:tr>
    </w:tbl>
    <w:p w14:paraId="3E5A8E18" w14:textId="77777777" w:rsidR="00470B5B" w:rsidRDefault="00470B5B" w:rsidP="005603D9">
      <w:bookmarkStart w:id="0" w:name="_Executive_Summary"/>
      <w:bookmarkStart w:id="1" w:name="_Workgroup_Consultation_Introduction"/>
      <w:bookmarkEnd w:id="0"/>
      <w:bookmarkEnd w:id="1"/>
    </w:p>
    <w:p w14:paraId="36BE0AFC" w14:textId="77777777" w:rsidR="00841C6B" w:rsidRDefault="00841C6B">
      <w:pPr>
        <w:spacing w:after="160"/>
        <w:rPr>
          <w:rFonts w:asciiTheme="majorHAnsi" w:eastAsiaTheme="majorEastAsia" w:hAnsiTheme="majorHAnsi" w:cstheme="majorBidi"/>
          <w:b/>
          <w:color w:val="FFFFFF" w:themeColor="background1"/>
          <w:sz w:val="28"/>
          <w:szCs w:val="32"/>
        </w:rPr>
      </w:pPr>
      <w:r>
        <w:br w:type="page"/>
      </w:r>
    </w:p>
    <w:p w14:paraId="330A015E" w14:textId="352DBD25" w:rsidR="009A206C" w:rsidRDefault="009A206C" w:rsidP="009A206C">
      <w:pPr>
        <w:pStyle w:val="Heading1"/>
      </w:pPr>
      <w:bookmarkStart w:id="2" w:name="_Toc83200216"/>
      <w:r>
        <w:lastRenderedPageBreak/>
        <w:t>Contents</w:t>
      </w:r>
      <w:bookmarkEnd w:id="2"/>
    </w:p>
    <w:p w14:paraId="21E3340A" w14:textId="77777777" w:rsidR="009A206C" w:rsidRPr="009A206C" w:rsidRDefault="009A206C" w:rsidP="009A206C"/>
    <w:p w14:paraId="2F5A97C2" w14:textId="4B712C19" w:rsidR="001E71C5"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83200216" w:history="1">
        <w:r w:rsidR="001E71C5" w:rsidRPr="00A61366">
          <w:rPr>
            <w:rStyle w:val="Hyperlink"/>
            <w:noProof/>
          </w:rPr>
          <w:t>Contents</w:t>
        </w:r>
        <w:r w:rsidR="001E71C5">
          <w:rPr>
            <w:noProof/>
            <w:webHidden/>
          </w:rPr>
          <w:tab/>
        </w:r>
        <w:r w:rsidR="001E71C5">
          <w:rPr>
            <w:noProof/>
            <w:webHidden/>
          </w:rPr>
          <w:fldChar w:fldCharType="begin"/>
        </w:r>
        <w:r w:rsidR="001E71C5">
          <w:rPr>
            <w:noProof/>
            <w:webHidden/>
          </w:rPr>
          <w:instrText xml:space="preserve"> PAGEREF _Toc83200216 \h </w:instrText>
        </w:r>
        <w:r w:rsidR="001E71C5">
          <w:rPr>
            <w:noProof/>
            <w:webHidden/>
          </w:rPr>
        </w:r>
        <w:r w:rsidR="001E71C5">
          <w:rPr>
            <w:noProof/>
            <w:webHidden/>
          </w:rPr>
          <w:fldChar w:fldCharType="separate"/>
        </w:r>
        <w:r w:rsidR="001E71C5">
          <w:rPr>
            <w:noProof/>
            <w:webHidden/>
          </w:rPr>
          <w:t>2</w:t>
        </w:r>
        <w:r w:rsidR="001E71C5">
          <w:rPr>
            <w:noProof/>
            <w:webHidden/>
          </w:rPr>
          <w:fldChar w:fldCharType="end"/>
        </w:r>
      </w:hyperlink>
    </w:p>
    <w:p w14:paraId="417CAA2B" w14:textId="1956053A" w:rsidR="001E71C5" w:rsidRDefault="0053415C">
      <w:pPr>
        <w:pStyle w:val="TOC1"/>
        <w:rPr>
          <w:rFonts w:eastAsiaTheme="minorEastAsia"/>
          <w:b w:val="0"/>
          <w:noProof/>
          <w:sz w:val="22"/>
          <w:lang w:eastAsia="en-GB"/>
        </w:rPr>
      </w:pPr>
      <w:hyperlink w:anchor="_Toc83200217" w:history="1">
        <w:r w:rsidR="001E71C5" w:rsidRPr="00A61366">
          <w:rPr>
            <w:rStyle w:val="Hyperlink"/>
            <w:noProof/>
          </w:rPr>
          <w:t>Executive summary</w:t>
        </w:r>
        <w:r w:rsidR="001E71C5">
          <w:rPr>
            <w:noProof/>
            <w:webHidden/>
          </w:rPr>
          <w:tab/>
        </w:r>
        <w:r w:rsidR="001E71C5">
          <w:rPr>
            <w:noProof/>
            <w:webHidden/>
          </w:rPr>
          <w:fldChar w:fldCharType="begin"/>
        </w:r>
        <w:r w:rsidR="001E71C5">
          <w:rPr>
            <w:noProof/>
            <w:webHidden/>
          </w:rPr>
          <w:instrText xml:space="preserve"> PAGEREF _Toc83200217 \h </w:instrText>
        </w:r>
        <w:r w:rsidR="001E71C5">
          <w:rPr>
            <w:noProof/>
            <w:webHidden/>
          </w:rPr>
        </w:r>
        <w:r w:rsidR="001E71C5">
          <w:rPr>
            <w:noProof/>
            <w:webHidden/>
          </w:rPr>
          <w:fldChar w:fldCharType="separate"/>
        </w:r>
        <w:r w:rsidR="001E71C5">
          <w:rPr>
            <w:noProof/>
            <w:webHidden/>
          </w:rPr>
          <w:t>3</w:t>
        </w:r>
        <w:r w:rsidR="001E71C5">
          <w:rPr>
            <w:noProof/>
            <w:webHidden/>
          </w:rPr>
          <w:fldChar w:fldCharType="end"/>
        </w:r>
      </w:hyperlink>
    </w:p>
    <w:p w14:paraId="66991267" w14:textId="5FA0CC28" w:rsidR="001E71C5" w:rsidRDefault="0053415C">
      <w:pPr>
        <w:pStyle w:val="TOC1"/>
        <w:rPr>
          <w:rFonts w:eastAsiaTheme="minorEastAsia"/>
          <w:b w:val="0"/>
          <w:noProof/>
          <w:sz w:val="22"/>
          <w:lang w:eastAsia="en-GB"/>
        </w:rPr>
      </w:pPr>
      <w:hyperlink w:anchor="_Toc83200218" w:history="1">
        <w:r w:rsidR="001E71C5" w:rsidRPr="00A61366">
          <w:rPr>
            <w:rStyle w:val="Hyperlink"/>
            <w:noProof/>
          </w:rPr>
          <w:t>What is the issue?</w:t>
        </w:r>
        <w:r w:rsidR="001E71C5">
          <w:rPr>
            <w:noProof/>
            <w:webHidden/>
          </w:rPr>
          <w:tab/>
        </w:r>
        <w:r w:rsidR="001E71C5">
          <w:rPr>
            <w:noProof/>
            <w:webHidden/>
          </w:rPr>
          <w:fldChar w:fldCharType="begin"/>
        </w:r>
        <w:r w:rsidR="001E71C5">
          <w:rPr>
            <w:noProof/>
            <w:webHidden/>
          </w:rPr>
          <w:instrText xml:space="preserve"> PAGEREF _Toc83200218 \h </w:instrText>
        </w:r>
        <w:r w:rsidR="001E71C5">
          <w:rPr>
            <w:noProof/>
            <w:webHidden/>
          </w:rPr>
        </w:r>
        <w:r w:rsidR="001E71C5">
          <w:rPr>
            <w:noProof/>
            <w:webHidden/>
          </w:rPr>
          <w:fldChar w:fldCharType="separate"/>
        </w:r>
        <w:r w:rsidR="001E71C5">
          <w:rPr>
            <w:noProof/>
            <w:webHidden/>
          </w:rPr>
          <w:t>4</w:t>
        </w:r>
        <w:r w:rsidR="001E71C5">
          <w:rPr>
            <w:noProof/>
            <w:webHidden/>
          </w:rPr>
          <w:fldChar w:fldCharType="end"/>
        </w:r>
      </w:hyperlink>
    </w:p>
    <w:p w14:paraId="1963F102" w14:textId="3F72E0A0" w:rsidR="001E71C5" w:rsidRDefault="0053415C">
      <w:pPr>
        <w:pStyle w:val="TOC2"/>
        <w:tabs>
          <w:tab w:val="right" w:leader="dot" w:pos="9486"/>
        </w:tabs>
        <w:rPr>
          <w:rFonts w:eastAsiaTheme="minorEastAsia"/>
          <w:noProof/>
          <w:sz w:val="22"/>
          <w:lang w:eastAsia="en-GB"/>
        </w:rPr>
      </w:pPr>
      <w:hyperlink w:anchor="_Toc83200219" w:history="1">
        <w:r w:rsidR="001E71C5" w:rsidRPr="00A61366">
          <w:rPr>
            <w:rStyle w:val="Hyperlink"/>
            <w:noProof/>
          </w:rPr>
          <w:t>Why change?</w:t>
        </w:r>
        <w:r w:rsidR="001E71C5">
          <w:rPr>
            <w:noProof/>
            <w:webHidden/>
          </w:rPr>
          <w:tab/>
        </w:r>
        <w:r w:rsidR="001E71C5">
          <w:rPr>
            <w:noProof/>
            <w:webHidden/>
          </w:rPr>
          <w:fldChar w:fldCharType="begin"/>
        </w:r>
        <w:r w:rsidR="001E71C5">
          <w:rPr>
            <w:noProof/>
            <w:webHidden/>
          </w:rPr>
          <w:instrText xml:space="preserve"> PAGEREF _Toc83200219 \h </w:instrText>
        </w:r>
        <w:r w:rsidR="001E71C5">
          <w:rPr>
            <w:noProof/>
            <w:webHidden/>
          </w:rPr>
        </w:r>
        <w:r w:rsidR="001E71C5">
          <w:rPr>
            <w:noProof/>
            <w:webHidden/>
          </w:rPr>
          <w:fldChar w:fldCharType="separate"/>
        </w:r>
        <w:r w:rsidR="001E71C5">
          <w:rPr>
            <w:noProof/>
            <w:webHidden/>
          </w:rPr>
          <w:t>5</w:t>
        </w:r>
        <w:r w:rsidR="001E71C5">
          <w:rPr>
            <w:noProof/>
            <w:webHidden/>
          </w:rPr>
          <w:fldChar w:fldCharType="end"/>
        </w:r>
      </w:hyperlink>
    </w:p>
    <w:p w14:paraId="2A21894F" w14:textId="6F92DB89" w:rsidR="001E71C5" w:rsidRDefault="0053415C">
      <w:pPr>
        <w:pStyle w:val="TOC1"/>
        <w:rPr>
          <w:rFonts w:eastAsiaTheme="minorEastAsia"/>
          <w:b w:val="0"/>
          <w:noProof/>
          <w:sz w:val="22"/>
          <w:lang w:eastAsia="en-GB"/>
        </w:rPr>
      </w:pPr>
      <w:hyperlink w:anchor="_Toc83200220" w:history="1">
        <w:r w:rsidR="001E71C5" w:rsidRPr="00A61366">
          <w:rPr>
            <w:rStyle w:val="Hyperlink"/>
            <w:noProof/>
          </w:rPr>
          <w:t>What is the solution?</w:t>
        </w:r>
        <w:r w:rsidR="001E71C5">
          <w:rPr>
            <w:noProof/>
            <w:webHidden/>
          </w:rPr>
          <w:tab/>
        </w:r>
        <w:r w:rsidR="001E71C5">
          <w:rPr>
            <w:noProof/>
            <w:webHidden/>
          </w:rPr>
          <w:fldChar w:fldCharType="begin"/>
        </w:r>
        <w:r w:rsidR="001E71C5">
          <w:rPr>
            <w:noProof/>
            <w:webHidden/>
          </w:rPr>
          <w:instrText xml:space="preserve"> PAGEREF _Toc83200220 \h </w:instrText>
        </w:r>
        <w:r w:rsidR="001E71C5">
          <w:rPr>
            <w:noProof/>
            <w:webHidden/>
          </w:rPr>
        </w:r>
        <w:r w:rsidR="001E71C5">
          <w:rPr>
            <w:noProof/>
            <w:webHidden/>
          </w:rPr>
          <w:fldChar w:fldCharType="separate"/>
        </w:r>
        <w:r w:rsidR="001E71C5">
          <w:rPr>
            <w:noProof/>
            <w:webHidden/>
          </w:rPr>
          <w:t>5</w:t>
        </w:r>
        <w:r w:rsidR="001E71C5">
          <w:rPr>
            <w:noProof/>
            <w:webHidden/>
          </w:rPr>
          <w:fldChar w:fldCharType="end"/>
        </w:r>
      </w:hyperlink>
    </w:p>
    <w:p w14:paraId="639D5C49" w14:textId="2F13EF73" w:rsidR="001E71C5" w:rsidRDefault="0053415C">
      <w:pPr>
        <w:pStyle w:val="TOC2"/>
        <w:tabs>
          <w:tab w:val="right" w:leader="dot" w:pos="9486"/>
        </w:tabs>
        <w:rPr>
          <w:rFonts w:eastAsiaTheme="minorEastAsia"/>
          <w:noProof/>
          <w:sz w:val="22"/>
          <w:lang w:eastAsia="en-GB"/>
        </w:rPr>
      </w:pPr>
      <w:hyperlink w:anchor="_Toc83200221" w:history="1">
        <w:r w:rsidR="001E71C5" w:rsidRPr="00A61366">
          <w:rPr>
            <w:rStyle w:val="Hyperlink"/>
            <w:noProof/>
          </w:rPr>
          <w:t>Proposer’s solution</w:t>
        </w:r>
        <w:r w:rsidR="001E71C5">
          <w:rPr>
            <w:noProof/>
            <w:webHidden/>
          </w:rPr>
          <w:tab/>
        </w:r>
        <w:r w:rsidR="001E71C5">
          <w:rPr>
            <w:noProof/>
            <w:webHidden/>
          </w:rPr>
          <w:fldChar w:fldCharType="begin"/>
        </w:r>
        <w:r w:rsidR="001E71C5">
          <w:rPr>
            <w:noProof/>
            <w:webHidden/>
          </w:rPr>
          <w:instrText xml:space="preserve"> PAGEREF _Toc83200221 \h </w:instrText>
        </w:r>
        <w:r w:rsidR="001E71C5">
          <w:rPr>
            <w:noProof/>
            <w:webHidden/>
          </w:rPr>
        </w:r>
        <w:r w:rsidR="001E71C5">
          <w:rPr>
            <w:noProof/>
            <w:webHidden/>
          </w:rPr>
          <w:fldChar w:fldCharType="separate"/>
        </w:r>
        <w:r w:rsidR="001E71C5">
          <w:rPr>
            <w:noProof/>
            <w:webHidden/>
          </w:rPr>
          <w:t>5</w:t>
        </w:r>
        <w:r w:rsidR="001E71C5">
          <w:rPr>
            <w:noProof/>
            <w:webHidden/>
          </w:rPr>
          <w:fldChar w:fldCharType="end"/>
        </w:r>
      </w:hyperlink>
    </w:p>
    <w:p w14:paraId="26EA4C64" w14:textId="78715FC0" w:rsidR="001E71C5" w:rsidRDefault="0053415C">
      <w:pPr>
        <w:pStyle w:val="TOC2"/>
        <w:tabs>
          <w:tab w:val="right" w:leader="dot" w:pos="9486"/>
        </w:tabs>
        <w:rPr>
          <w:rFonts w:eastAsiaTheme="minorEastAsia"/>
          <w:noProof/>
          <w:sz w:val="22"/>
          <w:lang w:eastAsia="en-GB"/>
        </w:rPr>
      </w:pPr>
      <w:hyperlink w:anchor="_Toc83200222" w:history="1">
        <w:r w:rsidR="001E71C5" w:rsidRPr="00A61366">
          <w:rPr>
            <w:rStyle w:val="Hyperlink"/>
            <w:noProof/>
          </w:rPr>
          <w:t>Workgroup considerations</w:t>
        </w:r>
        <w:r w:rsidR="001E71C5">
          <w:rPr>
            <w:noProof/>
            <w:webHidden/>
          </w:rPr>
          <w:tab/>
        </w:r>
        <w:r w:rsidR="001E71C5">
          <w:rPr>
            <w:noProof/>
            <w:webHidden/>
          </w:rPr>
          <w:fldChar w:fldCharType="begin"/>
        </w:r>
        <w:r w:rsidR="001E71C5">
          <w:rPr>
            <w:noProof/>
            <w:webHidden/>
          </w:rPr>
          <w:instrText xml:space="preserve"> PAGEREF _Toc83200222 \h </w:instrText>
        </w:r>
        <w:r w:rsidR="001E71C5">
          <w:rPr>
            <w:noProof/>
            <w:webHidden/>
          </w:rPr>
        </w:r>
        <w:r w:rsidR="001E71C5">
          <w:rPr>
            <w:noProof/>
            <w:webHidden/>
          </w:rPr>
          <w:fldChar w:fldCharType="separate"/>
        </w:r>
        <w:r w:rsidR="001E71C5">
          <w:rPr>
            <w:noProof/>
            <w:webHidden/>
          </w:rPr>
          <w:t>8</w:t>
        </w:r>
        <w:r w:rsidR="001E71C5">
          <w:rPr>
            <w:noProof/>
            <w:webHidden/>
          </w:rPr>
          <w:fldChar w:fldCharType="end"/>
        </w:r>
      </w:hyperlink>
    </w:p>
    <w:p w14:paraId="05815313" w14:textId="14D96A23" w:rsidR="001E71C5" w:rsidRDefault="0053415C">
      <w:pPr>
        <w:pStyle w:val="TOC2"/>
        <w:tabs>
          <w:tab w:val="right" w:leader="dot" w:pos="9486"/>
        </w:tabs>
        <w:rPr>
          <w:rFonts w:eastAsiaTheme="minorEastAsia"/>
          <w:noProof/>
          <w:sz w:val="22"/>
          <w:lang w:eastAsia="en-GB"/>
        </w:rPr>
      </w:pPr>
      <w:hyperlink w:anchor="_Toc83200223" w:history="1">
        <w:r w:rsidR="001E71C5" w:rsidRPr="00A61366">
          <w:rPr>
            <w:rStyle w:val="Hyperlink"/>
            <w:noProof/>
          </w:rPr>
          <w:t>Legal text</w:t>
        </w:r>
        <w:r w:rsidR="001E71C5">
          <w:rPr>
            <w:noProof/>
            <w:webHidden/>
          </w:rPr>
          <w:tab/>
        </w:r>
        <w:r w:rsidR="001E71C5">
          <w:rPr>
            <w:noProof/>
            <w:webHidden/>
          </w:rPr>
          <w:fldChar w:fldCharType="begin"/>
        </w:r>
        <w:r w:rsidR="001E71C5">
          <w:rPr>
            <w:noProof/>
            <w:webHidden/>
          </w:rPr>
          <w:instrText xml:space="preserve"> PAGEREF _Toc83200223 \h </w:instrText>
        </w:r>
        <w:r w:rsidR="001E71C5">
          <w:rPr>
            <w:noProof/>
            <w:webHidden/>
          </w:rPr>
        </w:r>
        <w:r w:rsidR="001E71C5">
          <w:rPr>
            <w:noProof/>
            <w:webHidden/>
          </w:rPr>
          <w:fldChar w:fldCharType="separate"/>
        </w:r>
        <w:r w:rsidR="001E71C5">
          <w:rPr>
            <w:noProof/>
            <w:webHidden/>
          </w:rPr>
          <w:t>13</w:t>
        </w:r>
        <w:r w:rsidR="001E71C5">
          <w:rPr>
            <w:noProof/>
            <w:webHidden/>
          </w:rPr>
          <w:fldChar w:fldCharType="end"/>
        </w:r>
      </w:hyperlink>
    </w:p>
    <w:p w14:paraId="4D5CC2F6" w14:textId="20FEB248" w:rsidR="001E71C5" w:rsidRDefault="0053415C">
      <w:pPr>
        <w:pStyle w:val="TOC1"/>
        <w:rPr>
          <w:rFonts w:eastAsiaTheme="minorEastAsia"/>
          <w:b w:val="0"/>
          <w:noProof/>
          <w:sz w:val="22"/>
          <w:lang w:eastAsia="en-GB"/>
        </w:rPr>
      </w:pPr>
      <w:hyperlink w:anchor="_Toc83200224" w:history="1">
        <w:r w:rsidR="001E71C5" w:rsidRPr="00A61366">
          <w:rPr>
            <w:rStyle w:val="Hyperlink"/>
            <w:noProof/>
          </w:rPr>
          <w:t>What is the impact of this change?</w:t>
        </w:r>
        <w:r w:rsidR="001E71C5">
          <w:rPr>
            <w:noProof/>
            <w:webHidden/>
          </w:rPr>
          <w:tab/>
        </w:r>
        <w:r w:rsidR="001E71C5">
          <w:rPr>
            <w:noProof/>
            <w:webHidden/>
          </w:rPr>
          <w:fldChar w:fldCharType="begin"/>
        </w:r>
        <w:r w:rsidR="001E71C5">
          <w:rPr>
            <w:noProof/>
            <w:webHidden/>
          </w:rPr>
          <w:instrText xml:space="preserve"> PAGEREF _Toc83200224 \h </w:instrText>
        </w:r>
        <w:r w:rsidR="001E71C5">
          <w:rPr>
            <w:noProof/>
            <w:webHidden/>
          </w:rPr>
        </w:r>
        <w:r w:rsidR="001E71C5">
          <w:rPr>
            <w:noProof/>
            <w:webHidden/>
          </w:rPr>
          <w:fldChar w:fldCharType="separate"/>
        </w:r>
        <w:r w:rsidR="001E71C5">
          <w:rPr>
            <w:noProof/>
            <w:webHidden/>
          </w:rPr>
          <w:t>15</w:t>
        </w:r>
        <w:r w:rsidR="001E71C5">
          <w:rPr>
            <w:noProof/>
            <w:webHidden/>
          </w:rPr>
          <w:fldChar w:fldCharType="end"/>
        </w:r>
      </w:hyperlink>
    </w:p>
    <w:p w14:paraId="7AB04702" w14:textId="07A7471E" w:rsidR="001E71C5" w:rsidRDefault="0053415C">
      <w:pPr>
        <w:pStyle w:val="TOC3"/>
        <w:tabs>
          <w:tab w:val="right" w:leader="dot" w:pos="9486"/>
        </w:tabs>
        <w:rPr>
          <w:rFonts w:eastAsiaTheme="minorEastAsia"/>
          <w:noProof/>
          <w:sz w:val="22"/>
          <w:lang w:eastAsia="en-GB"/>
        </w:rPr>
      </w:pPr>
      <w:hyperlink w:anchor="_Toc83200225" w:history="1">
        <w:r w:rsidR="001E71C5" w:rsidRPr="00A61366">
          <w:rPr>
            <w:rStyle w:val="Hyperlink"/>
            <w:noProof/>
          </w:rPr>
          <w:t>Proposer’s assessment against Grid Code Objectives</w:t>
        </w:r>
        <w:r w:rsidR="001E71C5">
          <w:rPr>
            <w:noProof/>
            <w:webHidden/>
          </w:rPr>
          <w:tab/>
        </w:r>
        <w:r w:rsidR="001E71C5">
          <w:rPr>
            <w:noProof/>
            <w:webHidden/>
          </w:rPr>
          <w:fldChar w:fldCharType="begin"/>
        </w:r>
        <w:r w:rsidR="001E71C5">
          <w:rPr>
            <w:noProof/>
            <w:webHidden/>
          </w:rPr>
          <w:instrText xml:space="preserve"> PAGEREF _Toc83200225 \h </w:instrText>
        </w:r>
        <w:r w:rsidR="001E71C5">
          <w:rPr>
            <w:noProof/>
            <w:webHidden/>
          </w:rPr>
        </w:r>
        <w:r w:rsidR="001E71C5">
          <w:rPr>
            <w:noProof/>
            <w:webHidden/>
          </w:rPr>
          <w:fldChar w:fldCharType="separate"/>
        </w:r>
        <w:r w:rsidR="001E71C5">
          <w:rPr>
            <w:noProof/>
            <w:webHidden/>
          </w:rPr>
          <w:t>15</w:t>
        </w:r>
        <w:r w:rsidR="001E71C5">
          <w:rPr>
            <w:noProof/>
            <w:webHidden/>
          </w:rPr>
          <w:fldChar w:fldCharType="end"/>
        </w:r>
      </w:hyperlink>
    </w:p>
    <w:p w14:paraId="57A10A4A" w14:textId="37E67A13" w:rsidR="001E71C5" w:rsidRDefault="0053415C">
      <w:pPr>
        <w:pStyle w:val="TOC3"/>
        <w:tabs>
          <w:tab w:val="right" w:leader="dot" w:pos="9486"/>
        </w:tabs>
        <w:rPr>
          <w:rFonts w:eastAsiaTheme="minorEastAsia"/>
          <w:noProof/>
          <w:sz w:val="22"/>
          <w:lang w:eastAsia="en-GB"/>
        </w:rPr>
      </w:pPr>
      <w:hyperlink w:anchor="_Toc83200226" w:history="1">
        <w:r w:rsidR="001E71C5" w:rsidRPr="00A61366">
          <w:rPr>
            <w:rStyle w:val="Hyperlink"/>
            <w:rFonts w:eastAsia="Times New Roman"/>
            <w:noProof/>
          </w:rPr>
          <w:t>Consumer Impacts</w:t>
        </w:r>
        <w:r w:rsidR="001E71C5">
          <w:rPr>
            <w:noProof/>
            <w:webHidden/>
          </w:rPr>
          <w:tab/>
        </w:r>
        <w:r w:rsidR="001E71C5">
          <w:rPr>
            <w:noProof/>
            <w:webHidden/>
          </w:rPr>
          <w:fldChar w:fldCharType="begin"/>
        </w:r>
        <w:r w:rsidR="001E71C5">
          <w:rPr>
            <w:noProof/>
            <w:webHidden/>
          </w:rPr>
          <w:instrText xml:space="preserve"> PAGEREF _Toc83200226 \h </w:instrText>
        </w:r>
        <w:r w:rsidR="001E71C5">
          <w:rPr>
            <w:noProof/>
            <w:webHidden/>
          </w:rPr>
        </w:r>
        <w:r w:rsidR="001E71C5">
          <w:rPr>
            <w:noProof/>
            <w:webHidden/>
          </w:rPr>
          <w:fldChar w:fldCharType="separate"/>
        </w:r>
        <w:r w:rsidR="001E71C5">
          <w:rPr>
            <w:noProof/>
            <w:webHidden/>
          </w:rPr>
          <w:t>16</w:t>
        </w:r>
        <w:r w:rsidR="001E71C5">
          <w:rPr>
            <w:noProof/>
            <w:webHidden/>
          </w:rPr>
          <w:fldChar w:fldCharType="end"/>
        </w:r>
      </w:hyperlink>
    </w:p>
    <w:p w14:paraId="5814AEBE" w14:textId="6C64E919" w:rsidR="001E71C5" w:rsidRDefault="0053415C">
      <w:pPr>
        <w:pStyle w:val="TOC2"/>
        <w:tabs>
          <w:tab w:val="right" w:leader="dot" w:pos="9486"/>
        </w:tabs>
        <w:rPr>
          <w:rFonts w:eastAsiaTheme="minorEastAsia"/>
          <w:noProof/>
          <w:sz w:val="22"/>
          <w:lang w:eastAsia="en-GB"/>
        </w:rPr>
      </w:pPr>
      <w:hyperlink w:anchor="_Toc83200227" w:history="1">
        <w:r w:rsidR="001E71C5" w:rsidRPr="00A61366">
          <w:rPr>
            <w:rStyle w:val="Hyperlink"/>
            <w:noProof/>
          </w:rPr>
          <w:t>Code Administrator consultation summary</w:t>
        </w:r>
        <w:r w:rsidR="001E71C5">
          <w:rPr>
            <w:noProof/>
            <w:webHidden/>
          </w:rPr>
          <w:tab/>
        </w:r>
        <w:r w:rsidR="001E71C5">
          <w:rPr>
            <w:noProof/>
            <w:webHidden/>
          </w:rPr>
          <w:fldChar w:fldCharType="begin"/>
        </w:r>
        <w:r w:rsidR="001E71C5">
          <w:rPr>
            <w:noProof/>
            <w:webHidden/>
          </w:rPr>
          <w:instrText xml:space="preserve"> PAGEREF _Toc83200227 \h </w:instrText>
        </w:r>
        <w:r w:rsidR="001E71C5">
          <w:rPr>
            <w:noProof/>
            <w:webHidden/>
          </w:rPr>
        </w:r>
        <w:r w:rsidR="001E71C5">
          <w:rPr>
            <w:noProof/>
            <w:webHidden/>
          </w:rPr>
          <w:fldChar w:fldCharType="separate"/>
        </w:r>
        <w:r w:rsidR="001E71C5">
          <w:rPr>
            <w:noProof/>
            <w:webHidden/>
          </w:rPr>
          <w:t>17</w:t>
        </w:r>
        <w:r w:rsidR="001E71C5">
          <w:rPr>
            <w:noProof/>
            <w:webHidden/>
          </w:rPr>
          <w:fldChar w:fldCharType="end"/>
        </w:r>
      </w:hyperlink>
    </w:p>
    <w:p w14:paraId="2C80A483" w14:textId="6805C806" w:rsidR="001E71C5" w:rsidRDefault="0053415C">
      <w:pPr>
        <w:pStyle w:val="TOC2"/>
        <w:tabs>
          <w:tab w:val="right" w:leader="dot" w:pos="9486"/>
        </w:tabs>
        <w:rPr>
          <w:rFonts w:eastAsiaTheme="minorEastAsia"/>
          <w:noProof/>
          <w:sz w:val="22"/>
          <w:lang w:eastAsia="en-GB"/>
        </w:rPr>
      </w:pPr>
      <w:hyperlink w:anchor="_Toc83200228" w:history="1">
        <w:r w:rsidR="001E71C5" w:rsidRPr="00A61366">
          <w:rPr>
            <w:rStyle w:val="Hyperlink"/>
            <w:noProof/>
          </w:rPr>
          <w:t>Panel recommendation</w:t>
        </w:r>
        <w:r w:rsidR="001E71C5">
          <w:rPr>
            <w:noProof/>
            <w:webHidden/>
          </w:rPr>
          <w:tab/>
        </w:r>
        <w:r w:rsidR="001E71C5">
          <w:rPr>
            <w:noProof/>
            <w:webHidden/>
          </w:rPr>
          <w:fldChar w:fldCharType="begin"/>
        </w:r>
        <w:r w:rsidR="001E71C5">
          <w:rPr>
            <w:noProof/>
            <w:webHidden/>
          </w:rPr>
          <w:instrText xml:space="preserve"> PAGEREF _Toc83200228 \h </w:instrText>
        </w:r>
        <w:r w:rsidR="001E71C5">
          <w:rPr>
            <w:noProof/>
            <w:webHidden/>
          </w:rPr>
        </w:r>
        <w:r w:rsidR="001E71C5">
          <w:rPr>
            <w:noProof/>
            <w:webHidden/>
          </w:rPr>
          <w:fldChar w:fldCharType="separate"/>
        </w:r>
        <w:r w:rsidR="001E71C5">
          <w:rPr>
            <w:noProof/>
            <w:webHidden/>
          </w:rPr>
          <w:t>20</w:t>
        </w:r>
        <w:r w:rsidR="001E71C5">
          <w:rPr>
            <w:noProof/>
            <w:webHidden/>
          </w:rPr>
          <w:fldChar w:fldCharType="end"/>
        </w:r>
      </w:hyperlink>
    </w:p>
    <w:p w14:paraId="5E34083C" w14:textId="6314DDCB" w:rsidR="001E71C5" w:rsidRDefault="0053415C">
      <w:pPr>
        <w:pStyle w:val="TOC3"/>
        <w:tabs>
          <w:tab w:val="right" w:leader="dot" w:pos="9486"/>
        </w:tabs>
        <w:rPr>
          <w:rFonts w:eastAsiaTheme="minorEastAsia"/>
          <w:noProof/>
          <w:sz w:val="22"/>
          <w:lang w:eastAsia="en-GB"/>
        </w:rPr>
      </w:pPr>
      <w:hyperlink w:anchor="_Toc83200229" w:history="1">
        <w:r w:rsidR="001E71C5" w:rsidRPr="00A61366">
          <w:rPr>
            <w:rStyle w:val="Hyperlink"/>
            <w:rFonts w:cs="Arial"/>
            <w:noProof/>
            <w:shd w:val="clear" w:color="auto" w:fill="FFFFFF"/>
          </w:rPr>
          <w:t>Panel conclusion</w:t>
        </w:r>
        <w:r w:rsidR="001E71C5">
          <w:rPr>
            <w:noProof/>
            <w:webHidden/>
          </w:rPr>
          <w:tab/>
        </w:r>
        <w:r w:rsidR="001E71C5">
          <w:rPr>
            <w:noProof/>
            <w:webHidden/>
          </w:rPr>
          <w:fldChar w:fldCharType="begin"/>
        </w:r>
        <w:r w:rsidR="001E71C5">
          <w:rPr>
            <w:noProof/>
            <w:webHidden/>
          </w:rPr>
          <w:instrText xml:space="preserve"> PAGEREF _Toc83200229 \h </w:instrText>
        </w:r>
        <w:r w:rsidR="001E71C5">
          <w:rPr>
            <w:noProof/>
            <w:webHidden/>
          </w:rPr>
        </w:r>
        <w:r w:rsidR="001E71C5">
          <w:rPr>
            <w:noProof/>
            <w:webHidden/>
          </w:rPr>
          <w:fldChar w:fldCharType="separate"/>
        </w:r>
        <w:r w:rsidR="001E71C5">
          <w:rPr>
            <w:noProof/>
            <w:webHidden/>
          </w:rPr>
          <w:t>20</w:t>
        </w:r>
        <w:r w:rsidR="001E71C5">
          <w:rPr>
            <w:noProof/>
            <w:webHidden/>
          </w:rPr>
          <w:fldChar w:fldCharType="end"/>
        </w:r>
      </w:hyperlink>
    </w:p>
    <w:p w14:paraId="0D2CCD0D" w14:textId="6275DDD3" w:rsidR="001E71C5" w:rsidRDefault="0053415C">
      <w:pPr>
        <w:pStyle w:val="TOC1"/>
        <w:rPr>
          <w:rFonts w:eastAsiaTheme="minorEastAsia"/>
          <w:b w:val="0"/>
          <w:noProof/>
          <w:sz w:val="22"/>
          <w:lang w:eastAsia="en-GB"/>
        </w:rPr>
      </w:pPr>
      <w:hyperlink w:anchor="_Toc83200230" w:history="1">
        <w:r w:rsidR="001E71C5" w:rsidRPr="00A61366">
          <w:rPr>
            <w:rStyle w:val="Hyperlink"/>
            <w:noProof/>
          </w:rPr>
          <w:t>When will this change take place?</w:t>
        </w:r>
        <w:r w:rsidR="001E71C5">
          <w:rPr>
            <w:noProof/>
            <w:webHidden/>
          </w:rPr>
          <w:tab/>
        </w:r>
        <w:r w:rsidR="001E71C5">
          <w:rPr>
            <w:noProof/>
            <w:webHidden/>
          </w:rPr>
          <w:fldChar w:fldCharType="begin"/>
        </w:r>
        <w:r w:rsidR="001E71C5">
          <w:rPr>
            <w:noProof/>
            <w:webHidden/>
          </w:rPr>
          <w:instrText xml:space="preserve"> PAGEREF _Toc83200230 \h </w:instrText>
        </w:r>
        <w:r w:rsidR="001E71C5">
          <w:rPr>
            <w:noProof/>
            <w:webHidden/>
          </w:rPr>
        </w:r>
        <w:r w:rsidR="001E71C5">
          <w:rPr>
            <w:noProof/>
            <w:webHidden/>
          </w:rPr>
          <w:fldChar w:fldCharType="separate"/>
        </w:r>
        <w:r w:rsidR="001E71C5">
          <w:rPr>
            <w:noProof/>
            <w:webHidden/>
          </w:rPr>
          <w:t>20</w:t>
        </w:r>
        <w:r w:rsidR="001E71C5">
          <w:rPr>
            <w:noProof/>
            <w:webHidden/>
          </w:rPr>
          <w:fldChar w:fldCharType="end"/>
        </w:r>
      </w:hyperlink>
    </w:p>
    <w:p w14:paraId="0AC32ABE" w14:textId="23C39B17" w:rsidR="001E71C5" w:rsidRDefault="0053415C">
      <w:pPr>
        <w:pStyle w:val="TOC3"/>
        <w:tabs>
          <w:tab w:val="right" w:leader="dot" w:pos="9486"/>
        </w:tabs>
        <w:rPr>
          <w:rFonts w:eastAsiaTheme="minorEastAsia"/>
          <w:noProof/>
          <w:sz w:val="22"/>
          <w:lang w:eastAsia="en-GB"/>
        </w:rPr>
      </w:pPr>
      <w:hyperlink w:anchor="_Toc83200231" w:history="1">
        <w:r w:rsidR="001E71C5" w:rsidRPr="00A61366">
          <w:rPr>
            <w:rStyle w:val="Hyperlink"/>
            <w:noProof/>
          </w:rPr>
          <w:t>Implementation date</w:t>
        </w:r>
        <w:r w:rsidR="001E71C5">
          <w:rPr>
            <w:noProof/>
            <w:webHidden/>
          </w:rPr>
          <w:tab/>
        </w:r>
        <w:r w:rsidR="001E71C5">
          <w:rPr>
            <w:noProof/>
            <w:webHidden/>
          </w:rPr>
          <w:fldChar w:fldCharType="begin"/>
        </w:r>
        <w:r w:rsidR="001E71C5">
          <w:rPr>
            <w:noProof/>
            <w:webHidden/>
          </w:rPr>
          <w:instrText xml:space="preserve"> PAGEREF _Toc83200231 \h </w:instrText>
        </w:r>
        <w:r w:rsidR="001E71C5">
          <w:rPr>
            <w:noProof/>
            <w:webHidden/>
          </w:rPr>
        </w:r>
        <w:r w:rsidR="001E71C5">
          <w:rPr>
            <w:noProof/>
            <w:webHidden/>
          </w:rPr>
          <w:fldChar w:fldCharType="separate"/>
        </w:r>
        <w:r w:rsidR="001E71C5">
          <w:rPr>
            <w:noProof/>
            <w:webHidden/>
          </w:rPr>
          <w:t>20</w:t>
        </w:r>
        <w:r w:rsidR="001E71C5">
          <w:rPr>
            <w:noProof/>
            <w:webHidden/>
          </w:rPr>
          <w:fldChar w:fldCharType="end"/>
        </w:r>
      </w:hyperlink>
    </w:p>
    <w:p w14:paraId="7C4B6548" w14:textId="5FF96D4C" w:rsidR="001E71C5" w:rsidRDefault="0053415C">
      <w:pPr>
        <w:pStyle w:val="TOC3"/>
        <w:tabs>
          <w:tab w:val="right" w:leader="dot" w:pos="9486"/>
        </w:tabs>
        <w:rPr>
          <w:rFonts w:eastAsiaTheme="minorEastAsia"/>
          <w:noProof/>
          <w:sz w:val="22"/>
          <w:lang w:eastAsia="en-GB"/>
        </w:rPr>
      </w:pPr>
      <w:hyperlink w:anchor="_Toc83200232" w:history="1">
        <w:r w:rsidR="001E71C5" w:rsidRPr="00A61366">
          <w:rPr>
            <w:rStyle w:val="Hyperlink"/>
            <w:noProof/>
          </w:rPr>
          <w:t>Date decision required by</w:t>
        </w:r>
        <w:r w:rsidR="001E71C5">
          <w:rPr>
            <w:noProof/>
            <w:webHidden/>
          </w:rPr>
          <w:tab/>
        </w:r>
        <w:r w:rsidR="001E71C5">
          <w:rPr>
            <w:noProof/>
            <w:webHidden/>
          </w:rPr>
          <w:fldChar w:fldCharType="begin"/>
        </w:r>
        <w:r w:rsidR="001E71C5">
          <w:rPr>
            <w:noProof/>
            <w:webHidden/>
          </w:rPr>
          <w:instrText xml:space="preserve"> PAGEREF _Toc83200232 \h </w:instrText>
        </w:r>
        <w:r w:rsidR="001E71C5">
          <w:rPr>
            <w:noProof/>
            <w:webHidden/>
          </w:rPr>
        </w:r>
        <w:r w:rsidR="001E71C5">
          <w:rPr>
            <w:noProof/>
            <w:webHidden/>
          </w:rPr>
          <w:fldChar w:fldCharType="separate"/>
        </w:r>
        <w:r w:rsidR="001E71C5">
          <w:rPr>
            <w:noProof/>
            <w:webHidden/>
          </w:rPr>
          <w:t>20</w:t>
        </w:r>
        <w:r w:rsidR="001E71C5">
          <w:rPr>
            <w:noProof/>
            <w:webHidden/>
          </w:rPr>
          <w:fldChar w:fldCharType="end"/>
        </w:r>
      </w:hyperlink>
    </w:p>
    <w:p w14:paraId="73796613" w14:textId="3ABCBC45" w:rsidR="001E71C5" w:rsidRDefault="0053415C">
      <w:pPr>
        <w:pStyle w:val="TOC3"/>
        <w:tabs>
          <w:tab w:val="right" w:leader="dot" w:pos="9486"/>
        </w:tabs>
        <w:rPr>
          <w:rFonts w:eastAsiaTheme="minorEastAsia"/>
          <w:noProof/>
          <w:sz w:val="22"/>
          <w:lang w:eastAsia="en-GB"/>
        </w:rPr>
      </w:pPr>
      <w:hyperlink w:anchor="_Toc83200233" w:history="1">
        <w:r w:rsidR="001E71C5" w:rsidRPr="00A61366">
          <w:rPr>
            <w:rStyle w:val="Hyperlink"/>
            <w:noProof/>
          </w:rPr>
          <w:t>Implementation approach</w:t>
        </w:r>
        <w:r w:rsidR="001E71C5">
          <w:rPr>
            <w:noProof/>
            <w:webHidden/>
          </w:rPr>
          <w:tab/>
        </w:r>
        <w:r w:rsidR="001E71C5">
          <w:rPr>
            <w:noProof/>
            <w:webHidden/>
          </w:rPr>
          <w:fldChar w:fldCharType="begin"/>
        </w:r>
        <w:r w:rsidR="001E71C5">
          <w:rPr>
            <w:noProof/>
            <w:webHidden/>
          </w:rPr>
          <w:instrText xml:space="preserve"> PAGEREF _Toc83200233 \h </w:instrText>
        </w:r>
        <w:r w:rsidR="001E71C5">
          <w:rPr>
            <w:noProof/>
            <w:webHidden/>
          </w:rPr>
        </w:r>
        <w:r w:rsidR="001E71C5">
          <w:rPr>
            <w:noProof/>
            <w:webHidden/>
          </w:rPr>
          <w:fldChar w:fldCharType="separate"/>
        </w:r>
        <w:r w:rsidR="001E71C5">
          <w:rPr>
            <w:noProof/>
            <w:webHidden/>
          </w:rPr>
          <w:t>20</w:t>
        </w:r>
        <w:r w:rsidR="001E71C5">
          <w:rPr>
            <w:noProof/>
            <w:webHidden/>
          </w:rPr>
          <w:fldChar w:fldCharType="end"/>
        </w:r>
      </w:hyperlink>
    </w:p>
    <w:p w14:paraId="134DEEE6" w14:textId="1361D18F" w:rsidR="001E71C5" w:rsidRDefault="0053415C">
      <w:pPr>
        <w:pStyle w:val="TOC1"/>
        <w:rPr>
          <w:rFonts w:eastAsiaTheme="minorEastAsia"/>
          <w:b w:val="0"/>
          <w:noProof/>
          <w:sz w:val="22"/>
          <w:lang w:eastAsia="en-GB"/>
        </w:rPr>
      </w:pPr>
      <w:hyperlink w:anchor="_Toc83200234" w:history="1">
        <w:r w:rsidR="001E71C5" w:rsidRPr="00A61366">
          <w:rPr>
            <w:rStyle w:val="Hyperlink"/>
            <w:noProof/>
          </w:rPr>
          <w:t>Interactions</w:t>
        </w:r>
        <w:r w:rsidR="001E71C5">
          <w:rPr>
            <w:noProof/>
            <w:webHidden/>
          </w:rPr>
          <w:tab/>
        </w:r>
        <w:r w:rsidR="001E71C5">
          <w:rPr>
            <w:noProof/>
            <w:webHidden/>
          </w:rPr>
          <w:fldChar w:fldCharType="begin"/>
        </w:r>
        <w:r w:rsidR="001E71C5">
          <w:rPr>
            <w:noProof/>
            <w:webHidden/>
          </w:rPr>
          <w:instrText xml:space="preserve"> PAGEREF _Toc83200234 \h </w:instrText>
        </w:r>
        <w:r w:rsidR="001E71C5">
          <w:rPr>
            <w:noProof/>
            <w:webHidden/>
          </w:rPr>
        </w:r>
        <w:r w:rsidR="001E71C5">
          <w:rPr>
            <w:noProof/>
            <w:webHidden/>
          </w:rPr>
          <w:fldChar w:fldCharType="separate"/>
        </w:r>
        <w:r w:rsidR="001E71C5">
          <w:rPr>
            <w:noProof/>
            <w:webHidden/>
          </w:rPr>
          <w:t>21</w:t>
        </w:r>
        <w:r w:rsidR="001E71C5">
          <w:rPr>
            <w:noProof/>
            <w:webHidden/>
          </w:rPr>
          <w:fldChar w:fldCharType="end"/>
        </w:r>
      </w:hyperlink>
    </w:p>
    <w:p w14:paraId="2FD2BB1B" w14:textId="2048C54D" w:rsidR="001E71C5" w:rsidRDefault="0053415C">
      <w:pPr>
        <w:pStyle w:val="TOC1"/>
        <w:rPr>
          <w:rFonts w:eastAsiaTheme="minorEastAsia"/>
          <w:b w:val="0"/>
          <w:noProof/>
          <w:sz w:val="22"/>
          <w:lang w:eastAsia="en-GB"/>
        </w:rPr>
      </w:pPr>
      <w:hyperlink w:anchor="_Toc83200235" w:history="1">
        <w:r w:rsidR="001E71C5" w:rsidRPr="00A61366">
          <w:rPr>
            <w:rStyle w:val="Hyperlink"/>
            <w:noProof/>
          </w:rPr>
          <w:t>Acronyms, key terms and reference material</w:t>
        </w:r>
        <w:r w:rsidR="001E71C5">
          <w:rPr>
            <w:noProof/>
            <w:webHidden/>
          </w:rPr>
          <w:tab/>
        </w:r>
        <w:r w:rsidR="001E71C5">
          <w:rPr>
            <w:noProof/>
            <w:webHidden/>
          </w:rPr>
          <w:fldChar w:fldCharType="begin"/>
        </w:r>
        <w:r w:rsidR="001E71C5">
          <w:rPr>
            <w:noProof/>
            <w:webHidden/>
          </w:rPr>
          <w:instrText xml:space="preserve"> PAGEREF _Toc83200235 \h </w:instrText>
        </w:r>
        <w:r w:rsidR="001E71C5">
          <w:rPr>
            <w:noProof/>
            <w:webHidden/>
          </w:rPr>
        </w:r>
        <w:r w:rsidR="001E71C5">
          <w:rPr>
            <w:noProof/>
            <w:webHidden/>
          </w:rPr>
          <w:fldChar w:fldCharType="separate"/>
        </w:r>
        <w:r w:rsidR="001E71C5">
          <w:rPr>
            <w:noProof/>
            <w:webHidden/>
          </w:rPr>
          <w:t>21</w:t>
        </w:r>
        <w:r w:rsidR="001E71C5">
          <w:rPr>
            <w:noProof/>
            <w:webHidden/>
          </w:rPr>
          <w:fldChar w:fldCharType="end"/>
        </w:r>
      </w:hyperlink>
    </w:p>
    <w:p w14:paraId="4260D493" w14:textId="4932AB29" w:rsidR="001E71C5" w:rsidRDefault="0053415C">
      <w:pPr>
        <w:pStyle w:val="TOC3"/>
        <w:tabs>
          <w:tab w:val="right" w:leader="dot" w:pos="9486"/>
        </w:tabs>
        <w:rPr>
          <w:rFonts w:eastAsiaTheme="minorEastAsia"/>
          <w:noProof/>
          <w:sz w:val="22"/>
          <w:lang w:eastAsia="en-GB"/>
        </w:rPr>
      </w:pPr>
      <w:hyperlink w:anchor="_Toc83200236" w:history="1">
        <w:r w:rsidR="001E71C5" w:rsidRPr="00A61366">
          <w:rPr>
            <w:rStyle w:val="Hyperlink"/>
            <w:noProof/>
          </w:rPr>
          <w:t>Reference material</w:t>
        </w:r>
        <w:r w:rsidR="001E71C5">
          <w:rPr>
            <w:noProof/>
            <w:webHidden/>
          </w:rPr>
          <w:tab/>
        </w:r>
        <w:r w:rsidR="001E71C5">
          <w:rPr>
            <w:noProof/>
            <w:webHidden/>
          </w:rPr>
          <w:fldChar w:fldCharType="begin"/>
        </w:r>
        <w:r w:rsidR="001E71C5">
          <w:rPr>
            <w:noProof/>
            <w:webHidden/>
          </w:rPr>
          <w:instrText xml:space="preserve"> PAGEREF _Toc83200236 \h </w:instrText>
        </w:r>
        <w:r w:rsidR="001E71C5">
          <w:rPr>
            <w:noProof/>
            <w:webHidden/>
          </w:rPr>
        </w:r>
        <w:r w:rsidR="001E71C5">
          <w:rPr>
            <w:noProof/>
            <w:webHidden/>
          </w:rPr>
          <w:fldChar w:fldCharType="separate"/>
        </w:r>
        <w:r w:rsidR="001E71C5">
          <w:rPr>
            <w:noProof/>
            <w:webHidden/>
          </w:rPr>
          <w:t>21</w:t>
        </w:r>
        <w:r w:rsidR="001E71C5">
          <w:rPr>
            <w:noProof/>
            <w:webHidden/>
          </w:rPr>
          <w:fldChar w:fldCharType="end"/>
        </w:r>
      </w:hyperlink>
    </w:p>
    <w:p w14:paraId="17C7D61C" w14:textId="20488EEE" w:rsidR="001E71C5" w:rsidRDefault="0053415C">
      <w:pPr>
        <w:pStyle w:val="TOC1"/>
        <w:rPr>
          <w:rFonts w:eastAsiaTheme="minorEastAsia"/>
          <w:b w:val="0"/>
          <w:noProof/>
          <w:sz w:val="22"/>
          <w:lang w:eastAsia="en-GB"/>
        </w:rPr>
      </w:pPr>
      <w:hyperlink w:anchor="_Toc83200237" w:history="1">
        <w:r w:rsidR="001E71C5" w:rsidRPr="00A61366">
          <w:rPr>
            <w:rStyle w:val="Hyperlink"/>
            <w:noProof/>
          </w:rPr>
          <w:t>Annexes</w:t>
        </w:r>
        <w:r w:rsidR="001E71C5">
          <w:rPr>
            <w:noProof/>
            <w:webHidden/>
          </w:rPr>
          <w:tab/>
        </w:r>
        <w:r w:rsidR="001E71C5">
          <w:rPr>
            <w:noProof/>
            <w:webHidden/>
          </w:rPr>
          <w:fldChar w:fldCharType="begin"/>
        </w:r>
        <w:r w:rsidR="001E71C5">
          <w:rPr>
            <w:noProof/>
            <w:webHidden/>
          </w:rPr>
          <w:instrText xml:space="preserve"> PAGEREF _Toc83200237 \h </w:instrText>
        </w:r>
        <w:r w:rsidR="001E71C5">
          <w:rPr>
            <w:noProof/>
            <w:webHidden/>
          </w:rPr>
        </w:r>
        <w:r w:rsidR="001E71C5">
          <w:rPr>
            <w:noProof/>
            <w:webHidden/>
          </w:rPr>
          <w:fldChar w:fldCharType="separate"/>
        </w:r>
        <w:r w:rsidR="001E71C5">
          <w:rPr>
            <w:noProof/>
            <w:webHidden/>
          </w:rPr>
          <w:t>21</w:t>
        </w:r>
        <w:r w:rsidR="001E71C5">
          <w:rPr>
            <w:noProof/>
            <w:webHidden/>
          </w:rPr>
          <w:fldChar w:fldCharType="end"/>
        </w:r>
      </w:hyperlink>
    </w:p>
    <w:p w14:paraId="391B8117" w14:textId="686DA751" w:rsidR="005603D9" w:rsidRDefault="005603D9" w:rsidP="005603D9">
      <w:r>
        <w:fldChar w:fldCharType="end"/>
      </w:r>
    </w:p>
    <w:p w14:paraId="6F341197" w14:textId="77777777" w:rsidR="005603D9" w:rsidRPr="005603D9" w:rsidRDefault="005603D9" w:rsidP="005603D9"/>
    <w:p w14:paraId="3B93BD93"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2DDC83A6" w14:textId="77777777" w:rsidR="001E1568" w:rsidRDefault="005E188C" w:rsidP="005E188C">
      <w:pPr>
        <w:pStyle w:val="Heading1"/>
      </w:pPr>
      <w:bookmarkStart w:id="4" w:name="_Executive_summary_1"/>
      <w:bookmarkStart w:id="5" w:name="_Toc83200217"/>
      <w:bookmarkStart w:id="6" w:name="_Toc58837630"/>
      <w:bookmarkEnd w:id="3"/>
      <w:bookmarkEnd w:id="4"/>
      <w:r>
        <w:lastRenderedPageBreak/>
        <w:t xml:space="preserve">Executive </w:t>
      </w:r>
      <w:r w:rsidR="0014503B">
        <w:t>s</w:t>
      </w:r>
      <w:r>
        <w:t>ummary</w:t>
      </w:r>
      <w:bookmarkEnd w:id="5"/>
    </w:p>
    <w:p w14:paraId="06CFA161" w14:textId="6743E381" w:rsidR="00A70AA2" w:rsidRDefault="00A70AA2" w:rsidP="00A70AA2">
      <w:pPr>
        <w:pStyle w:val="Style8"/>
        <w:rPr>
          <w:b w:val="0"/>
          <w:bCs/>
          <w:color w:val="auto"/>
          <w:sz w:val="24"/>
        </w:rPr>
      </w:pPr>
      <w:bookmarkStart w:id="7" w:name="_Hlk31885141"/>
      <w:r w:rsidRPr="002A2A24" w:rsidDel="007B0BBB">
        <w:rPr>
          <w:b w:val="0"/>
          <w:bCs/>
          <w:color w:val="auto"/>
          <w:sz w:val="24"/>
        </w:rPr>
        <w:t>Th</w:t>
      </w:r>
      <w:r w:rsidDel="007B0BBB">
        <w:rPr>
          <w:b w:val="0"/>
          <w:bCs/>
          <w:color w:val="auto"/>
          <w:sz w:val="24"/>
        </w:rPr>
        <w:t>e original GC0133 Final</w:t>
      </w:r>
      <w:r w:rsidRPr="002A2A24" w:rsidDel="007B0BBB">
        <w:rPr>
          <w:b w:val="0"/>
          <w:bCs/>
          <w:color w:val="auto"/>
          <w:sz w:val="24"/>
        </w:rPr>
        <w:t xml:space="preserve"> Modification </w:t>
      </w:r>
      <w:r w:rsidDel="007B0BBB">
        <w:rPr>
          <w:b w:val="0"/>
          <w:bCs/>
          <w:color w:val="auto"/>
          <w:sz w:val="24"/>
        </w:rPr>
        <w:t>Report received a send-back decision</w:t>
      </w:r>
      <w:r w:rsidR="00911507">
        <w:rPr>
          <w:rStyle w:val="FootnoteReference"/>
          <w:b w:val="0"/>
          <w:bCs/>
          <w:color w:val="auto"/>
          <w:sz w:val="24"/>
        </w:rPr>
        <w:footnoteReference w:id="2"/>
      </w:r>
      <w:r w:rsidR="00C31E84">
        <w:rPr>
          <w:b w:val="0"/>
          <w:bCs/>
          <w:color w:val="auto"/>
          <w:sz w:val="24"/>
        </w:rPr>
        <w:t xml:space="preserve"> </w:t>
      </w:r>
      <w:r w:rsidDel="007B0BBB">
        <w:rPr>
          <w:b w:val="0"/>
          <w:bCs/>
          <w:color w:val="auto"/>
          <w:sz w:val="24"/>
        </w:rPr>
        <w:t xml:space="preserve">by the Authority on 4 September 2020 due to there not being enough </w:t>
      </w:r>
      <w:r w:rsidRPr="0023196B" w:rsidDel="007B0BBB">
        <w:rPr>
          <w:b w:val="0"/>
          <w:bCs/>
          <w:color w:val="auto"/>
          <w:sz w:val="24"/>
        </w:rPr>
        <w:t xml:space="preserve">evidence </w:t>
      </w:r>
      <w:r w:rsidDel="007B0BBB">
        <w:rPr>
          <w:b w:val="0"/>
          <w:bCs/>
          <w:color w:val="auto"/>
          <w:sz w:val="24"/>
        </w:rPr>
        <w:t>to support</w:t>
      </w:r>
      <w:r w:rsidRPr="0023196B" w:rsidDel="007B0BBB">
        <w:rPr>
          <w:b w:val="0"/>
          <w:bCs/>
          <w:color w:val="auto"/>
          <w:sz w:val="24"/>
        </w:rPr>
        <w:t xml:space="preserve"> whether the</w:t>
      </w:r>
      <w:r w:rsidDel="007B0BBB">
        <w:rPr>
          <w:b w:val="0"/>
          <w:bCs/>
          <w:color w:val="auto"/>
          <w:sz w:val="24"/>
        </w:rPr>
        <w:t xml:space="preserve"> </w:t>
      </w:r>
      <w:r w:rsidRPr="0023196B" w:rsidDel="007B0BBB">
        <w:rPr>
          <w:b w:val="0"/>
          <w:bCs/>
          <w:color w:val="auto"/>
          <w:sz w:val="24"/>
        </w:rPr>
        <w:t>modification would impact relevant objectives (a) and (c) of the Grid Code</w:t>
      </w:r>
      <w:r w:rsidDel="007B0BBB">
        <w:rPr>
          <w:b w:val="0"/>
          <w:bCs/>
          <w:color w:val="auto"/>
          <w:sz w:val="24"/>
        </w:rPr>
        <w:t xml:space="preserve">. </w:t>
      </w:r>
      <w:r>
        <w:rPr>
          <w:b w:val="0"/>
          <w:bCs/>
          <w:color w:val="auto"/>
          <w:sz w:val="24"/>
        </w:rPr>
        <w:t xml:space="preserve">A Workgroup was </w:t>
      </w:r>
      <w:r w:rsidR="007B0BBB">
        <w:rPr>
          <w:b w:val="0"/>
          <w:bCs/>
          <w:color w:val="auto"/>
          <w:sz w:val="24"/>
        </w:rPr>
        <w:t xml:space="preserve">subsequently </w:t>
      </w:r>
      <w:r>
        <w:rPr>
          <w:b w:val="0"/>
          <w:bCs/>
          <w:color w:val="auto"/>
          <w:sz w:val="24"/>
        </w:rPr>
        <w:t xml:space="preserve">set up as directed by the Grid Code Review Panel to address: </w:t>
      </w:r>
    </w:p>
    <w:p w14:paraId="666EB195" w14:textId="77777777" w:rsidR="00A70AA2" w:rsidRPr="00E6204D" w:rsidRDefault="00A70AA2" w:rsidP="00A70AA2">
      <w:pPr>
        <w:pStyle w:val="ListParagraph"/>
        <w:numPr>
          <w:ilvl w:val="0"/>
          <w:numId w:val="24"/>
        </w:numPr>
        <w:jc w:val="both"/>
      </w:pPr>
      <w:r w:rsidRPr="00E6204D">
        <w:t xml:space="preserve">The benefits of the modification to market participants and stakeholders; and </w:t>
      </w:r>
    </w:p>
    <w:p w14:paraId="3F9F912F" w14:textId="77777777" w:rsidR="00A70AA2" w:rsidRDefault="00A70AA2" w:rsidP="00A70AA2">
      <w:pPr>
        <w:pStyle w:val="ListParagraph"/>
        <w:numPr>
          <w:ilvl w:val="0"/>
          <w:numId w:val="24"/>
        </w:numPr>
        <w:jc w:val="both"/>
      </w:pPr>
      <w:r w:rsidRPr="00E6204D">
        <w:t>The challenges to the ESO of providing this information, including the challenges of publishing the reasons for the changes of system state condition.</w:t>
      </w:r>
    </w:p>
    <w:p w14:paraId="50620716" w14:textId="689D810C" w:rsidR="007B0BBB" w:rsidRPr="00E6204D" w:rsidRDefault="007B0BBB" w:rsidP="007B0BBB">
      <w:pPr>
        <w:jc w:val="both"/>
      </w:pPr>
    </w:p>
    <w:p w14:paraId="67919762" w14:textId="77777777" w:rsidR="00A70AA2" w:rsidRPr="00696A5C" w:rsidRDefault="00A70AA2" w:rsidP="00A70AA2">
      <w:pPr>
        <w:pStyle w:val="Style8"/>
      </w:pPr>
      <w:r w:rsidRPr="00696A5C">
        <w:t>What is the issue?</w:t>
      </w:r>
    </w:p>
    <w:bookmarkEnd w:id="7"/>
    <w:p w14:paraId="5769663D" w14:textId="189E341D" w:rsidR="00A70AA2" w:rsidRPr="00F770C5" w:rsidRDefault="00A70AA2" w:rsidP="00A70AA2">
      <w:r>
        <w:t>The Proposer has set out that they</w:t>
      </w:r>
      <w:r w:rsidRPr="00F770C5">
        <w:t xml:space="preserve"> have identified a defect</w:t>
      </w:r>
      <w:r w:rsidR="007B0BBB">
        <w:t>,</w:t>
      </w:r>
      <w:r w:rsidRPr="00F770C5">
        <w:t xml:space="preserve"> namely that the current condition of the ‘System State’; which the ESO is required</w:t>
      </w:r>
      <w:r w:rsidRPr="00F770C5">
        <w:rPr>
          <w:rStyle w:val="FootnoteReference"/>
        </w:rPr>
        <w:footnoteReference w:id="3"/>
      </w:r>
      <w:r w:rsidRPr="00F770C5">
        <w:t>, in real time operations, to monitor and determine for the GB NETS; is not currently visible to the wider industry</w:t>
      </w:r>
      <w:r w:rsidRPr="00F770C5">
        <w:rPr>
          <w:rStyle w:val="FootnoteReference"/>
        </w:rPr>
        <w:footnoteReference w:id="4"/>
      </w:r>
      <w:r w:rsidRPr="00F770C5">
        <w:t xml:space="preserve">, such as Generators, Suppliers and other market participants (as well as BEIS, Ofgem, DNOs, Interconnectors, etc.) in a timely, and ongoing, manner.  </w:t>
      </w:r>
    </w:p>
    <w:p w14:paraId="0184119F" w14:textId="77777777" w:rsidR="00A70AA2" w:rsidRDefault="00A70AA2" w:rsidP="00A70AA2">
      <w:pPr>
        <w:pStyle w:val="Style9"/>
      </w:pPr>
      <w:r>
        <w:t>What is the solution and when will it come into effect?</w:t>
      </w:r>
    </w:p>
    <w:p w14:paraId="42A4C3F9" w14:textId="0841FF73" w:rsidR="00A70AA2" w:rsidRDefault="00A70AA2" w:rsidP="00A70AA2">
      <w:r w:rsidRPr="00E6107E">
        <w:rPr>
          <w:b/>
        </w:rPr>
        <w:t>Proposer’s solution</w:t>
      </w:r>
      <w:r>
        <w:rPr>
          <w:b/>
        </w:rPr>
        <w:t xml:space="preserve">: </w:t>
      </w:r>
      <w:r>
        <w:t>In the Proposer’s view, the Grid Code will need to be amended to include a simple requirement on the ESO to update the BMRS System Warning webpage</w:t>
      </w:r>
      <w:r>
        <w:rPr>
          <w:rStyle w:val="FootnoteReference"/>
        </w:rPr>
        <w:footnoteReference w:id="5"/>
      </w:r>
      <w:r>
        <w:t xml:space="preserve"> as soon as reasonably practical, using reasonable endeavours, whenever the GB NETS ‘System State’ condition changes</w:t>
      </w:r>
      <w:r w:rsidR="007B0BBB">
        <w:t>,</w:t>
      </w:r>
      <w:r>
        <w:t xml:space="preserve"> be that a degradation or an improvement in the ‘System State’.  </w:t>
      </w:r>
    </w:p>
    <w:p w14:paraId="2C3DDBBC" w14:textId="614AC850" w:rsidR="007B037C" w:rsidRDefault="007B037C" w:rsidP="00FC7012">
      <w:pPr>
        <w:rPr>
          <w:i/>
          <w:color w:val="00B050"/>
        </w:rPr>
      </w:pPr>
    </w:p>
    <w:p w14:paraId="76BC7A0A" w14:textId="77777777" w:rsidR="00690640" w:rsidRPr="00A54E6E" w:rsidRDefault="00690640" w:rsidP="00690640">
      <w:pPr>
        <w:jc w:val="both"/>
      </w:pPr>
      <w:r w:rsidRPr="007F0110">
        <w:rPr>
          <w:b/>
        </w:rPr>
        <w:t xml:space="preserve">Workgroup conclusions: </w:t>
      </w:r>
    </w:p>
    <w:p w14:paraId="37A2D5F5" w14:textId="66F19A1E" w:rsidR="00690640" w:rsidRPr="00E6204D" w:rsidRDefault="00690640" w:rsidP="00690640">
      <w:pPr>
        <w:pStyle w:val="ListParagraph"/>
        <w:numPr>
          <w:ilvl w:val="0"/>
          <w:numId w:val="24"/>
        </w:numPr>
        <w:jc w:val="both"/>
      </w:pPr>
      <w:r w:rsidRPr="0089175A">
        <w:rPr>
          <w:bCs/>
        </w:rPr>
        <w:t xml:space="preserve">A Workgroup convened on </w:t>
      </w:r>
      <w:r w:rsidR="00C13A33">
        <w:rPr>
          <w:bCs/>
        </w:rPr>
        <w:t>09</w:t>
      </w:r>
      <w:r w:rsidR="004C610C">
        <w:rPr>
          <w:bCs/>
        </w:rPr>
        <w:t xml:space="preserve"> </w:t>
      </w:r>
      <w:r w:rsidRPr="0089175A">
        <w:rPr>
          <w:bCs/>
        </w:rPr>
        <w:t xml:space="preserve">March 2021 to discuss </w:t>
      </w:r>
      <w:r>
        <w:t>t</w:t>
      </w:r>
      <w:r w:rsidRPr="0089175A">
        <w:t>he</w:t>
      </w:r>
      <w:r w:rsidRPr="00E6204D">
        <w:t xml:space="preserve"> benefits of the modification to market participants and stakeholders</w:t>
      </w:r>
      <w:r w:rsidR="007B0BBB">
        <w:t>;</w:t>
      </w:r>
      <w:r w:rsidRPr="00E6204D">
        <w:t xml:space="preserve"> and </w:t>
      </w:r>
    </w:p>
    <w:p w14:paraId="7CF6E973" w14:textId="5DB26BB4" w:rsidR="00690640" w:rsidRPr="00E6204D" w:rsidRDefault="00690640" w:rsidP="00690640">
      <w:pPr>
        <w:pStyle w:val="ListParagraph"/>
        <w:numPr>
          <w:ilvl w:val="0"/>
          <w:numId w:val="24"/>
        </w:numPr>
        <w:jc w:val="both"/>
      </w:pPr>
      <w:r w:rsidRPr="00E6204D">
        <w:t xml:space="preserve">The challenges </w:t>
      </w:r>
      <w:r w:rsidR="007B0BBB">
        <w:t xml:space="preserve">for </w:t>
      </w:r>
      <w:r w:rsidRPr="00E6204D">
        <w:t>the ESO of providing this information, including the challenges of publishing the reasons for the changes of system state condition.</w:t>
      </w:r>
    </w:p>
    <w:p w14:paraId="2D9E93DD" w14:textId="508BFE7E" w:rsidR="00690640" w:rsidRPr="00690640" w:rsidRDefault="00690640" w:rsidP="00690640">
      <w:pPr>
        <w:rPr>
          <w:iCs/>
          <w:color w:val="00B050"/>
        </w:rPr>
      </w:pPr>
    </w:p>
    <w:p w14:paraId="379B5DDA" w14:textId="77777777" w:rsidR="00690640" w:rsidRDefault="00690640" w:rsidP="00690640">
      <w:r w:rsidRPr="00E6107E">
        <w:rPr>
          <w:b/>
        </w:rPr>
        <w:t>Implementation date:</w:t>
      </w:r>
      <w:r>
        <w:t xml:space="preserve"> June 2021 - 10 working days following Authority decision. </w:t>
      </w:r>
    </w:p>
    <w:p w14:paraId="5E6C427E" w14:textId="77777777" w:rsidR="00690640" w:rsidRDefault="00690640" w:rsidP="00690640">
      <w:pPr>
        <w:pStyle w:val="Style10"/>
      </w:pPr>
      <w:r>
        <w:t>What is the impact if this change is made?</w:t>
      </w:r>
    </w:p>
    <w:p w14:paraId="7A3FD4DB" w14:textId="77777777" w:rsidR="00690640" w:rsidRDefault="00690640" w:rsidP="00690640">
      <w:pPr>
        <w:jc w:val="both"/>
        <w:rPr>
          <w:b/>
        </w:rPr>
      </w:pPr>
      <w:r>
        <w:rPr>
          <w:b/>
        </w:rPr>
        <w:t>Proposer’s View</w:t>
      </w:r>
    </w:p>
    <w:p w14:paraId="7DD5C3C6" w14:textId="758CFDEA" w:rsidR="00690640" w:rsidRDefault="00690640" w:rsidP="00690640">
      <w:r>
        <w:t xml:space="preserve">In the Proposer’s view this proposal is expected to have a low impact on the </w:t>
      </w:r>
      <w:r w:rsidRPr="00D34D19">
        <w:t xml:space="preserve">ESO (in terms of reporting the </w:t>
      </w:r>
      <w:r>
        <w:t>‘</w:t>
      </w:r>
      <w:r w:rsidRPr="00D34D19">
        <w:t>System State</w:t>
      </w:r>
      <w:r>
        <w:t>’</w:t>
      </w:r>
      <w:r w:rsidRPr="00D34D19">
        <w:t xml:space="preserve"> condition)</w:t>
      </w:r>
      <w:r>
        <w:t xml:space="preserve"> and for Generators, Suppliers and other market participants (in terms of receiving, considering and taking internal action(s) arising from being notified of the ‘System State’ condition).  </w:t>
      </w:r>
    </w:p>
    <w:p w14:paraId="3CF5FD35" w14:textId="43FFB631" w:rsidR="00F64D74" w:rsidRDefault="00F64D74" w:rsidP="00690640"/>
    <w:p w14:paraId="43FD4AC5" w14:textId="573DE5AF" w:rsidR="00F64D74" w:rsidRDefault="00F64D74" w:rsidP="00690640">
      <w:pPr>
        <w:rPr>
          <w:b/>
        </w:rPr>
      </w:pPr>
    </w:p>
    <w:p w14:paraId="7CA146CF" w14:textId="77777777" w:rsidR="00A07AC6" w:rsidRDefault="00A07AC6" w:rsidP="00690640">
      <w:pPr>
        <w:rPr>
          <w:b/>
        </w:rPr>
      </w:pPr>
    </w:p>
    <w:p w14:paraId="0CC48AA1" w14:textId="77777777" w:rsidR="00690640" w:rsidRDefault="00690640" w:rsidP="00690640">
      <w:pPr>
        <w:pStyle w:val="Style11"/>
      </w:pPr>
      <w:r>
        <w:t>Interactions</w:t>
      </w:r>
    </w:p>
    <w:p w14:paraId="70A74860" w14:textId="3D3F5B9F" w:rsidR="001E71C5" w:rsidRDefault="00690640" w:rsidP="00690640">
      <w:pPr>
        <w:rPr>
          <w:rStyle w:val="normaltextrun"/>
        </w:rPr>
      </w:pPr>
      <w:r>
        <w:rPr>
          <w:rStyle w:val="normaltextrun"/>
        </w:rPr>
        <w:t>No impact has been identified to the Balancing and Settlement Code, how</w:t>
      </w:r>
      <w:r w:rsidRPr="00853819">
        <w:rPr>
          <w:rStyle w:val="normaltextrun"/>
        </w:rPr>
        <w:t xml:space="preserve">ever, it would </w:t>
      </w:r>
      <w:r w:rsidR="007B0BBB">
        <w:rPr>
          <w:rStyle w:val="normaltextrun"/>
        </w:rPr>
        <w:t>require</w:t>
      </w:r>
      <w:r w:rsidR="007B0BBB" w:rsidRPr="00853819">
        <w:rPr>
          <w:rStyle w:val="normaltextrun"/>
        </w:rPr>
        <w:t xml:space="preserve"> </w:t>
      </w:r>
      <w:r w:rsidRPr="00853819">
        <w:rPr>
          <w:rStyle w:val="normaltextrun"/>
        </w:rPr>
        <w:t xml:space="preserve">the ESO using the current BMRS </w:t>
      </w:r>
      <w:r w:rsidR="0049292E">
        <w:rPr>
          <w:rStyle w:val="normaltextrun"/>
        </w:rPr>
        <w:t xml:space="preserve">channel </w:t>
      </w:r>
      <w:r w:rsidRPr="00853819">
        <w:rPr>
          <w:rStyle w:val="normaltextrun"/>
        </w:rPr>
        <w:t>to inform stakeholders of changes to the condition of the GB NETS ‘System State’ situation.</w:t>
      </w:r>
    </w:p>
    <w:p w14:paraId="297EFC44" w14:textId="77777777" w:rsidR="003C7267" w:rsidRDefault="001E71C5" w:rsidP="003C7267">
      <w:pPr>
        <w:spacing w:before="150" w:after="192" w:line="240" w:lineRule="auto"/>
        <w:jc w:val="both"/>
        <w:rPr>
          <w:rFonts w:eastAsia="Times New Roman" w:cstheme="minorHAnsi"/>
          <w:color w:val="000000"/>
          <w:szCs w:val="24"/>
          <w:lang w:eastAsia="en-GB"/>
        </w:rPr>
      </w:pPr>
      <w:r w:rsidRPr="001E71C5">
        <w:rPr>
          <w:rFonts w:eastAsia="Times New Roman" w:cstheme="minorHAnsi"/>
          <w:color w:val="000000"/>
          <w:szCs w:val="24"/>
          <w:lang w:eastAsia="en-GB"/>
        </w:rPr>
        <w:t xml:space="preserve">BMRS </w:t>
      </w:r>
      <w:r w:rsidR="005470E3" w:rsidRPr="003C7267">
        <w:rPr>
          <w:rFonts w:eastAsia="Times New Roman" w:cstheme="minorHAnsi"/>
          <w:color w:val="000000"/>
          <w:szCs w:val="24"/>
          <w:lang w:eastAsia="en-GB"/>
        </w:rPr>
        <w:t xml:space="preserve">is a </w:t>
      </w:r>
      <w:r w:rsidR="00F453D1" w:rsidRPr="003C7267">
        <w:rPr>
          <w:rFonts w:eastAsia="Times New Roman" w:cstheme="minorHAnsi"/>
          <w:color w:val="000000"/>
          <w:szCs w:val="24"/>
          <w:lang w:eastAsia="en-GB"/>
        </w:rPr>
        <w:t>channel that is operated by Elexon through their website</w:t>
      </w:r>
      <w:r w:rsidR="003C7267" w:rsidRPr="003C7267">
        <w:rPr>
          <w:rFonts w:eastAsia="Times New Roman" w:cstheme="minorHAnsi"/>
          <w:color w:val="000000"/>
          <w:szCs w:val="24"/>
          <w:lang w:eastAsia="en-GB"/>
        </w:rPr>
        <w:t xml:space="preserve"> and is used </w:t>
      </w:r>
      <w:r w:rsidRPr="001E71C5">
        <w:rPr>
          <w:rFonts w:eastAsia="Times New Roman" w:cstheme="minorHAnsi"/>
          <w:color w:val="000000"/>
          <w:szCs w:val="24"/>
          <w:lang w:eastAsia="en-GB"/>
        </w:rPr>
        <w:t>for providing operational data relating to the GB Electricity Balancing and Settlement arrangements. It is used extensively by market participants to help make trading decisions and understanding market dynamics and acts as a prompt reporting platform as well as a means of accessing historic data. The main data categories of the website are as follows:</w:t>
      </w:r>
    </w:p>
    <w:p w14:paraId="45A1C4A2" w14:textId="140546EF" w:rsidR="001E71C5" w:rsidRPr="001E71C5" w:rsidRDefault="001E71C5" w:rsidP="003C7267">
      <w:pPr>
        <w:spacing w:before="150" w:after="192" w:line="240" w:lineRule="auto"/>
        <w:jc w:val="both"/>
        <w:rPr>
          <w:rFonts w:eastAsia="Times New Roman" w:cstheme="minorHAnsi"/>
          <w:color w:val="000000"/>
          <w:szCs w:val="24"/>
          <w:lang w:eastAsia="en-GB"/>
        </w:rPr>
      </w:pPr>
      <w:r w:rsidRPr="001E71C5">
        <w:rPr>
          <w:rFonts w:eastAsia="Times New Roman" w:cstheme="minorHAnsi"/>
          <w:b/>
          <w:bCs/>
          <w:color w:val="008DA8"/>
          <w:szCs w:val="24"/>
          <w:lang w:eastAsia="en-GB"/>
        </w:rPr>
        <w:t>Electricity Data Summary:</w:t>
      </w:r>
      <w:r w:rsidRPr="001E71C5">
        <w:rPr>
          <w:rFonts w:eastAsia="Times New Roman" w:cstheme="minorHAnsi"/>
          <w:color w:val="000000"/>
          <w:szCs w:val="24"/>
          <w:lang w:eastAsia="en-GB"/>
        </w:rPr>
        <w:t> Includes 9 frequently requested reports including System Prices, Generation by Fuel Type and System Demand.</w:t>
      </w:r>
    </w:p>
    <w:p w14:paraId="6A016639" w14:textId="77777777" w:rsidR="001E71C5" w:rsidRPr="001E71C5" w:rsidRDefault="001E71C5" w:rsidP="001E71C5">
      <w:pPr>
        <w:spacing w:before="150" w:after="192" w:line="240" w:lineRule="auto"/>
        <w:jc w:val="both"/>
        <w:rPr>
          <w:rFonts w:eastAsia="Times New Roman" w:cstheme="minorHAnsi"/>
          <w:color w:val="000000"/>
          <w:szCs w:val="24"/>
          <w:lang w:eastAsia="en-GB"/>
        </w:rPr>
      </w:pPr>
      <w:r w:rsidRPr="001E71C5">
        <w:rPr>
          <w:rFonts w:eastAsia="Times New Roman" w:cstheme="minorHAnsi"/>
          <w:b/>
          <w:bCs/>
          <w:color w:val="008DA8"/>
          <w:szCs w:val="24"/>
          <w:lang w:eastAsia="en-GB"/>
        </w:rPr>
        <w:t>REMIT:</w:t>
      </w:r>
      <w:r w:rsidRPr="001E71C5">
        <w:rPr>
          <w:rFonts w:eastAsia="Times New Roman" w:cstheme="minorHAnsi"/>
          <w:color w:val="000000"/>
          <w:szCs w:val="24"/>
          <w:lang w:eastAsia="en-GB"/>
        </w:rPr>
        <w:t> Information provided by market participants to comply with Article 4 of Regulation on Wholesale Energy Market Integrity and Transparency (REMIT) Regulation (EU) 1227/2011.</w:t>
      </w:r>
    </w:p>
    <w:p w14:paraId="52BB7DB6" w14:textId="77777777" w:rsidR="001E71C5" w:rsidRPr="001E71C5" w:rsidRDefault="001E71C5" w:rsidP="001E71C5">
      <w:pPr>
        <w:spacing w:before="150" w:after="192" w:line="240" w:lineRule="auto"/>
        <w:jc w:val="both"/>
        <w:rPr>
          <w:rFonts w:eastAsia="Times New Roman" w:cstheme="minorHAnsi"/>
          <w:color w:val="000000"/>
          <w:szCs w:val="24"/>
          <w:lang w:eastAsia="en-GB"/>
        </w:rPr>
      </w:pPr>
      <w:r w:rsidRPr="001E71C5">
        <w:rPr>
          <w:rFonts w:eastAsia="Times New Roman" w:cstheme="minorHAnsi"/>
          <w:b/>
          <w:bCs/>
          <w:color w:val="008DA8"/>
          <w:szCs w:val="24"/>
          <w:lang w:eastAsia="en-GB"/>
        </w:rPr>
        <w:t>Transparency:</w:t>
      </w:r>
      <w:r w:rsidRPr="001E71C5">
        <w:rPr>
          <w:rFonts w:eastAsia="Times New Roman" w:cstheme="minorHAnsi"/>
          <w:color w:val="000000"/>
          <w:szCs w:val="24"/>
          <w:lang w:eastAsia="en-GB"/>
        </w:rPr>
        <w:t> Data for the Transparency Regulation (EU) 543/2013 originating from the Transmission company and market participants.</w:t>
      </w:r>
    </w:p>
    <w:p w14:paraId="7DD28342" w14:textId="77777777" w:rsidR="001E71C5" w:rsidRPr="001E71C5" w:rsidRDefault="001E71C5" w:rsidP="001E71C5">
      <w:pPr>
        <w:spacing w:before="150" w:after="192" w:line="240" w:lineRule="auto"/>
        <w:jc w:val="both"/>
        <w:rPr>
          <w:rFonts w:eastAsia="Times New Roman" w:cstheme="minorHAnsi"/>
          <w:color w:val="000000"/>
          <w:szCs w:val="24"/>
          <w:lang w:eastAsia="en-GB"/>
        </w:rPr>
      </w:pPr>
      <w:r w:rsidRPr="001E71C5">
        <w:rPr>
          <w:rFonts w:eastAsia="Times New Roman" w:cstheme="minorHAnsi"/>
          <w:b/>
          <w:bCs/>
          <w:color w:val="008DA8"/>
          <w:szCs w:val="24"/>
          <w:lang w:eastAsia="en-GB"/>
        </w:rPr>
        <w:t>Transmission:</w:t>
      </w:r>
      <w:r w:rsidRPr="001E71C5">
        <w:rPr>
          <w:rFonts w:eastAsia="Times New Roman" w:cstheme="minorHAnsi"/>
          <w:color w:val="000000"/>
          <w:szCs w:val="24"/>
          <w:lang w:eastAsia="en-GB"/>
        </w:rPr>
        <w:t> Balancing Mechanism data from the Transmission company and data includes System Operator to System Operator Trades (SO-SO), SO-SO Trade Prices and System Warnings.</w:t>
      </w:r>
    </w:p>
    <w:p w14:paraId="10027A82" w14:textId="77777777" w:rsidR="001E71C5" w:rsidRPr="001E71C5" w:rsidRDefault="001E71C5" w:rsidP="001E71C5">
      <w:pPr>
        <w:spacing w:before="150" w:after="192" w:line="240" w:lineRule="auto"/>
        <w:jc w:val="both"/>
        <w:rPr>
          <w:rFonts w:eastAsia="Times New Roman" w:cstheme="minorHAnsi"/>
          <w:color w:val="000000"/>
          <w:szCs w:val="24"/>
          <w:lang w:eastAsia="en-GB"/>
        </w:rPr>
      </w:pPr>
      <w:r w:rsidRPr="001E71C5">
        <w:rPr>
          <w:rFonts w:eastAsia="Times New Roman" w:cstheme="minorHAnsi"/>
          <w:b/>
          <w:bCs/>
          <w:color w:val="008DA8"/>
          <w:szCs w:val="24"/>
          <w:lang w:eastAsia="en-GB"/>
        </w:rPr>
        <w:t>Generation:</w:t>
      </w:r>
      <w:r w:rsidRPr="001E71C5">
        <w:rPr>
          <w:rFonts w:eastAsia="Times New Roman" w:cstheme="minorHAnsi"/>
          <w:color w:val="000000"/>
          <w:szCs w:val="24"/>
          <w:lang w:eastAsia="en-GB"/>
        </w:rPr>
        <w:t> Generation data including Wind Forecast Out-turn, Generation Output Useable (forecast) and Generation by Fuel Type (actual).</w:t>
      </w:r>
    </w:p>
    <w:p w14:paraId="4A2286B2" w14:textId="77777777" w:rsidR="001E71C5" w:rsidRPr="001E71C5" w:rsidRDefault="001E71C5" w:rsidP="001E71C5">
      <w:pPr>
        <w:spacing w:before="150" w:after="192" w:line="240" w:lineRule="auto"/>
        <w:jc w:val="both"/>
        <w:rPr>
          <w:rFonts w:eastAsia="Times New Roman" w:cstheme="minorHAnsi"/>
          <w:color w:val="000000"/>
          <w:szCs w:val="24"/>
          <w:lang w:eastAsia="en-GB"/>
        </w:rPr>
      </w:pPr>
      <w:r w:rsidRPr="001E71C5">
        <w:rPr>
          <w:rFonts w:eastAsia="Times New Roman" w:cstheme="minorHAnsi"/>
          <w:b/>
          <w:bCs/>
          <w:color w:val="008DA8"/>
          <w:szCs w:val="24"/>
          <w:lang w:eastAsia="en-GB"/>
        </w:rPr>
        <w:t>Demand:</w:t>
      </w:r>
      <w:r w:rsidRPr="001E71C5">
        <w:rPr>
          <w:rFonts w:eastAsia="Times New Roman" w:cstheme="minorHAnsi"/>
          <w:color w:val="000000"/>
          <w:szCs w:val="24"/>
          <w:lang w:eastAsia="en-GB"/>
        </w:rPr>
        <w:t> Demand data including Demand Day Ahead (forecast), Initial Demand Out-turn (actual) and Peak Demand data.</w:t>
      </w:r>
    </w:p>
    <w:p w14:paraId="299640B8" w14:textId="77777777" w:rsidR="001E71C5" w:rsidRPr="001E71C5" w:rsidRDefault="001E71C5" w:rsidP="001E71C5">
      <w:pPr>
        <w:spacing w:before="150" w:after="192" w:line="240" w:lineRule="auto"/>
        <w:jc w:val="both"/>
        <w:rPr>
          <w:rFonts w:eastAsia="Times New Roman" w:cstheme="minorHAnsi"/>
          <w:color w:val="000000"/>
          <w:szCs w:val="24"/>
          <w:lang w:eastAsia="en-GB"/>
        </w:rPr>
      </w:pPr>
      <w:r w:rsidRPr="001E71C5">
        <w:rPr>
          <w:rFonts w:eastAsia="Times New Roman" w:cstheme="minorHAnsi"/>
          <w:b/>
          <w:bCs/>
          <w:color w:val="008DA8"/>
          <w:szCs w:val="24"/>
          <w:lang w:eastAsia="en-GB"/>
        </w:rPr>
        <w:t>Balancing:</w:t>
      </w:r>
      <w:r w:rsidRPr="001E71C5">
        <w:rPr>
          <w:rFonts w:eastAsia="Times New Roman" w:cstheme="minorHAnsi"/>
          <w:color w:val="000000"/>
          <w:szCs w:val="24"/>
          <w:lang w:eastAsia="en-GB"/>
        </w:rPr>
        <w:t> Data includes system prices, Balancing Mechanism Unit (BMU) data such as Final Physical Notification (FPN), Maximum Export/Import Limits (MIL/MEL), Bid Offer data.</w:t>
      </w:r>
    </w:p>
    <w:p w14:paraId="33AFF67D" w14:textId="77777777" w:rsidR="001E71C5" w:rsidRPr="003C7267" w:rsidRDefault="001E71C5" w:rsidP="00690640">
      <w:pPr>
        <w:rPr>
          <w:rFonts w:eastAsiaTheme="majorEastAsia" w:cstheme="minorHAnsi"/>
          <w:b/>
          <w:color w:val="FFFFFF" w:themeColor="background1"/>
          <w:szCs w:val="24"/>
        </w:rPr>
      </w:pPr>
    </w:p>
    <w:p w14:paraId="0CF38EDD" w14:textId="77777777" w:rsidR="00690640" w:rsidRPr="00E6107E" w:rsidRDefault="00690640" w:rsidP="00FC7012">
      <w:pPr>
        <w:rPr>
          <w:i/>
          <w:color w:val="00B050"/>
        </w:rPr>
      </w:pPr>
    </w:p>
    <w:p w14:paraId="3B89ECA6" w14:textId="725B23C2" w:rsidR="00885BAE" w:rsidRDefault="00FC7012" w:rsidP="00885BAE">
      <w:r w:rsidRPr="00E6107E">
        <w:rPr>
          <w:b/>
        </w:rPr>
        <w:t xml:space="preserve">Panel </w:t>
      </w:r>
      <w:r w:rsidR="005529CA">
        <w:rPr>
          <w:b/>
        </w:rPr>
        <w:t>r</w:t>
      </w:r>
      <w:r w:rsidRPr="00E6107E">
        <w:rPr>
          <w:b/>
        </w:rPr>
        <w:t>ecommendation</w:t>
      </w:r>
      <w:r w:rsidR="0092758C">
        <w:rPr>
          <w:b/>
        </w:rPr>
        <w:t xml:space="preserve">: </w:t>
      </w:r>
      <w:r w:rsidR="00885BAE" w:rsidRPr="00D027D5">
        <w:rPr>
          <w:rFonts w:cs="Arial"/>
          <w:bCs/>
          <w:highlight w:val="yellow"/>
        </w:rPr>
        <w:t>The Panel has recommended</w:t>
      </w:r>
      <w:r w:rsidR="003647DA">
        <w:rPr>
          <w:rFonts w:cs="Arial"/>
          <w:bCs/>
          <w:highlight w:val="yellow"/>
        </w:rPr>
        <w:t>/determined</w:t>
      </w:r>
      <w:r w:rsidR="00885BAE" w:rsidRPr="00D027D5">
        <w:rPr>
          <w:rFonts w:cs="Arial"/>
          <w:bCs/>
          <w:highlight w:val="yellow"/>
        </w:rPr>
        <w:t xml:space="preserve"> unanimously/by majority that the Proposer’s solution is implemented</w:t>
      </w:r>
      <w:r w:rsidR="00273F13">
        <w:rPr>
          <w:rFonts w:cs="Arial"/>
          <w:bCs/>
        </w:rPr>
        <w:t>.</w:t>
      </w:r>
    </w:p>
    <w:p w14:paraId="62D03A69" w14:textId="1CAD6DCE" w:rsidR="00410D9E" w:rsidRDefault="00410D9E">
      <w:pPr>
        <w:spacing w:after="160"/>
        <w:rPr>
          <w:rFonts w:asciiTheme="majorHAnsi" w:eastAsiaTheme="majorEastAsia" w:hAnsiTheme="majorHAnsi" w:cstheme="majorBidi"/>
          <w:b/>
          <w:color w:val="FFFFFF" w:themeColor="background1"/>
          <w:sz w:val="28"/>
          <w:szCs w:val="32"/>
        </w:rPr>
      </w:pPr>
    </w:p>
    <w:p w14:paraId="45C1C2C7" w14:textId="1AC71729" w:rsidR="00043548" w:rsidRPr="005603D9" w:rsidRDefault="00043548" w:rsidP="00043548">
      <w:pPr>
        <w:pStyle w:val="CA2"/>
      </w:pPr>
      <w:bookmarkStart w:id="8" w:name="_Toc83200218"/>
      <w:r w:rsidRPr="005603D9">
        <w:t>What is the issue?</w:t>
      </w:r>
      <w:bookmarkEnd w:id="6"/>
      <w:bookmarkEnd w:id="8"/>
    </w:p>
    <w:p w14:paraId="5CED464C" w14:textId="0E05CA97" w:rsidR="00306F78" w:rsidRDefault="00306F78" w:rsidP="00306F78">
      <w:bookmarkStart w:id="9" w:name="_Toc58482272"/>
      <w:r>
        <w:t>The Proposer has set out that they</w:t>
      </w:r>
      <w:r w:rsidRPr="00F770C5">
        <w:t xml:space="preserve"> have identified a defect</w:t>
      </w:r>
      <w:r w:rsidR="006C1249">
        <w:t>,</w:t>
      </w:r>
      <w:r w:rsidRPr="00F770C5">
        <w:t xml:space="preserve"> namely that the current condition of the ‘System State’</w:t>
      </w:r>
      <w:r w:rsidR="006C1249">
        <w:t>,</w:t>
      </w:r>
      <w:r w:rsidRPr="00F770C5">
        <w:t xml:space="preserve"> which the ESO is required</w:t>
      </w:r>
      <w:r w:rsidRPr="00F770C5">
        <w:rPr>
          <w:rStyle w:val="FootnoteReference"/>
        </w:rPr>
        <w:footnoteReference w:id="6"/>
      </w:r>
      <w:r w:rsidRPr="00F770C5">
        <w:t>, in real time operations, to monitor and determine for the GB NETS is not currently visible to the wider industry</w:t>
      </w:r>
      <w:r w:rsidRPr="00F770C5">
        <w:rPr>
          <w:rStyle w:val="FootnoteReference"/>
        </w:rPr>
        <w:footnoteReference w:id="7"/>
      </w:r>
      <w:r w:rsidRPr="00F770C5">
        <w:t xml:space="preserve">, such as Generators, Suppliers and other market participants (as well as BEIS, Ofgem, DNOs, Interconnectors, etc.) in a timely, and ongoing, manner.  </w:t>
      </w:r>
    </w:p>
    <w:p w14:paraId="15AEBEEF" w14:textId="77777777" w:rsidR="00306F78" w:rsidRDefault="00306F78" w:rsidP="00306F78"/>
    <w:p w14:paraId="6BDF8AD2" w14:textId="0F39B789" w:rsidR="00306F78" w:rsidRDefault="00306F78" w:rsidP="00306F78">
      <w:r>
        <w:t>In the Proposer’s view, the Grid Code will need to be amended to include a simple requirement on the ESO to update the BMRS System Warning webpage</w:t>
      </w:r>
      <w:r>
        <w:rPr>
          <w:rStyle w:val="FootnoteReference"/>
        </w:rPr>
        <w:footnoteReference w:id="8"/>
      </w:r>
      <w:r>
        <w:t xml:space="preserve"> as soon as reasonably practical, using reasonable endeavours, whenever the GB NETS ‘System State’ condition changes</w:t>
      </w:r>
      <w:r w:rsidR="006C1249">
        <w:t>,</w:t>
      </w:r>
      <w:r>
        <w:t xml:space="preserve"> be that a degradation or an improvement in the ‘System State’.  </w:t>
      </w:r>
    </w:p>
    <w:p w14:paraId="79DD9CBC" w14:textId="77777777" w:rsidR="00306F78" w:rsidRDefault="00306F78" w:rsidP="00306F78"/>
    <w:p w14:paraId="45D2E1A4" w14:textId="77777777" w:rsidR="00306F78" w:rsidRDefault="00306F78" w:rsidP="00306F78">
      <w:r>
        <w:t xml:space="preserve">The ESO would be required to report, via an update on the BMRS System Warning webpage, </w:t>
      </w:r>
      <w:r w:rsidRPr="00C836A8">
        <w:rPr>
          <w:u w:val="single"/>
        </w:rPr>
        <w:t>any and all</w:t>
      </w:r>
      <w:r>
        <w:t xml:space="preserve"> changes in any ‘System State’ of the GB NETS irrespective of whether it is an improving or degrading situation. </w:t>
      </w:r>
      <w:r w:rsidRPr="00AF5114">
        <w:t xml:space="preserve"> </w:t>
      </w:r>
    </w:p>
    <w:p w14:paraId="46272878" w14:textId="77777777" w:rsidR="00306F78" w:rsidRDefault="00306F78" w:rsidP="00306F78"/>
    <w:p w14:paraId="67485FE7" w14:textId="77777777" w:rsidR="00306F78" w:rsidRDefault="00306F78" w:rsidP="00306F78">
      <w:r>
        <w:t>The definitions of the various System States etc., would be based on those found in Article 3 of the System Operation Guideline (‘SOGL’) (Regulation (EU) 2017/1485</w:t>
      </w:r>
      <w:r>
        <w:rPr>
          <w:rStyle w:val="FootnoteReference"/>
        </w:rPr>
        <w:footnoteReference w:id="9"/>
      </w:r>
      <w:r>
        <w:t>).</w:t>
      </w:r>
    </w:p>
    <w:p w14:paraId="5E9418BA" w14:textId="77777777" w:rsidR="00306F78" w:rsidRDefault="00306F78" w:rsidP="00306F78"/>
    <w:p w14:paraId="7285826A" w14:textId="68BD1328" w:rsidR="00306F78" w:rsidRDefault="00306F78" w:rsidP="00306F78">
      <w:r>
        <w:t>For the avoidance of doubt, the definitions proposed to be used do not currently appear in the ‘Glossary &amp; Definitions’</w:t>
      </w:r>
      <w:r>
        <w:rPr>
          <w:rStyle w:val="FootnoteReference"/>
        </w:rPr>
        <w:footnoteReference w:id="10"/>
      </w:r>
      <w:r>
        <w:t xml:space="preserve"> of the Grid Code (so including them as new definitions, with this proposal, should not give rise to inconsistencies etc., with the baseline</w:t>
      </w:r>
      <w:r w:rsidR="006C1249">
        <w:t xml:space="preserve"> Grid Code</w:t>
      </w:r>
      <w:r>
        <w:t>).</w:t>
      </w:r>
    </w:p>
    <w:p w14:paraId="06E91D77" w14:textId="77777777" w:rsidR="00306F78" w:rsidRPr="00C836A8" w:rsidRDefault="00306F78" w:rsidP="00306F78"/>
    <w:p w14:paraId="381C0292" w14:textId="3442AA7C" w:rsidR="00306F78" w:rsidRDefault="00306F78" w:rsidP="00306F78">
      <w:pPr>
        <w:jc w:val="both"/>
      </w:pPr>
      <w:r>
        <w:t xml:space="preserve">The reasons for using these existing, well established and understood, definitions from SOGL for the purposes of this proposal </w:t>
      </w:r>
      <w:r w:rsidR="006C1249">
        <w:t xml:space="preserve">are </w:t>
      </w:r>
      <w:r>
        <w:t xml:space="preserve">twofold: </w:t>
      </w:r>
    </w:p>
    <w:p w14:paraId="259B788D" w14:textId="7C9314DC" w:rsidR="00306F78" w:rsidRDefault="00306F78" w:rsidP="00306F78">
      <w:pPr>
        <w:pStyle w:val="ListParagraph"/>
        <w:numPr>
          <w:ilvl w:val="0"/>
          <w:numId w:val="24"/>
        </w:numPr>
        <w:jc w:val="both"/>
      </w:pPr>
      <w:r>
        <w:t xml:space="preserve">Firstly, they are the prevailing legal definitions (as the SOGL has already entered into effect) that the ESO use to operate the GB NETS.  </w:t>
      </w:r>
    </w:p>
    <w:p w14:paraId="586C8712" w14:textId="31943681" w:rsidR="00306F78" w:rsidRDefault="00306F78" w:rsidP="00306F78">
      <w:pPr>
        <w:pStyle w:val="ListParagraph"/>
        <w:numPr>
          <w:ilvl w:val="0"/>
          <w:numId w:val="24"/>
        </w:numPr>
      </w:pPr>
      <w:r>
        <w:t>Secondly, as such, the ESO is very familiar with these terms and already uses them; in respect of the classification of the ‘System State’</w:t>
      </w:r>
      <w:r>
        <w:rPr>
          <w:rStyle w:val="FootnoteReference"/>
        </w:rPr>
        <w:footnoteReference w:id="11"/>
      </w:r>
      <w:r w:rsidR="006C1249">
        <w:t>,</w:t>
      </w:r>
      <w:r>
        <w:t xml:space="preserve"> when performing its operational security requirements of monitoring and determining the ‘System State’</w:t>
      </w:r>
      <w:r>
        <w:rPr>
          <w:rStyle w:val="FootnoteReference"/>
        </w:rPr>
        <w:footnoteReference w:id="12"/>
      </w:r>
      <w:r>
        <w:t xml:space="preserve"> and taking the appropriate ESO action(s)</w:t>
      </w:r>
      <w:r>
        <w:rPr>
          <w:rStyle w:val="FootnoteReference"/>
        </w:rPr>
        <w:footnoteReference w:id="13"/>
      </w:r>
      <w:r>
        <w:t xml:space="preserve"> accordingly, as part of its day to day operation of the GB NETS, that they have been trained</w:t>
      </w:r>
      <w:r>
        <w:rPr>
          <w:rStyle w:val="FootnoteReference"/>
        </w:rPr>
        <w:footnoteReference w:id="14"/>
      </w:r>
      <w:r>
        <w:t xml:space="preserve"> to undertake.  </w:t>
      </w:r>
    </w:p>
    <w:p w14:paraId="5686B32D" w14:textId="77777777" w:rsidR="00306F78" w:rsidRDefault="00306F78" w:rsidP="00306F78">
      <w:pPr>
        <w:jc w:val="both"/>
      </w:pPr>
    </w:p>
    <w:p w14:paraId="7004ACA6" w14:textId="1DFBD300" w:rsidR="008D6169" w:rsidRDefault="00306F78" w:rsidP="00306F78">
      <w:r>
        <w:t>This means that the change this proposal seeks to introduce into the Grid Code</w:t>
      </w:r>
      <w:r w:rsidR="006C1249">
        <w:t xml:space="preserve"> which is a requirement </w:t>
      </w:r>
      <w:r>
        <w:t>to</w:t>
      </w:r>
      <w:r w:rsidR="0044587B">
        <w:t xml:space="preserve"> </w:t>
      </w:r>
    </w:p>
    <w:p w14:paraId="5C67E7C4" w14:textId="77777777" w:rsidR="008D6169" w:rsidRDefault="007C1A81" w:rsidP="00306F78">
      <w:r>
        <w:t>(1)</w:t>
      </w:r>
      <w:r w:rsidR="0044587B">
        <w:t xml:space="preserve"> </w:t>
      </w:r>
      <w:r w:rsidR="00306F78">
        <w:t>report in a timely manner</w:t>
      </w:r>
      <w:r>
        <w:t xml:space="preserve"> </w:t>
      </w:r>
    </w:p>
    <w:p w14:paraId="2496C033" w14:textId="77777777" w:rsidR="008D6169" w:rsidRDefault="007C1A81" w:rsidP="00306F78">
      <w:r>
        <w:t>(2)</w:t>
      </w:r>
      <w:r w:rsidR="00306F78">
        <w:t xml:space="preserve"> using the BMRS website (which the ESO already uses, </w:t>
      </w:r>
      <w:r w:rsidR="006C1249">
        <w:t xml:space="preserve">on a </w:t>
      </w:r>
      <w:r w:rsidR="00306F78">
        <w:t>day to day</w:t>
      </w:r>
      <w:r w:rsidR="006C1249">
        <w:t xml:space="preserve"> basis</w:t>
      </w:r>
      <w:r w:rsidR="00306F78">
        <w:t xml:space="preserve">) </w:t>
      </w:r>
    </w:p>
    <w:p w14:paraId="0894A5EF" w14:textId="60DA5C33" w:rsidR="00306F78" w:rsidRDefault="00306F78" w:rsidP="00306F78">
      <w:r>
        <w:t>any changes to the GB NETS operational ‘System State’ situation</w:t>
      </w:r>
      <w:r w:rsidR="006C1249">
        <w:t>,</w:t>
      </w:r>
      <w:r>
        <w:t xml:space="preserve"> will be a very simple one for the ESO to undertake as the ESO already currently performs these two constituent elements</w:t>
      </w:r>
      <w:r w:rsidR="00323F3F">
        <w:rPr>
          <w:rStyle w:val="FootnoteReference"/>
        </w:rPr>
        <w:footnoteReference w:id="15"/>
      </w:r>
      <w:r>
        <w:t xml:space="preserve"> (all be it separately at present).</w:t>
      </w:r>
    </w:p>
    <w:p w14:paraId="49AE7A78" w14:textId="77777777" w:rsidR="00306F78" w:rsidRDefault="00306F78" w:rsidP="00306F78">
      <w:pPr>
        <w:rPr>
          <w:i/>
          <w:color w:val="00B050"/>
        </w:rPr>
      </w:pPr>
    </w:p>
    <w:p w14:paraId="459D33B9" w14:textId="77777777" w:rsidR="00306F78" w:rsidRDefault="00306F78" w:rsidP="00306F78">
      <w:pPr>
        <w:pStyle w:val="Heading2"/>
      </w:pPr>
      <w:bookmarkStart w:id="10" w:name="_Why_change?"/>
      <w:bookmarkStart w:id="11" w:name="_Toc68878401"/>
      <w:bookmarkStart w:id="12" w:name="_Toc83200219"/>
      <w:bookmarkEnd w:id="10"/>
      <w:r>
        <w:t>Why change?</w:t>
      </w:r>
      <w:bookmarkEnd w:id="11"/>
      <w:bookmarkEnd w:id="12"/>
    </w:p>
    <w:p w14:paraId="3AD609CA" w14:textId="77777777" w:rsidR="00306F78" w:rsidRDefault="00306F78" w:rsidP="00306F78">
      <w:pPr>
        <w:jc w:val="both"/>
      </w:pPr>
      <w:r>
        <w:t>In the Proposer’s view there are three reasons for this change:</w:t>
      </w:r>
    </w:p>
    <w:p w14:paraId="40424C18" w14:textId="340FE905" w:rsidR="00306F78" w:rsidRPr="004B6083" w:rsidRDefault="00306F78" w:rsidP="00306F78">
      <w:pPr>
        <w:pStyle w:val="ListParagraph"/>
        <w:numPr>
          <w:ilvl w:val="0"/>
          <w:numId w:val="25"/>
        </w:numPr>
        <w:rPr>
          <w:rFonts w:cs="Arial"/>
        </w:rPr>
      </w:pPr>
      <w:r>
        <w:t xml:space="preserve">This change </w:t>
      </w:r>
      <w:r w:rsidR="006C1249">
        <w:t>would</w:t>
      </w:r>
      <w:r>
        <w:t xml:space="preserve"> enable Generators, Suppliers and other market participants</w:t>
      </w:r>
      <w:r w:rsidRPr="00AF5114">
        <w:t xml:space="preserve"> </w:t>
      </w:r>
      <w:r>
        <w:t xml:space="preserve">(as well as BEIS, Ofgem, DNOs, and Interconnectors etc.,) to be constantly aware of </w:t>
      </w:r>
      <w:r>
        <w:lastRenderedPageBreak/>
        <w:t xml:space="preserve">the condition of the GB NETS ‘System State’ at any moment in time so that they can perform their work in a way that is conducive to supporting the ESO’s operation of the GB NETS.  </w:t>
      </w:r>
    </w:p>
    <w:p w14:paraId="4A6E1A06" w14:textId="77777777" w:rsidR="00306F78" w:rsidRPr="004B6083" w:rsidRDefault="00306F78" w:rsidP="00306F78">
      <w:pPr>
        <w:pStyle w:val="ListParagraph"/>
        <w:numPr>
          <w:ilvl w:val="0"/>
          <w:numId w:val="25"/>
        </w:numPr>
        <w:jc w:val="both"/>
        <w:rPr>
          <w:rFonts w:cs="Arial"/>
        </w:rPr>
      </w:pPr>
      <w:r>
        <w:t>It will, by improving wider industry communications, result in the better operation of the GB NETS.</w:t>
      </w:r>
    </w:p>
    <w:p w14:paraId="7CE921D5" w14:textId="616B2C25" w:rsidR="00306F78" w:rsidRDefault="00306F78" w:rsidP="00306F78">
      <w:pPr>
        <w:pStyle w:val="ListParagraph"/>
        <w:numPr>
          <w:ilvl w:val="0"/>
          <w:numId w:val="25"/>
        </w:numPr>
        <w:rPr>
          <w:rFonts w:cs="Arial"/>
        </w:rPr>
      </w:pPr>
      <w:r>
        <w:rPr>
          <w:rFonts w:cs="Arial"/>
        </w:rPr>
        <w:t>T</w:t>
      </w:r>
      <w:r w:rsidRPr="004B6083">
        <w:rPr>
          <w:rFonts w:cs="Arial"/>
        </w:rPr>
        <w:t xml:space="preserve">his proposal seeks to </w:t>
      </w:r>
      <w:r w:rsidRPr="004B6083">
        <w:rPr>
          <w:rFonts w:cs="Arial"/>
          <w:i/>
        </w:rPr>
        <w:t>ensure and enhance the transparency and reliability of</w:t>
      </w:r>
      <w:r w:rsidRPr="00E6204D">
        <w:rPr>
          <w:rFonts w:cs="Arial"/>
          <w:i/>
        </w:rPr>
        <w:t xml:space="preserve"> information on transmission system operation</w:t>
      </w:r>
      <w:r w:rsidRPr="00E6204D">
        <w:rPr>
          <w:rFonts w:cs="Arial"/>
        </w:rPr>
        <w:t xml:space="preserve"> (as required by Article 4(1)(g) and 4(2)(b) of SOGL).  </w:t>
      </w:r>
    </w:p>
    <w:p w14:paraId="16C3D76D" w14:textId="77777777" w:rsidR="00306F78" w:rsidRPr="00E6204D" w:rsidRDefault="00306F78" w:rsidP="00306F78">
      <w:pPr>
        <w:rPr>
          <w:rFonts w:cs="Arial"/>
        </w:rPr>
      </w:pPr>
      <w:r w:rsidRPr="004B6083">
        <w:rPr>
          <w:rFonts w:cs="Arial"/>
        </w:rPr>
        <w:t>On their own each of these reasons would justify why this change should be made – combined they make a compelling case why this simple and straightforward change should be made.</w:t>
      </w:r>
    </w:p>
    <w:p w14:paraId="010C4562" w14:textId="77777777" w:rsidR="00043548" w:rsidRPr="005603D9" w:rsidRDefault="00043548" w:rsidP="00043548">
      <w:pPr>
        <w:pStyle w:val="CA3"/>
      </w:pPr>
      <w:r w:rsidRPr="005603D9">
        <w:t xml:space="preserve"> </w:t>
      </w:r>
      <w:bookmarkStart w:id="13" w:name="_Toc58837632"/>
      <w:bookmarkStart w:id="14" w:name="_Toc83200220"/>
      <w:r w:rsidRPr="005603D9">
        <w:t xml:space="preserve">What is the </w:t>
      </w:r>
      <w:r w:rsidR="005E3456">
        <w:t>s</w:t>
      </w:r>
      <w:r w:rsidRPr="005603D9">
        <w:t>olution?</w:t>
      </w:r>
      <w:bookmarkEnd w:id="9"/>
      <w:bookmarkEnd w:id="13"/>
      <w:bookmarkEnd w:id="14"/>
    </w:p>
    <w:p w14:paraId="6716A57A" w14:textId="77777777" w:rsidR="005C6B40" w:rsidRDefault="005C6B40" w:rsidP="005C6B40">
      <w:pPr>
        <w:pStyle w:val="Heading2"/>
      </w:pPr>
      <w:bookmarkStart w:id="15" w:name="_Toc68878403"/>
      <w:bookmarkStart w:id="16" w:name="_Toc83200221"/>
      <w:r>
        <w:t>Proposer’s solution</w:t>
      </w:r>
      <w:bookmarkEnd w:id="15"/>
      <w:bookmarkEnd w:id="16"/>
    </w:p>
    <w:p w14:paraId="6AD725E4" w14:textId="157E51ED" w:rsidR="005C6B40" w:rsidRPr="004B6083" w:rsidRDefault="005C6B40" w:rsidP="005C6B40">
      <w:r w:rsidRPr="004B6083">
        <w:t>The Grid Code w</w:t>
      </w:r>
      <w:r w:rsidR="00153FD1">
        <w:t>ould</w:t>
      </w:r>
      <w:r w:rsidRPr="004B6083">
        <w:t xml:space="preserve">l need to be amended to include </w:t>
      </w:r>
      <w:r w:rsidRPr="00F74C70">
        <w:t>a requirement on the ESO to update the BMRS System Warning webpage as soon as reasonably practical, using reasonable endeavours, whenever the GB NETS ‘System State’ condition changes</w:t>
      </w:r>
      <w:r w:rsidRPr="004B6083">
        <w:t xml:space="preserve">. </w:t>
      </w:r>
    </w:p>
    <w:p w14:paraId="5AD57D3C" w14:textId="77777777" w:rsidR="005C6B40" w:rsidRPr="004B6083" w:rsidRDefault="005C6B40" w:rsidP="005C6B40">
      <w:r w:rsidRPr="00F74C70">
        <w:t>That change in the ‘System State’ condition would be in the form of either</w:t>
      </w:r>
      <w:r w:rsidRPr="004B6083">
        <w:t>:</w:t>
      </w:r>
    </w:p>
    <w:p w14:paraId="4B3245BB" w14:textId="77777777" w:rsidR="005C6B40" w:rsidRPr="004B6083" w:rsidRDefault="005C6B40" w:rsidP="005C6B40">
      <w:pPr>
        <w:numPr>
          <w:ilvl w:val="0"/>
          <w:numId w:val="26"/>
        </w:numPr>
        <w:spacing w:before="120" w:after="120" w:line="300" w:lineRule="atLeast"/>
      </w:pPr>
      <w:r w:rsidRPr="00F74C70">
        <w:t>a degradation</w:t>
      </w:r>
      <w:r w:rsidRPr="004B6083">
        <w:t xml:space="preserve"> (such as might arise from a disturbance, going from ‘Normal State’ to ‘Alert State’ etc., or going from ‘Alert State’ to ‘Emergency State’ etc.,) </w:t>
      </w:r>
      <w:r w:rsidRPr="00F74C70">
        <w:t>in</w:t>
      </w:r>
      <w:r w:rsidRPr="004B6083">
        <w:t xml:space="preserve"> </w:t>
      </w:r>
      <w:r w:rsidRPr="00F74C70">
        <w:t>the ‘System State’; or</w:t>
      </w:r>
      <w:r w:rsidRPr="004B6083">
        <w:t xml:space="preserve"> </w:t>
      </w:r>
    </w:p>
    <w:p w14:paraId="62A9F617" w14:textId="77777777" w:rsidR="005C6B40" w:rsidRPr="004B6083" w:rsidRDefault="005C6B40" w:rsidP="005C6B40">
      <w:pPr>
        <w:numPr>
          <w:ilvl w:val="0"/>
          <w:numId w:val="26"/>
        </w:numPr>
        <w:spacing w:before="120" w:after="120" w:line="300" w:lineRule="atLeast"/>
      </w:pPr>
      <w:r w:rsidRPr="00F74C70">
        <w:t>an improvement</w:t>
      </w:r>
      <w:r w:rsidRPr="004B6083">
        <w:t xml:space="preserve"> (going from ‘Emergency State’ to ‘Alert State’ or ‘Alert State’ to ‘Normal State’ etc.,) </w:t>
      </w:r>
      <w:r w:rsidRPr="00F74C70">
        <w:t>in the ‘System State’</w:t>
      </w:r>
      <w:r w:rsidRPr="004B6083">
        <w:t xml:space="preserve">.  </w:t>
      </w:r>
    </w:p>
    <w:p w14:paraId="2D52C46C" w14:textId="6D76B786" w:rsidR="005C6B40" w:rsidRPr="00E6204D" w:rsidRDefault="005C6B40" w:rsidP="005C6B40">
      <w:r w:rsidRPr="00E6204D">
        <w:t>For the avoidance of doubt, it is possible for a change in the ‘System State’ condition to occur such that it degrades (or improves) by ‘jumping’ one or more states</w:t>
      </w:r>
      <w:r w:rsidR="00153FD1">
        <w:t>,</w:t>
      </w:r>
      <w:r w:rsidRPr="00E6204D">
        <w:t xml:space="preserve"> for example, straight from ‘Normal State’ to ‘Emergency State’ (thus ‘skipping’ the ‘Alert State’) or vice versa.  Equally its possible for a state to improve</w:t>
      </w:r>
      <w:r w:rsidR="00153FD1">
        <w:t>,</w:t>
      </w:r>
      <w:r w:rsidRPr="00E6204D">
        <w:t xml:space="preserve"> such as from ‘Blackout State’ to ‘Restoration State’</w:t>
      </w:r>
      <w:r w:rsidR="00153FD1">
        <w:t>,</w:t>
      </w:r>
      <w:r w:rsidRPr="00E6204D">
        <w:t xml:space="preserve"> but then quickly degrade back, in this example, to ‘Blackout State’ from ‘Restoration State’.  </w:t>
      </w:r>
    </w:p>
    <w:p w14:paraId="5B462492" w14:textId="77777777" w:rsidR="005C6B40" w:rsidRPr="00E6204D" w:rsidRDefault="005C6B40" w:rsidP="005C6B40"/>
    <w:p w14:paraId="2CF5DDDD" w14:textId="77777777" w:rsidR="005C6B40" w:rsidRDefault="005C6B40" w:rsidP="005C6B40">
      <w:r w:rsidRPr="00F74C70">
        <w:t xml:space="preserve">The ESO would be required to report, via an update on the BMRS System Warning webpage, </w:t>
      </w:r>
      <w:r w:rsidRPr="00F74C70">
        <w:rPr>
          <w:u w:val="single"/>
        </w:rPr>
        <w:t>any and all</w:t>
      </w:r>
      <w:r w:rsidRPr="00F74C70">
        <w:t xml:space="preserve"> changes in the ‘System State’ of the GB NETS irrespective of whether it is an improving or degrading situation such that the current condition of the ‘System State’ is known to relevant parties in a timely manner.  </w:t>
      </w:r>
    </w:p>
    <w:p w14:paraId="6F4D458B" w14:textId="77777777" w:rsidR="005C6B40" w:rsidRPr="00F74C70" w:rsidRDefault="005C6B40" w:rsidP="005C6B40"/>
    <w:p w14:paraId="0271D2AC" w14:textId="77777777" w:rsidR="005C6B40" w:rsidRPr="00F74C70" w:rsidRDefault="005C6B40" w:rsidP="005C6B40">
      <w:r w:rsidRPr="00F74C70">
        <w:t>The BMRS reporting by the ESO would take the form either of:</w:t>
      </w:r>
    </w:p>
    <w:p w14:paraId="63ABB69F" w14:textId="77777777" w:rsidR="005C6B40" w:rsidRPr="00F74C70" w:rsidRDefault="005C6B40" w:rsidP="005C6B40">
      <w:pPr>
        <w:ind w:left="720"/>
      </w:pPr>
      <w:r w:rsidRPr="00F74C70">
        <w:t>“There has been a degradation</w:t>
      </w:r>
      <w:r w:rsidRPr="004B6083">
        <w:t xml:space="preserve"> </w:t>
      </w:r>
      <w:r w:rsidRPr="00F74C70">
        <w:t>in the ‘System State’ from [X] State to [Y] State”; or</w:t>
      </w:r>
    </w:p>
    <w:p w14:paraId="4D89DD10" w14:textId="77777777" w:rsidR="005C6B40" w:rsidRPr="00F74C70" w:rsidRDefault="005C6B40" w:rsidP="005C6B40">
      <w:pPr>
        <w:ind w:left="720"/>
      </w:pPr>
      <w:r w:rsidRPr="00F74C70">
        <w:t>“There has been an improvement in</w:t>
      </w:r>
      <w:r w:rsidRPr="004B6083">
        <w:t xml:space="preserve"> </w:t>
      </w:r>
      <w:r w:rsidRPr="00F74C70">
        <w:t>the ‘System State’ from [Y] State to [X] State”.</w:t>
      </w:r>
    </w:p>
    <w:p w14:paraId="3CF27D7D" w14:textId="77777777" w:rsidR="005C6B40" w:rsidRPr="004B6083" w:rsidRDefault="005C6B40" w:rsidP="005C6B40">
      <w:r w:rsidRPr="004B6083">
        <w:t xml:space="preserve">The ESO would be free, but not obliged, to add any additional commentary, about the change in the ‘System State’ condition, that they wished within their BMRS messaging. </w:t>
      </w:r>
    </w:p>
    <w:p w14:paraId="3DC4F39C" w14:textId="77777777" w:rsidR="005C6B40" w:rsidRPr="00F74C70" w:rsidRDefault="005C6B40" w:rsidP="005C6B40">
      <w:r w:rsidRPr="00F74C70">
        <w:t>The ongoing classification of the ‘System State’ condition, by the ESO, for the purposes of reporting to GB stakeholders shall be in accordance with Article 18 of SOGL and this shall be monitored and determined, by the ESO, in accordance with Article 19 of SOGL.</w:t>
      </w:r>
      <w:r>
        <w:br/>
      </w:r>
    </w:p>
    <w:p w14:paraId="47C28149" w14:textId="738C3906" w:rsidR="005C6B40" w:rsidRDefault="005C6B40" w:rsidP="005C6B40">
      <w:r>
        <w:lastRenderedPageBreak/>
        <w:t xml:space="preserve">The Proposer recommended that the definitions of various system states, based on those found in Article 3 of SOGL, </w:t>
      </w:r>
      <w:r w:rsidR="00B94157">
        <w:t xml:space="preserve">should be </w:t>
      </w:r>
      <w:r>
        <w:t xml:space="preserve">used in the Grid Code. </w:t>
      </w:r>
      <w:r w:rsidR="00BC3185">
        <w:t>concerns the ESO had in respect of</w:t>
      </w:r>
      <w:r>
        <w:t xml:space="preserve"> </w:t>
      </w:r>
    </w:p>
    <w:p w14:paraId="0BE6B0A7" w14:textId="7866BD9B" w:rsidR="005C6B40" w:rsidRDefault="005C6B40" w:rsidP="005C6B40">
      <w:pPr>
        <w:rPr>
          <w:rFonts w:cs="Arial"/>
        </w:rPr>
      </w:pPr>
      <w:r w:rsidRPr="004B6083">
        <w:rPr>
          <w:rFonts w:cs="Arial"/>
        </w:rPr>
        <w:t>“(1)</w:t>
      </w:r>
      <w:r w:rsidR="00474A31">
        <w:rPr>
          <w:rStyle w:val="FootnoteReference"/>
          <w:rFonts w:cs="Arial"/>
        </w:rPr>
        <w:footnoteReference w:id="16"/>
      </w:r>
      <w:r w:rsidRPr="004B6083">
        <w:rPr>
          <w:rFonts w:cs="Arial"/>
        </w:rPr>
        <w:t xml:space="preserve"> </w:t>
      </w:r>
      <w:r w:rsidRPr="00F74C70">
        <w:rPr>
          <w:rFonts w:cs="Arial"/>
          <w:b/>
        </w:rPr>
        <w:t>‘operational security’</w:t>
      </w:r>
      <w:r w:rsidRPr="004B6083">
        <w:rPr>
          <w:rFonts w:cs="Arial"/>
        </w:rPr>
        <w:t xml:space="preserve"> </w:t>
      </w:r>
      <w:r w:rsidRPr="00F74C70">
        <w:rPr>
          <w:rFonts w:cs="Arial"/>
        </w:rPr>
        <w:t>means the transmission system's capability to retain a normal state or to return to a normal state as soon as possible, and which is characterised by operational security limits;</w:t>
      </w:r>
      <w:r w:rsidRPr="004B6083">
        <w:rPr>
          <w:rFonts w:cs="Arial"/>
        </w:rPr>
        <w:t>”</w:t>
      </w:r>
    </w:p>
    <w:p w14:paraId="7CDAAE62" w14:textId="77777777" w:rsidR="00B94157" w:rsidRPr="004B6083" w:rsidRDefault="00B94157" w:rsidP="005C6B40">
      <w:pPr>
        <w:rPr>
          <w:rFonts w:cs="Arial"/>
        </w:rPr>
      </w:pPr>
    </w:p>
    <w:p w14:paraId="2C13B60F" w14:textId="77777777" w:rsidR="005C6B40" w:rsidRDefault="005C6B40" w:rsidP="005C6B40">
      <w:r w:rsidRPr="004B6083">
        <w:t>“(5)</w:t>
      </w:r>
      <w:r w:rsidRPr="00F74C70">
        <w:t xml:space="preserve"> </w:t>
      </w:r>
      <w:r w:rsidRPr="00F74C70">
        <w:rPr>
          <w:b/>
        </w:rPr>
        <w:t>‘normal state’</w:t>
      </w:r>
      <w:r w:rsidRPr="004B6083">
        <w:t xml:space="preserve"> </w:t>
      </w:r>
      <w:r w:rsidRPr="00F74C70">
        <w:t>means a situation in which the system is within operational security limits in the N-situation and after the occurrence of any contingency from the contingency list, taking into account the effect of the available remedial actions</w:t>
      </w:r>
      <w:r w:rsidRPr="004B6083">
        <w:t xml:space="preserve">;” </w:t>
      </w:r>
    </w:p>
    <w:p w14:paraId="6C60D58B" w14:textId="77777777" w:rsidR="00B94157" w:rsidRPr="004B6083" w:rsidRDefault="00B94157" w:rsidP="005C6B40"/>
    <w:p w14:paraId="0B3C2A8E" w14:textId="77777777" w:rsidR="005C6B40" w:rsidRDefault="005C6B40" w:rsidP="005C6B40">
      <w:r w:rsidRPr="004B6083">
        <w:t xml:space="preserve">“(17) </w:t>
      </w:r>
      <w:r w:rsidRPr="00F74C70">
        <w:rPr>
          <w:b/>
        </w:rPr>
        <w:t>‘alert state’</w:t>
      </w:r>
      <w:r w:rsidRPr="004B6083">
        <w:t xml:space="preserve"> </w:t>
      </w:r>
      <w:r w:rsidRPr="00F74C70">
        <w:t>means the system state in which the system is within operational security limits, but a contingency from the contingency list has been detected and in case of its occurrence the available remedial actions are not sufficient to keep the normal state</w:t>
      </w:r>
      <w:r w:rsidRPr="004B6083">
        <w:t>;”</w:t>
      </w:r>
    </w:p>
    <w:p w14:paraId="59ED1D92" w14:textId="77777777" w:rsidR="00B94157" w:rsidRPr="004B6083" w:rsidRDefault="00B94157" w:rsidP="005C6B40"/>
    <w:p w14:paraId="1E39398B" w14:textId="77777777" w:rsidR="005C6B40" w:rsidRDefault="005C6B40" w:rsidP="005C6B40">
      <w:r w:rsidRPr="004B6083">
        <w:t xml:space="preserve">“(22) </w:t>
      </w:r>
      <w:r w:rsidRPr="00F74C70">
        <w:t>‘</w:t>
      </w:r>
      <w:r w:rsidRPr="00F74C70">
        <w:rPr>
          <w:b/>
        </w:rPr>
        <w:t>blackout state</w:t>
      </w:r>
      <w:r w:rsidRPr="00F74C70">
        <w:t>’</w:t>
      </w:r>
      <w:r w:rsidRPr="004B6083">
        <w:t xml:space="preserve"> </w:t>
      </w:r>
      <w:r w:rsidRPr="00F74C70">
        <w:t>means the system state in which the operation of part or all of the transmission system is terminated</w:t>
      </w:r>
      <w:r w:rsidRPr="004B6083">
        <w:t>;”</w:t>
      </w:r>
    </w:p>
    <w:p w14:paraId="088DA473" w14:textId="77777777" w:rsidR="00B94157" w:rsidRPr="004B6083" w:rsidRDefault="00B94157" w:rsidP="005C6B40"/>
    <w:p w14:paraId="14614691" w14:textId="77777777" w:rsidR="005C6B40" w:rsidRDefault="005C6B40" w:rsidP="005C6B40">
      <w:r w:rsidRPr="004B6083">
        <w:t xml:space="preserve">“(31) </w:t>
      </w:r>
      <w:r w:rsidRPr="00F74C70">
        <w:t>‘</w:t>
      </w:r>
      <w:r w:rsidRPr="00F74C70">
        <w:rPr>
          <w:b/>
        </w:rPr>
        <w:t>disturbance</w:t>
      </w:r>
      <w:r w:rsidRPr="00F74C70">
        <w:t>’</w:t>
      </w:r>
      <w:r w:rsidRPr="004B6083">
        <w:t xml:space="preserve"> </w:t>
      </w:r>
      <w:r w:rsidRPr="00F74C70">
        <w:t>means an unplanned event that may cause the transmission system to divert from the normal state</w:t>
      </w:r>
      <w:r w:rsidRPr="004B6083">
        <w:t>;”</w:t>
      </w:r>
    </w:p>
    <w:p w14:paraId="78944F6A" w14:textId="77777777" w:rsidR="00B94157" w:rsidRPr="004B6083" w:rsidRDefault="00B94157" w:rsidP="005C6B40"/>
    <w:p w14:paraId="72DCDD93" w14:textId="77777777" w:rsidR="005C6B40" w:rsidRDefault="005C6B40" w:rsidP="005C6B40">
      <w:r w:rsidRPr="004B6083">
        <w:t xml:space="preserve">“(36) </w:t>
      </w:r>
      <w:r w:rsidRPr="00F74C70">
        <w:t>‘</w:t>
      </w:r>
      <w:r w:rsidRPr="00F74C70">
        <w:rPr>
          <w:b/>
        </w:rPr>
        <w:t>system state</w:t>
      </w:r>
      <w:r w:rsidRPr="00F74C70">
        <w:t>’</w:t>
      </w:r>
      <w:r w:rsidRPr="004B6083">
        <w:t xml:space="preserve"> </w:t>
      </w:r>
      <w:r w:rsidRPr="00F74C70">
        <w:t>means the operational state of the transmission system in relation to the operational security limits which can be normal state, alert state, emergency state, blackout state and restoration state</w:t>
      </w:r>
      <w:r w:rsidRPr="004B6083">
        <w:t>;”</w:t>
      </w:r>
    </w:p>
    <w:p w14:paraId="6CB78C7E" w14:textId="77777777" w:rsidR="00B94157" w:rsidRPr="004B6083" w:rsidRDefault="00B94157" w:rsidP="005C6B40"/>
    <w:p w14:paraId="1E2D3363" w14:textId="77777777" w:rsidR="005C6B40" w:rsidRDefault="005C6B40" w:rsidP="005C6B40">
      <w:r w:rsidRPr="004B6083">
        <w:t xml:space="preserve">“(37) </w:t>
      </w:r>
      <w:r w:rsidRPr="00F74C70">
        <w:t>‘</w:t>
      </w:r>
      <w:r w:rsidRPr="00F74C70">
        <w:rPr>
          <w:b/>
        </w:rPr>
        <w:t>emergency state</w:t>
      </w:r>
      <w:r w:rsidRPr="00F74C70">
        <w:t>’</w:t>
      </w:r>
      <w:r w:rsidRPr="004B6083">
        <w:t xml:space="preserve"> </w:t>
      </w:r>
      <w:r w:rsidRPr="00F74C70">
        <w:t>means the system state in which one or more operational security limits are violated</w:t>
      </w:r>
      <w:r w:rsidRPr="004B6083">
        <w:t>;”</w:t>
      </w:r>
    </w:p>
    <w:p w14:paraId="5895A8B2" w14:textId="77777777" w:rsidR="00B94157" w:rsidRPr="004B6083" w:rsidRDefault="00B94157" w:rsidP="005C6B40"/>
    <w:p w14:paraId="47190E7E" w14:textId="77777777" w:rsidR="005C6B40" w:rsidRDefault="005C6B40" w:rsidP="005C6B40">
      <w:r w:rsidRPr="004B6083">
        <w:t xml:space="preserve">“(38) </w:t>
      </w:r>
      <w:r w:rsidRPr="00F74C70">
        <w:t>‘</w:t>
      </w:r>
      <w:r w:rsidRPr="00F74C70">
        <w:rPr>
          <w:b/>
        </w:rPr>
        <w:t>restoration state</w:t>
      </w:r>
      <w:r w:rsidRPr="00F74C70">
        <w:t>’</w:t>
      </w:r>
      <w:r w:rsidRPr="004B6083">
        <w:t xml:space="preserve"> </w:t>
      </w:r>
      <w:r w:rsidRPr="00F74C70">
        <w:t>means the system state in which the objective of all activities in the transmission system is to re- establish the system operation and maintain operational security after the blackout state or the emergency state</w:t>
      </w:r>
      <w:r w:rsidRPr="004B6083">
        <w:t>;”</w:t>
      </w:r>
    </w:p>
    <w:p w14:paraId="0075964D" w14:textId="77777777" w:rsidR="00B94157" w:rsidRPr="004B6083" w:rsidRDefault="00B94157" w:rsidP="005C6B40"/>
    <w:p w14:paraId="274DD416" w14:textId="77777777" w:rsidR="005C6B40" w:rsidRDefault="005C6B40" w:rsidP="005C6B40">
      <w:r w:rsidRPr="004B6083">
        <w:t xml:space="preserve">“(46) </w:t>
      </w:r>
      <w:r w:rsidRPr="00F74C70">
        <w:t>‘</w:t>
      </w:r>
      <w:r w:rsidRPr="00F74C70">
        <w:rPr>
          <w:b/>
        </w:rPr>
        <w:t>local state</w:t>
      </w:r>
      <w:r w:rsidRPr="00F74C70">
        <w:t>’</w:t>
      </w:r>
      <w:r w:rsidRPr="004B6083">
        <w:t xml:space="preserve"> </w:t>
      </w:r>
      <w:r w:rsidRPr="00F74C70">
        <w:t>means the qualification of an alert, emergency or blackout state when there is no risk of extension of the consequences outside of the control area including interconnectors connected to this control area</w:t>
      </w:r>
      <w:r w:rsidRPr="004B6083">
        <w:t>;”</w:t>
      </w:r>
    </w:p>
    <w:p w14:paraId="3A13AF16" w14:textId="77777777" w:rsidR="00B94157" w:rsidRPr="004B6083" w:rsidRDefault="00B94157" w:rsidP="005C6B40"/>
    <w:p w14:paraId="6FCE2170" w14:textId="77777777" w:rsidR="005C6B40" w:rsidRDefault="005C6B40" w:rsidP="005C6B40">
      <w:r w:rsidRPr="004B6083">
        <w:t xml:space="preserve">“(51) </w:t>
      </w:r>
      <w:r w:rsidRPr="00F74C70">
        <w:rPr>
          <w:b/>
        </w:rPr>
        <w:t>‘operational security indicators’</w:t>
      </w:r>
      <w:r w:rsidRPr="004B6083">
        <w:t xml:space="preserve"> </w:t>
      </w:r>
      <w:r w:rsidRPr="00F74C70">
        <w:t>means indicators used by TSOs to monitor the operational security in terms of system states as well as faults and disturbances influencing operational security</w:t>
      </w:r>
      <w:r w:rsidRPr="004B6083">
        <w:t>;” and</w:t>
      </w:r>
    </w:p>
    <w:p w14:paraId="2030B1CB" w14:textId="77777777" w:rsidR="00B94157" w:rsidRPr="004B6083" w:rsidRDefault="00B94157" w:rsidP="005C6B40"/>
    <w:p w14:paraId="51E5B089" w14:textId="77777777" w:rsidR="005C6B40" w:rsidRDefault="005C6B40" w:rsidP="005C6B40">
      <w:r w:rsidRPr="004B6083">
        <w:t xml:space="preserve">“(62) </w:t>
      </w:r>
      <w:r w:rsidRPr="00F74C70">
        <w:rPr>
          <w:b/>
        </w:rPr>
        <w:t>‘wide area state’</w:t>
      </w:r>
      <w:r w:rsidRPr="004B6083">
        <w:t xml:space="preserve"> </w:t>
      </w:r>
      <w:r w:rsidRPr="00F74C70">
        <w:t>means the qualification of an alert state, emergency state or blackout state when there is a risk of propagation to the interconnected transmission systems</w:t>
      </w:r>
      <w:r w:rsidRPr="004B6083">
        <w:t>.”</w:t>
      </w:r>
    </w:p>
    <w:p w14:paraId="07216CAD" w14:textId="77777777" w:rsidR="00B94157" w:rsidRPr="004B6083" w:rsidRDefault="00B94157" w:rsidP="005C6B40"/>
    <w:p w14:paraId="73B25281" w14:textId="256F4DF5" w:rsidR="005C6B40" w:rsidRDefault="005C6B40" w:rsidP="005C6B40">
      <w:r>
        <w:lastRenderedPageBreak/>
        <w:t>For the avoidance of doubt, the definitions listed above do not currently appear in the ‘Glossary &amp; Definitions</w:t>
      </w:r>
      <w:r>
        <w:rPr>
          <w:rStyle w:val="FootnoteReference"/>
        </w:rPr>
        <w:footnoteReference w:id="17"/>
      </w:r>
      <w:r>
        <w:t>’ of the Grid Code (so including them as new definitions, with this proposal, should not give rise to inconsistencies etc., with the baseline</w:t>
      </w:r>
      <w:r w:rsidR="002D26AC">
        <w:t xml:space="preserve"> version of the Grid Code</w:t>
      </w:r>
      <w:r>
        <w:t>).</w:t>
      </w:r>
    </w:p>
    <w:p w14:paraId="3A0E6787" w14:textId="6A9ED331" w:rsidR="00657390" w:rsidRDefault="00657390" w:rsidP="005C6B40"/>
    <w:p w14:paraId="1B141DCB" w14:textId="7F51B41E" w:rsidR="005C6B40" w:rsidRDefault="00657390" w:rsidP="005C6B40">
      <w:r>
        <w:t xml:space="preserve">Since meeting with the ESO representative to discuss the Legal Text, </w:t>
      </w:r>
      <w:r w:rsidR="00827E33">
        <w:t>an amendment was</w:t>
      </w:r>
      <w:r>
        <w:t xml:space="preserve"> made to the SOGL definition </w:t>
      </w:r>
      <w:r w:rsidR="00DE44D6">
        <w:t xml:space="preserve">of </w:t>
      </w:r>
      <w:r w:rsidR="00DE44D6" w:rsidRPr="00AF0AC0">
        <w:rPr>
          <w:i/>
        </w:rPr>
        <w:t>alert state</w:t>
      </w:r>
      <w:r w:rsidR="00DE44D6">
        <w:t xml:space="preserve"> </w:t>
      </w:r>
      <w:r w:rsidR="001B1848">
        <w:t xml:space="preserve">to refer to this as </w:t>
      </w:r>
      <w:r w:rsidR="001B1848" w:rsidRPr="00AF0AC0">
        <w:rPr>
          <w:i/>
        </w:rPr>
        <w:t>awareness</w:t>
      </w:r>
      <w:r w:rsidR="003B3F2C" w:rsidRPr="00AF0AC0">
        <w:rPr>
          <w:i/>
        </w:rPr>
        <w:t xml:space="preserve"> state</w:t>
      </w:r>
      <w:r w:rsidR="0050507F">
        <w:t xml:space="preserve"> for the reasons set out below.</w:t>
      </w:r>
      <w:r w:rsidR="002D26AC">
        <w:t>The fact t</w:t>
      </w:r>
      <w:r w:rsidR="005C6B40">
        <w:t>hat these various ‘System States’ are important, in terms of the operation of the GB NETS, is clear from both their pre-eminence and repeated use, as well as the associated obligations, detailed elsewhere in SOGL, on the ESO</w:t>
      </w:r>
      <w:r w:rsidR="005C6B40">
        <w:rPr>
          <w:rStyle w:val="FootnoteReference"/>
        </w:rPr>
        <w:footnoteReference w:id="18"/>
      </w:r>
      <w:r w:rsidR="005C6B40">
        <w:t xml:space="preserve"> (and other parties) together with what is set out in the Emergency &amp; Restoration Network Code</w:t>
      </w:r>
      <w:r w:rsidR="005C6B40">
        <w:rPr>
          <w:rStyle w:val="FootnoteReference"/>
        </w:rPr>
        <w:footnoteReference w:id="19"/>
      </w:r>
      <w:r w:rsidR="005C6B40">
        <w:t xml:space="preserve"> which states that:</w:t>
      </w:r>
    </w:p>
    <w:p w14:paraId="6DC7C332" w14:textId="343A012C" w:rsidR="005C6B40" w:rsidRPr="00B50565" w:rsidRDefault="005C6B40" w:rsidP="005C6B40">
      <w:pPr>
        <w:pStyle w:val="Default"/>
        <w:ind w:left="720"/>
        <w:rPr>
          <w:rFonts w:ascii="EUAlbertina" w:hAnsi="EUAlbertina" w:cs="EUAlbertina"/>
        </w:rPr>
      </w:pPr>
      <w:r w:rsidRPr="00C5126E">
        <w:t>“</w:t>
      </w:r>
      <w:r w:rsidRPr="00B50565">
        <w:rPr>
          <w:i/>
        </w:rPr>
        <w:t xml:space="preserve">Commission Regulation (EU) 2017/1485 [SOGL] sets out harmonised rules on </w:t>
      </w:r>
      <w:r w:rsidRPr="00B50565">
        <w:rPr>
          <w:i/>
          <w:u w:val="single"/>
        </w:rPr>
        <w:t xml:space="preserve">system operation </w:t>
      </w:r>
      <w:r w:rsidRPr="00B50565">
        <w:rPr>
          <w:i/>
        </w:rPr>
        <w:t>for transmission system operators (‘TSOs’), regional security coordinators (‘RSCs’), distribution system operators (‘DSOs’) and significant grid</w:t>
      </w:r>
      <w:r w:rsidRPr="00B50565">
        <w:rPr>
          <w:i/>
          <w:u w:val="single"/>
        </w:rPr>
        <w:t xml:space="preserve"> users</w:t>
      </w:r>
      <w:r w:rsidRPr="00B50565">
        <w:rPr>
          <w:i/>
        </w:rPr>
        <w:t xml:space="preserve"> (‘SGUs’). </w:t>
      </w:r>
      <w:r w:rsidRPr="00B50565">
        <w:rPr>
          <w:i/>
          <w:u w:val="single"/>
        </w:rPr>
        <w:t>It identifies different critical system states</w:t>
      </w:r>
      <w:r w:rsidRPr="00B50565">
        <w:rPr>
          <w:i/>
        </w:rPr>
        <w:t xml:space="preserve"> (</w:t>
      </w:r>
      <w:r w:rsidRPr="00312640">
        <w:rPr>
          <w:i/>
          <w:u w:val="single"/>
        </w:rPr>
        <w:t>normal state, alert state, emergency state, blackout state and restoration</w:t>
      </w:r>
      <w:r w:rsidRPr="00B50565">
        <w:rPr>
          <w:i/>
        </w:rPr>
        <w:t>).</w:t>
      </w:r>
      <w:r w:rsidRPr="00B50565">
        <w:rPr>
          <w:rStyle w:val="FootnoteReference"/>
          <w:i/>
        </w:rPr>
        <w:footnoteReference w:id="20"/>
      </w:r>
      <w:r w:rsidRPr="00B50565">
        <w:t>”</w:t>
      </w:r>
      <w:r>
        <w:t xml:space="preserve"> [emphasis added</w:t>
      </w:r>
      <w:r w:rsidR="002D26AC">
        <w:t xml:space="preserve"> by underlining</w:t>
      </w:r>
      <w:r>
        <w:t>]</w:t>
      </w:r>
    </w:p>
    <w:p w14:paraId="239835D3" w14:textId="77777777" w:rsidR="005C6B40" w:rsidRDefault="005C6B40" w:rsidP="005C6B40">
      <w:pPr>
        <w:rPr>
          <w:b/>
        </w:rPr>
      </w:pPr>
      <w:r>
        <w:t xml:space="preserve">If the ‘System State’ condition were not considered to be </w:t>
      </w:r>
      <w:r w:rsidRPr="001C1826">
        <w:rPr>
          <w:u w:val="single"/>
        </w:rPr>
        <w:t xml:space="preserve">critical </w:t>
      </w:r>
      <w:r>
        <w:t>to the safe and secure operation of the system in both ordinary, day to day, situations or in exceptional circumstances then there would be (i) no need to explicitly set this out in a law, or (ii) define, and use, those terms repeatedly in the SOGL (and Emergency &amp; Restoration Network Code) when the ESO performs the operational security requirements</w:t>
      </w:r>
      <w:r>
        <w:rPr>
          <w:rStyle w:val="FootnoteReference"/>
        </w:rPr>
        <w:footnoteReference w:id="21"/>
      </w:r>
      <w:r>
        <w:t xml:space="preserve"> needed to ensure the operational security</w:t>
      </w:r>
      <w:r>
        <w:rPr>
          <w:rStyle w:val="FootnoteReference"/>
        </w:rPr>
        <w:footnoteReference w:id="22"/>
      </w:r>
      <w:r>
        <w:t xml:space="preserve"> of the GB NETS. </w:t>
      </w:r>
    </w:p>
    <w:p w14:paraId="21559F6B" w14:textId="77777777" w:rsidR="005C6B40" w:rsidRDefault="005C6B40" w:rsidP="005C6B40">
      <w:pPr>
        <w:rPr>
          <w:b/>
        </w:rPr>
      </w:pPr>
    </w:p>
    <w:p w14:paraId="6CD19573" w14:textId="77777777" w:rsidR="005C6B40" w:rsidRDefault="005C6B40" w:rsidP="005C6B40">
      <w:pPr>
        <w:rPr>
          <w:b/>
        </w:rPr>
      </w:pPr>
      <w:r>
        <w:rPr>
          <w:b/>
        </w:rPr>
        <w:t>Revisions to Proposer’s Original Solution</w:t>
      </w:r>
    </w:p>
    <w:p w14:paraId="3F5F44DA" w14:textId="77777777" w:rsidR="005C6B40" w:rsidRPr="00050444" w:rsidRDefault="005C6B40" w:rsidP="005C6B40">
      <w:pPr>
        <w:rPr>
          <w:i/>
          <w:color w:val="FF0000"/>
        </w:rPr>
      </w:pPr>
      <w:r>
        <w:t>The Proposer and the ESO representative met to discuss the Proposer’s Original solution (as set out above). While not implying that the ESO agreed with the modification or its solution as presented by the Proposer, legal text was developed embodying the principles of the proposal.</w:t>
      </w:r>
    </w:p>
    <w:p w14:paraId="02ED1D20" w14:textId="77777777" w:rsidR="00470B5B" w:rsidRDefault="00470B5B" w:rsidP="00043548"/>
    <w:p w14:paraId="5D830554" w14:textId="77777777" w:rsidR="00050444" w:rsidRDefault="00050444" w:rsidP="006A46D4">
      <w:pPr>
        <w:pStyle w:val="Heading2"/>
      </w:pPr>
      <w:bookmarkStart w:id="17" w:name="_Toc83200222"/>
      <w:r>
        <w:t xml:space="preserve">Workgroup </w:t>
      </w:r>
      <w:r w:rsidR="005E3456">
        <w:t>c</w:t>
      </w:r>
      <w:r>
        <w:t>onsiderations</w:t>
      </w:r>
      <w:bookmarkEnd w:id="17"/>
    </w:p>
    <w:p w14:paraId="18F4E429" w14:textId="6C15FEE5" w:rsidR="007A0FD4" w:rsidRDefault="007A0FD4" w:rsidP="007A0FD4">
      <w:pPr>
        <w:spacing w:line="240" w:lineRule="auto"/>
        <w:jc w:val="both"/>
        <w:textAlignment w:val="baseline"/>
        <w:rPr>
          <w:rFonts w:cs="Arial"/>
        </w:rPr>
      </w:pPr>
    </w:p>
    <w:p w14:paraId="19B2F6C2" w14:textId="77777777" w:rsidR="005C2000" w:rsidRPr="00313AE9" w:rsidRDefault="005C2000" w:rsidP="005C2000">
      <w:pPr>
        <w:pStyle w:val="BodyText"/>
        <w:spacing w:before="0" w:line="240" w:lineRule="auto"/>
        <w:rPr>
          <w:b/>
          <w:sz w:val="24"/>
        </w:rPr>
      </w:pPr>
      <w:r w:rsidRPr="00313AE9">
        <w:rPr>
          <w:b/>
          <w:sz w:val="24"/>
        </w:rPr>
        <w:t>The benefits of the modification to market participants and stakeholders</w:t>
      </w:r>
    </w:p>
    <w:p w14:paraId="01B11D4A" w14:textId="77777777" w:rsidR="005C2000" w:rsidRPr="00857897" w:rsidRDefault="005C2000" w:rsidP="005C2000">
      <w:pPr>
        <w:pStyle w:val="BodyText"/>
        <w:spacing w:before="0" w:line="240" w:lineRule="auto"/>
        <w:rPr>
          <w:sz w:val="24"/>
        </w:rPr>
      </w:pPr>
      <w:r>
        <w:rPr>
          <w:b/>
        </w:rPr>
        <w:br/>
      </w:r>
      <w:r w:rsidRPr="00857897">
        <w:rPr>
          <w:sz w:val="24"/>
        </w:rPr>
        <w:t>The Proposer advised the workgroup that:</w:t>
      </w:r>
    </w:p>
    <w:p w14:paraId="02BD44D4" w14:textId="7C77D6A9" w:rsidR="005C2000" w:rsidRPr="00857897" w:rsidRDefault="005C2000" w:rsidP="005C2000">
      <w:pPr>
        <w:pStyle w:val="BodyText"/>
        <w:numPr>
          <w:ilvl w:val="1"/>
          <w:numId w:val="27"/>
        </w:numPr>
        <w:spacing w:before="0" w:line="240" w:lineRule="auto"/>
        <w:ind w:left="720"/>
        <w:rPr>
          <w:sz w:val="24"/>
        </w:rPr>
      </w:pPr>
      <w:r>
        <w:rPr>
          <w:sz w:val="24"/>
        </w:rPr>
        <w:t>T</w:t>
      </w:r>
      <w:r w:rsidRPr="00857897">
        <w:rPr>
          <w:sz w:val="24"/>
        </w:rPr>
        <w:t xml:space="preserve">he beneficial impact of this change </w:t>
      </w:r>
      <w:r>
        <w:rPr>
          <w:sz w:val="24"/>
        </w:rPr>
        <w:t>in terms of</w:t>
      </w:r>
      <w:r w:rsidRPr="00857897">
        <w:rPr>
          <w:sz w:val="24"/>
        </w:rPr>
        <w:t xml:space="preserve"> transparency of information on the operation of the transmission system (including, in this case, the System State) leads to deeper understanding and greater clarity of the operation of the transmission system, leading to better decision making, leading to a more efficient electricity market, leading to enhanced competition within the electricity market, leading to lower costs to consumers. The Proposer referred to many examples </w:t>
      </w:r>
      <w:r w:rsidRPr="00857897">
        <w:rPr>
          <w:sz w:val="24"/>
        </w:rPr>
        <w:lastRenderedPageBreak/>
        <w:t xml:space="preserve">available in the current ESO Forward Plan which was published in 2020 and can be found </w:t>
      </w:r>
      <w:hyperlink r:id="rId13" w:history="1">
        <w:r w:rsidRPr="00857897">
          <w:rPr>
            <w:rStyle w:val="Hyperlink"/>
            <w:sz w:val="24"/>
          </w:rPr>
          <w:t>here</w:t>
        </w:r>
      </w:hyperlink>
      <w:r w:rsidRPr="00857897">
        <w:rPr>
          <w:sz w:val="24"/>
        </w:rPr>
        <w:t xml:space="preserve">. </w:t>
      </w:r>
    </w:p>
    <w:p w14:paraId="32061B30" w14:textId="03604463" w:rsidR="005C2000" w:rsidRPr="00857897" w:rsidRDefault="005C2000" w:rsidP="005C2000">
      <w:pPr>
        <w:pStyle w:val="BodyText"/>
        <w:numPr>
          <w:ilvl w:val="1"/>
          <w:numId w:val="27"/>
        </w:numPr>
        <w:spacing w:before="0" w:line="240" w:lineRule="auto"/>
        <w:ind w:left="720"/>
        <w:rPr>
          <w:sz w:val="24"/>
        </w:rPr>
      </w:pPr>
      <w:r w:rsidRPr="00857897">
        <w:rPr>
          <w:sz w:val="24"/>
        </w:rPr>
        <w:t xml:space="preserve">The </w:t>
      </w:r>
      <w:r w:rsidRPr="00857897">
        <w:rPr>
          <w:rFonts w:cs="Arial"/>
          <w:sz w:val="24"/>
        </w:rPr>
        <w:t>publication of the System State, will provide stakeholders with a deeper understanding and hence greater clarity about the drivers of the ESO’s operational decision making.</w:t>
      </w:r>
    </w:p>
    <w:p w14:paraId="2F4DC452" w14:textId="77777777" w:rsidR="005C2000" w:rsidRPr="00857897" w:rsidRDefault="005C2000" w:rsidP="005C2000">
      <w:pPr>
        <w:pStyle w:val="BodyText"/>
        <w:numPr>
          <w:ilvl w:val="1"/>
          <w:numId w:val="27"/>
        </w:numPr>
        <w:spacing w:before="0" w:line="240" w:lineRule="auto"/>
        <w:ind w:left="720"/>
        <w:rPr>
          <w:sz w:val="24"/>
        </w:rPr>
      </w:pPr>
      <w:r>
        <w:rPr>
          <w:sz w:val="24"/>
        </w:rPr>
        <w:t xml:space="preserve">Also, </w:t>
      </w:r>
      <w:r w:rsidRPr="00857897">
        <w:rPr>
          <w:rFonts w:cs="Arial"/>
          <w:sz w:val="24"/>
        </w:rPr>
        <w:t>the benefit of GC0133, for the ESO directly, concerns avoiding the serious risk of materially breaching “insider trading” and market abuse legal requirements that are placed on those market participants, i.e. ESO, who have access to “</w:t>
      </w:r>
      <w:r w:rsidRPr="00857897">
        <w:rPr>
          <w:rFonts w:cs="Arial"/>
          <w:iCs/>
          <w:sz w:val="24"/>
        </w:rPr>
        <w:t>inside information</w:t>
      </w:r>
      <w:r w:rsidRPr="00857897">
        <w:rPr>
          <w:rFonts w:cs="Arial"/>
          <w:i/>
          <w:iCs/>
          <w:sz w:val="24"/>
        </w:rPr>
        <w:t>”</w:t>
      </w:r>
      <w:r w:rsidRPr="00857897">
        <w:rPr>
          <w:rFonts w:cs="Arial"/>
          <w:sz w:val="24"/>
        </w:rPr>
        <w:t>,</w:t>
      </w:r>
      <w:r w:rsidRPr="00857897">
        <w:rPr>
          <w:rFonts w:cs="Arial"/>
          <w:i/>
          <w:iCs/>
          <w:sz w:val="24"/>
        </w:rPr>
        <w:t xml:space="preserve"> </w:t>
      </w:r>
      <w:r w:rsidRPr="00857897">
        <w:rPr>
          <w:rFonts w:cs="Arial"/>
          <w:sz w:val="24"/>
        </w:rPr>
        <w:t xml:space="preserve">such as the system state. </w:t>
      </w:r>
    </w:p>
    <w:p w14:paraId="55713F5A" w14:textId="001B3FC5" w:rsidR="005C2000" w:rsidRPr="00857897" w:rsidRDefault="00CA3C0E" w:rsidP="005C2000">
      <w:pPr>
        <w:pStyle w:val="BodyText"/>
        <w:numPr>
          <w:ilvl w:val="1"/>
          <w:numId w:val="27"/>
        </w:numPr>
        <w:spacing w:before="0" w:line="240" w:lineRule="auto"/>
        <w:ind w:left="720"/>
        <w:rPr>
          <w:sz w:val="24"/>
        </w:rPr>
      </w:pPr>
      <w:r>
        <w:rPr>
          <w:rFonts w:cs="Arial"/>
          <w:sz w:val="24"/>
        </w:rPr>
        <w:t>It</w:t>
      </w:r>
      <w:r w:rsidR="005C2000" w:rsidRPr="00857897">
        <w:rPr>
          <w:rFonts w:cs="Arial"/>
          <w:sz w:val="24"/>
        </w:rPr>
        <w:t xml:space="preserve"> should also be noted that Recital (19) of Regulation 714/20092 set out that: “</w:t>
      </w:r>
      <w:r w:rsidR="005C2000" w:rsidRPr="00857897">
        <w:rPr>
          <w:rFonts w:cs="Arial"/>
          <w:iCs/>
          <w:sz w:val="24"/>
        </w:rPr>
        <w:t>Equal access to information on the physical status and efficiency of the system is necessary to enable all market participants to assess the overall demand and supply situation and identify the reasons for movements in the wholesale price. This includes more precise information on electricity generation, supply and demand including forecasts, network and interconnection capacity, flows and maintenance, balancing and reserve capacity”.</w:t>
      </w:r>
    </w:p>
    <w:p w14:paraId="7498370F" w14:textId="306A112E" w:rsidR="005C2000" w:rsidRPr="00857897" w:rsidRDefault="005C2000" w:rsidP="005C2000">
      <w:pPr>
        <w:pStyle w:val="BodyText"/>
        <w:spacing w:before="0" w:line="240" w:lineRule="auto"/>
        <w:rPr>
          <w:sz w:val="24"/>
        </w:rPr>
      </w:pPr>
      <w:r w:rsidRPr="00857897">
        <w:rPr>
          <w:rFonts w:cs="Arial"/>
          <w:iCs/>
          <w:sz w:val="24"/>
        </w:rPr>
        <w:t>The Proposer expressed to the workgroup that</w:t>
      </w:r>
      <w:r w:rsidRPr="00857897">
        <w:rPr>
          <w:sz w:val="24"/>
        </w:rPr>
        <w:t xml:space="preserve"> although a cost-benefit analysis is not required, it must be noted, the cost of implementing this change is relatively small - less than £10,000 as existing systems </w:t>
      </w:r>
      <w:r w:rsidR="00CA3C0E">
        <w:rPr>
          <w:sz w:val="24"/>
        </w:rPr>
        <w:t>would be</w:t>
      </w:r>
      <w:r w:rsidRPr="00857897">
        <w:rPr>
          <w:sz w:val="24"/>
        </w:rPr>
        <w:t xml:space="preserve"> used.  Publishing this data would allow stakeholders to make more informed decisions leading to better functioning markets leading to lower bills for the consumer.</w:t>
      </w:r>
    </w:p>
    <w:p w14:paraId="0E8532B6" w14:textId="0FB54B4C" w:rsidR="005C2000" w:rsidRDefault="005C2000" w:rsidP="005C2000">
      <w:pPr>
        <w:pStyle w:val="Default"/>
        <w:adjustRightInd/>
        <w:rPr>
          <w:szCs w:val="20"/>
        </w:rPr>
      </w:pPr>
      <w:r w:rsidRPr="00857897">
        <w:rPr>
          <w:szCs w:val="20"/>
        </w:rPr>
        <w:t xml:space="preserve">The Proposer stated </w:t>
      </w:r>
      <w:r w:rsidR="00CA3C0E">
        <w:rPr>
          <w:szCs w:val="20"/>
        </w:rPr>
        <w:t xml:space="preserve">that </w:t>
      </w:r>
      <w:r w:rsidRPr="00857897">
        <w:rPr>
          <w:szCs w:val="20"/>
        </w:rPr>
        <w:t>transparency was essential to achieve well-functioning, efficient, liquid and competitive wholesale markets.  The Proposer further stated that transparency was the foundation for creating a level playing field thus increasing competition between different market players.</w:t>
      </w:r>
    </w:p>
    <w:p w14:paraId="26F73820" w14:textId="77777777" w:rsidR="005C2000" w:rsidRDefault="005C2000" w:rsidP="005C2000">
      <w:pPr>
        <w:pStyle w:val="Default"/>
        <w:adjustRightInd/>
      </w:pPr>
    </w:p>
    <w:p w14:paraId="7530EC74" w14:textId="262EDAF1" w:rsidR="005C2000" w:rsidRPr="00991DB4" w:rsidRDefault="005C2000" w:rsidP="005C2000">
      <w:pPr>
        <w:rPr>
          <w:b/>
        </w:rPr>
      </w:pPr>
      <w:r>
        <w:rPr>
          <w:rFonts w:cs="Arial"/>
          <w:bCs/>
          <w:color w:val="000000"/>
        </w:rPr>
        <w:t xml:space="preserve">This was followed by a discussion on whether the ‘alert state’ should be included in the Legal </w:t>
      </w:r>
      <w:r w:rsidR="00CA3C0E">
        <w:rPr>
          <w:rFonts w:cs="Arial"/>
          <w:bCs/>
          <w:color w:val="000000"/>
        </w:rPr>
        <w:t>T</w:t>
      </w:r>
      <w:r>
        <w:rPr>
          <w:rFonts w:cs="Arial"/>
          <w:bCs/>
          <w:color w:val="000000"/>
        </w:rPr>
        <w:t xml:space="preserve">ext for the modification. </w:t>
      </w:r>
      <w:r w:rsidR="00CA3C0E">
        <w:rPr>
          <w:rFonts w:cs="Arial"/>
          <w:bCs/>
          <w:color w:val="000000"/>
        </w:rPr>
        <w:t xml:space="preserve"> </w:t>
      </w:r>
      <w:r w:rsidRPr="00857897">
        <w:rPr>
          <w:rFonts w:cs="Arial"/>
          <w:bCs/>
          <w:color w:val="000000"/>
        </w:rPr>
        <w:t xml:space="preserve">The ESO representative advised the workgroup that the key concerns expressed at the Grid Code Panel were that several Panel members were uneasy about </w:t>
      </w:r>
      <w:r w:rsidR="00CA3C0E">
        <w:rPr>
          <w:rFonts w:cs="Arial"/>
          <w:bCs/>
          <w:color w:val="000000"/>
        </w:rPr>
        <w:t xml:space="preserve">publishing </w:t>
      </w:r>
      <w:r w:rsidRPr="00857897">
        <w:rPr>
          <w:rFonts w:cs="Arial"/>
          <w:bCs/>
          <w:color w:val="000000"/>
        </w:rPr>
        <w:t xml:space="preserve">the ‘alert’ status.  The system states were a requirement of the European System Operation Guideline and as drafted were intended to convey information between TSOs. </w:t>
      </w:r>
      <w:r w:rsidR="00CA3C0E">
        <w:rPr>
          <w:rFonts w:cs="Arial"/>
          <w:bCs/>
          <w:color w:val="000000"/>
        </w:rPr>
        <w:t xml:space="preserve"> </w:t>
      </w:r>
      <w:r w:rsidRPr="00857897">
        <w:rPr>
          <w:rFonts w:cs="Arial"/>
          <w:bCs/>
          <w:color w:val="000000"/>
        </w:rPr>
        <w:t>In GB</w:t>
      </w:r>
      <w:r w:rsidR="00734ACD">
        <w:rPr>
          <w:rFonts w:cs="Arial"/>
          <w:bCs/>
          <w:color w:val="000000"/>
        </w:rPr>
        <w:t xml:space="preserve">, the experience since SOGL implementation was that </w:t>
      </w:r>
      <w:r w:rsidRPr="00857897">
        <w:rPr>
          <w:rFonts w:cs="Arial"/>
          <w:bCs/>
          <w:color w:val="000000"/>
        </w:rPr>
        <w:t>the ‘alert’ status had only happen</w:t>
      </w:r>
      <w:r w:rsidR="00734ACD">
        <w:rPr>
          <w:rFonts w:cs="Arial"/>
          <w:bCs/>
          <w:color w:val="000000"/>
        </w:rPr>
        <w:t>ed</w:t>
      </w:r>
      <w:r w:rsidRPr="00857897">
        <w:rPr>
          <w:rFonts w:cs="Arial"/>
          <w:bCs/>
          <w:color w:val="000000"/>
        </w:rPr>
        <w:t xml:space="preserve"> when there was loss of availability of one of the interconnectors and therefore the ESO needed to share that with neighbouring Transmission System Operators (TSOs).  Some of the Grid Code Panel </w:t>
      </w:r>
      <w:r w:rsidR="00734ACD">
        <w:rPr>
          <w:rFonts w:cs="Arial"/>
          <w:bCs/>
          <w:color w:val="000000"/>
        </w:rPr>
        <w:t xml:space="preserve">members </w:t>
      </w:r>
      <w:r w:rsidRPr="00857897">
        <w:rPr>
          <w:rFonts w:cs="Arial"/>
          <w:bCs/>
          <w:color w:val="000000"/>
        </w:rPr>
        <w:t xml:space="preserve">were uncomfortable about </w:t>
      </w:r>
      <w:r w:rsidR="00734ACD">
        <w:rPr>
          <w:rFonts w:cs="Arial"/>
          <w:bCs/>
          <w:color w:val="000000"/>
        </w:rPr>
        <w:t xml:space="preserve">sharing </w:t>
      </w:r>
      <w:r w:rsidRPr="00857897">
        <w:rPr>
          <w:rFonts w:cs="Arial"/>
          <w:bCs/>
          <w:color w:val="000000"/>
        </w:rPr>
        <w:t>this</w:t>
      </w:r>
      <w:r w:rsidR="00734ACD">
        <w:rPr>
          <w:rFonts w:cs="Arial"/>
          <w:bCs/>
          <w:color w:val="000000"/>
        </w:rPr>
        <w:t xml:space="preserve"> information</w:t>
      </w:r>
      <w:r w:rsidRPr="00857897">
        <w:rPr>
          <w:rFonts w:cs="Arial"/>
          <w:bCs/>
          <w:color w:val="000000"/>
        </w:rPr>
        <w:t xml:space="preserve">, because they felt that making this information public could require sharing of commercially sensitive information.  The Proposer </w:t>
      </w:r>
      <w:r>
        <w:rPr>
          <w:rFonts w:cs="Arial"/>
          <w:bCs/>
          <w:color w:val="000000"/>
        </w:rPr>
        <w:t>agreed</w:t>
      </w:r>
      <w:r w:rsidRPr="00857897">
        <w:rPr>
          <w:rFonts w:cs="Arial"/>
          <w:bCs/>
          <w:color w:val="000000"/>
        </w:rPr>
        <w:t xml:space="preserve"> to consider some wording in the legal text, allowing the ESO flexibility to put in information if so required, address commercial confidentiality whilst limiting it to information that was not ‘inside information’, which should be in the public domain.  When the </w:t>
      </w:r>
      <w:r w:rsidR="0049292E">
        <w:rPr>
          <w:rFonts w:cs="Arial"/>
          <w:bCs/>
          <w:color w:val="000000"/>
        </w:rPr>
        <w:t>L</w:t>
      </w:r>
      <w:r w:rsidRPr="00857897">
        <w:rPr>
          <w:rFonts w:cs="Arial"/>
          <w:bCs/>
          <w:color w:val="000000"/>
        </w:rPr>
        <w:t xml:space="preserve">egal </w:t>
      </w:r>
      <w:r w:rsidR="0049292E">
        <w:rPr>
          <w:rFonts w:cs="Arial"/>
          <w:bCs/>
          <w:color w:val="000000"/>
        </w:rPr>
        <w:t>T</w:t>
      </w:r>
      <w:r w:rsidRPr="00857897">
        <w:rPr>
          <w:rFonts w:cs="Arial"/>
          <w:bCs/>
          <w:color w:val="000000"/>
        </w:rPr>
        <w:t xml:space="preserve">ext was being developed it was agreed that instead of </w:t>
      </w:r>
      <w:r w:rsidR="00734ACD">
        <w:rPr>
          <w:rFonts w:cs="Arial"/>
          <w:bCs/>
          <w:color w:val="000000"/>
        </w:rPr>
        <w:t>‘alert state’</w:t>
      </w:r>
      <w:r w:rsidR="007B5116">
        <w:rPr>
          <w:rFonts w:cs="Arial"/>
          <w:bCs/>
          <w:color w:val="000000"/>
        </w:rPr>
        <w:t xml:space="preserve"> t</w:t>
      </w:r>
      <w:r w:rsidR="00633D8A">
        <w:rPr>
          <w:rFonts w:cs="Arial"/>
          <w:bCs/>
          <w:color w:val="000000"/>
        </w:rPr>
        <w:t xml:space="preserve">his would be referred to as </w:t>
      </w:r>
      <w:r w:rsidR="00BA3701">
        <w:rPr>
          <w:rFonts w:cs="Arial"/>
          <w:bCs/>
          <w:color w:val="000000"/>
        </w:rPr>
        <w:t>‘</w:t>
      </w:r>
      <w:r w:rsidR="003E0D8D">
        <w:rPr>
          <w:rFonts w:cs="Arial"/>
          <w:bCs/>
          <w:color w:val="000000"/>
        </w:rPr>
        <w:t>awareness state</w:t>
      </w:r>
      <w:r w:rsidR="00BA3701">
        <w:rPr>
          <w:rFonts w:cs="Arial"/>
          <w:bCs/>
          <w:color w:val="000000"/>
        </w:rPr>
        <w:t xml:space="preserve">’ </w:t>
      </w:r>
      <w:r w:rsidRPr="00857897">
        <w:rPr>
          <w:rFonts w:cs="Arial"/>
          <w:bCs/>
          <w:color w:val="000000"/>
        </w:rPr>
        <w:t xml:space="preserve">when it was published on the BMRS </w:t>
      </w:r>
      <w:r w:rsidR="00734ACD">
        <w:rPr>
          <w:rFonts w:cs="Arial"/>
          <w:bCs/>
          <w:color w:val="000000"/>
        </w:rPr>
        <w:t xml:space="preserve">website </w:t>
      </w:r>
      <w:r w:rsidRPr="00857897">
        <w:rPr>
          <w:rFonts w:cs="Arial"/>
          <w:bCs/>
          <w:color w:val="000000"/>
        </w:rPr>
        <w:t>to try to manage any media messaging.</w:t>
      </w:r>
    </w:p>
    <w:p w14:paraId="70EC0D42" w14:textId="77777777" w:rsidR="005C2000" w:rsidRDefault="005C2000" w:rsidP="005C2000">
      <w:pPr>
        <w:jc w:val="both"/>
      </w:pPr>
    </w:p>
    <w:p w14:paraId="2AC58534" w14:textId="1D51119A" w:rsidR="005C2000" w:rsidRPr="009E1DC6" w:rsidRDefault="005C2000" w:rsidP="005C2000">
      <w:pPr>
        <w:jc w:val="both"/>
        <w:rPr>
          <w:b/>
        </w:rPr>
      </w:pPr>
      <w:r w:rsidRPr="009E1DC6">
        <w:rPr>
          <w:b/>
        </w:rPr>
        <w:t xml:space="preserve">The challenges </w:t>
      </w:r>
      <w:r w:rsidR="00734ACD">
        <w:rPr>
          <w:b/>
        </w:rPr>
        <w:t>for</w:t>
      </w:r>
      <w:r w:rsidR="00734ACD" w:rsidRPr="009E1DC6">
        <w:rPr>
          <w:b/>
        </w:rPr>
        <w:t xml:space="preserve"> </w:t>
      </w:r>
      <w:r w:rsidRPr="009E1DC6">
        <w:rPr>
          <w:b/>
        </w:rPr>
        <w:t>the ESO of providing this information, including the challenges of publishing the reasons for the changes of system state condition.</w:t>
      </w:r>
    </w:p>
    <w:p w14:paraId="7693E8D7" w14:textId="77777777" w:rsidR="005C2000" w:rsidRDefault="005C2000" w:rsidP="005C2000"/>
    <w:p w14:paraId="23586EDA" w14:textId="6CAA33E7" w:rsidR="005C2000" w:rsidRDefault="005C2000" w:rsidP="005C2000">
      <w:r>
        <w:t>In the view of the ESO</w:t>
      </w:r>
      <w:r w:rsidR="002D5AAB">
        <w:t>,</w:t>
      </w:r>
      <w:r>
        <w:t xml:space="preserve"> g</w:t>
      </w:r>
      <w:r w:rsidRPr="00524FD6">
        <w:t xml:space="preserve">iven that </w:t>
      </w:r>
      <w:r w:rsidR="002D5AAB">
        <w:t xml:space="preserve">the proposal is that </w:t>
      </w:r>
      <w:r w:rsidRPr="00524FD6">
        <w:t xml:space="preserve">the ESO </w:t>
      </w:r>
      <w:r w:rsidR="002D5AAB">
        <w:t xml:space="preserve">would </w:t>
      </w:r>
      <w:r w:rsidRPr="00524FD6">
        <w:t>only ha</w:t>
      </w:r>
      <w:r w:rsidR="002D5AAB">
        <w:t>ve</w:t>
      </w:r>
      <w:r w:rsidRPr="00524FD6">
        <w:t xml:space="preserve"> to use "</w:t>
      </w:r>
      <w:r>
        <w:t>reasonable endeavours</w:t>
      </w:r>
      <w:r w:rsidRPr="00524FD6">
        <w:t>" it</w:t>
      </w:r>
      <w:r w:rsidR="00D3287C">
        <w:t xml:space="preserve"> i</w:t>
      </w:r>
      <w:r w:rsidRPr="00524FD6">
        <w:t xml:space="preserve">s difficult to see this </w:t>
      </w:r>
      <w:r>
        <w:t xml:space="preserve">information, on the system state, </w:t>
      </w:r>
      <w:r w:rsidRPr="00524FD6">
        <w:lastRenderedPageBreak/>
        <w:t xml:space="preserve">providing any real time use. </w:t>
      </w:r>
      <w:r w:rsidR="002D5AAB">
        <w:t xml:space="preserve"> </w:t>
      </w:r>
      <w:r w:rsidRPr="00524FD6">
        <w:t>Given</w:t>
      </w:r>
      <w:r>
        <w:t xml:space="preserve"> this</w:t>
      </w:r>
      <w:r w:rsidR="002D5AAB">
        <w:t>,</w:t>
      </w:r>
      <w:r w:rsidRPr="00524FD6">
        <w:t xml:space="preserve"> the ESO will need to put context to the change of state </w:t>
      </w:r>
      <w:r w:rsidR="00E7355C">
        <w:t xml:space="preserve">and </w:t>
      </w:r>
      <w:r w:rsidRPr="00524FD6">
        <w:t>it may, inadvertently, make commercially sensitive information publicly available.</w:t>
      </w:r>
    </w:p>
    <w:p w14:paraId="600A5E36" w14:textId="77777777" w:rsidR="00E7355C" w:rsidRPr="00524FD6" w:rsidRDefault="00E7355C" w:rsidP="005C2000"/>
    <w:p w14:paraId="12A166A8" w14:textId="58960F2A" w:rsidR="005C2000" w:rsidRDefault="005C2000" w:rsidP="005C2000">
      <w:r>
        <w:t xml:space="preserve">In the view of the ESO </w:t>
      </w:r>
      <w:r w:rsidR="00DA3CD6">
        <w:t xml:space="preserve">and as set out in the European System Operation Guideline </w:t>
      </w:r>
      <w:r>
        <w:t xml:space="preserve">the </w:t>
      </w:r>
      <w:r w:rsidR="00E7355C">
        <w:t>system state</w:t>
      </w:r>
      <w:r w:rsidRPr="00524FD6">
        <w:t xml:space="preserve"> was designed by ENTSO-E to allow sharing of operational information between neighbouring TSOs</w:t>
      </w:r>
      <w:r w:rsidR="00E7355C">
        <w:t xml:space="preserve"> to aid coordinated system operation</w:t>
      </w:r>
      <w:r w:rsidRPr="00524FD6">
        <w:t>.</w:t>
      </w:r>
      <w:r w:rsidR="00E7355C">
        <w:t xml:space="preserve"> This particularly applied to the ‘Alert’ status</w:t>
      </w:r>
      <w:r w:rsidR="00EF0A0A">
        <w:t>, which refers to a list of contingencies, and</w:t>
      </w:r>
      <w:r w:rsidR="00E7355C">
        <w:t xml:space="preserve"> where no actions </w:t>
      </w:r>
      <w:r w:rsidR="00DA3CD6">
        <w:t>being required by</w:t>
      </w:r>
      <w:r w:rsidR="00E7355C">
        <w:t xml:space="preserve"> stakeholders were ever envisaged.</w:t>
      </w:r>
      <w:r w:rsidRPr="00524FD6">
        <w:t xml:space="preserve"> </w:t>
      </w:r>
      <w:r>
        <w:t xml:space="preserve">  </w:t>
      </w:r>
    </w:p>
    <w:p w14:paraId="7C5A49AD" w14:textId="77777777" w:rsidR="005C2000" w:rsidRDefault="005C2000" w:rsidP="005C2000"/>
    <w:p w14:paraId="12E339BC" w14:textId="77777777" w:rsidR="00E7355C" w:rsidRDefault="00E7355C" w:rsidP="005C2000">
      <w:r>
        <w:t>Since the original raising of the modification, experience of the use of the European Awareness System and of the designation of system state by the ESO and other European TSOs has identified that the situations in which the ‘Alert’ status could be experienced would include the following in GB:</w:t>
      </w:r>
    </w:p>
    <w:p w14:paraId="444A48EB" w14:textId="77777777" w:rsidR="00E7355C" w:rsidRDefault="00E7355C" w:rsidP="00AF0AC0">
      <w:pPr>
        <w:pStyle w:val="ListParagraph"/>
        <w:numPr>
          <w:ilvl w:val="0"/>
          <w:numId w:val="32"/>
        </w:numPr>
      </w:pPr>
      <w:r>
        <w:t>Issuing of an Electricity Margin Notice where this was not cancelled by the period of shortfall as indicated</w:t>
      </w:r>
    </w:p>
    <w:p w14:paraId="0788125E" w14:textId="77777777" w:rsidR="00E7355C" w:rsidRDefault="00E7355C" w:rsidP="00AF0AC0">
      <w:pPr>
        <w:pStyle w:val="ListParagraph"/>
        <w:numPr>
          <w:ilvl w:val="0"/>
          <w:numId w:val="32"/>
        </w:numPr>
      </w:pPr>
      <w:r>
        <w:t>A request for emergency assistance from an interconnector</w:t>
      </w:r>
    </w:p>
    <w:p w14:paraId="5E0D1C08" w14:textId="77777777" w:rsidR="00E7355C" w:rsidRDefault="00E7355C" w:rsidP="00AF0AC0">
      <w:pPr>
        <w:pStyle w:val="ListParagraph"/>
        <w:numPr>
          <w:ilvl w:val="0"/>
          <w:numId w:val="32"/>
        </w:numPr>
      </w:pPr>
      <w:r>
        <w:t>Loss of tools or systems, particularly with respect to balancing</w:t>
      </w:r>
    </w:p>
    <w:p w14:paraId="31296D06" w14:textId="5A24790D" w:rsidR="00E7355C" w:rsidRDefault="00E7355C" w:rsidP="00AF0AC0">
      <w:pPr>
        <w:pStyle w:val="ListParagraph"/>
        <w:numPr>
          <w:ilvl w:val="0"/>
          <w:numId w:val="32"/>
        </w:numPr>
      </w:pPr>
      <w:r>
        <w:t>Identification of a N-1 contingency, in which case were a further specific event or fault to occur operational limits could be infringed</w:t>
      </w:r>
    </w:p>
    <w:p w14:paraId="1ECACB94" w14:textId="77777777" w:rsidR="00E7355C" w:rsidRDefault="00E7355C" w:rsidP="005C2000"/>
    <w:p w14:paraId="2EC973A0" w14:textId="6DE831DA" w:rsidR="005C2000" w:rsidRPr="00524FD6" w:rsidRDefault="005C2000" w:rsidP="005C2000">
      <w:r w:rsidRPr="00524FD6">
        <w:t xml:space="preserve">The ESO has reservations about whether </w:t>
      </w:r>
      <w:r w:rsidR="00E7355C">
        <w:t xml:space="preserve">any of </w:t>
      </w:r>
      <w:r w:rsidRPr="00524FD6">
        <w:t xml:space="preserve">this information would be useful to stakeholders </w:t>
      </w:r>
      <w:r w:rsidR="00E7355C">
        <w:t xml:space="preserve">(EMNs are already issued on BMRS) </w:t>
      </w:r>
      <w:r w:rsidRPr="00524FD6">
        <w:t>or whether sharing specific details of a next fault that could impact system security would be wise</w:t>
      </w:r>
      <w:r w:rsidR="00EF0A0A">
        <w:t>, and it is also possible that in providing an explanation the sharing of commercially sensitive would be required</w:t>
      </w:r>
      <w:r w:rsidRPr="00524FD6">
        <w:t>.</w:t>
      </w:r>
      <w:r w:rsidR="00E7355C">
        <w:t xml:space="preserve"> However, in being required to share the system state it would be an expectation of stakeholders that an explanation of th</w:t>
      </w:r>
      <w:r w:rsidR="00DA3CD6">
        <w:t>e reason for the system state</w:t>
      </w:r>
      <w:r w:rsidR="00E7355C">
        <w:t xml:space="preserve"> would </w:t>
      </w:r>
      <w:r w:rsidR="00DA3CD6">
        <w:t xml:space="preserve">need to </w:t>
      </w:r>
      <w:r w:rsidR="00E7355C">
        <w:t>be given.</w:t>
      </w:r>
    </w:p>
    <w:p w14:paraId="01658BAF" w14:textId="77777777" w:rsidR="005C2000" w:rsidRDefault="005C2000" w:rsidP="005C2000"/>
    <w:p w14:paraId="2FAC61C9" w14:textId="6CD21C6A" w:rsidR="005C2000" w:rsidRDefault="005C2000" w:rsidP="005C2000">
      <w:r w:rsidRPr="00524FD6">
        <w:t xml:space="preserve">If </w:t>
      </w:r>
      <w:r w:rsidR="000D70F6" w:rsidRPr="00524FD6">
        <w:t>codified,</w:t>
      </w:r>
      <w:r w:rsidRPr="00524FD6">
        <w:t xml:space="preserve"> then the ESO would have no future choice over the sharing of system state information regardless of any ongoing consequences </w:t>
      </w:r>
      <w:r w:rsidR="00EF0A0A">
        <w:t xml:space="preserve">or </w:t>
      </w:r>
      <w:r w:rsidRPr="00524FD6">
        <w:t>of misreporting.</w:t>
      </w:r>
      <w:r w:rsidR="002D5AAB">
        <w:t xml:space="preserve"> </w:t>
      </w:r>
      <w:r w:rsidRPr="00524FD6">
        <w:t xml:space="preserve"> This proposal is one of a number (GC0105, GC0107/113, GC0109) that seek to place reporting obligations on the ESO through the Grid Code.</w:t>
      </w:r>
      <w:r w:rsidR="002D5AAB">
        <w:t xml:space="preserve"> </w:t>
      </w:r>
      <w:r w:rsidRPr="00524FD6">
        <w:t xml:space="preserve"> </w:t>
      </w:r>
      <w:r>
        <w:t>In the view of the ESO</w:t>
      </w:r>
      <w:r w:rsidRPr="00524FD6">
        <w:t xml:space="preserve"> this changes the purpose of the Grid Code and places obligations on the ESO that could perhaps be made elsewhere within the regulatory framework.</w:t>
      </w:r>
    </w:p>
    <w:p w14:paraId="0330321E" w14:textId="77777777" w:rsidR="005C2000" w:rsidRDefault="005C2000" w:rsidP="005C2000"/>
    <w:p w14:paraId="6AFF5C8F" w14:textId="6A4C2EA4" w:rsidR="005C2000" w:rsidRDefault="005C2000" w:rsidP="005C2000">
      <w:r>
        <w:t xml:space="preserve">However, the Proposer noted that the GC0133 legal text was deliberately written to ensure that there was no obligation on the ESO to provide any ‘commentary’ on why a system state change had occurred – therefore the ESO, in exercising ‘good industry practice’ would not be expected to be prone to misreporting.  In simple terms, the GC0133 solution was just to report the system state change itself; and </w:t>
      </w:r>
      <w:r w:rsidRPr="008C1E09">
        <w:rPr>
          <w:u w:val="single"/>
        </w:rPr>
        <w:t>not</w:t>
      </w:r>
      <w:r>
        <w:t xml:space="preserve"> the initial, or subsequent (after some investigation?) reasoning/understanding by the ESO for the change (in the system state).</w:t>
      </w:r>
    </w:p>
    <w:p w14:paraId="07A626CB" w14:textId="4BE69BA9" w:rsidR="00065212" w:rsidRDefault="00065212" w:rsidP="005C2000"/>
    <w:p w14:paraId="68EE83E0" w14:textId="019A9D44" w:rsidR="00065212" w:rsidRPr="001345E8" w:rsidRDefault="00065212" w:rsidP="005C2000">
      <w:r w:rsidRPr="001345E8">
        <w:t xml:space="preserve">The workgroup met on </w:t>
      </w:r>
      <w:r w:rsidR="0030595B" w:rsidRPr="001345E8">
        <w:t>22 June 2021</w:t>
      </w:r>
      <w:r w:rsidR="008B74FF" w:rsidRPr="001345E8">
        <w:t xml:space="preserve"> as requested at the May 2021 GCRP meeting to consider further aspects associated with </w:t>
      </w:r>
      <w:r w:rsidR="003956EF" w:rsidRPr="001345E8">
        <w:t>Ofgem’s two elements of concern in their send back letter along with a number of minor typographical changes to the modification report and legal text.</w:t>
      </w:r>
    </w:p>
    <w:p w14:paraId="1D45129A" w14:textId="4FA561AB" w:rsidR="006B35A1" w:rsidRPr="001345E8" w:rsidRDefault="006B35A1" w:rsidP="005C2000"/>
    <w:p w14:paraId="16A0CC64" w14:textId="02E541BC" w:rsidR="006B35A1" w:rsidRDefault="006B35A1" w:rsidP="005C2000">
      <w:r w:rsidRPr="001345E8">
        <w:t>The table below shows the benefits of the modification compared with the challenges of providing this information</w:t>
      </w:r>
      <w:r w:rsidR="00041734" w:rsidRPr="001345E8">
        <w:t>.</w:t>
      </w:r>
    </w:p>
    <w:p w14:paraId="301777C1" w14:textId="0F5AFDFC" w:rsidR="00041734" w:rsidRDefault="00041734" w:rsidP="005C2000"/>
    <w:p w14:paraId="30CE730E" w14:textId="77777777" w:rsidR="00041734" w:rsidRDefault="00041734" w:rsidP="005C2000"/>
    <w:p w14:paraId="30E34BDC" w14:textId="0E0F0D93" w:rsidR="00065212" w:rsidRDefault="00065212" w:rsidP="005C2000"/>
    <w:tbl>
      <w:tblPr>
        <w:tblStyle w:val="TableGrid"/>
        <w:tblW w:w="10274" w:type="dxa"/>
        <w:tblLook w:val="04A0" w:firstRow="1" w:lastRow="0" w:firstColumn="1" w:lastColumn="0" w:noHBand="0" w:noVBand="1"/>
      </w:tblPr>
      <w:tblGrid>
        <w:gridCol w:w="2568"/>
        <w:gridCol w:w="2568"/>
        <w:gridCol w:w="2569"/>
        <w:gridCol w:w="2569"/>
      </w:tblGrid>
      <w:tr w:rsidR="000C72E4" w14:paraId="7527725D" w14:textId="77777777" w:rsidTr="002A6FD1">
        <w:trPr>
          <w:trHeight w:val="1516"/>
        </w:trPr>
        <w:tc>
          <w:tcPr>
            <w:tcW w:w="2568" w:type="dxa"/>
            <w:shd w:val="clear" w:color="auto" w:fill="D9D9D9" w:themeFill="background1" w:themeFillShade="D9"/>
          </w:tcPr>
          <w:p w14:paraId="4615098E" w14:textId="4DC93E08" w:rsidR="000C72E4" w:rsidRPr="000C72E4" w:rsidRDefault="000C72E4" w:rsidP="000C72E4">
            <w:pPr>
              <w:rPr>
                <w:b/>
              </w:rPr>
            </w:pPr>
            <w:r w:rsidRPr="000C72E4">
              <w:rPr>
                <w:b/>
              </w:rPr>
              <w:t>System state</w:t>
            </w:r>
          </w:p>
        </w:tc>
        <w:tc>
          <w:tcPr>
            <w:tcW w:w="2568" w:type="dxa"/>
            <w:shd w:val="clear" w:color="auto" w:fill="D9D9D9" w:themeFill="background1" w:themeFillShade="D9"/>
          </w:tcPr>
          <w:p w14:paraId="301C77A9" w14:textId="16461585" w:rsidR="000C72E4" w:rsidRPr="000C72E4" w:rsidRDefault="0060233D" w:rsidP="000C72E4">
            <w:pPr>
              <w:rPr>
                <w:b/>
              </w:rPr>
            </w:pPr>
            <w:r>
              <w:rPr>
                <w:b/>
              </w:rPr>
              <w:t>Scenario</w:t>
            </w:r>
          </w:p>
        </w:tc>
        <w:tc>
          <w:tcPr>
            <w:tcW w:w="2569" w:type="dxa"/>
            <w:shd w:val="clear" w:color="auto" w:fill="D9D9D9" w:themeFill="background1" w:themeFillShade="D9"/>
          </w:tcPr>
          <w:p w14:paraId="4F275786" w14:textId="154BDD0E" w:rsidR="000C72E4" w:rsidRPr="000C72E4" w:rsidRDefault="000C72E4" w:rsidP="000C72E4">
            <w:pPr>
              <w:rPr>
                <w:b/>
              </w:rPr>
            </w:pPr>
            <w:r w:rsidRPr="000C72E4">
              <w:rPr>
                <w:b/>
              </w:rPr>
              <w:t>The benefits of the modification to market participants and stakeholders</w:t>
            </w:r>
            <w:r w:rsidR="0079127F">
              <w:rPr>
                <w:b/>
              </w:rPr>
              <w:t xml:space="preserve"> (Proposer’s views)</w:t>
            </w:r>
          </w:p>
        </w:tc>
        <w:tc>
          <w:tcPr>
            <w:tcW w:w="2569" w:type="dxa"/>
            <w:shd w:val="clear" w:color="auto" w:fill="D9D9D9" w:themeFill="background1" w:themeFillShade="D9"/>
          </w:tcPr>
          <w:p w14:paraId="3355944F" w14:textId="4DB9137D" w:rsidR="000C72E4" w:rsidRPr="000C72E4" w:rsidRDefault="00701AC0" w:rsidP="000C72E4">
            <w:pPr>
              <w:rPr>
                <w:b/>
              </w:rPr>
            </w:pPr>
            <w:r>
              <w:rPr>
                <w:b/>
              </w:rPr>
              <w:t xml:space="preserve">Any concern from </w:t>
            </w:r>
            <w:r w:rsidR="000C72E4" w:rsidRPr="000C72E4">
              <w:rPr>
                <w:b/>
              </w:rPr>
              <w:t>to the ESO of providing this information</w:t>
            </w:r>
          </w:p>
        </w:tc>
      </w:tr>
      <w:tr w:rsidR="00065212" w14:paraId="5BFAECAD" w14:textId="77777777" w:rsidTr="0060233D">
        <w:trPr>
          <w:trHeight w:val="307"/>
        </w:trPr>
        <w:tc>
          <w:tcPr>
            <w:tcW w:w="2568" w:type="dxa"/>
          </w:tcPr>
          <w:p w14:paraId="055B478F" w14:textId="263960AF" w:rsidR="00065212" w:rsidRDefault="00362E27" w:rsidP="005C2000">
            <w:r>
              <w:t>Normal</w:t>
            </w:r>
          </w:p>
        </w:tc>
        <w:tc>
          <w:tcPr>
            <w:tcW w:w="2568" w:type="dxa"/>
          </w:tcPr>
          <w:p w14:paraId="19D4F079" w14:textId="71FE91D0" w:rsidR="00065212" w:rsidRDefault="0060233D" w:rsidP="00F4629C">
            <w:pPr>
              <w:jc w:val="center"/>
            </w:pPr>
            <w:r>
              <w:t>-</w:t>
            </w:r>
          </w:p>
        </w:tc>
        <w:tc>
          <w:tcPr>
            <w:tcW w:w="2569" w:type="dxa"/>
          </w:tcPr>
          <w:p w14:paraId="191A1C4A" w14:textId="5FF23F5F" w:rsidR="00065212" w:rsidRPr="00AF0AC0" w:rsidRDefault="00DA3CD6" w:rsidP="005C2000">
            <w:pPr>
              <w:rPr>
                <w:rFonts w:ascii="Arial" w:hAnsi="Arial"/>
                <w:sz w:val="22"/>
              </w:rPr>
            </w:pPr>
            <w:r>
              <w:t>-</w:t>
            </w:r>
            <w:r w:rsidR="001E08C1">
              <w:t>Visibility that the system has returned to normal operation from one of the other system states</w:t>
            </w:r>
            <w:r w:rsidR="00544826">
              <w:t xml:space="preserve"> and greater transparency – compared to the Baseline – from the shared and timely access of the system state to market participants, will increase the number and responsiveness of market participants, which will improve the security and efficiency of the system</w:t>
            </w:r>
          </w:p>
        </w:tc>
        <w:tc>
          <w:tcPr>
            <w:tcW w:w="2569" w:type="dxa"/>
          </w:tcPr>
          <w:p w14:paraId="19BBFD8E" w14:textId="001B5F52" w:rsidR="00065212" w:rsidRDefault="00DA3CD6" w:rsidP="005C2000">
            <w:r>
              <w:t>-</w:t>
            </w:r>
            <w:r w:rsidR="001E08C1">
              <w:t>None</w:t>
            </w:r>
          </w:p>
        </w:tc>
      </w:tr>
      <w:tr w:rsidR="0060233D" w14:paraId="5CECE60E" w14:textId="77777777" w:rsidTr="0060233D">
        <w:trPr>
          <w:trHeight w:val="296"/>
        </w:trPr>
        <w:tc>
          <w:tcPr>
            <w:tcW w:w="2568" w:type="dxa"/>
            <w:vMerge w:val="restart"/>
          </w:tcPr>
          <w:p w14:paraId="44569C9D" w14:textId="5E1E00BC" w:rsidR="0060233D" w:rsidRDefault="0060233D" w:rsidP="005C2000">
            <w:r>
              <w:t>Awareness/Alert</w:t>
            </w:r>
          </w:p>
        </w:tc>
        <w:tc>
          <w:tcPr>
            <w:tcW w:w="2568" w:type="dxa"/>
          </w:tcPr>
          <w:p w14:paraId="49C2FEDD" w14:textId="10B551B7" w:rsidR="0060233D" w:rsidRDefault="00DA3CD6" w:rsidP="00F4629C">
            <w:r>
              <w:t>EMN not cancelled by time of shortfall</w:t>
            </w:r>
          </w:p>
        </w:tc>
        <w:tc>
          <w:tcPr>
            <w:tcW w:w="2569" w:type="dxa"/>
          </w:tcPr>
          <w:p w14:paraId="58B8373B" w14:textId="4D9015EC" w:rsidR="0060233D" w:rsidRDefault="00EF0A0A" w:rsidP="005C2000">
            <w:r>
              <w:t>None – EMNs are already published and updated on BMRS</w:t>
            </w:r>
          </w:p>
        </w:tc>
        <w:tc>
          <w:tcPr>
            <w:tcW w:w="2569" w:type="dxa"/>
          </w:tcPr>
          <w:p w14:paraId="2E2BAF32" w14:textId="344ED4E0" w:rsidR="0060233D" w:rsidRDefault="00DA3CD6" w:rsidP="005C2000">
            <w:r>
              <w:t>None</w:t>
            </w:r>
            <w:r w:rsidR="00EF0A0A">
              <w:t xml:space="preserve"> – EMNs are already published and updated on BMRS</w:t>
            </w:r>
          </w:p>
        </w:tc>
      </w:tr>
      <w:tr w:rsidR="0060233D" w14:paraId="37B2BDDF" w14:textId="77777777" w:rsidTr="0060233D">
        <w:trPr>
          <w:trHeight w:val="296"/>
        </w:trPr>
        <w:tc>
          <w:tcPr>
            <w:tcW w:w="2568" w:type="dxa"/>
            <w:vMerge/>
          </w:tcPr>
          <w:p w14:paraId="0A1E3708" w14:textId="77777777" w:rsidR="0060233D" w:rsidRDefault="0060233D" w:rsidP="005C2000"/>
        </w:tc>
        <w:tc>
          <w:tcPr>
            <w:tcW w:w="2568" w:type="dxa"/>
          </w:tcPr>
          <w:p w14:paraId="4431E594" w14:textId="7F3AC75A" w:rsidR="0060233D" w:rsidRDefault="00DA3CD6" w:rsidP="00F4629C">
            <w:r>
              <w:t>Request for emergency assistance from interconnector</w:t>
            </w:r>
          </w:p>
        </w:tc>
        <w:tc>
          <w:tcPr>
            <w:tcW w:w="2569" w:type="dxa"/>
          </w:tcPr>
          <w:p w14:paraId="50CC9E25" w14:textId="0D365AE3" w:rsidR="00544826" w:rsidRDefault="00544826" w:rsidP="00544826">
            <w:pPr>
              <w:rPr>
                <w:rFonts w:ascii="Arial" w:hAnsi="Arial"/>
                <w:sz w:val="22"/>
              </w:rPr>
            </w:pPr>
            <w:r>
              <w:t>Greater transparency – compared to the Baseline – from the shared and timely access of the system state to market participants, will increase the number and responsiveness of market participants, which will improve the security and efficiency of the system</w:t>
            </w:r>
          </w:p>
          <w:p w14:paraId="49413708" w14:textId="7FCD7C4A" w:rsidR="0060233D" w:rsidRDefault="0060233D" w:rsidP="005C2000"/>
        </w:tc>
        <w:tc>
          <w:tcPr>
            <w:tcW w:w="2569" w:type="dxa"/>
          </w:tcPr>
          <w:p w14:paraId="65E906B2" w14:textId="648B7247" w:rsidR="0060233D" w:rsidRDefault="00DA3CD6" w:rsidP="005C2000">
            <w:r>
              <w:t>Could be commercially sensitive. As a real example that has occurred, where an interconnector is instructed to return to their planned loading profile which has not been followed due to internal control issues</w:t>
            </w:r>
          </w:p>
        </w:tc>
      </w:tr>
      <w:tr w:rsidR="0060233D" w14:paraId="1EB2E8A2" w14:textId="77777777" w:rsidTr="0060233D">
        <w:trPr>
          <w:trHeight w:val="296"/>
        </w:trPr>
        <w:tc>
          <w:tcPr>
            <w:tcW w:w="2568" w:type="dxa"/>
            <w:vMerge/>
          </w:tcPr>
          <w:p w14:paraId="2E2691A4" w14:textId="77777777" w:rsidR="0060233D" w:rsidRDefault="0060233D" w:rsidP="005C2000"/>
        </w:tc>
        <w:tc>
          <w:tcPr>
            <w:tcW w:w="2568" w:type="dxa"/>
          </w:tcPr>
          <w:p w14:paraId="18AE031E" w14:textId="7E4C1890" w:rsidR="0060233D" w:rsidRDefault="00DA3CD6" w:rsidP="00F4629C">
            <w:r>
              <w:t>Loss of tools or systems</w:t>
            </w:r>
          </w:p>
        </w:tc>
        <w:tc>
          <w:tcPr>
            <w:tcW w:w="2569" w:type="dxa"/>
          </w:tcPr>
          <w:p w14:paraId="7C75B823" w14:textId="606E14C5" w:rsidR="00B569E7" w:rsidRDefault="00B569E7" w:rsidP="00B569E7">
            <w:pPr>
              <w:rPr>
                <w:rFonts w:ascii="Arial" w:hAnsi="Arial"/>
                <w:sz w:val="22"/>
              </w:rPr>
            </w:pPr>
            <w:r>
              <w:t>Greater transparency – compared to the Baseline – from the shared and timely access of the system state to market participants, will increase the number and responsiveness of market participants, which will improve the security and efficiency of the system</w:t>
            </w:r>
          </w:p>
          <w:p w14:paraId="66BA54C3" w14:textId="09262C15" w:rsidR="0060233D" w:rsidRDefault="0060233D" w:rsidP="005C2000"/>
        </w:tc>
        <w:tc>
          <w:tcPr>
            <w:tcW w:w="2569" w:type="dxa"/>
          </w:tcPr>
          <w:p w14:paraId="1552A5E4" w14:textId="0B549094" w:rsidR="0060233D" w:rsidRDefault="00DA3CD6" w:rsidP="005C2000">
            <w:r>
              <w:t xml:space="preserve">The ESO already </w:t>
            </w:r>
            <w:r w:rsidR="00EF0A0A">
              <w:t>communicates with market participants using back-up systems where required due to loss of tools</w:t>
            </w:r>
          </w:p>
        </w:tc>
      </w:tr>
      <w:tr w:rsidR="0060233D" w14:paraId="2E8D0EC0" w14:textId="77777777" w:rsidTr="0060233D">
        <w:trPr>
          <w:trHeight w:val="296"/>
        </w:trPr>
        <w:tc>
          <w:tcPr>
            <w:tcW w:w="2568" w:type="dxa"/>
            <w:vMerge/>
          </w:tcPr>
          <w:p w14:paraId="51BE08DD" w14:textId="77777777" w:rsidR="0060233D" w:rsidRDefault="0060233D" w:rsidP="005C2000"/>
        </w:tc>
        <w:tc>
          <w:tcPr>
            <w:tcW w:w="2568" w:type="dxa"/>
          </w:tcPr>
          <w:p w14:paraId="0266D88F" w14:textId="1A64105D" w:rsidR="0060233D" w:rsidRDefault="00DA3CD6" w:rsidP="00F4629C">
            <w:r>
              <w:t>N-1 contingency identified that could, if it occurred, cause operational limits to be exceeded</w:t>
            </w:r>
          </w:p>
        </w:tc>
        <w:tc>
          <w:tcPr>
            <w:tcW w:w="2569" w:type="dxa"/>
          </w:tcPr>
          <w:p w14:paraId="63C52A8C" w14:textId="091DF429" w:rsidR="00B569E7" w:rsidRDefault="00B569E7" w:rsidP="00B569E7">
            <w:pPr>
              <w:rPr>
                <w:rFonts w:ascii="Arial" w:hAnsi="Arial"/>
                <w:sz w:val="22"/>
              </w:rPr>
            </w:pPr>
            <w:r>
              <w:t>Greater transparency – compared to the Baseline – from the shared and timely access of the system state to market participants, will increase the number and responsiveness of market participants, which will improve the security and efficiency of the system</w:t>
            </w:r>
          </w:p>
          <w:p w14:paraId="3E8EAA5C" w14:textId="1875C539" w:rsidR="0060233D" w:rsidRDefault="0060233D" w:rsidP="005C2000"/>
        </w:tc>
        <w:tc>
          <w:tcPr>
            <w:tcW w:w="2569" w:type="dxa"/>
          </w:tcPr>
          <w:p w14:paraId="022A5F0C" w14:textId="7A41237C" w:rsidR="0060233D" w:rsidRDefault="00EF0A0A" w:rsidP="005C2000">
            <w:r>
              <w:t>Sharing this information is</w:t>
            </w:r>
            <w:r w:rsidR="00DA3CD6">
              <w:t xml:space="preserve"> not wise as it is highlighting a specific weakness on the system</w:t>
            </w:r>
            <w:r>
              <w:t xml:space="preserve"> while not requiring any user action</w:t>
            </w:r>
          </w:p>
        </w:tc>
      </w:tr>
      <w:tr w:rsidR="00065212" w14:paraId="3297011B" w14:textId="77777777" w:rsidTr="0060233D">
        <w:trPr>
          <w:trHeight w:val="307"/>
        </w:trPr>
        <w:tc>
          <w:tcPr>
            <w:tcW w:w="2568" w:type="dxa"/>
          </w:tcPr>
          <w:p w14:paraId="07429F93" w14:textId="288BA764" w:rsidR="00065212" w:rsidRDefault="00F313B6" w:rsidP="005C2000">
            <w:r>
              <w:t>Emergency</w:t>
            </w:r>
          </w:p>
        </w:tc>
        <w:tc>
          <w:tcPr>
            <w:tcW w:w="2568" w:type="dxa"/>
          </w:tcPr>
          <w:p w14:paraId="21F080E1" w14:textId="45EE8AC1" w:rsidR="00065212" w:rsidRDefault="00F4629C" w:rsidP="00F4629C">
            <w:pPr>
              <w:jc w:val="center"/>
            </w:pPr>
            <w:r>
              <w:t>-</w:t>
            </w:r>
          </w:p>
        </w:tc>
        <w:tc>
          <w:tcPr>
            <w:tcW w:w="2569" w:type="dxa"/>
          </w:tcPr>
          <w:p w14:paraId="741EEA82" w14:textId="77777777" w:rsidR="00B569E7" w:rsidRDefault="00EF0A0A" w:rsidP="00B569E7">
            <w:pPr>
              <w:rPr>
                <w:rFonts w:ascii="Arial" w:hAnsi="Arial"/>
                <w:sz w:val="22"/>
              </w:rPr>
            </w:pPr>
            <w:r>
              <w:t>Aids communication during an emergency</w:t>
            </w:r>
            <w:r w:rsidR="00E44A43">
              <w:t xml:space="preserve"> and e</w:t>
            </w:r>
            <w:r w:rsidR="00781B88">
              <w:t>nsures that the ESO has discharged its legal obligations from ERNC</w:t>
            </w:r>
            <w:r w:rsidR="00B11AFE">
              <w:rPr>
                <w:rStyle w:val="FootnoteReference"/>
              </w:rPr>
              <w:footnoteReference w:id="23"/>
            </w:r>
            <w:r w:rsidR="00781B88">
              <w:t xml:space="preserve"> Article </w:t>
            </w:r>
            <w:r w:rsidR="00F71A71">
              <w:t>40</w:t>
            </w:r>
            <w:r w:rsidR="00E44A43">
              <w:t>(</w:t>
            </w:r>
            <w:r w:rsidR="001E4A07">
              <w:t>2</w:t>
            </w:r>
            <w:r w:rsidR="00E44A43">
              <w:t>) (c)(i), (d)(i) and (e)(i)</w:t>
            </w:r>
            <w:r w:rsidR="00B569E7">
              <w:t xml:space="preserve"> plus greater transparency – compared to the Baseline – from the shared and timely access of the system state to market participants, will increase the number and responsiveness of market participants, which </w:t>
            </w:r>
            <w:r w:rsidR="00B569E7">
              <w:lastRenderedPageBreak/>
              <w:t>will improve the security and efficiency of the system</w:t>
            </w:r>
          </w:p>
          <w:p w14:paraId="228CED3D" w14:textId="1BA02579" w:rsidR="00781B88" w:rsidRDefault="00781B88" w:rsidP="005C2000"/>
        </w:tc>
        <w:tc>
          <w:tcPr>
            <w:tcW w:w="2569" w:type="dxa"/>
          </w:tcPr>
          <w:p w14:paraId="13760B2A" w14:textId="5F63AB22" w:rsidR="00065212" w:rsidRDefault="00DA3CD6" w:rsidP="005C2000">
            <w:r>
              <w:lastRenderedPageBreak/>
              <w:t>None – other than priorities during a crisis</w:t>
            </w:r>
          </w:p>
        </w:tc>
      </w:tr>
      <w:tr w:rsidR="00DA3CD6" w14:paraId="013CAED8" w14:textId="77777777" w:rsidTr="0060233D">
        <w:trPr>
          <w:trHeight w:val="296"/>
        </w:trPr>
        <w:tc>
          <w:tcPr>
            <w:tcW w:w="2568" w:type="dxa"/>
          </w:tcPr>
          <w:p w14:paraId="66124126" w14:textId="4653BFAD" w:rsidR="00DA3CD6" w:rsidRDefault="00DA3CD6" w:rsidP="00DA3CD6">
            <w:r>
              <w:t>Blackout</w:t>
            </w:r>
          </w:p>
        </w:tc>
        <w:tc>
          <w:tcPr>
            <w:tcW w:w="2568" w:type="dxa"/>
          </w:tcPr>
          <w:p w14:paraId="655A2E90" w14:textId="6FAAE5A5" w:rsidR="00DA3CD6" w:rsidRDefault="00DA3CD6" w:rsidP="00DA3CD6">
            <w:pPr>
              <w:jc w:val="center"/>
            </w:pPr>
            <w:r>
              <w:t>-</w:t>
            </w:r>
          </w:p>
        </w:tc>
        <w:tc>
          <w:tcPr>
            <w:tcW w:w="2569" w:type="dxa"/>
          </w:tcPr>
          <w:p w14:paraId="372125A6" w14:textId="0DAE260D" w:rsidR="00347E2F" w:rsidRDefault="00EF0A0A" w:rsidP="00347E2F">
            <w:pPr>
              <w:rPr>
                <w:rFonts w:ascii="Arial" w:hAnsi="Arial"/>
                <w:sz w:val="22"/>
              </w:rPr>
            </w:pPr>
            <w:r>
              <w:t>Aids communication during an emergency</w:t>
            </w:r>
            <w:r w:rsidR="00E44A43">
              <w:t xml:space="preserve"> and ensures that the ESO has discharged its legal obligations from ERNC Article 40(</w:t>
            </w:r>
            <w:r w:rsidR="001E4A07">
              <w:t>2</w:t>
            </w:r>
            <w:r w:rsidR="00E44A43">
              <w:t>)</w:t>
            </w:r>
            <w:r w:rsidR="00C2755B">
              <w:rPr>
                <w:rStyle w:val="FootnoteReference"/>
              </w:rPr>
              <w:footnoteReference w:id="24"/>
            </w:r>
            <w:r w:rsidR="00E44A43">
              <w:t xml:space="preserve"> (c)(i), (d)(i) and (e)(i)</w:t>
            </w:r>
            <w:r w:rsidR="00B569E7">
              <w:t xml:space="preserve"> plus</w:t>
            </w:r>
            <w:r w:rsidR="00347E2F">
              <w:t xml:space="preserve"> greater transparency – compared to the Baseline – from the shared and timely access of the system state to market participants, will increase the number and responsiveness of market participants, which will improve the security and efficiency of the system</w:t>
            </w:r>
          </w:p>
          <w:p w14:paraId="4FB92965" w14:textId="36EC15E8" w:rsidR="00DA3CD6" w:rsidRDefault="00DA3CD6" w:rsidP="00DA3CD6"/>
        </w:tc>
        <w:tc>
          <w:tcPr>
            <w:tcW w:w="2569" w:type="dxa"/>
          </w:tcPr>
          <w:p w14:paraId="0D75F4CA" w14:textId="0D97E15A" w:rsidR="00DA3CD6" w:rsidRDefault="00DA3CD6" w:rsidP="00DA3CD6">
            <w:r>
              <w:t>None – other than priorities during a crisis</w:t>
            </w:r>
          </w:p>
        </w:tc>
      </w:tr>
      <w:tr w:rsidR="00DA3CD6" w14:paraId="7E488480" w14:textId="77777777" w:rsidTr="0060233D">
        <w:trPr>
          <w:trHeight w:val="307"/>
        </w:trPr>
        <w:tc>
          <w:tcPr>
            <w:tcW w:w="2568" w:type="dxa"/>
          </w:tcPr>
          <w:p w14:paraId="100C568F" w14:textId="3DB677BA" w:rsidR="00DA3CD6" w:rsidRDefault="00DA3CD6" w:rsidP="00DA3CD6">
            <w:r>
              <w:t>Restoration</w:t>
            </w:r>
          </w:p>
        </w:tc>
        <w:tc>
          <w:tcPr>
            <w:tcW w:w="2568" w:type="dxa"/>
          </w:tcPr>
          <w:p w14:paraId="4461675E" w14:textId="0EBD2257" w:rsidR="00DA3CD6" w:rsidRDefault="00DA3CD6" w:rsidP="00DA3CD6">
            <w:pPr>
              <w:jc w:val="center"/>
            </w:pPr>
            <w:r>
              <w:t>-</w:t>
            </w:r>
          </w:p>
        </w:tc>
        <w:tc>
          <w:tcPr>
            <w:tcW w:w="2569" w:type="dxa"/>
          </w:tcPr>
          <w:p w14:paraId="6D8CB9BE" w14:textId="77777777" w:rsidR="00347E2F" w:rsidRDefault="00EF0A0A" w:rsidP="00347E2F">
            <w:pPr>
              <w:rPr>
                <w:rFonts w:ascii="Arial" w:hAnsi="Arial"/>
                <w:sz w:val="22"/>
              </w:rPr>
            </w:pPr>
            <w:r>
              <w:t>Aids communication during an emergency</w:t>
            </w:r>
            <w:r w:rsidR="00E44A43">
              <w:t xml:space="preserve"> and ensures that the ESO has discharged its legal obligations from ERNC Article 40(</w:t>
            </w:r>
            <w:r w:rsidR="001E4A07">
              <w:t>2</w:t>
            </w:r>
            <w:r w:rsidR="00E44A43">
              <w:t>) (c)(i), (d)(i) and (e)(i)</w:t>
            </w:r>
            <w:r w:rsidR="00347E2F">
              <w:t xml:space="preserve"> plus greater transparency – compared to the Baseline – from the shared and timely access of the system state to market participants, will increase the number and responsiveness of market participants, which will improve the </w:t>
            </w:r>
            <w:r w:rsidR="00347E2F">
              <w:lastRenderedPageBreak/>
              <w:t>security and efficiency of the system</w:t>
            </w:r>
          </w:p>
          <w:p w14:paraId="67C7680F" w14:textId="47915759" w:rsidR="00DA3CD6" w:rsidRDefault="00DA3CD6" w:rsidP="00DA3CD6"/>
        </w:tc>
        <w:tc>
          <w:tcPr>
            <w:tcW w:w="2569" w:type="dxa"/>
          </w:tcPr>
          <w:p w14:paraId="67F006FA" w14:textId="162D17D5" w:rsidR="00DA3CD6" w:rsidRDefault="00DA3CD6" w:rsidP="00DA3CD6">
            <w:r>
              <w:lastRenderedPageBreak/>
              <w:t>None – other than priorities during a crisis</w:t>
            </w:r>
          </w:p>
        </w:tc>
      </w:tr>
    </w:tbl>
    <w:p w14:paraId="72887F31" w14:textId="77777777" w:rsidR="00065212" w:rsidRDefault="00065212" w:rsidP="005C2000"/>
    <w:p w14:paraId="43060FDC" w14:textId="77777777" w:rsidR="008371D6" w:rsidRDefault="008371D6" w:rsidP="00043548"/>
    <w:p w14:paraId="5A9B534C" w14:textId="62944947" w:rsidR="006A46D4" w:rsidRDefault="006A46D4" w:rsidP="006A46D4">
      <w:pPr>
        <w:pStyle w:val="Heading2"/>
      </w:pPr>
      <w:bookmarkStart w:id="18" w:name="_Toc83200223"/>
      <w:r>
        <w:t>Legal text</w:t>
      </w:r>
      <w:bookmarkEnd w:id="18"/>
    </w:p>
    <w:p w14:paraId="6DCC1596" w14:textId="77777777" w:rsidR="000D70F6" w:rsidRPr="000D70F6" w:rsidRDefault="000D70F6" w:rsidP="000D70F6"/>
    <w:p w14:paraId="664E06D9" w14:textId="3AC48BC2" w:rsidR="001341A5" w:rsidRDefault="001341A5" w:rsidP="001341A5">
      <w:r>
        <w:t xml:space="preserve">The Proposer recommended that the definitions of various system states, based on those found in Article 3 of SOGL, </w:t>
      </w:r>
      <w:r w:rsidR="00E65DE4">
        <w:t>should</w:t>
      </w:r>
      <w:r w:rsidR="0093081F">
        <w:t xml:space="preserve"> be </w:t>
      </w:r>
      <w:r>
        <w:t xml:space="preserve">used in the Grid Code. </w:t>
      </w:r>
      <w:r w:rsidR="0093081F">
        <w:t xml:space="preserve"> </w:t>
      </w:r>
      <w:r>
        <w:t xml:space="preserve">Since meeting with the ESO representative to discuss the Legal text, the amendments to the Legal text </w:t>
      </w:r>
      <w:r w:rsidR="00AB5648">
        <w:t>can be found in Annex 5.</w:t>
      </w:r>
    </w:p>
    <w:p w14:paraId="2132561D" w14:textId="77777777" w:rsidR="00AB5648" w:rsidRDefault="00AB5648" w:rsidP="001341A5"/>
    <w:p w14:paraId="2A433188" w14:textId="77777777" w:rsidR="001341A5" w:rsidRPr="006A46D4" w:rsidRDefault="001341A5" w:rsidP="001341A5">
      <w:pPr>
        <w:rPr>
          <w:i/>
          <w:color w:val="FF0000"/>
        </w:rPr>
      </w:pPr>
    </w:p>
    <w:p w14:paraId="495ABFC5" w14:textId="77777777" w:rsidR="00470B5B" w:rsidRPr="005603D9" w:rsidRDefault="00470B5B" w:rsidP="005603D9">
      <w:pPr>
        <w:pStyle w:val="CA6"/>
      </w:pPr>
      <w:bookmarkStart w:id="19" w:name="_Toc83200224"/>
      <w:r w:rsidRPr="005603D9">
        <w:t>What is the impact of this change?</w:t>
      </w:r>
      <w:bookmarkEnd w:id="19"/>
    </w:p>
    <w:p w14:paraId="3B892CF4" w14:textId="77777777" w:rsidR="00867001" w:rsidRDefault="00867001" w:rsidP="006C318F"/>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867001" w:rsidRPr="009A206C" w14:paraId="28CA40D4" w14:textId="77777777" w:rsidTr="006C318F">
        <w:trPr>
          <w:trHeight w:hRule="exact" w:val="561"/>
        </w:trPr>
        <w:tc>
          <w:tcPr>
            <w:tcW w:w="9493" w:type="dxa"/>
            <w:gridSpan w:val="2"/>
            <w:shd w:val="clear" w:color="auto" w:fill="F26522" w:themeFill="accent1"/>
            <w:vAlign w:val="center"/>
          </w:tcPr>
          <w:p w14:paraId="6BDA17A7" w14:textId="77777777" w:rsidR="00867001" w:rsidRPr="009A206C" w:rsidRDefault="00867001" w:rsidP="006C318F">
            <w:pPr>
              <w:pStyle w:val="Heading3"/>
            </w:pPr>
            <w:bookmarkStart w:id="20" w:name="_Toc58847139"/>
            <w:bookmarkStart w:id="21" w:name="_Toc68878407"/>
            <w:bookmarkStart w:id="22" w:name="_Toc83200225"/>
            <w:r w:rsidRPr="009A206C">
              <w:rPr>
                <w:color w:val="FFFFFF" w:themeColor="background1"/>
              </w:rPr>
              <w:t xml:space="preserve">Proposer’s </w:t>
            </w:r>
            <w:r>
              <w:rPr>
                <w:color w:val="FFFFFF" w:themeColor="background1"/>
              </w:rPr>
              <w:t>a</w:t>
            </w:r>
            <w:r w:rsidRPr="009A206C">
              <w:rPr>
                <w:color w:val="FFFFFF" w:themeColor="background1"/>
              </w:rPr>
              <w:t xml:space="preserve">ssessment against </w:t>
            </w:r>
            <w:r>
              <w:rPr>
                <w:color w:val="FFFFFF" w:themeColor="background1"/>
              </w:rPr>
              <w:t xml:space="preserve">Grid Code </w:t>
            </w:r>
            <w:r w:rsidRPr="009A206C">
              <w:rPr>
                <w:color w:val="FFFFFF" w:themeColor="background1"/>
              </w:rPr>
              <w:t>Objectives</w:t>
            </w:r>
            <w:bookmarkEnd w:id="20"/>
            <w:bookmarkEnd w:id="21"/>
            <w:bookmarkEnd w:id="22"/>
            <w:r w:rsidRPr="009A206C">
              <w:rPr>
                <w:color w:val="FFFFFF" w:themeColor="background1"/>
              </w:rPr>
              <w:t xml:space="preserve">  </w:t>
            </w:r>
          </w:p>
        </w:tc>
      </w:tr>
      <w:tr w:rsidR="00867001" w:rsidRPr="00114732" w14:paraId="718A4F6A" w14:textId="77777777" w:rsidTr="006C318F">
        <w:trPr>
          <w:trHeight w:val="397"/>
        </w:trPr>
        <w:tc>
          <w:tcPr>
            <w:tcW w:w="6478" w:type="dxa"/>
          </w:tcPr>
          <w:p w14:paraId="7225E080" w14:textId="77777777" w:rsidR="00867001" w:rsidRPr="00114732" w:rsidRDefault="00867001" w:rsidP="006C318F">
            <w:pPr>
              <w:rPr>
                <w:b/>
              </w:rPr>
            </w:pPr>
            <w:r w:rsidRPr="00114732">
              <w:rPr>
                <w:b/>
              </w:rPr>
              <w:t>Relevant Objective</w:t>
            </w:r>
          </w:p>
        </w:tc>
        <w:tc>
          <w:tcPr>
            <w:tcW w:w="3015" w:type="dxa"/>
          </w:tcPr>
          <w:p w14:paraId="32228663" w14:textId="77777777" w:rsidR="00867001" w:rsidRPr="00114732" w:rsidRDefault="00867001" w:rsidP="006C318F">
            <w:pPr>
              <w:rPr>
                <w:b/>
              </w:rPr>
            </w:pPr>
            <w:r w:rsidRPr="00114732">
              <w:rPr>
                <w:b/>
              </w:rPr>
              <w:t>Identified impact</w:t>
            </w:r>
          </w:p>
        </w:tc>
      </w:tr>
      <w:tr w:rsidR="00867001" w:rsidRPr="00B00875" w14:paraId="26BD9970" w14:textId="77777777" w:rsidTr="006C318F">
        <w:trPr>
          <w:trHeight w:val="397"/>
        </w:trPr>
        <w:tc>
          <w:tcPr>
            <w:tcW w:w="6478" w:type="dxa"/>
          </w:tcPr>
          <w:p w14:paraId="62159256" w14:textId="77777777" w:rsidR="00867001" w:rsidRPr="005603D9" w:rsidRDefault="00867001" w:rsidP="006C318F">
            <w:r w:rsidRPr="00C66D49">
              <w:rPr>
                <w:szCs w:val="20"/>
              </w:rPr>
              <w:t>(a) To permit the development, maintenance and operation of an efficient, coordinated and economical system for the transmission of electricity</w:t>
            </w:r>
          </w:p>
        </w:tc>
        <w:tc>
          <w:tcPr>
            <w:tcW w:w="3015" w:type="dxa"/>
          </w:tcPr>
          <w:p w14:paraId="709BDEC2" w14:textId="77777777" w:rsidR="00867001" w:rsidRPr="00B00875" w:rsidRDefault="00867001" w:rsidP="006C318F">
            <w:pPr>
              <w:rPr>
                <w:szCs w:val="20"/>
              </w:rPr>
            </w:pPr>
            <w:r w:rsidRPr="00B00875">
              <w:rPr>
                <w:szCs w:val="20"/>
              </w:rPr>
              <w:t>Positive</w:t>
            </w:r>
          </w:p>
        </w:tc>
      </w:tr>
      <w:tr w:rsidR="00867001" w:rsidRPr="00B00875" w14:paraId="2CD1F63A" w14:textId="77777777" w:rsidTr="006C318F">
        <w:trPr>
          <w:trHeight w:val="397"/>
        </w:trPr>
        <w:tc>
          <w:tcPr>
            <w:tcW w:w="6478" w:type="dxa"/>
          </w:tcPr>
          <w:p w14:paraId="52B412F6" w14:textId="77777777" w:rsidR="00867001" w:rsidRPr="005603D9" w:rsidRDefault="00867001" w:rsidP="006C318F">
            <w:r w:rsidRPr="00C66D49">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p w14:paraId="614846D3" w14:textId="77777777" w:rsidR="00867001" w:rsidRPr="00B00875" w:rsidRDefault="00867001" w:rsidP="006C318F">
            <w:pPr>
              <w:rPr>
                <w:szCs w:val="20"/>
              </w:rPr>
            </w:pPr>
            <w:r w:rsidRPr="00B00875">
              <w:rPr>
                <w:szCs w:val="20"/>
              </w:rPr>
              <w:t>Neutral</w:t>
            </w:r>
          </w:p>
        </w:tc>
      </w:tr>
      <w:tr w:rsidR="00867001" w:rsidRPr="00B00875" w14:paraId="7A1ED90D" w14:textId="77777777" w:rsidTr="006C318F">
        <w:trPr>
          <w:trHeight w:val="397"/>
        </w:trPr>
        <w:tc>
          <w:tcPr>
            <w:tcW w:w="6478" w:type="dxa"/>
          </w:tcPr>
          <w:p w14:paraId="0DDFE64A" w14:textId="77777777" w:rsidR="00867001" w:rsidRPr="005603D9" w:rsidRDefault="00867001" w:rsidP="006C318F">
            <w:r w:rsidRPr="00C66D49">
              <w:rPr>
                <w:szCs w:val="20"/>
              </w:rPr>
              <w:t>(c) Subject to sub-paragraphs (i) and (ii), to promote the security and efficiency of the electricity generation, transmission and distribution systems in the national electricity transmission system operator area taken as a whole;</w:t>
            </w:r>
          </w:p>
        </w:tc>
        <w:tc>
          <w:tcPr>
            <w:tcW w:w="3015" w:type="dxa"/>
          </w:tcPr>
          <w:p w14:paraId="619268D7" w14:textId="77777777" w:rsidR="00867001" w:rsidRPr="00B00875" w:rsidRDefault="00867001" w:rsidP="006C318F">
            <w:pPr>
              <w:spacing w:before="40"/>
              <w:ind w:right="113"/>
              <w:rPr>
                <w:szCs w:val="20"/>
              </w:rPr>
            </w:pPr>
            <w:r w:rsidRPr="00B00875">
              <w:rPr>
                <w:szCs w:val="20"/>
              </w:rPr>
              <w:t>Positive</w:t>
            </w:r>
          </w:p>
          <w:p w14:paraId="48CCF6A4" w14:textId="77777777" w:rsidR="00867001" w:rsidRPr="00B00875" w:rsidRDefault="00867001" w:rsidP="006C318F">
            <w:pPr>
              <w:rPr>
                <w:szCs w:val="20"/>
              </w:rPr>
            </w:pPr>
          </w:p>
        </w:tc>
      </w:tr>
      <w:tr w:rsidR="00867001" w:rsidRPr="00B00875" w14:paraId="4D24D198" w14:textId="77777777" w:rsidTr="006C318F">
        <w:trPr>
          <w:trHeight w:val="397"/>
        </w:trPr>
        <w:tc>
          <w:tcPr>
            <w:tcW w:w="6478" w:type="dxa"/>
          </w:tcPr>
          <w:p w14:paraId="0C79C202" w14:textId="77777777" w:rsidR="00867001" w:rsidRPr="005603D9" w:rsidRDefault="00867001" w:rsidP="006C318F">
            <w:r w:rsidRPr="00C66D49">
              <w:rPr>
                <w:szCs w:val="20"/>
              </w:rPr>
              <w:t xml:space="preserve">(d) To efficiently discharge the obligations imposed upon the licensee by this license and to comply with the Electricity Regulation and any relevant legally binding decisions of the European Commission and/or the Agency; and  </w:t>
            </w:r>
          </w:p>
        </w:tc>
        <w:tc>
          <w:tcPr>
            <w:tcW w:w="3015" w:type="dxa"/>
          </w:tcPr>
          <w:p w14:paraId="36148AFD" w14:textId="77777777" w:rsidR="00867001" w:rsidRPr="00B00875" w:rsidRDefault="00867001" w:rsidP="006C318F">
            <w:pPr>
              <w:rPr>
                <w:szCs w:val="20"/>
              </w:rPr>
            </w:pPr>
            <w:r w:rsidRPr="00B00875">
              <w:rPr>
                <w:szCs w:val="20"/>
              </w:rPr>
              <w:t>Positive</w:t>
            </w:r>
          </w:p>
        </w:tc>
      </w:tr>
      <w:tr w:rsidR="00867001" w:rsidRPr="00B00875" w14:paraId="117371CF" w14:textId="77777777" w:rsidTr="006C318F">
        <w:trPr>
          <w:trHeight w:val="397"/>
        </w:trPr>
        <w:tc>
          <w:tcPr>
            <w:tcW w:w="6478" w:type="dxa"/>
          </w:tcPr>
          <w:p w14:paraId="18898B37" w14:textId="77777777" w:rsidR="00867001" w:rsidRPr="005603D9" w:rsidRDefault="00867001" w:rsidP="006C318F">
            <w:r w:rsidRPr="00C66D49">
              <w:rPr>
                <w:szCs w:val="20"/>
              </w:rPr>
              <w:t>(e) To promote efficiency in the implementation and administration of the Grid Code arrangements</w:t>
            </w:r>
          </w:p>
        </w:tc>
        <w:tc>
          <w:tcPr>
            <w:tcW w:w="3015" w:type="dxa"/>
          </w:tcPr>
          <w:p w14:paraId="6FAE6C08" w14:textId="77777777" w:rsidR="00867001" w:rsidRPr="00B00875" w:rsidRDefault="00867001" w:rsidP="006C318F">
            <w:pPr>
              <w:rPr>
                <w:szCs w:val="20"/>
              </w:rPr>
            </w:pPr>
            <w:r w:rsidRPr="00B00875">
              <w:rPr>
                <w:szCs w:val="20"/>
              </w:rPr>
              <w:t>Neutral</w:t>
            </w:r>
          </w:p>
        </w:tc>
      </w:tr>
    </w:tbl>
    <w:p w14:paraId="00162019" w14:textId="77777777" w:rsidR="00867001" w:rsidRDefault="00867001" w:rsidP="006C318F"/>
    <w:p w14:paraId="6DC9024D" w14:textId="188E534D" w:rsidR="00452A40" w:rsidRDefault="00452A40" w:rsidP="006C318F">
      <w:r>
        <w:t xml:space="preserve">In the Proposer’s view this proposal is expected to have a low impact on the </w:t>
      </w:r>
      <w:r w:rsidRPr="00D34D19">
        <w:t xml:space="preserve">ESO (in terms of reporting the </w:t>
      </w:r>
      <w:r>
        <w:t>‘</w:t>
      </w:r>
      <w:r w:rsidRPr="00D34D19">
        <w:t>System State</w:t>
      </w:r>
      <w:r>
        <w:t>’</w:t>
      </w:r>
      <w:r w:rsidRPr="00D34D19">
        <w:t xml:space="preserve"> condition)</w:t>
      </w:r>
      <w:r>
        <w:t xml:space="preserve"> and for Generators, Suppliers and other market participants (in terms of receiving, considering and taking internal action(s) arising from being notified of the ‘System State’ condition).  </w:t>
      </w:r>
    </w:p>
    <w:p w14:paraId="536A31D1" w14:textId="77777777" w:rsidR="00452A40" w:rsidRDefault="00452A40" w:rsidP="006C318F">
      <w:pPr>
        <w:jc w:val="both"/>
      </w:pPr>
    </w:p>
    <w:p w14:paraId="2C0603DB" w14:textId="77777777" w:rsidR="00452A40" w:rsidRDefault="00452A40" w:rsidP="006C318F">
      <w:pPr>
        <w:jc w:val="both"/>
      </w:pPr>
      <w:r>
        <w:t>In terms of the ESO this is because they already:</w:t>
      </w:r>
    </w:p>
    <w:p w14:paraId="7DCEB5BB" w14:textId="77777777" w:rsidR="00452A40" w:rsidRDefault="00452A40" w:rsidP="00452A40">
      <w:pPr>
        <w:numPr>
          <w:ilvl w:val="0"/>
          <w:numId w:val="28"/>
        </w:numPr>
        <w:spacing w:before="120" w:after="120" w:line="300" w:lineRule="atLeast"/>
        <w:ind w:left="709"/>
        <w:jc w:val="both"/>
      </w:pPr>
      <w:r>
        <w:lastRenderedPageBreak/>
        <w:t xml:space="preserve">classify, monitor and determine the ‘System State’ on a real time basis, as part of their operation of the GB NETS; and </w:t>
      </w:r>
    </w:p>
    <w:p w14:paraId="7E1ECA94" w14:textId="77777777" w:rsidR="00452A40" w:rsidRDefault="00452A40" w:rsidP="00452A40">
      <w:pPr>
        <w:numPr>
          <w:ilvl w:val="0"/>
          <w:numId w:val="28"/>
        </w:numPr>
        <w:spacing w:before="120" w:after="120" w:line="300" w:lineRule="atLeast"/>
        <w:ind w:left="709"/>
        <w:jc w:val="both"/>
      </w:pPr>
      <w:r>
        <w:t xml:space="preserve">provide information about the GB NETS, such as System Warnings, using the existing BMRS website tool.  </w:t>
      </w:r>
    </w:p>
    <w:p w14:paraId="7E4E9582" w14:textId="3206F622" w:rsidR="00452A40" w:rsidRDefault="00452A40" w:rsidP="006C318F">
      <w:r>
        <w:t xml:space="preserve">As a result, in respect of this proposal, there is no new task for the ESO to perform in terms of (i).  However, there is a new task, in terms of (ii), for them to perform with this proposal, which is to simply update the BMRS System Warning webpage with any and all changes (degradations or improvements) to the ‘System State’. </w:t>
      </w:r>
    </w:p>
    <w:p w14:paraId="27CAA546" w14:textId="77777777" w:rsidR="00452A40" w:rsidRDefault="00452A40" w:rsidP="006C318F">
      <w:pPr>
        <w:jc w:val="both"/>
      </w:pPr>
    </w:p>
    <w:p w14:paraId="24332A73" w14:textId="4E4FF57D" w:rsidR="00452A40" w:rsidRDefault="00452A40" w:rsidP="006C318F">
      <w:r>
        <w:t>This proposal therefore has a Low Impact on the ESO and should not, for example, require new IT system solutions to be procured / tested/ installed</w:t>
      </w:r>
      <w:r w:rsidRPr="005C7151">
        <w:t>.</w:t>
      </w:r>
      <w:r w:rsidR="008815FC">
        <w:t xml:space="preserve"> </w:t>
      </w:r>
      <w:r w:rsidRPr="005C7151">
        <w:t xml:space="preserve"> </w:t>
      </w:r>
      <w:r>
        <w:t>In terms of</w:t>
      </w:r>
      <w:r w:rsidRPr="005C7151">
        <w:t xml:space="preserve"> </w:t>
      </w:r>
      <w:r>
        <w:t xml:space="preserve">Generators, Suppliers and other market participants (as well as BEIS, Ofgem, DNOs and Interconnectors etc.,) they will need to be cognisant of the possibility of amending their internal procedures in terms of considering the information they receive, via the BMRS, on the ‘System State’ condition and take whatever appropriate action they deem fit to act on that information in a manner conducive to supporting the ESO’s operation of the GB NETS. </w:t>
      </w:r>
    </w:p>
    <w:p w14:paraId="59F04435" w14:textId="77777777" w:rsidR="00452A40" w:rsidRDefault="00452A40" w:rsidP="006C318F">
      <w:r>
        <w:t xml:space="preserve"> </w:t>
      </w:r>
    </w:p>
    <w:p w14:paraId="71759B90" w14:textId="77777777" w:rsidR="00452A40" w:rsidRDefault="00452A40" w:rsidP="006C318F">
      <w:r>
        <w:t>As these parties already have access to and use the BMRS website, including the System Warning webpage, for this general purpose, this proposal therefore has a Low Impact on Generators, Suppliers and other market participants (as well as BEIS, Ofgem, DNOs and Interconnectors etc.,) and should not, for example, require new IT system solutions to be procured / tested/ installed</w:t>
      </w:r>
      <w:r w:rsidRPr="005C7151">
        <w:t>.</w:t>
      </w:r>
    </w:p>
    <w:p w14:paraId="47DDDC3F" w14:textId="77777777" w:rsidR="00452A40" w:rsidRDefault="00452A40" w:rsidP="006C318F">
      <w:pPr>
        <w:jc w:val="both"/>
        <w:rPr>
          <w:b/>
        </w:rPr>
      </w:pPr>
    </w:p>
    <w:p w14:paraId="25573D52" w14:textId="77777777" w:rsidR="00452A40" w:rsidRPr="00991DB4" w:rsidRDefault="00452A40" w:rsidP="006C318F">
      <w:pPr>
        <w:jc w:val="both"/>
        <w:rPr>
          <w:b/>
        </w:rPr>
      </w:pPr>
      <w:r>
        <w:rPr>
          <w:b/>
        </w:rPr>
        <w:t>ESO’s View</w:t>
      </w:r>
    </w:p>
    <w:p w14:paraId="1ED843DD" w14:textId="68071B74" w:rsidR="00452A40" w:rsidRDefault="00452A40" w:rsidP="006C318F">
      <w:r>
        <w:t xml:space="preserve">This assessment of the impact of the modification is not shared by the ESO. </w:t>
      </w:r>
      <w:r w:rsidR="008815FC">
        <w:t xml:space="preserve"> </w:t>
      </w:r>
      <w:r>
        <w:t>The very high-level information already shared in the ENTSO-E Awareness System in fulfilment of the requirements of the System Operation Guideline is insufficient to remove the risk of misinterpretation of the information</w:t>
      </w:r>
      <w:r w:rsidR="008815FC">
        <w:t xml:space="preserve"> if it was made publically available</w:t>
      </w:r>
      <w:r>
        <w:t xml:space="preserve">. </w:t>
      </w:r>
      <w:r w:rsidR="008815FC">
        <w:t xml:space="preserve"> </w:t>
      </w:r>
      <w:r>
        <w:t>Also, in terms of the impact on other market participants, whilst the ESO agrees that this is low it also highlights that it is unclear what the purpose of sharing this information is, or what positive actions may be taken by market participants as a result</w:t>
      </w:r>
      <w:r w:rsidR="00B9548D">
        <w:t xml:space="preserve"> given that the system state was designed to aid operational coordination between TSOs only</w:t>
      </w:r>
      <w:r>
        <w:t xml:space="preserve">.   </w:t>
      </w:r>
    </w:p>
    <w:p w14:paraId="69B03D4A" w14:textId="77777777" w:rsidR="00452A40" w:rsidRDefault="00452A40" w:rsidP="006C318F">
      <w:pPr>
        <w:jc w:val="both"/>
      </w:pPr>
    </w:p>
    <w:p w14:paraId="292C2F14" w14:textId="552BE69F" w:rsidR="00452A40" w:rsidRDefault="00452A40" w:rsidP="006C318F">
      <w:pPr>
        <w:pStyle w:val="Heading3"/>
        <w:rPr>
          <w:rFonts w:eastAsia="Times New Roman"/>
        </w:rPr>
      </w:pPr>
      <w:bookmarkStart w:id="23" w:name="_Toc68878408"/>
      <w:bookmarkStart w:id="24" w:name="_Toc83200226"/>
      <w:r w:rsidRPr="008F3C84">
        <w:rPr>
          <w:rFonts w:eastAsia="Times New Roman"/>
        </w:rPr>
        <w:t>Consumer Impacts</w:t>
      </w:r>
      <w:bookmarkEnd w:id="23"/>
      <w:bookmarkEnd w:id="24"/>
    </w:p>
    <w:p w14:paraId="103B44AC" w14:textId="77777777" w:rsidR="00951936" w:rsidRPr="00951936" w:rsidRDefault="00951936" w:rsidP="00951936">
      <w:pPr>
        <w:rPr>
          <w:lang w:eastAsia="en-GB"/>
        </w:rPr>
      </w:pPr>
    </w:p>
    <w:p w14:paraId="1F16DB06" w14:textId="77777777" w:rsidR="00452A40" w:rsidRPr="00991DB4" w:rsidRDefault="00452A40" w:rsidP="006C318F">
      <w:pPr>
        <w:jc w:val="both"/>
        <w:rPr>
          <w:b/>
        </w:rPr>
      </w:pPr>
      <w:r>
        <w:rPr>
          <w:b/>
        </w:rPr>
        <w:t>Proposer’s View</w:t>
      </w:r>
    </w:p>
    <w:p w14:paraId="4ADD36F7" w14:textId="77777777" w:rsidR="00452A40" w:rsidRDefault="00452A40" w:rsidP="006C318F">
      <w:r>
        <w:t>In the view of the Proposer, this proposal will not have any detrimental impact on consumers and by improving the communication processes and procedures for the wider industry regarding the ongoing operation of the GB NETS this proposal will lead to a more secure system which, in turn, will benefit consumers directly</w:t>
      </w:r>
      <w:r w:rsidRPr="005C7151">
        <w:t>.</w:t>
      </w:r>
    </w:p>
    <w:p w14:paraId="7ED96551" w14:textId="77777777" w:rsidR="008815FC" w:rsidRDefault="008815FC" w:rsidP="006C318F">
      <w:pPr>
        <w:jc w:val="both"/>
        <w:rPr>
          <w:b/>
        </w:rPr>
      </w:pPr>
    </w:p>
    <w:p w14:paraId="23928E01" w14:textId="77777777" w:rsidR="00452A40" w:rsidRPr="00991DB4" w:rsidRDefault="00452A40" w:rsidP="006C318F">
      <w:pPr>
        <w:jc w:val="both"/>
        <w:rPr>
          <w:b/>
        </w:rPr>
      </w:pPr>
      <w:r>
        <w:rPr>
          <w:b/>
        </w:rPr>
        <w:t>ESO’s View</w:t>
      </w:r>
    </w:p>
    <w:p w14:paraId="485E81E6" w14:textId="7510E316" w:rsidR="00452A40" w:rsidRDefault="00452A40" w:rsidP="00452A40">
      <w:r>
        <w:t>In the view of the ESO, to share, fully explain and deal with any resulting dialogue about the system state will be a significant and ongoing task which has little clear benefit.</w:t>
      </w:r>
      <w:r w:rsidR="008815FC">
        <w:t xml:space="preserve"> </w:t>
      </w:r>
      <w:r>
        <w:t xml:space="preserve"> It therefore represents an additional cost that ultimately will be borne by consumers. </w:t>
      </w:r>
    </w:p>
    <w:p w14:paraId="63B90C76" w14:textId="77777777" w:rsidR="00452A40" w:rsidRPr="00F74C70" w:rsidRDefault="00452A40" w:rsidP="00452A40"/>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9D52EB" w14:paraId="2A570845" w14:textId="77777777" w:rsidTr="006C318F">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5E3DF6B4" w14:textId="77777777" w:rsidR="009D52EB" w:rsidRPr="00E751A2" w:rsidRDefault="009D52EB" w:rsidP="006C318F">
            <w:pPr>
              <w:pStyle w:val="TableHeading"/>
              <w:jc w:val="both"/>
              <w:rPr>
                <w:rFonts w:cs="Arial"/>
                <w:b/>
                <w:color w:val="FFFFFF" w:themeColor="background1"/>
                <w:sz w:val="24"/>
                <w:szCs w:val="20"/>
              </w:rPr>
            </w:pPr>
            <w:r w:rsidRPr="00E751A2">
              <w:rPr>
                <w:rFonts w:cs="Arial"/>
                <w:b/>
                <w:color w:val="FFFFFF" w:themeColor="background1"/>
                <w:sz w:val="24"/>
                <w:szCs w:val="20"/>
              </w:rPr>
              <w:lastRenderedPageBreak/>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0A2E3940" w14:textId="77777777" w:rsidR="009D52EB" w:rsidRPr="00E751A2" w:rsidRDefault="009D52EB" w:rsidP="006C318F">
            <w:pPr>
              <w:pStyle w:val="TableHeading"/>
              <w:jc w:val="both"/>
              <w:rPr>
                <w:rFonts w:cs="Arial"/>
                <w:b/>
                <w:color w:val="FFFFFF" w:themeColor="background1"/>
                <w:sz w:val="24"/>
                <w:szCs w:val="20"/>
              </w:rPr>
            </w:pPr>
            <w:r w:rsidRPr="00E751A2">
              <w:rPr>
                <w:rFonts w:cs="Arial"/>
                <w:b/>
                <w:color w:val="FFFFFF" w:themeColor="background1"/>
                <w:sz w:val="24"/>
                <w:szCs w:val="20"/>
              </w:rPr>
              <w:t>Number of voters that voted this option as better than the Baseline</w:t>
            </w:r>
          </w:p>
        </w:tc>
      </w:tr>
      <w:tr w:rsidR="009D52EB" w14:paraId="17F3415A" w14:textId="77777777" w:rsidTr="006C318F">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67E5057F" w14:textId="77777777" w:rsidR="009D52EB" w:rsidRPr="00E751A2" w:rsidRDefault="009D52EB" w:rsidP="006C318F">
            <w:pPr>
              <w:pStyle w:val="Tablebodycopy"/>
              <w:ind w:left="453" w:right="238" w:hanging="340"/>
              <w:jc w:val="both"/>
              <w:rPr>
                <w:rFonts w:cs="Arial"/>
                <w:color w:val="auto"/>
                <w:sz w:val="24"/>
              </w:rPr>
            </w:pPr>
            <w:r w:rsidRPr="00E751A2">
              <w:rPr>
                <w:rFonts w:cs="Arial"/>
                <w:color w:val="auto"/>
                <w:sz w:val="24"/>
              </w:rPr>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5810CF73" w14:textId="63E8CB6F" w:rsidR="009D52EB" w:rsidRPr="00E751A2" w:rsidRDefault="00725955" w:rsidP="006C318F">
            <w:pPr>
              <w:pStyle w:val="Tablebodycopy"/>
              <w:ind w:left="453" w:right="238" w:hanging="340"/>
              <w:jc w:val="both"/>
              <w:rPr>
                <w:rFonts w:cs="Arial"/>
                <w:color w:val="auto"/>
                <w:sz w:val="24"/>
              </w:rPr>
            </w:pPr>
            <w:r w:rsidRPr="00725955">
              <w:rPr>
                <w:rFonts w:cs="Arial"/>
                <w:color w:val="auto"/>
                <w:sz w:val="24"/>
                <w:highlight w:val="yellow"/>
              </w:rPr>
              <w:t>xxx</w:t>
            </w:r>
          </w:p>
        </w:tc>
      </w:tr>
    </w:tbl>
    <w:p w14:paraId="3146097C" w14:textId="77777777" w:rsidR="00470B5B" w:rsidRDefault="00470B5B" w:rsidP="005603D9"/>
    <w:p w14:paraId="66E6AFD6" w14:textId="77777777" w:rsidR="000D74DF" w:rsidRPr="005603D9" w:rsidRDefault="000E2957" w:rsidP="00BD6374">
      <w:pPr>
        <w:pStyle w:val="Heading2"/>
      </w:pPr>
      <w:bookmarkStart w:id="25" w:name="_Toc83200227"/>
      <w:r w:rsidRPr="000E2957">
        <w:t xml:space="preserve">Code Administrator </w:t>
      </w:r>
      <w:r w:rsidR="0014503B">
        <w:t>c</w:t>
      </w:r>
      <w:r w:rsidRPr="000E2957">
        <w:t xml:space="preserve">onsultation </w:t>
      </w:r>
      <w:r w:rsidR="0014503B">
        <w:t>s</w:t>
      </w:r>
      <w:r w:rsidRPr="000E2957">
        <w:t>ummary</w:t>
      </w:r>
      <w:bookmarkEnd w:id="25"/>
    </w:p>
    <w:p w14:paraId="3AF4A41F" w14:textId="3B61F6A3" w:rsidR="0052061F" w:rsidRDefault="0052061F" w:rsidP="0052061F">
      <w:pPr>
        <w:spacing w:line="268" w:lineRule="auto"/>
        <w:ind w:right="320"/>
        <w:rPr>
          <w:rStyle w:val="eop"/>
          <w:rFonts w:cs="Arial"/>
          <w:color w:val="000000"/>
          <w:shd w:val="clear" w:color="auto" w:fill="FFFFFF"/>
        </w:rPr>
      </w:pPr>
      <w:r w:rsidRPr="00D82F20">
        <w:rPr>
          <w:rStyle w:val="eop"/>
          <w:rFonts w:cs="Arial"/>
          <w:color w:val="000000"/>
          <w:shd w:val="clear" w:color="auto" w:fill="FFFFFF"/>
        </w:rPr>
        <w:t xml:space="preserve">The Code Administrator Consultation was issued on the </w:t>
      </w:r>
      <w:r w:rsidR="00935E65" w:rsidRPr="008467E2">
        <w:rPr>
          <w:rStyle w:val="eop"/>
          <w:rFonts w:cs="Arial"/>
          <w:color w:val="000000"/>
          <w:shd w:val="clear" w:color="auto" w:fill="FFFFFF"/>
        </w:rPr>
        <w:t>1</w:t>
      </w:r>
      <w:r w:rsidR="00EC28A4">
        <w:rPr>
          <w:rStyle w:val="eop"/>
          <w:rFonts w:cs="Arial"/>
          <w:color w:val="000000"/>
          <w:shd w:val="clear" w:color="auto" w:fill="FFFFFF"/>
        </w:rPr>
        <w:t>3 April</w:t>
      </w:r>
      <w:r w:rsidR="008467E2" w:rsidRPr="008467E2">
        <w:rPr>
          <w:rStyle w:val="eop"/>
          <w:rFonts w:cs="Arial"/>
          <w:color w:val="000000"/>
          <w:shd w:val="clear" w:color="auto" w:fill="FFFFFF"/>
        </w:rPr>
        <w:t xml:space="preserve"> 2021</w:t>
      </w:r>
      <w:r w:rsidR="008467E2">
        <w:rPr>
          <w:rStyle w:val="eop"/>
          <w:rFonts w:cs="Arial"/>
          <w:color w:val="000000"/>
          <w:shd w:val="clear" w:color="auto" w:fill="FFFFFF"/>
        </w:rPr>
        <w:t xml:space="preserve"> and </w:t>
      </w:r>
      <w:r w:rsidRPr="00D82F20">
        <w:rPr>
          <w:rStyle w:val="eop"/>
          <w:rFonts w:cs="Arial"/>
          <w:color w:val="000000"/>
          <w:shd w:val="clear" w:color="auto" w:fill="FFFFFF"/>
        </w:rPr>
        <w:t xml:space="preserve">closed </w:t>
      </w:r>
      <w:r w:rsidR="00EC28A4">
        <w:rPr>
          <w:rStyle w:val="eop"/>
          <w:rFonts w:cs="Arial"/>
          <w:color w:val="000000"/>
          <w:shd w:val="clear" w:color="auto" w:fill="FFFFFF"/>
        </w:rPr>
        <w:t>13 May</w:t>
      </w:r>
      <w:r w:rsidR="008467E2" w:rsidRPr="008467E2">
        <w:rPr>
          <w:rStyle w:val="eop"/>
          <w:rFonts w:cs="Arial"/>
          <w:color w:val="000000"/>
          <w:shd w:val="clear" w:color="auto" w:fill="FFFFFF"/>
        </w:rPr>
        <w:t xml:space="preserve"> 2021</w:t>
      </w:r>
      <w:r w:rsidRPr="00D82F20">
        <w:rPr>
          <w:rStyle w:val="eop"/>
          <w:rFonts w:cs="Arial"/>
          <w:color w:val="000000"/>
          <w:shd w:val="clear" w:color="auto" w:fill="FFFFFF"/>
        </w:rPr>
        <w:t xml:space="preserve"> and received </w:t>
      </w:r>
      <w:r w:rsidR="00EC28A4">
        <w:rPr>
          <w:rStyle w:val="eop"/>
          <w:rFonts w:cs="Arial"/>
          <w:color w:val="000000"/>
          <w:shd w:val="clear" w:color="auto" w:fill="FFFFFF"/>
        </w:rPr>
        <w:t>3</w:t>
      </w:r>
      <w:r w:rsidRPr="00D82F20">
        <w:rPr>
          <w:rStyle w:val="eop"/>
          <w:rFonts w:cs="Arial"/>
          <w:color w:val="000000"/>
          <w:shd w:val="clear" w:color="auto" w:fill="FFFFFF"/>
        </w:rPr>
        <w:t xml:space="preserve"> response</w:t>
      </w:r>
      <w:r w:rsidR="00285203">
        <w:rPr>
          <w:rStyle w:val="eop"/>
          <w:rFonts w:cs="Arial"/>
          <w:color w:val="000000"/>
          <w:shd w:val="clear" w:color="auto" w:fill="FFFFFF"/>
        </w:rPr>
        <w:t>s</w:t>
      </w:r>
      <w:r w:rsidR="002B37CF">
        <w:rPr>
          <w:rStyle w:val="eop"/>
          <w:rFonts w:cs="Arial"/>
          <w:color w:val="000000"/>
          <w:shd w:val="clear" w:color="auto" w:fill="FFFFFF"/>
        </w:rPr>
        <w:t xml:space="preserve"> from National Grid ESO</w:t>
      </w:r>
      <w:r w:rsidR="00EC28A4">
        <w:rPr>
          <w:rStyle w:val="eop"/>
          <w:rFonts w:cs="Arial"/>
          <w:color w:val="000000"/>
          <w:shd w:val="clear" w:color="auto" w:fill="FFFFFF"/>
        </w:rPr>
        <w:t xml:space="preserve">, </w:t>
      </w:r>
      <w:r w:rsidR="007F18B9">
        <w:rPr>
          <w:rStyle w:val="eop"/>
          <w:rFonts w:cs="Arial"/>
          <w:color w:val="000000"/>
          <w:shd w:val="clear" w:color="auto" w:fill="FFFFFF"/>
        </w:rPr>
        <w:t>Scottish Power Renewa</w:t>
      </w:r>
      <w:r w:rsidR="00315AEC">
        <w:rPr>
          <w:rStyle w:val="eop"/>
          <w:rFonts w:cs="Arial"/>
          <w:color w:val="000000"/>
          <w:shd w:val="clear" w:color="auto" w:fill="FFFFFF"/>
        </w:rPr>
        <w:t>bles and</w:t>
      </w:r>
      <w:r w:rsidR="00213B24">
        <w:rPr>
          <w:rStyle w:val="eop"/>
          <w:rFonts w:cs="Arial"/>
          <w:color w:val="000000"/>
          <w:shd w:val="clear" w:color="auto" w:fill="FFFFFF"/>
        </w:rPr>
        <w:t xml:space="preserve"> SSE Generati</w:t>
      </w:r>
      <w:r w:rsidR="00916D31">
        <w:rPr>
          <w:rStyle w:val="eop"/>
          <w:rFonts w:cs="Arial"/>
          <w:color w:val="000000"/>
          <w:shd w:val="clear" w:color="auto" w:fill="FFFFFF"/>
        </w:rPr>
        <w:t>on</w:t>
      </w:r>
      <w:r w:rsidRPr="00D82F20">
        <w:rPr>
          <w:rStyle w:val="eop"/>
          <w:rFonts w:cs="Arial"/>
          <w:color w:val="000000"/>
          <w:shd w:val="clear" w:color="auto" w:fill="FFFFFF"/>
        </w:rPr>
        <w:t xml:space="preserve">. </w:t>
      </w:r>
      <w:r w:rsidR="000850D9">
        <w:rPr>
          <w:rStyle w:val="eop"/>
          <w:rFonts w:cs="Arial"/>
          <w:color w:val="000000"/>
          <w:shd w:val="clear" w:color="auto" w:fill="FFFFFF"/>
        </w:rPr>
        <w:t>Th</w:t>
      </w:r>
      <w:r w:rsidR="00EC28A4">
        <w:rPr>
          <w:rStyle w:val="eop"/>
          <w:rFonts w:cs="Arial"/>
          <w:color w:val="000000"/>
          <w:shd w:val="clear" w:color="auto" w:fill="FFFFFF"/>
        </w:rPr>
        <w:t>ese</w:t>
      </w:r>
      <w:r w:rsidR="000850D9">
        <w:rPr>
          <w:rStyle w:val="eop"/>
          <w:rFonts w:cs="Arial"/>
          <w:color w:val="000000"/>
          <w:shd w:val="clear" w:color="auto" w:fill="FFFFFF"/>
        </w:rPr>
        <w:t xml:space="preserve"> response</w:t>
      </w:r>
      <w:r w:rsidR="00EC28A4">
        <w:rPr>
          <w:rStyle w:val="eop"/>
          <w:rFonts w:cs="Arial"/>
          <w:color w:val="000000"/>
          <w:shd w:val="clear" w:color="auto" w:fill="FFFFFF"/>
        </w:rPr>
        <w:t>s</w:t>
      </w:r>
      <w:r w:rsidRPr="00D82F20">
        <w:rPr>
          <w:rStyle w:val="eop"/>
          <w:rFonts w:cs="Arial"/>
          <w:color w:val="000000"/>
          <w:shd w:val="clear" w:color="auto" w:fill="FFFFFF"/>
        </w:rPr>
        <w:t xml:space="preserve"> can be found in Annex </w:t>
      </w:r>
      <w:r w:rsidR="00EC28A4">
        <w:rPr>
          <w:rStyle w:val="eop"/>
          <w:rFonts w:cs="Arial"/>
          <w:color w:val="000000"/>
          <w:shd w:val="clear" w:color="auto" w:fill="FFFFFF"/>
        </w:rPr>
        <w:t>4</w:t>
      </w:r>
      <w:r w:rsidR="008467E2">
        <w:rPr>
          <w:rStyle w:val="eop"/>
          <w:rFonts w:cs="Arial"/>
          <w:color w:val="000000"/>
          <w:shd w:val="clear" w:color="auto" w:fill="FFFFFF"/>
        </w:rPr>
        <w:t>.</w:t>
      </w:r>
    </w:p>
    <w:p w14:paraId="56490B02" w14:textId="77777777" w:rsidR="00470B5B" w:rsidRDefault="00470B5B" w:rsidP="005603D9"/>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31"/>
        <w:gridCol w:w="5247"/>
      </w:tblGrid>
      <w:tr w:rsidR="00764293" w:rsidRPr="00052B7F" w14:paraId="45001219" w14:textId="77777777" w:rsidTr="008371D6">
        <w:trPr>
          <w:trHeight w:val="636"/>
          <w:jc w:val="center"/>
        </w:trPr>
        <w:tc>
          <w:tcPr>
            <w:tcW w:w="5000" w:type="pct"/>
            <w:gridSpan w:val="2"/>
            <w:shd w:val="clear" w:color="auto" w:fill="F26522" w:themeFill="accent1"/>
            <w:tcMar>
              <w:top w:w="15" w:type="dxa"/>
              <w:left w:w="108" w:type="dxa"/>
              <w:bottom w:w="0" w:type="dxa"/>
              <w:right w:w="108" w:type="dxa"/>
            </w:tcMar>
          </w:tcPr>
          <w:p w14:paraId="4B382C16" w14:textId="77777777" w:rsidR="00764293" w:rsidRPr="00052B7F" w:rsidRDefault="00764293" w:rsidP="008371D6">
            <w:pPr>
              <w:rPr>
                <w:rFonts w:cs="Arial"/>
                <w:b/>
                <w:bCs/>
                <w:color w:val="FFFFFF"/>
              </w:rPr>
            </w:pPr>
            <w:r>
              <w:rPr>
                <w:rFonts w:cs="Arial"/>
                <w:b/>
                <w:bCs/>
                <w:color w:val="FFFFFF"/>
              </w:rPr>
              <w:t xml:space="preserve">Code Administrator Consultation summary </w:t>
            </w:r>
          </w:p>
        </w:tc>
      </w:tr>
      <w:tr w:rsidR="00764293" w:rsidRPr="00052B7F" w14:paraId="0D118114" w14:textId="77777777" w:rsidTr="008371D6">
        <w:trPr>
          <w:trHeight w:val="55"/>
          <w:jc w:val="center"/>
        </w:trPr>
        <w:tc>
          <w:tcPr>
            <w:tcW w:w="5000" w:type="pct"/>
            <w:gridSpan w:val="2"/>
            <w:shd w:val="clear" w:color="auto" w:fill="auto"/>
            <w:tcMar>
              <w:top w:w="15" w:type="dxa"/>
              <w:left w:w="108" w:type="dxa"/>
              <w:bottom w:w="0" w:type="dxa"/>
              <w:right w:w="108" w:type="dxa"/>
            </w:tcMar>
          </w:tcPr>
          <w:p w14:paraId="2EC31536" w14:textId="77777777" w:rsidR="00764293" w:rsidRPr="00052B7F" w:rsidRDefault="00764293" w:rsidP="008371D6">
            <w:pPr>
              <w:rPr>
                <w:rFonts w:cs="Arial"/>
                <w:b/>
              </w:rPr>
            </w:pPr>
            <w:r w:rsidRPr="00581574">
              <w:rPr>
                <w:rFonts w:cs="Arial"/>
                <w:b/>
                <w:bCs/>
              </w:rPr>
              <w:t>Question</w:t>
            </w:r>
          </w:p>
        </w:tc>
      </w:tr>
      <w:tr w:rsidR="003C3E6F" w:rsidRPr="00052B7F" w14:paraId="0736D0EC" w14:textId="77777777" w:rsidTr="008371D6">
        <w:trPr>
          <w:trHeight w:val="55"/>
          <w:jc w:val="center"/>
        </w:trPr>
        <w:tc>
          <w:tcPr>
            <w:tcW w:w="2232" w:type="pct"/>
            <w:shd w:val="clear" w:color="auto" w:fill="auto"/>
            <w:tcMar>
              <w:top w:w="15" w:type="dxa"/>
              <w:left w:w="108" w:type="dxa"/>
              <w:bottom w:w="0" w:type="dxa"/>
              <w:right w:w="108" w:type="dxa"/>
            </w:tcMar>
          </w:tcPr>
          <w:p w14:paraId="7391822D" w14:textId="5B2B4392" w:rsidR="003C3E6F" w:rsidRPr="00260B04" w:rsidRDefault="003C3E6F" w:rsidP="003C3E6F">
            <w:pPr>
              <w:rPr>
                <w:rFonts w:cs="Arial"/>
                <w:bCs/>
              </w:rPr>
            </w:pPr>
            <w:r w:rsidRPr="00260B04">
              <w:rPr>
                <w:rFonts w:cs="Arial"/>
                <w:bCs/>
              </w:rPr>
              <w:t xml:space="preserve">Do you believe that the </w:t>
            </w:r>
            <w:r>
              <w:rPr>
                <w:rFonts w:cs="Arial"/>
                <w:bCs/>
              </w:rPr>
              <w:t>G</w:t>
            </w:r>
            <w:r>
              <w:rPr>
                <w:bCs/>
              </w:rPr>
              <w:t>C01</w:t>
            </w:r>
            <w:r w:rsidR="0064769C">
              <w:rPr>
                <w:bCs/>
              </w:rPr>
              <w:t xml:space="preserve">33 </w:t>
            </w:r>
            <w:r w:rsidRPr="00260B04">
              <w:rPr>
                <w:rFonts w:cs="Arial"/>
                <w:bCs/>
              </w:rPr>
              <w:t>Original Proposal better facilitates the Grid Code</w:t>
            </w:r>
            <w:r>
              <w:rPr>
                <w:rFonts w:cs="Arial"/>
                <w:bCs/>
              </w:rPr>
              <w:t xml:space="preserve"> Ob</w:t>
            </w:r>
            <w:r w:rsidRPr="00260B04">
              <w:rPr>
                <w:rFonts w:cs="Arial"/>
                <w:bCs/>
              </w:rPr>
              <w:t>jectives?</w:t>
            </w:r>
          </w:p>
        </w:tc>
        <w:tc>
          <w:tcPr>
            <w:tcW w:w="2768" w:type="pct"/>
          </w:tcPr>
          <w:p w14:paraId="5BF4C6D2" w14:textId="77777777" w:rsidR="003C3E6F" w:rsidRPr="002C7369" w:rsidRDefault="00730B6F" w:rsidP="003C3E6F">
            <w:pPr>
              <w:rPr>
                <w:rFonts w:cs="Arial"/>
              </w:rPr>
            </w:pPr>
            <w:r w:rsidRPr="002C7369">
              <w:rPr>
                <w:rFonts w:cs="Arial"/>
              </w:rPr>
              <w:t xml:space="preserve">Two out of the three respondents supported the Original proposal </w:t>
            </w:r>
            <w:r w:rsidR="001922A5" w:rsidRPr="002C7369">
              <w:rPr>
                <w:rFonts w:cs="Arial"/>
              </w:rPr>
              <w:t>in that it better facilitates the Grid Code objectives.</w:t>
            </w:r>
          </w:p>
          <w:p w14:paraId="32645BC6" w14:textId="513384F1" w:rsidR="001922A5" w:rsidRPr="002C7369" w:rsidRDefault="001922A5" w:rsidP="003C3E6F">
            <w:pPr>
              <w:rPr>
                <w:rFonts w:cs="Arial"/>
              </w:rPr>
            </w:pPr>
          </w:p>
          <w:p w14:paraId="407FE087" w14:textId="38CE8EC8" w:rsidR="00854FB0" w:rsidRPr="002C7369" w:rsidRDefault="00854FB0" w:rsidP="003C3E6F">
            <w:pPr>
              <w:rPr>
                <w:rFonts w:cs="Arial"/>
              </w:rPr>
            </w:pPr>
            <w:r w:rsidRPr="002C7369">
              <w:rPr>
                <w:rFonts w:cs="Arial"/>
              </w:rPr>
              <w:t>These two respondents believe that if market participants are constantly informed of the GB NETS ‘System State’ condition they can then work more efficiently to support the ESO’s operation of the NETS based on the provision of reliant and up-to-date information.</w:t>
            </w:r>
          </w:p>
          <w:p w14:paraId="67485490" w14:textId="5CE10435" w:rsidR="00495E42" w:rsidRPr="002C7369" w:rsidRDefault="00495E42" w:rsidP="003C3E6F">
            <w:pPr>
              <w:rPr>
                <w:rFonts w:cs="Arial"/>
              </w:rPr>
            </w:pPr>
          </w:p>
          <w:p w14:paraId="139C2826" w14:textId="34170834" w:rsidR="00495E42" w:rsidRPr="002C7369" w:rsidRDefault="00495E42" w:rsidP="00495E42">
            <w:pPr>
              <w:autoSpaceDE w:val="0"/>
              <w:autoSpaceDN w:val="0"/>
              <w:adjustRightInd w:val="0"/>
              <w:spacing w:after="33" w:line="240" w:lineRule="auto"/>
              <w:rPr>
                <w:rFonts w:cs="Arial"/>
              </w:rPr>
            </w:pPr>
            <w:r w:rsidRPr="002C7369">
              <w:rPr>
                <w:rFonts w:cs="Arial"/>
              </w:rPr>
              <w:t xml:space="preserve">They also believe that this will create additional transparency for </w:t>
            </w:r>
            <w:r w:rsidR="006D5422" w:rsidRPr="002C7369">
              <w:rPr>
                <w:rFonts w:cs="Arial"/>
              </w:rPr>
              <w:t>the whole</w:t>
            </w:r>
            <w:r w:rsidRPr="002C7369">
              <w:rPr>
                <w:rFonts w:cs="Arial"/>
              </w:rPr>
              <w:t xml:space="preserve"> industry</w:t>
            </w:r>
            <w:r w:rsidR="006D5422" w:rsidRPr="002C7369">
              <w:rPr>
                <w:rFonts w:cs="Arial"/>
              </w:rPr>
              <w:t xml:space="preserve"> and </w:t>
            </w:r>
            <w:r w:rsidRPr="002C7369">
              <w:rPr>
                <w:rFonts w:cs="Arial"/>
              </w:rPr>
              <w:t>result in enhanced operations of the GB NETS</w:t>
            </w:r>
            <w:r w:rsidR="00801DC6" w:rsidRPr="002C7369">
              <w:rPr>
                <w:rFonts w:cs="Arial"/>
              </w:rPr>
              <w:t xml:space="preserve"> </w:t>
            </w:r>
            <w:r w:rsidR="00801DC6" w:rsidRPr="002C7369">
              <w:t>as is required by Article 4(1)(g) and 4(2)(b) of the System Operation Guidelines),</w:t>
            </w:r>
            <w:r w:rsidRPr="002C7369">
              <w:rPr>
                <w:rFonts w:cs="Arial"/>
              </w:rPr>
              <w:t xml:space="preserve"> allowing for improved security and efficiency of the overall system. </w:t>
            </w:r>
          </w:p>
          <w:p w14:paraId="3F6B54AC" w14:textId="19E7CDE6" w:rsidR="00495E42" w:rsidRPr="002C7369" w:rsidRDefault="00495E42" w:rsidP="003C3E6F">
            <w:pPr>
              <w:rPr>
                <w:rFonts w:cs="Arial"/>
              </w:rPr>
            </w:pPr>
          </w:p>
          <w:p w14:paraId="508A172B" w14:textId="4CA691F0" w:rsidR="007221B8" w:rsidRPr="002C7369" w:rsidRDefault="007221B8" w:rsidP="007221B8">
            <w:pPr>
              <w:pStyle w:val="Default"/>
              <w:rPr>
                <w:color w:val="auto"/>
                <w:sz w:val="23"/>
                <w:szCs w:val="23"/>
              </w:rPr>
            </w:pPr>
            <w:r w:rsidRPr="002C7369">
              <w:rPr>
                <w:color w:val="auto"/>
              </w:rPr>
              <w:t xml:space="preserve">One respondent believes that </w:t>
            </w:r>
            <w:r w:rsidRPr="002C7369">
              <w:rPr>
                <w:color w:val="auto"/>
                <w:sz w:val="23"/>
                <w:szCs w:val="23"/>
              </w:rPr>
              <w:t xml:space="preserve">the ESO itself has full access to all this information on the System State: therefore, it is not in a strong position to judge what value market participants, stakeholders and end consumers will obtain from greater transparency of this information in a timely manner. </w:t>
            </w:r>
          </w:p>
          <w:p w14:paraId="5A1304FF" w14:textId="77777777" w:rsidR="00A624F6" w:rsidRPr="002C7369" w:rsidRDefault="00A624F6" w:rsidP="007221B8">
            <w:pPr>
              <w:pStyle w:val="Default"/>
              <w:rPr>
                <w:color w:val="auto"/>
                <w:sz w:val="23"/>
                <w:szCs w:val="23"/>
              </w:rPr>
            </w:pPr>
          </w:p>
          <w:p w14:paraId="2948F8DD" w14:textId="51A93BEA" w:rsidR="007221B8" w:rsidRPr="002C7369" w:rsidRDefault="002C7369" w:rsidP="007221B8">
            <w:pPr>
              <w:pStyle w:val="Default"/>
              <w:rPr>
                <w:color w:val="auto"/>
                <w:sz w:val="22"/>
                <w:szCs w:val="22"/>
              </w:rPr>
            </w:pPr>
            <w:r w:rsidRPr="002C7369">
              <w:rPr>
                <w:color w:val="auto"/>
                <w:sz w:val="23"/>
                <w:szCs w:val="23"/>
              </w:rPr>
              <w:t>The respondent believes that the c</w:t>
            </w:r>
            <w:r w:rsidR="007221B8" w:rsidRPr="002C7369">
              <w:rPr>
                <w:color w:val="auto"/>
                <w:sz w:val="23"/>
                <w:szCs w:val="23"/>
              </w:rPr>
              <w:t>hanges to the System State</w:t>
            </w:r>
            <w:r w:rsidRPr="002C7369">
              <w:rPr>
                <w:color w:val="auto"/>
                <w:sz w:val="23"/>
                <w:szCs w:val="23"/>
              </w:rPr>
              <w:t xml:space="preserve"> will result in the following benefits:-</w:t>
            </w:r>
            <w:r w:rsidR="007221B8" w:rsidRPr="002C7369">
              <w:rPr>
                <w:color w:val="auto"/>
                <w:sz w:val="23"/>
                <w:szCs w:val="23"/>
              </w:rPr>
              <w:t xml:space="preserve"> </w:t>
            </w:r>
          </w:p>
          <w:p w14:paraId="6F80107F" w14:textId="77777777" w:rsidR="007221B8" w:rsidRPr="002C7369" w:rsidRDefault="007221B8" w:rsidP="007221B8"/>
          <w:p w14:paraId="1F05CCA7" w14:textId="77777777" w:rsidR="007221B8" w:rsidRPr="002C7369" w:rsidRDefault="007221B8" w:rsidP="007221B8">
            <w:pPr>
              <w:pStyle w:val="Default"/>
              <w:spacing w:after="160"/>
              <w:rPr>
                <w:color w:val="auto"/>
                <w:sz w:val="23"/>
                <w:szCs w:val="23"/>
              </w:rPr>
            </w:pPr>
            <w:r w:rsidRPr="002C7369">
              <w:rPr>
                <w:color w:val="auto"/>
                <w:sz w:val="23"/>
                <w:szCs w:val="23"/>
              </w:rPr>
              <w:t xml:space="preserve">(i) leads to deeper understanding and greater clarity of the operation of the transmission system; </w:t>
            </w:r>
          </w:p>
          <w:p w14:paraId="3C88E787" w14:textId="77777777" w:rsidR="007221B8" w:rsidRPr="002C7369" w:rsidRDefault="007221B8" w:rsidP="007221B8">
            <w:pPr>
              <w:pStyle w:val="Default"/>
              <w:spacing w:after="160"/>
              <w:rPr>
                <w:color w:val="auto"/>
                <w:sz w:val="23"/>
                <w:szCs w:val="23"/>
              </w:rPr>
            </w:pPr>
            <w:r w:rsidRPr="002C7369">
              <w:rPr>
                <w:color w:val="auto"/>
                <w:sz w:val="23"/>
                <w:szCs w:val="23"/>
              </w:rPr>
              <w:t xml:space="preserve">(ii) leads to better decision making; </w:t>
            </w:r>
          </w:p>
          <w:p w14:paraId="6B26FD1B" w14:textId="77777777" w:rsidR="007221B8" w:rsidRPr="002C7369" w:rsidRDefault="007221B8" w:rsidP="007221B8">
            <w:pPr>
              <w:pStyle w:val="Default"/>
              <w:spacing w:after="160"/>
              <w:rPr>
                <w:color w:val="auto"/>
                <w:sz w:val="23"/>
                <w:szCs w:val="23"/>
              </w:rPr>
            </w:pPr>
            <w:r w:rsidRPr="002C7369">
              <w:rPr>
                <w:color w:val="auto"/>
                <w:sz w:val="23"/>
                <w:szCs w:val="23"/>
              </w:rPr>
              <w:t xml:space="preserve">(iii) leads to a more efficient electricity market; </w:t>
            </w:r>
          </w:p>
          <w:p w14:paraId="51C8F78F" w14:textId="77777777" w:rsidR="007221B8" w:rsidRPr="002C7369" w:rsidRDefault="007221B8" w:rsidP="007221B8">
            <w:pPr>
              <w:pStyle w:val="Default"/>
              <w:spacing w:after="160"/>
              <w:rPr>
                <w:color w:val="auto"/>
                <w:sz w:val="23"/>
                <w:szCs w:val="23"/>
              </w:rPr>
            </w:pPr>
            <w:r w:rsidRPr="002C7369">
              <w:rPr>
                <w:color w:val="auto"/>
                <w:sz w:val="23"/>
                <w:szCs w:val="23"/>
              </w:rPr>
              <w:lastRenderedPageBreak/>
              <w:t xml:space="preserve">(iv) leads to enhanced competition within the electricity market; and </w:t>
            </w:r>
          </w:p>
          <w:p w14:paraId="25CE0171" w14:textId="77777777" w:rsidR="007221B8" w:rsidRPr="002C7369" w:rsidRDefault="007221B8" w:rsidP="007221B8">
            <w:pPr>
              <w:pStyle w:val="Default"/>
              <w:rPr>
                <w:color w:val="auto"/>
                <w:sz w:val="23"/>
                <w:szCs w:val="23"/>
              </w:rPr>
            </w:pPr>
            <w:r w:rsidRPr="002C7369">
              <w:rPr>
                <w:color w:val="auto"/>
                <w:sz w:val="23"/>
                <w:szCs w:val="23"/>
              </w:rPr>
              <w:t xml:space="preserve">(v) leads to lower costs to consumers. </w:t>
            </w:r>
          </w:p>
          <w:p w14:paraId="6CD2B1BD" w14:textId="5B07AD24" w:rsidR="007221B8" w:rsidRPr="002C7369" w:rsidRDefault="007221B8" w:rsidP="003C3E6F">
            <w:pPr>
              <w:rPr>
                <w:rFonts w:cs="Arial"/>
              </w:rPr>
            </w:pPr>
          </w:p>
          <w:p w14:paraId="67633DCC" w14:textId="671F406B" w:rsidR="001922A5" w:rsidRDefault="00A76FB1" w:rsidP="003C3E6F">
            <w:pPr>
              <w:rPr>
                <w:rFonts w:cs="Arial"/>
              </w:rPr>
            </w:pPr>
            <w:r>
              <w:rPr>
                <w:rFonts w:cs="Arial"/>
              </w:rPr>
              <w:t xml:space="preserve">One of the three respondents </w:t>
            </w:r>
            <w:r w:rsidR="00B779FC">
              <w:rPr>
                <w:rFonts w:cs="Arial"/>
              </w:rPr>
              <w:t>do</w:t>
            </w:r>
            <w:r>
              <w:rPr>
                <w:rFonts w:cs="Arial"/>
              </w:rPr>
              <w:t xml:space="preserve"> not believe that th</w:t>
            </w:r>
            <w:r w:rsidR="0009588D">
              <w:rPr>
                <w:rFonts w:cs="Arial"/>
              </w:rPr>
              <w:t xml:space="preserve">is </w:t>
            </w:r>
            <w:r>
              <w:rPr>
                <w:rFonts w:cs="Arial"/>
              </w:rPr>
              <w:t xml:space="preserve">proposal </w:t>
            </w:r>
            <w:r w:rsidR="00BB141D">
              <w:rPr>
                <w:rFonts w:cs="Arial"/>
              </w:rPr>
              <w:t>better facilitates the Grid Code objectives.</w:t>
            </w:r>
          </w:p>
          <w:p w14:paraId="63ACB354" w14:textId="562B8857" w:rsidR="006D1339" w:rsidRDefault="006D1339" w:rsidP="003C3E6F">
            <w:pPr>
              <w:rPr>
                <w:rFonts w:cs="Arial"/>
              </w:rPr>
            </w:pPr>
          </w:p>
          <w:p w14:paraId="634E2651" w14:textId="0BA0927D" w:rsidR="00115306" w:rsidRPr="00115306" w:rsidRDefault="00A1411C" w:rsidP="00115306">
            <w:pPr>
              <w:rPr>
                <w:rFonts w:cs="Arial"/>
              </w:rPr>
            </w:pPr>
            <w:r>
              <w:rPr>
                <w:rFonts w:cs="Arial"/>
              </w:rPr>
              <w:t xml:space="preserve">Their rationale is that </w:t>
            </w:r>
            <w:r w:rsidR="00FE2D5D">
              <w:rPr>
                <w:rFonts w:cs="Arial"/>
              </w:rPr>
              <w:t xml:space="preserve">the work carried out by the workgroup does not address the </w:t>
            </w:r>
            <w:r w:rsidR="00DC72A3">
              <w:rPr>
                <w:rFonts w:cs="Arial"/>
              </w:rPr>
              <w:t>requirements</w:t>
            </w:r>
            <w:r w:rsidR="008B502F">
              <w:rPr>
                <w:rFonts w:cs="Arial"/>
              </w:rPr>
              <w:t xml:space="preserve"> as listed below</w:t>
            </w:r>
            <w:r w:rsidR="00DC72A3">
              <w:rPr>
                <w:rFonts w:cs="Arial"/>
              </w:rPr>
              <w:t xml:space="preserve"> in the </w:t>
            </w:r>
            <w:r w:rsidR="006C318F">
              <w:rPr>
                <w:rFonts w:cs="Arial"/>
              </w:rPr>
              <w:t>send back</w:t>
            </w:r>
            <w:r w:rsidR="00DC72A3">
              <w:rPr>
                <w:rFonts w:cs="Arial"/>
              </w:rPr>
              <w:t xml:space="preserve"> letter from the Authority</w:t>
            </w:r>
            <w:r w:rsidR="008B502F">
              <w:rPr>
                <w:rFonts w:cs="Arial"/>
              </w:rPr>
              <w:t>:</w:t>
            </w:r>
          </w:p>
          <w:p w14:paraId="4820D7C7" w14:textId="77777777" w:rsidR="00115306" w:rsidRPr="00115306" w:rsidRDefault="00115306" w:rsidP="00115306">
            <w:pPr>
              <w:rPr>
                <w:rFonts w:cs="Arial"/>
              </w:rPr>
            </w:pPr>
            <w:r w:rsidRPr="00115306">
              <w:rPr>
                <w:rFonts w:cs="Arial"/>
              </w:rPr>
              <w:t>•</w:t>
            </w:r>
            <w:r w:rsidRPr="00115306">
              <w:rPr>
                <w:rFonts w:cs="Arial"/>
              </w:rPr>
              <w:tab/>
              <w:t>The benefits of the modification to market participants and stakeholders; and</w:t>
            </w:r>
          </w:p>
          <w:p w14:paraId="3D72A5CA" w14:textId="493702F1" w:rsidR="00115306" w:rsidRDefault="00115306" w:rsidP="00115306">
            <w:pPr>
              <w:rPr>
                <w:rFonts w:cs="Arial"/>
              </w:rPr>
            </w:pPr>
            <w:r w:rsidRPr="00115306">
              <w:rPr>
                <w:rFonts w:cs="Arial"/>
              </w:rPr>
              <w:t>•</w:t>
            </w:r>
            <w:r w:rsidRPr="00115306">
              <w:rPr>
                <w:rFonts w:cs="Arial"/>
              </w:rPr>
              <w:tab/>
              <w:t>The challenges to the ESO of providing this information, including the challenges of publishing the reasons for the changes of system state condition.</w:t>
            </w:r>
            <w:r w:rsidR="004F58D7">
              <w:rPr>
                <w:rFonts w:cs="Arial"/>
              </w:rPr>
              <w:t xml:space="preserve"> They feel that </w:t>
            </w:r>
            <w:r w:rsidRPr="00115306">
              <w:rPr>
                <w:rFonts w:cs="Arial"/>
              </w:rPr>
              <w:t xml:space="preserve">although a further discussion of the merits of the solution resting on greater transparency took place </w:t>
            </w:r>
            <w:r w:rsidR="004F58D7">
              <w:rPr>
                <w:rFonts w:cs="Arial"/>
              </w:rPr>
              <w:t>it was without</w:t>
            </w:r>
            <w:r w:rsidRPr="00115306">
              <w:rPr>
                <w:rFonts w:cs="Arial"/>
              </w:rPr>
              <w:t xml:space="preserve"> determining specific benefits.</w:t>
            </w:r>
          </w:p>
          <w:p w14:paraId="5E78BE6D" w14:textId="77777777" w:rsidR="001A28DC" w:rsidRPr="00115306" w:rsidRDefault="001A28DC" w:rsidP="00115306">
            <w:pPr>
              <w:rPr>
                <w:rFonts w:cs="Arial"/>
              </w:rPr>
            </w:pPr>
          </w:p>
          <w:p w14:paraId="5FEBB855" w14:textId="60BE6D94" w:rsidR="00115306" w:rsidRPr="00115306" w:rsidRDefault="004F58D7" w:rsidP="00115306">
            <w:pPr>
              <w:rPr>
                <w:rFonts w:cs="Arial"/>
              </w:rPr>
            </w:pPr>
            <w:r>
              <w:rPr>
                <w:rFonts w:cs="Arial"/>
              </w:rPr>
              <w:t>The respondent be</w:t>
            </w:r>
            <w:r w:rsidR="001A28DC">
              <w:rPr>
                <w:rFonts w:cs="Arial"/>
              </w:rPr>
              <w:t xml:space="preserve">lieves that it </w:t>
            </w:r>
            <w:r w:rsidR="00115306" w:rsidRPr="00115306">
              <w:rPr>
                <w:rFonts w:cs="Arial"/>
              </w:rPr>
              <w:t>is not clear what stakeholders will do with the system state information or what positive steps, of benefit to the consumer, they would be able to take upon receiving it</w:t>
            </w:r>
            <w:r w:rsidR="001A28DC">
              <w:rPr>
                <w:rFonts w:cs="Arial"/>
              </w:rPr>
              <w:t>.</w:t>
            </w:r>
          </w:p>
          <w:p w14:paraId="3460CBCE" w14:textId="77777777" w:rsidR="00115306" w:rsidRPr="00115306" w:rsidRDefault="00115306" w:rsidP="00115306">
            <w:pPr>
              <w:rPr>
                <w:rFonts w:cs="Arial"/>
              </w:rPr>
            </w:pPr>
          </w:p>
          <w:p w14:paraId="0077689E" w14:textId="77777777" w:rsidR="00115306" w:rsidRPr="00115306" w:rsidRDefault="00115306" w:rsidP="00115306">
            <w:pPr>
              <w:rPr>
                <w:rFonts w:cs="Arial"/>
              </w:rPr>
            </w:pPr>
            <w:r w:rsidRPr="00115306">
              <w:rPr>
                <w:rFonts w:cs="Arial"/>
              </w:rPr>
              <w:t>The modification is neutral against objectives (a) and (b) in neither facilitating development of the system nor competition in generation.</w:t>
            </w:r>
          </w:p>
          <w:p w14:paraId="7FF53383" w14:textId="77777777" w:rsidR="00115306" w:rsidRPr="00115306" w:rsidRDefault="00115306" w:rsidP="00115306">
            <w:pPr>
              <w:rPr>
                <w:rFonts w:cs="Arial"/>
              </w:rPr>
            </w:pPr>
          </w:p>
          <w:p w14:paraId="7CC618AE" w14:textId="77777777" w:rsidR="00115306" w:rsidRPr="00115306" w:rsidRDefault="00115306" w:rsidP="00115306">
            <w:pPr>
              <w:rPr>
                <w:rFonts w:cs="Arial"/>
              </w:rPr>
            </w:pPr>
            <w:r w:rsidRPr="00115306">
              <w:rPr>
                <w:rFonts w:cs="Arial"/>
              </w:rPr>
              <w:t>Better communication during an emergency could highlight a positive against (c) in enhancing security of the system, but is neutral for the modification as a whole. As a benefit of this modification has not been identified then it is negative against (d) in ultimately costing consumers money and impacting efficiency, and finally it is neutral against (e) in having no impact on code administration arrangements.</w:t>
            </w:r>
          </w:p>
          <w:p w14:paraId="56ADCCC3" w14:textId="77777777" w:rsidR="00115306" w:rsidRPr="00115306" w:rsidRDefault="00115306" w:rsidP="00115306">
            <w:pPr>
              <w:rPr>
                <w:rFonts w:cs="Arial"/>
              </w:rPr>
            </w:pPr>
          </w:p>
          <w:p w14:paraId="18249195" w14:textId="77777777" w:rsidR="00115306" w:rsidRDefault="00115306" w:rsidP="003C3E6F">
            <w:pPr>
              <w:rPr>
                <w:rFonts w:cs="Arial"/>
              </w:rPr>
            </w:pPr>
          </w:p>
          <w:p w14:paraId="303BF51B" w14:textId="6546AECC" w:rsidR="006D1339" w:rsidRPr="002C7369" w:rsidRDefault="006D1339" w:rsidP="003C3E6F">
            <w:pPr>
              <w:rPr>
                <w:rFonts w:cs="Arial"/>
              </w:rPr>
            </w:pPr>
          </w:p>
        </w:tc>
      </w:tr>
      <w:tr w:rsidR="003C3E6F" w:rsidRPr="00052B7F" w14:paraId="04D0920B" w14:textId="77777777" w:rsidTr="008371D6">
        <w:trPr>
          <w:trHeight w:val="55"/>
          <w:jc w:val="center"/>
        </w:trPr>
        <w:tc>
          <w:tcPr>
            <w:tcW w:w="2232" w:type="pct"/>
            <w:shd w:val="clear" w:color="auto" w:fill="auto"/>
            <w:tcMar>
              <w:top w:w="15" w:type="dxa"/>
              <w:left w:w="108" w:type="dxa"/>
              <w:bottom w:w="0" w:type="dxa"/>
              <w:right w:w="108" w:type="dxa"/>
            </w:tcMar>
          </w:tcPr>
          <w:p w14:paraId="5CF9A57B" w14:textId="77777777" w:rsidR="003C3E6F" w:rsidRPr="00260B04" w:rsidRDefault="003C3E6F" w:rsidP="003C3E6F">
            <w:pPr>
              <w:rPr>
                <w:rFonts w:cs="Arial"/>
              </w:rPr>
            </w:pPr>
            <w:r w:rsidRPr="00260B04">
              <w:rPr>
                <w:rStyle w:val="normaltextrun"/>
                <w:rFonts w:cs="Arial"/>
              </w:rPr>
              <w:lastRenderedPageBreak/>
              <w:t>Do you support the proposed implementation approach?</w:t>
            </w:r>
            <w:r w:rsidRPr="00260B04">
              <w:rPr>
                <w:rStyle w:val="eop"/>
                <w:rFonts w:cs="Arial"/>
              </w:rPr>
              <w:t> </w:t>
            </w:r>
          </w:p>
        </w:tc>
        <w:tc>
          <w:tcPr>
            <w:tcW w:w="2768" w:type="pct"/>
          </w:tcPr>
          <w:p w14:paraId="185D2583" w14:textId="160934A1" w:rsidR="00A57237" w:rsidRDefault="00A57237" w:rsidP="00A57237">
            <w:pPr>
              <w:rPr>
                <w:rFonts w:cs="Arial"/>
              </w:rPr>
            </w:pPr>
            <w:r>
              <w:rPr>
                <w:rFonts w:cs="Arial"/>
              </w:rPr>
              <w:t>One of the three respondents believes that a</w:t>
            </w:r>
            <w:r w:rsidRPr="007563D5">
              <w:rPr>
                <w:rFonts w:cs="Arial"/>
              </w:rPr>
              <w:t xml:space="preserve">n implementation date of </w:t>
            </w:r>
            <w:r w:rsidR="00213A57">
              <w:rPr>
                <w:rFonts w:cs="Arial"/>
              </w:rPr>
              <w:t>around</w:t>
            </w:r>
            <w:r w:rsidRPr="007563D5">
              <w:rPr>
                <w:rFonts w:cs="Arial"/>
              </w:rPr>
              <w:t xml:space="preserve"> 6 months after the code modification </w:t>
            </w:r>
            <w:r w:rsidR="00213A57">
              <w:rPr>
                <w:rFonts w:cs="Arial"/>
              </w:rPr>
              <w:t>is</w:t>
            </w:r>
            <w:r w:rsidRPr="007563D5">
              <w:rPr>
                <w:rFonts w:cs="Arial"/>
              </w:rPr>
              <w:t xml:space="preserve"> approved would give the ESO time to develop, with stakeholders, the right </w:t>
            </w:r>
            <w:r w:rsidRPr="007563D5">
              <w:rPr>
                <w:rFonts w:cs="Arial"/>
              </w:rPr>
              <w:lastRenderedPageBreak/>
              <w:t>messaging required to support the basic system state information</w:t>
            </w:r>
            <w:r>
              <w:rPr>
                <w:rFonts w:cs="Arial"/>
              </w:rPr>
              <w:t>,</w:t>
            </w:r>
            <w:r w:rsidRPr="007563D5">
              <w:rPr>
                <w:rFonts w:cs="Arial"/>
              </w:rPr>
              <w:t xml:space="preserve"> to make sure that this was suitable</w:t>
            </w:r>
            <w:r>
              <w:rPr>
                <w:rFonts w:cs="Arial"/>
              </w:rPr>
              <w:t xml:space="preserve">, and to </w:t>
            </w:r>
            <w:r w:rsidRPr="007563D5">
              <w:rPr>
                <w:rFonts w:cs="Arial"/>
              </w:rPr>
              <w:t>limit the risk of misinterpretation.</w:t>
            </w:r>
          </w:p>
          <w:p w14:paraId="569E8C94" w14:textId="77777777" w:rsidR="00213A57" w:rsidRDefault="00213A57" w:rsidP="00A57237">
            <w:pPr>
              <w:rPr>
                <w:rFonts w:cs="Arial"/>
              </w:rPr>
            </w:pPr>
          </w:p>
          <w:p w14:paraId="2F187376" w14:textId="0F694BFB" w:rsidR="00213A57" w:rsidRDefault="00F1088F" w:rsidP="00F1088F">
            <w:pPr>
              <w:pStyle w:val="Default"/>
            </w:pPr>
            <w:r w:rsidRPr="00F1088F">
              <w:t xml:space="preserve">Given that the </w:t>
            </w:r>
            <w:r w:rsidRPr="00F1088F">
              <w:rPr>
                <w:sz w:val="23"/>
                <w:szCs w:val="23"/>
              </w:rPr>
              <w:t>system state is currently monitored and updated by the ESO through the ENTSO-E Awareness System which is a platform for information sharing with other TSOs used within the ESO Control Room</w:t>
            </w:r>
            <w:r>
              <w:rPr>
                <w:sz w:val="23"/>
                <w:szCs w:val="23"/>
              </w:rPr>
              <w:t xml:space="preserve">. Therefore one respondent feels that continually determining the state of the GB system and updating the BMRS accordingly are both tasks that are currently undertaken today by the ESO, there would be no need for either a transition period or a prolonged implementation period. </w:t>
            </w:r>
            <w:r>
              <w:t xml:space="preserve"> </w:t>
            </w:r>
          </w:p>
          <w:p w14:paraId="0972DA96" w14:textId="77777777" w:rsidR="00EF61E4" w:rsidRDefault="00EF61E4" w:rsidP="00F1088F">
            <w:pPr>
              <w:pStyle w:val="Default"/>
            </w:pPr>
          </w:p>
          <w:p w14:paraId="0BCC3E83" w14:textId="61894B84" w:rsidR="00EF61E4" w:rsidRPr="00F1088F" w:rsidRDefault="00EF61E4" w:rsidP="00F1088F">
            <w:pPr>
              <w:pStyle w:val="Default"/>
              <w:rPr>
                <w:sz w:val="23"/>
                <w:szCs w:val="23"/>
              </w:rPr>
            </w:pPr>
            <w:r>
              <w:t>The third respondent supported the implementation approach.</w:t>
            </w:r>
          </w:p>
          <w:p w14:paraId="704E3EEA" w14:textId="6C44EE15" w:rsidR="003C3E6F" w:rsidRPr="00052B7F" w:rsidRDefault="003C3E6F" w:rsidP="003C3E6F">
            <w:pPr>
              <w:rPr>
                <w:rFonts w:cs="Arial"/>
                <w:b/>
              </w:rPr>
            </w:pPr>
          </w:p>
        </w:tc>
      </w:tr>
      <w:tr w:rsidR="003C3E6F" w:rsidRPr="00052B7F" w14:paraId="06DF9573" w14:textId="77777777" w:rsidTr="008371D6">
        <w:trPr>
          <w:trHeight w:val="55"/>
          <w:jc w:val="center"/>
        </w:trPr>
        <w:tc>
          <w:tcPr>
            <w:tcW w:w="2232" w:type="pct"/>
            <w:shd w:val="clear" w:color="auto" w:fill="auto"/>
            <w:tcMar>
              <w:top w:w="15" w:type="dxa"/>
              <w:left w:w="108" w:type="dxa"/>
              <w:bottom w:w="0" w:type="dxa"/>
              <w:right w:w="108" w:type="dxa"/>
            </w:tcMar>
          </w:tcPr>
          <w:p w14:paraId="507F6D5D" w14:textId="77777777" w:rsidR="003C3E6F" w:rsidRPr="00260B04" w:rsidRDefault="003C3E6F" w:rsidP="003C3E6F">
            <w:pPr>
              <w:rPr>
                <w:rFonts w:cs="Arial"/>
                <w:bCs/>
              </w:rPr>
            </w:pPr>
            <w:r w:rsidRPr="00260B04">
              <w:rPr>
                <w:rFonts w:cs="Arial"/>
                <w:bCs/>
              </w:rPr>
              <w:lastRenderedPageBreak/>
              <w:t>Do you have any other comments?</w:t>
            </w:r>
          </w:p>
        </w:tc>
        <w:tc>
          <w:tcPr>
            <w:tcW w:w="2768" w:type="pct"/>
          </w:tcPr>
          <w:p w14:paraId="7FD21639" w14:textId="0F0997C2" w:rsidR="004B65F0" w:rsidRDefault="004B65F0" w:rsidP="004B65F0">
            <w:pPr>
              <w:rPr>
                <w:rFonts w:cs="Arial"/>
              </w:rPr>
            </w:pPr>
            <w:r w:rsidRPr="003D3E89">
              <w:rPr>
                <w:rFonts w:cs="Arial"/>
              </w:rPr>
              <w:t>The</w:t>
            </w:r>
            <w:r w:rsidR="006C4200">
              <w:rPr>
                <w:rFonts w:cs="Arial"/>
              </w:rPr>
              <w:t>re</w:t>
            </w:r>
            <w:r>
              <w:rPr>
                <w:rFonts w:cs="Arial"/>
              </w:rPr>
              <w:t xml:space="preserve"> is concern from one respondent on the potential for</w:t>
            </w:r>
            <w:r w:rsidRPr="003D3E89">
              <w:rPr>
                <w:rFonts w:cs="Arial"/>
              </w:rPr>
              <w:t xml:space="preserve"> media misreporting of the system state</w:t>
            </w:r>
            <w:r>
              <w:rPr>
                <w:rFonts w:cs="Arial"/>
              </w:rPr>
              <w:t xml:space="preserve"> </w:t>
            </w:r>
            <w:r w:rsidRPr="003D3E89">
              <w:rPr>
                <w:rFonts w:cs="Arial"/>
              </w:rPr>
              <w:t xml:space="preserve">or </w:t>
            </w:r>
            <w:r>
              <w:rPr>
                <w:rFonts w:cs="Arial"/>
              </w:rPr>
              <w:t xml:space="preserve">for </w:t>
            </w:r>
            <w:r w:rsidRPr="003D3E89">
              <w:rPr>
                <w:rFonts w:cs="Arial"/>
              </w:rPr>
              <w:t>incorrect conclusions to be drawn from this, particularly when the system is in ‘</w:t>
            </w:r>
            <w:r>
              <w:rPr>
                <w:rFonts w:cs="Arial"/>
              </w:rPr>
              <w:t>a</w:t>
            </w:r>
            <w:r w:rsidRPr="003D3E89">
              <w:rPr>
                <w:rFonts w:cs="Arial"/>
              </w:rPr>
              <w:t>lert’</w:t>
            </w:r>
            <w:r>
              <w:rPr>
                <w:rFonts w:cs="Arial"/>
              </w:rPr>
              <w:t xml:space="preserve"> state.</w:t>
            </w:r>
          </w:p>
          <w:p w14:paraId="3809090A" w14:textId="77777777" w:rsidR="006C4200" w:rsidRDefault="006C4200" w:rsidP="004B65F0">
            <w:pPr>
              <w:rPr>
                <w:rFonts w:cs="Arial"/>
              </w:rPr>
            </w:pPr>
          </w:p>
          <w:p w14:paraId="6FDB7590" w14:textId="6D4ECD6A" w:rsidR="006C4200" w:rsidRDefault="006C4200" w:rsidP="006C318F">
            <w:pPr>
              <w:rPr>
                <w:rFonts w:cs="Arial"/>
              </w:rPr>
            </w:pPr>
            <w:r>
              <w:rPr>
                <w:rFonts w:cs="Arial"/>
              </w:rPr>
              <w:t>One respondent believes that the specific requirements from the Au</w:t>
            </w:r>
            <w:r w:rsidR="00F45EA9">
              <w:rPr>
                <w:rFonts w:cs="Arial"/>
              </w:rPr>
              <w:t xml:space="preserve">thority </w:t>
            </w:r>
            <w:r w:rsidR="006C318F">
              <w:rPr>
                <w:rFonts w:cs="Arial"/>
              </w:rPr>
              <w:t>send back</w:t>
            </w:r>
            <w:r w:rsidR="00F45EA9">
              <w:rPr>
                <w:rFonts w:cs="Arial"/>
              </w:rPr>
              <w:t xml:space="preserve"> letter have been addressed </w:t>
            </w:r>
            <w:r w:rsidR="000E53DA">
              <w:rPr>
                <w:rFonts w:cs="Arial"/>
              </w:rPr>
              <w:t xml:space="preserve">through comments in the </w:t>
            </w:r>
            <w:r w:rsidR="002B5DB2">
              <w:rPr>
                <w:rFonts w:cs="Arial"/>
              </w:rPr>
              <w:t xml:space="preserve">modification report and in the additional comments provided in the consultation </w:t>
            </w:r>
            <w:r w:rsidR="006C318F">
              <w:rPr>
                <w:rFonts w:cs="Arial"/>
              </w:rPr>
              <w:t xml:space="preserve">response. These address in detail the </w:t>
            </w:r>
            <w:r w:rsidR="006C318F" w:rsidRPr="00115306">
              <w:rPr>
                <w:rFonts w:cs="Arial"/>
              </w:rPr>
              <w:t>benefits of the modification to market participants and stakeholders</w:t>
            </w:r>
            <w:r w:rsidR="006C318F">
              <w:rPr>
                <w:rFonts w:cs="Arial"/>
              </w:rPr>
              <w:t xml:space="preserve"> </w:t>
            </w:r>
            <w:r w:rsidR="006C318F" w:rsidRPr="00115306">
              <w:rPr>
                <w:rFonts w:cs="Arial"/>
              </w:rPr>
              <w:t>and</w:t>
            </w:r>
            <w:r w:rsidR="006C318F">
              <w:rPr>
                <w:rFonts w:cs="Arial"/>
              </w:rPr>
              <w:t xml:space="preserve"> also t</w:t>
            </w:r>
            <w:r w:rsidR="006C318F" w:rsidRPr="00115306">
              <w:rPr>
                <w:rFonts w:cs="Arial"/>
              </w:rPr>
              <w:t>he challenges to the ESO of providing this information,</w:t>
            </w:r>
          </w:p>
          <w:p w14:paraId="4393598F" w14:textId="2B6E7BD7" w:rsidR="003C3E6F" w:rsidRPr="004B65F0" w:rsidRDefault="003C3E6F" w:rsidP="004B65F0">
            <w:pPr>
              <w:rPr>
                <w:rFonts w:cs="Arial"/>
                <w:b/>
              </w:rPr>
            </w:pPr>
          </w:p>
        </w:tc>
      </w:tr>
      <w:tr w:rsidR="00764293" w:rsidRPr="00052B7F" w14:paraId="07E94032" w14:textId="77777777" w:rsidTr="008371D6">
        <w:trPr>
          <w:trHeight w:val="55"/>
          <w:jc w:val="center"/>
        </w:trPr>
        <w:tc>
          <w:tcPr>
            <w:tcW w:w="5000" w:type="pct"/>
            <w:gridSpan w:val="2"/>
            <w:shd w:val="clear" w:color="auto" w:fill="auto"/>
            <w:tcMar>
              <w:top w:w="15" w:type="dxa"/>
              <w:left w:w="108" w:type="dxa"/>
              <w:bottom w:w="0" w:type="dxa"/>
              <w:right w:w="108" w:type="dxa"/>
            </w:tcMar>
          </w:tcPr>
          <w:p w14:paraId="4A750FBA" w14:textId="77777777" w:rsidR="00764293" w:rsidRPr="00052B7F" w:rsidRDefault="00764293" w:rsidP="008371D6">
            <w:pPr>
              <w:rPr>
                <w:rFonts w:cs="Arial"/>
                <w:b/>
              </w:rPr>
            </w:pPr>
            <w:r>
              <w:rPr>
                <w:rFonts w:cs="Arial"/>
                <w:b/>
                <w:bCs/>
              </w:rPr>
              <w:t>Legal text issues raised in the consultation</w:t>
            </w:r>
          </w:p>
        </w:tc>
      </w:tr>
      <w:tr w:rsidR="00764293" w:rsidRPr="00052B7F" w14:paraId="19A62374" w14:textId="77777777" w:rsidTr="008371D6">
        <w:trPr>
          <w:trHeight w:val="55"/>
          <w:jc w:val="center"/>
        </w:trPr>
        <w:tc>
          <w:tcPr>
            <w:tcW w:w="5000" w:type="pct"/>
            <w:gridSpan w:val="2"/>
            <w:shd w:val="clear" w:color="auto" w:fill="auto"/>
            <w:tcMar>
              <w:top w:w="15" w:type="dxa"/>
              <w:left w:w="108" w:type="dxa"/>
              <w:bottom w:w="0" w:type="dxa"/>
              <w:right w:w="108" w:type="dxa"/>
            </w:tcMar>
          </w:tcPr>
          <w:p w14:paraId="1A5067AD" w14:textId="192800F0" w:rsidR="00764293" w:rsidRPr="00052B7F" w:rsidRDefault="00203D91" w:rsidP="008371D6">
            <w:pPr>
              <w:rPr>
                <w:rFonts w:cs="Arial"/>
                <w:b/>
              </w:rPr>
            </w:pPr>
            <w:r w:rsidRPr="00201D7B">
              <w:rPr>
                <w:rFonts w:cs="Arial"/>
                <w:bCs/>
              </w:rPr>
              <w:t>No issues raised</w:t>
            </w:r>
            <w:r w:rsidR="00FF23E9" w:rsidRPr="00201D7B">
              <w:rPr>
                <w:rFonts w:cs="Arial"/>
                <w:bCs/>
              </w:rPr>
              <w:t>.</w:t>
            </w:r>
          </w:p>
        </w:tc>
      </w:tr>
    </w:tbl>
    <w:p w14:paraId="4E0646CD" w14:textId="77777777" w:rsidR="000F610C" w:rsidRDefault="000F610C" w:rsidP="005603D9"/>
    <w:p w14:paraId="61D70C99" w14:textId="5E00F595" w:rsidR="00A70AD0" w:rsidRDefault="00A70AD0" w:rsidP="00BD6374">
      <w:pPr>
        <w:pStyle w:val="Heading2"/>
      </w:pPr>
      <w:bookmarkStart w:id="26" w:name="_Toc83200228"/>
      <w:r>
        <w:t>Panel recommendation</w:t>
      </w:r>
      <w:bookmarkEnd w:id="26"/>
    </w:p>
    <w:p w14:paraId="15BBBF4C" w14:textId="1665B996" w:rsidR="001D3402" w:rsidRDefault="00E826BE" w:rsidP="00E826BE">
      <w:pPr>
        <w:spacing w:line="268" w:lineRule="auto"/>
        <w:ind w:right="320"/>
        <w:jc w:val="both"/>
        <w:rPr>
          <w:rStyle w:val="eop"/>
          <w:rFonts w:cs="Arial"/>
          <w:color w:val="000000"/>
          <w:shd w:val="clear" w:color="auto" w:fill="FFFFFF"/>
        </w:rPr>
      </w:pPr>
      <w:r w:rsidRPr="00D027D5">
        <w:rPr>
          <w:rStyle w:val="eop"/>
          <w:rFonts w:cs="Arial"/>
          <w:color w:val="000000"/>
          <w:shd w:val="clear" w:color="auto" w:fill="FFFFFF"/>
        </w:rPr>
        <w:t xml:space="preserve">The Panel met on the </w:t>
      </w:r>
      <w:r w:rsidR="00AC09CC" w:rsidRPr="00201D7B">
        <w:rPr>
          <w:rStyle w:val="eop"/>
          <w:rFonts w:cs="Arial"/>
          <w:color w:val="000000"/>
          <w:shd w:val="clear" w:color="auto" w:fill="FFFFFF"/>
        </w:rPr>
        <w:t>27</w:t>
      </w:r>
      <w:r w:rsidR="00EA61D6">
        <w:rPr>
          <w:rStyle w:val="eop"/>
          <w:rFonts w:cs="Arial"/>
          <w:color w:val="000000"/>
          <w:shd w:val="clear" w:color="auto" w:fill="FFFFFF"/>
        </w:rPr>
        <w:t xml:space="preserve"> M</w:t>
      </w:r>
      <w:r w:rsidR="00832F3D">
        <w:rPr>
          <w:rStyle w:val="eop"/>
          <w:rFonts w:cs="Arial"/>
          <w:color w:val="000000"/>
          <w:shd w:val="clear" w:color="auto" w:fill="FFFFFF"/>
        </w:rPr>
        <w:t>ay</w:t>
      </w:r>
      <w:r w:rsidR="00EA61D6">
        <w:rPr>
          <w:rStyle w:val="eop"/>
          <w:rFonts w:cs="Arial"/>
          <w:color w:val="000000"/>
          <w:shd w:val="clear" w:color="auto" w:fill="FFFFFF"/>
        </w:rPr>
        <w:t xml:space="preserve"> 2021</w:t>
      </w:r>
      <w:r w:rsidRPr="00D027D5">
        <w:rPr>
          <w:rStyle w:val="eop"/>
          <w:rFonts w:cs="Arial"/>
          <w:color w:val="000000"/>
          <w:shd w:val="clear" w:color="auto" w:fill="FFFFFF"/>
        </w:rPr>
        <w:t xml:space="preserve"> to carry out </w:t>
      </w:r>
      <w:r w:rsidRPr="00C8050C">
        <w:rPr>
          <w:rStyle w:val="eop"/>
          <w:rFonts w:cs="Arial"/>
          <w:color w:val="000000"/>
          <w:shd w:val="clear" w:color="auto" w:fill="FFFFFF"/>
        </w:rPr>
        <w:t>their recommendation vote.</w:t>
      </w:r>
      <w:r w:rsidR="000069F8">
        <w:rPr>
          <w:rStyle w:val="eop"/>
          <w:rFonts w:cs="Arial"/>
          <w:color w:val="000000"/>
          <w:shd w:val="clear" w:color="auto" w:fill="FFFFFF"/>
        </w:rPr>
        <w:t xml:space="preserve"> The Panel decided that the </w:t>
      </w:r>
      <w:r w:rsidR="00F97E2A">
        <w:rPr>
          <w:rStyle w:val="eop"/>
          <w:rFonts w:cs="Arial"/>
          <w:color w:val="000000"/>
          <w:shd w:val="clear" w:color="auto" w:fill="FFFFFF"/>
        </w:rPr>
        <w:t xml:space="preserve">benefits and </w:t>
      </w:r>
      <w:r w:rsidR="001345E8">
        <w:rPr>
          <w:rStyle w:val="eop"/>
          <w:rFonts w:cs="Arial"/>
          <w:color w:val="000000"/>
          <w:shd w:val="clear" w:color="auto" w:fill="FFFFFF"/>
        </w:rPr>
        <w:t>challenges</w:t>
      </w:r>
      <w:r w:rsidR="00F97E2A">
        <w:rPr>
          <w:rStyle w:val="eop"/>
          <w:rFonts w:cs="Arial"/>
          <w:color w:val="000000"/>
          <w:shd w:val="clear" w:color="auto" w:fill="FFFFFF"/>
        </w:rPr>
        <w:t xml:space="preserve"> as outlined in the send back letter from Ofgem </w:t>
      </w:r>
      <w:r w:rsidR="001D3402">
        <w:rPr>
          <w:rStyle w:val="eop"/>
          <w:rFonts w:cs="Arial"/>
          <w:color w:val="000000"/>
          <w:shd w:val="clear" w:color="auto" w:fill="FFFFFF"/>
        </w:rPr>
        <w:t xml:space="preserve">had not been satisfactorily addressed and there were also additional queries from Panel members to be addressed in the draft final modification report. </w:t>
      </w:r>
      <w:r w:rsidR="003C60DB">
        <w:rPr>
          <w:rStyle w:val="eop"/>
          <w:rFonts w:cs="Arial"/>
          <w:color w:val="000000"/>
          <w:shd w:val="clear" w:color="auto" w:fill="FFFFFF"/>
        </w:rPr>
        <w:t>The DFMR was sent back to the workgroup at the May 2021 Panel</w:t>
      </w:r>
      <w:r w:rsidR="000B3D26">
        <w:rPr>
          <w:rStyle w:val="eop"/>
          <w:rFonts w:cs="Arial"/>
          <w:color w:val="000000"/>
          <w:shd w:val="clear" w:color="auto" w:fill="FFFFFF"/>
        </w:rPr>
        <w:t>,</w:t>
      </w:r>
      <w:r w:rsidR="003C60DB">
        <w:rPr>
          <w:rStyle w:val="eop"/>
          <w:rFonts w:cs="Arial"/>
          <w:color w:val="000000"/>
          <w:shd w:val="clear" w:color="auto" w:fill="FFFFFF"/>
        </w:rPr>
        <w:t xml:space="preserve"> for these </w:t>
      </w:r>
      <w:r w:rsidR="009A0E04">
        <w:rPr>
          <w:rStyle w:val="eop"/>
          <w:rFonts w:cs="Arial"/>
          <w:color w:val="000000"/>
          <w:shd w:val="clear" w:color="auto" w:fill="FFFFFF"/>
        </w:rPr>
        <w:t>issues to be addressed.</w:t>
      </w:r>
    </w:p>
    <w:p w14:paraId="5F078708" w14:textId="3ED4253C" w:rsidR="009A0E04" w:rsidRDefault="009A0E04" w:rsidP="00E826BE">
      <w:pPr>
        <w:spacing w:line="268" w:lineRule="auto"/>
        <w:ind w:right="320"/>
        <w:jc w:val="both"/>
        <w:rPr>
          <w:rStyle w:val="eop"/>
          <w:rFonts w:cs="Arial"/>
          <w:color w:val="000000"/>
          <w:shd w:val="clear" w:color="auto" w:fill="FFFFFF"/>
        </w:rPr>
      </w:pPr>
    </w:p>
    <w:p w14:paraId="6BA534C7" w14:textId="5B4E41AE" w:rsidR="009A0E04" w:rsidRDefault="009A0E04" w:rsidP="00E826BE">
      <w:pPr>
        <w:spacing w:line="268" w:lineRule="auto"/>
        <w:ind w:right="320"/>
        <w:jc w:val="both"/>
        <w:rPr>
          <w:rStyle w:val="eop"/>
          <w:rFonts w:cs="Arial"/>
          <w:color w:val="000000"/>
          <w:shd w:val="clear" w:color="auto" w:fill="FFFFFF"/>
        </w:rPr>
      </w:pPr>
      <w:r>
        <w:rPr>
          <w:rStyle w:val="eop"/>
          <w:rFonts w:cs="Arial"/>
          <w:color w:val="000000"/>
          <w:shd w:val="clear" w:color="auto" w:fill="FFFFFF"/>
        </w:rPr>
        <w:t xml:space="preserve">The Panel met on 30 September 2021 </w:t>
      </w:r>
      <w:r w:rsidRPr="00D027D5">
        <w:rPr>
          <w:rStyle w:val="eop"/>
          <w:rFonts w:cs="Arial"/>
          <w:color w:val="000000"/>
          <w:shd w:val="clear" w:color="auto" w:fill="FFFFFF"/>
        </w:rPr>
        <w:t xml:space="preserve">to carry out </w:t>
      </w:r>
      <w:r w:rsidRPr="00C8050C">
        <w:rPr>
          <w:rStyle w:val="eop"/>
          <w:rFonts w:cs="Arial"/>
          <w:color w:val="000000"/>
          <w:shd w:val="clear" w:color="auto" w:fill="FFFFFF"/>
        </w:rPr>
        <w:t>their recommendation vote</w:t>
      </w:r>
      <w:r>
        <w:rPr>
          <w:rStyle w:val="eop"/>
          <w:rFonts w:cs="Arial"/>
          <w:color w:val="000000"/>
          <w:shd w:val="clear" w:color="auto" w:fill="FFFFFF"/>
        </w:rPr>
        <w:t xml:space="preserve"> following the amended </w:t>
      </w:r>
      <w:r w:rsidR="00566D3F">
        <w:rPr>
          <w:rStyle w:val="eop"/>
          <w:rFonts w:cs="Arial"/>
          <w:color w:val="000000"/>
          <w:shd w:val="clear" w:color="auto" w:fill="FFFFFF"/>
        </w:rPr>
        <w:t>draft final modification report.</w:t>
      </w:r>
    </w:p>
    <w:p w14:paraId="643A9104" w14:textId="77777777" w:rsidR="00566D3F" w:rsidRPr="00C8050C" w:rsidRDefault="00566D3F" w:rsidP="00E826BE">
      <w:pPr>
        <w:spacing w:line="268" w:lineRule="auto"/>
        <w:ind w:right="320"/>
        <w:jc w:val="both"/>
        <w:rPr>
          <w:rStyle w:val="eop"/>
          <w:rFonts w:cs="Arial"/>
          <w:color w:val="000000"/>
          <w:shd w:val="clear" w:color="auto" w:fill="FFFFFF"/>
        </w:rPr>
      </w:pPr>
    </w:p>
    <w:p w14:paraId="53AAB1C1" w14:textId="0A9EB92E" w:rsidR="00E826BE" w:rsidRPr="00D027D5" w:rsidRDefault="00E826BE" w:rsidP="00E826BE">
      <w:pPr>
        <w:spacing w:line="268" w:lineRule="auto"/>
        <w:ind w:right="320"/>
        <w:jc w:val="both"/>
        <w:rPr>
          <w:rStyle w:val="eop"/>
          <w:rFonts w:cs="Arial"/>
          <w:color w:val="000000"/>
          <w:shd w:val="clear" w:color="auto" w:fill="FFFFFF"/>
        </w:rPr>
      </w:pPr>
      <w:r w:rsidRPr="00C8050C">
        <w:rPr>
          <w:rStyle w:val="eop"/>
          <w:rFonts w:cs="Arial"/>
          <w:color w:val="000000"/>
          <w:shd w:val="clear" w:color="auto" w:fill="FFFFFF"/>
        </w:rPr>
        <w:lastRenderedPageBreak/>
        <w:t>They assessed whether a change should be made to the Grid Code by assessing</w:t>
      </w:r>
      <w:r w:rsidRPr="00D027D5">
        <w:rPr>
          <w:rStyle w:val="eop"/>
          <w:rFonts w:cs="Arial"/>
          <w:color w:val="000000"/>
          <w:shd w:val="clear" w:color="auto" w:fill="FFFFFF"/>
        </w:rPr>
        <w:t xml:space="preserve"> the proposed change and any alternatives against the </w:t>
      </w:r>
      <w:r>
        <w:rPr>
          <w:rStyle w:val="eop"/>
          <w:rFonts w:cs="Arial"/>
          <w:color w:val="000000"/>
          <w:shd w:val="clear" w:color="auto" w:fill="FFFFFF"/>
        </w:rPr>
        <w:t>Applicable</w:t>
      </w:r>
      <w:r w:rsidRPr="00D027D5">
        <w:rPr>
          <w:rStyle w:val="eop"/>
          <w:rFonts w:cs="Arial"/>
          <w:color w:val="000000"/>
          <w:shd w:val="clear" w:color="auto" w:fill="FFFFFF"/>
        </w:rPr>
        <w:t xml:space="preserve"> </w:t>
      </w:r>
      <w:r>
        <w:rPr>
          <w:rStyle w:val="eop"/>
          <w:rFonts w:cs="Arial"/>
          <w:color w:val="000000"/>
          <w:shd w:val="clear" w:color="auto" w:fill="FFFFFF"/>
        </w:rPr>
        <w:t>O</w:t>
      </w:r>
      <w:r w:rsidRPr="00D027D5">
        <w:rPr>
          <w:rStyle w:val="eop"/>
          <w:rFonts w:cs="Arial"/>
          <w:color w:val="000000"/>
          <w:shd w:val="clear" w:color="auto" w:fill="FFFFFF"/>
        </w:rPr>
        <w:t xml:space="preserve">bjectives.  </w:t>
      </w:r>
    </w:p>
    <w:p w14:paraId="1CC50F66" w14:textId="77777777" w:rsidR="00E826BE" w:rsidRDefault="00E826BE" w:rsidP="00E826BE">
      <w:pPr>
        <w:spacing w:line="268" w:lineRule="auto"/>
        <w:ind w:right="320"/>
        <w:jc w:val="both"/>
        <w:rPr>
          <w:rStyle w:val="eop"/>
          <w:rFonts w:cs="Arial"/>
          <w:b/>
          <w:color w:val="000000"/>
          <w:shd w:val="clear" w:color="auto" w:fill="FFFFFF"/>
        </w:rPr>
      </w:pPr>
    </w:p>
    <w:p w14:paraId="4EEC6CC2" w14:textId="16B4DCB3" w:rsidR="00E826BE" w:rsidRPr="00A1681E" w:rsidRDefault="00E826BE" w:rsidP="00E826BE">
      <w:pPr>
        <w:jc w:val="both"/>
      </w:pPr>
      <w:r w:rsidRPr="00A1681E">
        <w:rPr>
          <w:rFonts w:cs="Arial"/>
          <w:b/>
        </w:rPr>
        <w:t>Vote 1:</w:t>
      </w:r>
      <w:r w:rsidRPr="00A1681E">
        <w:rPr>
          <w:rFonts w:cs="Arial"/>
        </w:rPr>
        <w:t xml:space="preserve"> Does the Original facilitate the objectives better than the Baseline?</w:t>
      </w:r>
      <w:r w:rsidRPr="00A1681E">
        <w:t xml:space="preserve"> </w:t>
      </w:r>
    </w:p>
    <w:p w14:paraId="5F152ADD" w14:textId="77777777" w:rsidR="00E826BE" w:rsidRPr="00F015E9" w:rsidRDefault="00E826BE" w:rsidP="00E826BE">
      <w:pPr>
        <w:rPr>
          <w:rFonts w:cs="Arial"/>
        </w:rPr>
      </w:pPr>
      <w:r w:rsidRPr="00F015E9">
        <w:rPr>
          <w:rFonts w:cs="Arial"/>
        </w:rPr>
        <w:t>Panel Member:</w:t>
      </w:r>
      <w:r w:rsidRPr="00A33C93">
        <w:rPr>
          <w:rFonts w:cs="Arial"/>
          <w:b/>
        </w:rPr>
        <w:t xml:space="preserve"> </w:t>
      </w:r>
      <w:r w:rsidRPr="00B968AE">
        <w:rPr>
          <w:rFonts w:cs="Arial"/>
          <w:b/>
          <w:highlight w:val="yellow"/>
        </w:rPr>
        <w:t>[Name], [Represented party]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375"/>
        <w:gridCol w:w="1539"/>
        <w:gridCol w:w="1539"/>
        <w:gridCol w:w="1539"/>
        <w:gridCol w:w="1281"/>
        <w:gridCol w:w="1028"/>
      </w:tblGrid>
      <w:tr w:rsidR="00E826BE" w:rsidRPr="00B968AE" w14:paraId="0DAB9604" w14:textId="77777777" w:rsidTr="008371D6">
        <w:trPr>
          <w:trHeight w:val="937"/>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A1A38B3" w14:textId="77777777" w:rsidR="00E826BE" w:rsidRPr="00036FFF" w:rsidRDefault="00E826BE" w:rsidP="008371D6">
            <w:pPr>
              <w:rPr>
                <w:rFonts w:cs="Arial"/>
                <w:b/>
                <w:color w:val="FFFFFF"/>
                <w:highlight w:val="yellow"/>
              </w:rPr>
            </w:pP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AFE11C0" w14:textId="77777777" w:rsidR="00E826BE" w:rsidRPr="00B968AE" w:rsidRDefault="00E826BE" w:rsidP="008371D6">
            <w:pPr>
              <w:rPr>
                <w:rFonts w:cs="Arial"/>
                <w:color w:val="FFFFFF"/>
              </w:rPr>
            </w:pPr>
            <w:r w:rsidRPr="00B968AE">
              <w:rPr>
                <w:rFonts w:cs="Arial"/>
                <w:color w:val="FFFFFF"/>
              </w:rPr>
              <w:t>Better facilitates AO (a)?</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2FFBF414" w14:textId="77777777" w:rsidR="00E826BE" w:rsidRPr="00B968AE" w:rsidRDefault="00E826BE" w:rsidP="008371D6">
            <w:pPr>
              <w:rPr>
                <w:rFonts w:cs="Arial"/>
                <w:color w:val="FFFFFF"/>
              </w:rPr>
            </w:pPr>
            <w:r w:rsidRPr="00B968AE">
              <w:rPr>
                <w:rFonts w:cs="Arial"/>
                <w:color w:val="FFFFFF"/>
              </w:rPr>
              <w:t>Better facilitates AO (b)?</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6FCF6A85" w14:textId="77777777" w:rsidR="00E826BE" w:rsidRPr="00B968AE" w:rsidRDefault="00E826BE" w:rsidP="008371D6">
            <w:pPr>
              <w:rPr>
                <w:rFonts w:cs="Arial"/>
                <w:color w:val="FFFFFF"/>
              </w:rPr>
            </w:pPr>
            <w:r w:rsidRPr="00B968AE">
              <w:rPr>
                <w:rFonts w:cs="Arial"/>
                <w:color w:val="FFFFFF"/>
              </w:rPr>
              <w:t>Better facilitates AO (c)?</w:t>
            </w: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0336668F" w14:textId="77777777" w:rsidR="00E826BE" w:rsidRPr="00B968AE" w:rsidRDefault="00E826BE" w:rsidP="008371D6">
            <w:pPr>
              <w:ind w:right="-120"/>
              <w:rPr>
                <w:rFonts w:cs="Arial"/>
                <w:color w:val="FFFFFF"/>
              </w:rPr>
            </w:pPr>
            <w:r w:rsidRPr="00B968AE">
              <w:rPr>
                <w:rFonts w:cs="Arial"/>
                <w:color w:val="FFFFFF"/>
              </w:rPr>
              <w:t>Better facilitates AO (d)?</w:t>
            </w: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9092156" w14:textId="77777777" w:rsidR="00E826BE" w:rsidRPr="00B968AE" w:rsidRDefault="00E826BE" w:rsidP="008371D6">
            <w:pPr>
              <w:ind w:right="-120"/>
              <w:rPr>
                <w:rFonts w:cs="Arial"/>
                <w:color w:val="FFFFFF"/>
              </w:rPr>
            </w:pPr>
            <w:r w:rsidRPr="00B968AE">
              <w:rPr>
                <w:rFonts w:cs="Arial"/>
                <w:color w:val="FFFFFF"/>
              </w:rPr>
              <w:t>Better facilitates AO (e)?</w:t>
            </w: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hideMark/>
          </w:tcPr>
          <w:p w14:paraId="4E50D296" w14:textId="77777777" w:rsidR="00E826BE" w:rsidRPr="00B968AE" w:rsidRDefault="00E826BE" w:rsidP="008371D6">
            <w:pPr>
              <w:ind w:right="-120"/>
              <w:rPr>
                <w:rFonts w:cs="Arial"/>
                <w:color w:val="FFFFFF"/>
              </w:rPr>
            </w:pPr>
            <w:r w:rsidRPr="00B968AE">
              <w:rPr>
                <w:rFonts w:cs="Arial"/>
                <w:color w:val="FFFFFF"/>
              </w:rPr>
              <w:t>Overall (Y/N)</w:t>
            </w:r>
          </w:p>
        </w:tc>
      </w:tr>
      <w:tr w:rsidR="00E826BE" w:rsidRPr="00F015E9" w14:paraId="1AD66C53" w14:textId="77777777" w:rsidTr="008371D6">
        <w:trPr>
          <w:trHeight w:val="299"/>
        </w:trPr>
        <w:tc>
          <w:tcPr>
            <w:tcW w:w="6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center"/>
            <w:hideMark/>
          </w:tcPr>
          <w:p w14:paraId="0AA6E2E9" w14:textId="77777777" w:rsidR="00E826BE" w:rsidRPr="00B968AE" w:rsidRDefault="00E826BE" w:rsidP="008371D6">
            <w:pPr>
              <w:jc w:val="both"/>
              <w:rPr>
                <w:rFonts w:cs="Arial"/>
              </w:rPr>
            </w:pPr>
            <w:r w:rsidRPr="00B968AE">
              <w:rPr>
                <w:rFonts w:cs="Arial"/>
              </w:rPr>
              <w:t>Original</w:t>
            </w:r>
          </w:p>
        </w:tc>
        <w:tc>
          <w:tcPr>
            <w:tcW w:w="72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F5BB4C0" w14:textId="77777777" w:rsidR="00E826BE" w:rsidRPr="00B968AE" w:rsidRDefault="00E826BE" w:rsidP="008371D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3C31F4C1" w14:textId="77777777" w:rsidR="00E826BE" w:rsidRPr="00B968AE" w:rsidRDefault="00E826BE" w:rsidP="008371D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63876322" w14:textId="77777777" w:rsidR="00E826BE" w:rsidRPr="00B968AE" w:rsidRDefault="00E826BE" w:rsidP="008371D6">
            <w:pPr>
              <w:jc w:val="center"/>
              <w:rPr>
                <w:rFonts w:cs="Arial"/>
                <w:color w:val="000000"/>
              </w:rPr>
            </w:pPr>
          </w:p>
        </w:tc>
        <w:tc>
          <w:tcPr>
            <w:tcW w:w="811"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5BF2F314" w14:textId="77777777" w:rsidR="00E826BE" w:rsidRPr="00B968AE" w:rsidRDefault="00E826BE" w:rsidP="008371D6">
            <w:pPr>
              <w:jc w:val="center"/>
              <w:rPr>
                <w:rFonts w:cs="Arial"/>
                <w:color w:val="000000"/>
              </w:rPr>
            </w:pPr>
          </w:p>
        </w:tc>
        <w:tc>
          <w:tcPr>
            <w:tcW w:w="675"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12643D68" w14:textId="77777777" w:rsidR="00E826BE" w:rsidRPr="00B968AE" w:rsidRDefault="00E826BE" w:rsidP="008371D6">
            <w:pPr>
              <w:jc w:val="center"/>
              <w:rPr>
                <w:rFonts w:cs="Arial"/>
                <w:color w:val="000000"/>
              </w:rPr>
            </w:pPr>
          </w:p>
        </w:tc>
        <w:tc>
          <w:tcPr>
            <w:tcW w:w="542" w:type="pct"/>
            <w:tcBorders>
              <w:top w:val="single" w:sz="4" w:space="0" w:color="F26522" w:themeColor="accent1"/>
              <w:left w:val="single" w:sz="4" w:space="0" w:color="F26522" w:themeColor="accent1"/>
              <w:bottom w:val="single" w:sz="4" w:space="0" w:color="F26522" w:themeColor="accent1"/>
              <w:right w:val="single" w:sz="4" w:space="0" w:color="F26522" w:themeColor="accent1"/>
            </w:tcBorders>
            <w:vAlign w:val="bottom"/>
          </w:tcPr>
          <w:p w14:paraId="2A946AEA" w14:textId="77777777" w:rsidR="00E826BE" w:rsidRPr="00B968AE" w:rsidRDefault="00E826BE" w:rsidP="008371D6">
            <w:pPr>
              <w:jc w:val="center"/>
              <w:rPr>
                <w:rFonts w:cs="Arial"/>
                <w:color w:val="000000"/>
              </w:rPr>
            </w:pPr>
          </w:p>
        </w:tc>
      </w:tr>
      <w:tr w:rsidR="00E826BE" w:rsidRPr="00F015E9" w14:paraId="3CFC995F" w14:textId="77777777" w:rsidTr="008371D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CB66990" w14:textId="77777777" w:rsidR="00E826BE" w:rsidRPr="00B968AE" w:rsidRDefault="00E826BE" w:rsidP="008371D6">
            <w:pPr>
              <w:rPr>
                <w:rFonts w:cs="Arial"/>
                <w:color w:val="FFFFFF"/>
              </w:rPr>
            </w:pPr>
            <w:r w:rsidRPr="00B968AE">
              <w:rPr>
                <w:rFonts w:cs="Arial"/>
                <w:color w:val="FFFFFF"/>
              </w:rPr>
              <w:t>Voting Statement</w:t>
            </w:r>
          </w:p>
        </w:tc>
      </w:tr>
      <w:tr w:rsidR="00E826BE" w:rsidRPr="00F015E9" w14:paraId="7EB5366B" w14:textId="77777777" w:rsidTr="008371D6">
        <w:trPr>
          <w:trHeight w:val="299"/>
        </w:trPr>
        <w:tc>
          <w:tcPr>
            <w:tcW w:w="5000" w:type="pct"/>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94A61B" w14:textId="77777777" w:rsidR="00E826BE" w:rsidRPr="00036FFF" w:rsidRDefault="00E826BE" w:rsidP="008371D6">
            <w:pPr>
              <w:rPr>
                <w:rFonts w:cs="Arial"/>
                <w:color w:val="FFFFFF"/>
                <w:highlight w:val="yellow"/>
              </w:rPr>
            </w:pPr>
          </w:p>
        </w:tc>
      </w:tr>
    </w:tbl>
    <w:p w14:paraId="08F59432" w14:textId="77777777" w:rsidR="00E826BE" w:rsidRDefault="00E826BE" w:rsidP="00E826BE">
      <w:pPr>
        <w:rPr>
          <w:rFonts w:cs="Arial"/>
          <w:b/>
          <w:u w:val="single"/>
        </w:rPr>
      </w:pPr>
    </w:p>
    <w:p w14:paraId="5042F63D" w14:textId="77777777" w:rsidR="00E826BE" w:rsidRPr="00A1681E" w:rsidRDefault="00E826BE" w:rsidP="00E826BE">
      <w:pPr>
        <w:rPr>
          <w:rFonts w:cs="Arial"/>
          <w:b/>
          <w:i/>
        </w:rPr>
      </w:pPr>
      <w:r w:rsidRPr="00A1681E">
        <w:rPr>
          <w:rFonts w:cs="Arial"/>
          <w:b/>
        </w:rPr>
        <w:t xml:space="preserve">Vote 2 – </w:t>
      </w:r>
      <w:r w:rsidRPr="00A1681E">
        <w:rPr>
          <w:rFonts w:cs="Arial"/>
        </w:rPr>
        <w:t>Which option is the best?</w:t>
      </w:r>
    </w:p>
    <w:p w14:paraId="33ED6537" w14:textId="77777777" w:rsidR="00E826BE" w:rsidRPr="00F015E9" w:rsidRDefault="00E826BE" w:rsidP="00E826BE">
      <w:pPr>
        <w:rPr>
          <w:rFonts w:cs="Arial"/>
          <w:b/>
        </w:rPr>
      </w:pPr>
    </w:p>
    <w:tbl>
      <w:tblPr>
        <w:tblW w:w="4890" w:type="pct"/>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199"/>
        <w:gridCol w:w="3039"/>
        <w:gridCol w:w="3039"/>
      </w:tblGrid>
      <w:tr w:rsidR="00522916" w:rsidRPr="00F015E9" w14:paraId="3467E529" w14:textId="77777777" w:rsidTr="00575F68">
        <w:trPr>
          <w:trHeight w:val="626"/>
        </w:trPr>
        <w:tc>
          <w:tcPr>
            <w:tcW w:w="1724" w:type="pct"/>
            <w:shd w:val="clear" w:color="auto" w:fill="F26522" w:themeFill="accent1"/>
            <w:tcMar>
              <w:top w:w="15" w:type="dxa"/>
              <w:left w:w="108" w:type="dxa"/>
              <w:bottom w:w="0" w:type="dxa"/>
              <w:right w:w="108" w:type="dxa"/>
            </w:tcMar>
            <w:vAlign w:val="center"/>
            <w:hideMark/>
          </w:tcPr>
          <w:p w14:paraId="3550CDC4" w14:textId="77777777" w:rsidR="00522916" w:rsidRPr="00F015E9" w:rsidRDefault="00522916" w:rsidP="008371D6">
            <w:pPr>
              <w:rPr>
                <w:rFonts w:cs="Arial"/>
                <w:b/>
                <w:color w:val="FFFFFF"/>
              </w:rPr>
            </w:pPr>
            <w:r w:rsidRPr="00F015E9">
              <w:rPr>
                <w:rFonts w:cs="Arial"/>
                <w:b/>
                <w:bCs/>
                <w:color w:val="FFFFFF"/>
              </w:rPr>
              <w:t>Panel Member</w:t>
            </w:r>
          </w:p>
        </w:tc>
        <w:tc>
          <w:tcPr>
            <w:tcW w:w="1638" w:type="pct"/>
            <w:shd w:val="clear" w:color="auto" w:fill="F26522" w:themeFill="accent1"/>
            <w:tcMar>
              <w:top w:w="15" w:type="dxa"/>
              <w:left w:w="108" w:type="dxa"/>
              <w:bottom w:w="0" w:type="dxa"/>
              <w:right w:w="108" w:type="dxa"/>
            </w:tcMar>
            <w:vAlign w:val="center"/>
            <w:hideMark/>
          </w:tcPr>
          <w:p w14:paraId="77F2A96C" w14:textId="77777777" w:rsidR="00522916" w:rsidRPr="00F015E9" w:rsidRDefault="00522916" w:rsidP="008371D6">
            <w:pPr>
              <w:rPr>
                <w:rFonts w:cs="Arial"/>
                <w:b/>
                <w:color w:val="FFFFFF"/>
              </w:rPr>
            </w:pPr>
            <w:r w:rsidRPr="00F015E9">
              <w:rPr>
                <w:rFonts w:cs="Arial"/>
                <w:b/>
                <w:bCs/>
                <w:color w:val="FFFFFF"/>
              </w:rPr>
              <w:t>BEST Option?</w:t>
            </w:r>
          </w:p>
        </w:tc>
        <w:tc>
          <w:tcPr>
            <w:tcW w:w="1638" w:type="pct"/>
            <w:shd w:val="clear" w:color="auto" w:fill="F26522" w:themeFill="accent1"/>
          </w:tcPr>
          <w:p w14:paraId="335A908B" w14:textId="77777777" w:rsidR="00522916" w:rsidRPr="00F015E9" w:rsidRDefault="00522916" w:rsidP="008371D6">
            <w:pPr>
              <w:rPr>
                <w:rFonts w:cs="Arial"/>
                <w:b/>
                <w:bCs/>
                <w:color w:val="FFFFFF"/>
              </w:rPr>
            </w:pPr>
            <w:r>
              <w:rPr>
                <w:rFonts w:cs="Arial"/>
                <w:b/>
                <w:color w:val="FFFFFF"/>
              </w:rPr>
              <w:t>Which objectives does this option better facilitate? (If baseline not applicable).</w:t>
            </w:r>
          </w:p>
        </w:tc>
      </w:tr>
      <w:tr w:rsidR="00575F68" w:rsidRPr="00F015E9" w14:paraId="79142300" w14:textId="77777777" w:rsidTr="00575F68">
        <w:trPr>
          <w:trHeight w:val="54"/>
        </w:trPr>
        <w:tc>
          <w:tcPr>
            <w:tcW w:w="1724" w:type="pct"/>
            <w:shd w:val="clear" w:color="auto" w:fill="auto"/>
            <w:tcMar>
              <w:top w:w="15" w:type="dxa"/>
              <w:left w:w="108" w:type="dxa"/>
              <w:bottom w:w="0" w:type="dxa"/>
              <w:right w:w="108" w:type="dxa"/>
            </w:tcMar>
            <w:vAlign w:val="bottom"/>
          </w:tcPr>
          <w:p w14:paraId="2934CB04" w14:textId="4438A4A1" w:rsidR="00575F68" w:rsidRPr="007846DC" w:rsidRDefault="00575F68" w:rsidP="00575F68">
            <w:pPr>
              <w:rPr>
                <w:rFonts w:cs="Arial"/>
              </w:rPr>
            </w:pPr>
            <w:r>
              <w:rPr>
                <w:rFonts w:ascii="Arial" w:hAnsi="Arial" w:cs="Arial"/>
                <w:color w:val="000000"/>
                <w:sz w:val="20"/>
                <w:szCs w:val="20"/>
              </w:rPr>
              <w:t>Alan Creighton</w:t>
            </w:r>
          </w:p>
        </w:tc>
        <w:tc>
          <w:tcPr>
            <w:tcW w:w="1638" w:type="pct"/>
            <w:shd w:val="clear" w:color="auto" w:fill="auto"/>
            <w:tcMar>
              <w:top w:w="15" w:type="dxa"/>
              <w:left w:w="108" w:type="dxa"/>
              <w:bottom w:w="0" w:type="dxa"/>
              <w:right w:w="108" w:type="dxa"/>
            </w:tcMar>
            <w:vAlign w:val="center"/>
          </w:tcPr>
          <w:p w14:paraId="695D204F" w14:textId="77777777" w:rsidR="00575F68" w:rsidRPr="007846DC" w:rsidRDefault="00575F68" w:rsidP="00575F68">
            <w:pPr>
              <w:rPr>
                <w:rFonts w:cs="Arial"/>
              </w:rPr>
            </w:pPr>
          </w:p>
        </w:tc>
        <w:tc>
          <w:tcPr>
            <w:tcW w:w="1638" w:type="pct"/>
          </w:tcPr>
          <w:p w14:paraId="34AD57F5" w14:textId="77777777" w:rsidR="00575F68" w:rsidRPr="007846DC" w:rsidRDefault="00575F68" w:rsidP="00575F68">
            <w:pPr>
              <w:rPr>
                <w:rFonts w:cs="Arial"/>
              </w:rPr>
            </w:pPr>
          </w:p>
        </w:tc>
      </w:tr>
      <w:tr w:rsidR="00575F68" w:rsidRPr="00F015E9" w14:paraId="304CBC80" w14:textId="77777777" w:rsidTr="00575F68">
        <w:trPr>
          <w:trHeight w:val="54"/>
        </w:trPr>
        <w:tc>
          <w:tcPr>
            <w:tcW w:w="1724" w:type="pct"/>
            <w:shd w:val="clear" w:color="auto" w:fill="auto"/>
            <w:tcMar>
              <w:top w:w="15" w:type="dxa"/>
              <w:left w:w="108" w:type="dxa"/>
              <w:bottom w:w="0" w:type="dxa"/>
              <w:right w:w="108" w:type="dxa"/>
            </w:tcMar>
            <w:vAlign w:val="bottom"/>
          </w:tcPr>
          <w:p w14:paraId="148F9E67" w14:textId="4C109E83" w:rsidR="00575F68" w:rsidRPr="007846DC" w:rsidRDefault="00575F68" w:rsidP="00575F68">
            <w:pPr>
              <w:rPr>
                <w:rFonts w:cs="Arial"/>
              </w:rPr>
            </w:pPr>
            <w:r>
              <w:rPr>
                <w:rFonts w:ascii="Arial" w:hAnsi="Arial" w:cs="Arial"/>
                <w:color w:val="000000"/>
                <w:sz w:val="20"/>
                <w:szCs w:val="20"/>
              </w:rPr>
              <w:t>Alastair Frew</w:t>
            </w:r>
          </w:p>
        </w:tc>
        <w:tc>
          <w:tcPr>
            <w:tcW w:w="1638" w:type="pct"/>
            <w:shd w:val="clear" w:color="auto" w:fill="auto"/>
            <w:tcMar>
              <w:top w:w="15" w:type="dxa"/>
              <w:left w:w="108" w:type="dxa"/>
              <w:bottom w:w="0" w:type="dxa"/>
              <w:right w:w="108" w:type="dxa"/>
            </w:tcMar>
            <w:vAlign w:val="center"/>
          </w:tcPr>
          <w:p w14:paraId="64BCA25E" w14:textId="77777777" w:rsidR="00575F68" w:rsidRPr="007846DC" w:rsidRDefault="00575F68" w:rsidP="00575F68">
            <w:pPr>
              <w:rPr>
                <w:rFonts w:cs="Arial"/>
              </w:rPr>
            </w:pPr>
          </w:p>
        </w:tc>
        <w:tc>
          <w:tcPr>
            <w:tcW w:w="1638" w:type="pct"/>
          </w:tcPr>
          <w:p w14:paraId="33ADDEE5" w14:textId="77777777" w:rsidR="00575F68" w:rsidRPr="007846DC" w:rsidRDefault="00575F68" w:rsidP="00575F68">
            <w:pPr>
              <w:rPr>
                <w:rFonts w:cs="Arial"/>
              </w:rPr>
            </w:pPr>
          </w:p>
        </w:tc>
      </w:tr>
      <w:tr w:rsidR="00575F68" w:rsidRPr="00F015E9" w14:paraId="43FEAB20" w14:textId="77777777" w:rsidTr="00575F68">
        <w:trPr>
          <w:trHeight w:val="54"/>
        </w:trPr>
        <w:tc>
          <w:tcPr>
            <w:tcW w:w="1724" w:type="pct"/>
            <w:shd w:val="clear" w:color="auto" w:fill="auto"/>
            <w:tcMar>
              <w:top w:w="15" w:type="dxa"/>
              <w:left w:w="108" w:type="dxa"/>
              <w:bottom w:w="0" w:type="dxa"/>
              <w:right w:w="108" w:type="dxa"/>
            </w:tcMar>
            <w:vAlign w:val="bottom"/>
          </w:tcPr>
          <w:p w14:paraId="0AE85504" w14:textId="349DE241" w:rsidR="00575F68" w:rsidRPr="007846DC" w:rsidRDefault="00575F68" w:rsidP="00575F68">
            <w:pPr>
              <w:rPr>
                <w:rFonts w:cs="Arial"/>
              </w:rPr>
            </w:pPr>
            <w:r>
              <w:rPr>
                <w:rFonts w:ascii="Arial" w:hAnsi="Arial" w:cs="Arial"/>
                <w:color w:val="000000"/>
                <w:sz w:val="20"/>
                <w:szCs w:val="20"/>
              </w:rPr>
              <w:t>Christopher Smith</w:t>
            </w:r>
          </w:p>
        </w:tc>
        <w:tc>
          <w:tcPr>
            <w:tcW w:w="1638" w:type="pct"/>
            <w:shd w:val="clear" w:color="auto" w:fill="auto"/>
            <w:tcMar>
              <w:top w:w="15" w:type="dxa"/>
              <w:left w:w="108" w:type="dxa"/>
              <w:bottom w:w="0" w:type="dxa"/>
              <w:right w:w="108" w:type="dxa"/>
            </w:tcMar>
            <w:vAlign w:val="center"/>
          </w:tcPr>
          <w:p w14:paraId="0E123E1E" w14:textId="77777777" w:rsidR="00575F68" w:rsidRPr="007846DC" w:rsidRDefault="00575F68" w:rsidP="00575F68">
            <w:pPr>
              <w:rPr>
                <w:rFonts w:cs="Arial"/>
              </w:rPr>
            </w:pPr>
          </w:p>
        </w:tc>
        <w:tc>
          <w:tcPr>
            <w:tcW w:w="1638" w:type="pct"/>
          </w:tcPr>
          <w:p w14:paraId="6CE5B932" w14:textId="77777777" w:rsidR="00575F68" w:rsidRPr="007846DC" w:rsidRDefault="00575F68" w:rsidP="00575F68">
            <w:pPr>
              <w:rPr>
                <w:rFonts w:cs="Arial"/>
              </w:rPr>
            </w:pPr>
          </w:p>
        </w:tc>
      </w:tr>
      <w:tr w:rsidR="00575F68" w:rsidRPr="00F015E9" w14:paraId="2963D1B5" w14:textId="77777777" w:rsidTr="00575F68">
        <w:trPr>
          <w:trHeight w:val="54"/>
        </w:trPr>
        <w:tc>
          <w:tcPr>
            <w:tcW w:w="1724" w:type="pct"/>
            <w:shd w:val="clear" w:color="auto" w:fill="auto"/>
            <w:tcMar>
              <w:top w:w="15" w:type="dxa"/>
              <w:left w:w="108" w:type="dxa"/>
              <w:bottom w:w="0" w:type="dxa"/>
              <w:right w:w="108" w:type="dxa"/>
            </w:tcMar>
            <w:vAlign w:val="bottom"/>
          </w:tcPr>
          <w:p w14:paraId="0E7522B1" w14:textId="49514F0A" w:rsidR="00575F68" w:rsidRPr="007846DC" w:rsidRDefault="00575F68" w:rsidP="00575F68">
            <w:pPr>
              <w:rPr>
                <w:rFonts w:cs="Arial"/>
              </w:rPr>
            </w:pPr>
            <w:r>
              <w:rPr>
                <w:rFonts w:ascii="Arial" w:hAnsi="Arial" w:cs="Arial"/>
                <w:color w:val="000000"/>
                <w:sz w:val="20"/>
                <w:szCs w:val="20"/>
              </w:rPr>
              <w:t>Guy Nicholson</w:t>
            </w:r>
          </w:p>
        </w:tc>
        <w:tc>
          <w:tcPr>
            <w:tcW w:w="1638" w:type="pct"/>
            <w:shd w:val="clear" w:color="auto" w:fill="auto"/>
            <w:tcMar>
              <w:top w:w="15" w:type="dxa"/>
              <w:left w:w="108" w:type="dxa"/>
              <w:bottom w:w="0" w:type="dxa"/>
              <w:right w:w="108" w:type="dxa"/>
            </w:tcMar>
            <w:vAlign w:val="center"/>
          </w:tcPr>
          <w:p w14:paraId="3EC09E58" w14:textId="77777777" w:rsidR="00575F68" w:rsidRPr="007846DC" w:rsidRDefault="00575F68" w:rsidP="00575F68">
            <w:pPr>
              <w:rPr>
                <w:rFonts w:cs="Arial"/>
              </w:rPr>
            </w:pPr>
          </w:p>
        </w:tc>
        <w:tc>
          <w:tcPr>
            <w:tcW w:w="1638" w:type="pct"/>
          </w:tcPr>
          <w:p w14:paraId="7E8758BA" w14:textId="77777777" w:rsidR="00575F68" w:rsidRPr="007846DC" w:rsidRDefault="00575F68" w:rsidP="00575F68">
            <w:pPr>
              <w:rPr>
                <w:rFonts w:cs="Arial"/>
              </w:rPr>
            </w:pPr>
          </w:p>
        </w:tc>
      </w:tr>
      <w:tr w:rsidR="00575F68" w:rsidRPr="00F015E9" w14:paraId="70225C9B" w14:textId="77777777" w:rsidTr="00575F68">
        <w:trPr>
          <w:trHeight w:val="54"/>
        </w:trPr>
        <w:tc>
          <w:tcPr>
            <w:tcW w:w="1724" w:type="pct"/>
            <w:shd w:val="clear" w:color="auto" w:fill="auto"/>
            <w:tcMar>
              <w:top w:w="15" w:type="dxa"/>
              <w:left w:w="108" w:type="dxa"/>
              <w:bottom w:w="0" w:type="dxa"/>
              <w:right w:w="108" w:type="dxa"/>
            </w:tcMar>
            <w:vAlign w:val="bottom"/>
          </w:tcPr>
          <w:p w14:paraId="7570C339" w14:textId="4F5204FA" w:rsidR="00575F68" w:rsidRPr="007846DC" w:rsidRDefault="00575F68" w:rsidP="00575F68">
            <w:pPr>
              <w:rPr>
                <w:rFonts w:cs="Arial"/>
              </w:rPr>
            </w:pPr>
            <w:r>
              <w:rPr>
                <w:rFonts w:ascii="Arial" w:hAnsi="Arial" w:cs="Arial"/>
                <w:color w:val="000000"/>
                <w:sz w:val="20"/>
                <w:szCs w:val="20"/>
              </w:rPr>
              <w:t>John Harrower</w:t>
            </w:r>
          </w:p>
        </w:tc>
        <w:tc>
          <w:tcPr>
            <w:tcW w:w="1638" w:type="pct"/>
            <w:shd w:val="clear" w:color="auto" w:fill="auto"/>
            <w:tcMar>
              <w:top w:w="15" w:type="dxa"/>
              <w:left w:w="108" w:type="dxa"/>
              <w:bottom w:w="0" w:type="dxa"/>
              <w:right w:w="108" w:type="dxa"/>
            </w:tcMar>
            <w:vAlign w:val="center"/>
          </w:tcPr>
          <w:p w14:paraId="01FE63F0" w14:textId="77777777" w:rsidR="00575F68" w:rsidRPr="007846DC" w:rsidRDefault="00575F68" w:rsidP="00575F68">
            <w:pPr>
              <w:rPr>
                <w:rFonts w:cs="Arial"/>
              </w:rPr>
            </w:pPr>
          </w:p>
        </w:tc>
        <w:tc>
          <w:tcPr>
            <w:tcW w:w="1638" w:type="pct"/>
          </w:tcPr>
          <w:p w14:paraId="174C95FA" w14:textId="77777777" w:rsidR="00575F68" w:rsidRPr="007846DC" w:rsidRDefault="00575F68" w:rsidP="00575F68">
            <w:pPr>
              <w:rPr>
                <w:rFonts w:cs="Arial"/>
              </w:rPr>
            </w:pPr>
          </w:p>
        </w:tc>
      </w:tr>
      <w:tr w:rsidR="00575F68" w:rsidRPr="00F015E9" w14:paraId="52DE2C27" w14:textId="77777777" w:rsidTr="00575F68">
        <w:trPr>
          <w:trHeight w:val="54"/>
        </w:trPr>
        <w:tc>
          <w:tcPr>
            <w:tcW w:w="1724" w:type="pct"/>
            <w:shd w:val="clear" w:color="auto" w:fill="auto"/>
            <w:tcMar>
              <w:top w:w="15" w:type="dxa"/>
              <w:left w:w="108" w:type="dxa"/>
              <w:bottom w:w="0" w:type="dxa"/>
              <w:right w:w="108" w:type="dxa"/>
            </w:tcMar>
            <w:vAlign w:val="bottom"/>
          </w:tcPr>
          <w:p w14:paraId="365CDAC2" w14:textId="2671ADB0" w:rsidR="00575F68" w:rsidRPr="007846DC" w:rsidRDefault="00575F68" w:rsidP="00575F68">
            <w:pPr>
              <w:rPr>
                <w:rFonts w:cs="Arial"/>
              </w:rPr>
            </w:pPr>
            <w:r>
              <w:rPr>
                <w:rFonts w:ascii="Arial" w:hAnsi="Arial" w:cs="Arial"/>
                <w:sz w:val="20"/>
                <w:szCs w:val="20"/>
              </w:rPr>
              <w:t>Rob Wilson</w:t>
            </w:r>
          </w:p>
        </w:tc>
        <w:tc>
          <w:tcPr>
            <w:tcW w:w="1638" w:type="pct"/>
            <w:shd w:val="clear" w:color="auto" w:fill="auto"/>
            <w:tcMar>
              <w:top w:w="15" w:type="dxa"/>
              <w:left w:w="108" w:type="dxa"/>
              <w:bottom w:w="0" w:type="dxa"/>
              <w:right w:w="108" w:type="dxa"/>
            </w:tcMar>
            <w:vAlign w:val="center"/>
          </w:tcPr>
          <w:p w14:paraId="234115A0" w14:textId="77777777" w:rsidR="00575F68" w:rsidRPr="007846DC" w:rsidRDefault="00575F68" w:rsidP="00575F68">
            <w:pPr>
              <w:rPr>
                <w:rFonts w:cs="Arial"/>
              </w:rPr>
            </w:pPr>
          </w:p>
        </w:tc>
        <w:tc>
          <w:tcPr>
            <w:tcW w:w="1638" w:type="pct"/>
          </w:tcPr>
          <w:p w14:paraId="12E76A1A" w14:textId="77777777" w:rsidR="00575F68" w:rsidRPr="007846DC" w:rsidRDefault="00575F68" w:rsidP="00575F68">
            <w:pPr>
              <w:rPr>
                <w:rFonts w:cs="Arial"/>
              </w:rPr>
            </w:pPr>
          </w:p>
        </w:tc>
      </w:tr>
      <w:tr w:rsidR="00575F68" w:rsidRPr="00F015E9" w14:paraId="0C7EBC3E" w14:textId="77777777" w:rsidTr="00575F68">
        <w:trPr>
          <w:trHeight w:val="54"/>
        </w:trPr>
        <w:tc>
          <w:tcPr>
            <w:tcW w:w="1724" w:type="pct"/>
            <w:shd w:val="clear" w:color="auto" w:fill="auto"/>
            <w:tcMar>
              <w:top w:w="15" w:type="dxa"/>
              <w:left w:w="108" w:type="dxa"/>
              <w:bottom w:w="0" w:type="dxa"/>
              <w:right w:w="108" w:type="dxa"/>
            </w:tcMar>
            <w:vAlign w:val="bottom"/>
          </w:tcPr>
          <w:p w14:paraId="3050C3AA" w14:textId="72210B95" w:rsidR="00575F68" w:rsidRPr="007846DC" w:rsidRDefault="00575F68" w:rsidP="00575F68">
            <w:pPr>
              <w:rPr>
                <w:rFonts w:cs="Arial"/>
              </w:rPr>
            </w:pPr>
            <w:r>
              <w:rPr>
                <w:rFonts w:ascii="Arial" w:hAnsi="Arial" w:cs="Arial"/>
                <w:color w:val="000000"/>
                <w:sz w:val="20"/>
                <w:szCs w:val="20"/>
              </w:rPr>
              <w:t>Robert Longden</w:t>
            </w:r>
          </w:p>
        </w:tc>
        <w:tc>
          <w:tcPr>
            <w:tcW w:w="1638" w:type="pct"/>
            <w:shd w:val="clear" w:color="auto" w:fill="auto"/>
            <w:tcMar>
              <w:top w:w="15" w:type="dxa"/>
              <w:left w:w="108" w:type="dxa"/>
              <w:bottom w:w="0" w:type="dxa"/>
              <w:right w:w="108" w:type="dxa"/>
            </w:tcMar>
            <w:vAlign w:val="center"/>
          </w:tcPr>
          <w:p w14:paraId="256F0F06" w14:textId="77777777" w:rsidR="00575F68" w:rsidRPr="007846DC" w:rsidRDefault="00575F68" w:rsidP="00575F68">
            <w:pPr>
              <w:rPr>
                <w:rFonts w:cs="Arial"/>
              </w:rPr>
            </w:pPr>
          </w:p>
        </w:tc>
        <w:tc>
          <w:tcPr>
            <w:tcW w:w="1638" w:type="pct"/>
          </w:tcPr>
          <w:p w14:paraId="30A030D9" w14:textId="77777777" w:rsidR="00575F68" w:rsidRPr="007846DC" w:rsidRDefault="00575F68" w:rsidP="00575F68">
            <w:pPr>
              <w:rPr>
                <w:rFonts w:cs="Arial"/>
              </w:rPr>
            </w:pPr>
          </w:p>
        </w:tc>
      </w:tr>
      <w:tr w:rsidR="00575F68" w:rsidRPr="00F015E9" w14:paraId="45F62838" w14:textId="77777777" w:rsidTr="00575F68">
        <w:trPr>
          <w:trHeight w:val="54"/>
        </w:trPr>
        <w:tc>
          <w:tcPr>
            <w:tcW w:w="1724" w:type="pct"/>
            <w:shd w:val="clear" w:color="auto" w:fill="auto"/>
            <w:tcMar>
              <w:top w:w="15" w:type="dxa"/>
              <w:left w:w="108" w:type="dxa"/>
              <w:bottom w:w="0" w:type="dxa"/>
              <w:right w:w="108" w:type="dxa"/>
            </w:tcMar>
            <w:vAlign w:val="bottom"/>
          </w:tcPr>
          <w:p w14:paraId="75084DF8" w14:textId="78C63A61" w:rsidR="00575F68" w:rsidRPr="007846DC" w:rsidRDefault="00575F68" w:rsidP="00575F68">
            <w:pPr>
              <w:rPr>
                <w:rFonts w:cs="Arial"/>
              </w:rPr>
            </w:pPr>
            <w:r>
              <w:rPr>
                <w:rFonts w:ascii="Arial" w:hAnsi="Arial" w:cs="Arial"/>
                <w:sz w:val="20"/>
                <w:szCs w:val="20"/>
              </w:rPr>
              <w:t>Roddy Wilson</w:t>
            </w:r>
          </w:p>
        </w:tc>
        <w:tc>
          <w:tcPr>
            <w:tcW w:w="1638" w:type="pct"/>
            <w:shd w:val="clear" w:color="auto" w:fill="auto"/>
            <w:tcMar>
              <w:top w:w="15" w:type="dxa"/>
              <w:left w:w="108" w:type="dxa"/>
              <w:bottom w:w="0" w:type="dxa"/>
              <w:right w:w="108" w:type="dxa"/>
            </w:tcMar>
            <w:vAlign w:val="center"/>
          </w:tcPr>
          <w:p w14:paraId="5AA40CD1" w14:textId="77777777" w:rsidR="00575F68" w:rsidRPr="007846DC" w:rsidRDefault="00575F68" w:rsidP="00575F68">
            <w:pPr>
              <w:rPr>
                <w:rFonts w:cs="Arial"/>
              </w:rPr>
            </w:pPr>
          </w:p>
        </w:tc>
        <w:tc>
          <w:tcPr>
            <w:tcW w:w="1638" w:type="pct"/>
          </w:tcPr>
          <w:p w14:paraId="628C9327" w14:textId="77777777" w:rsidR="00575F68" w:rsidRPr="007846DC" w:rsidRDefault="00575F68" w:rsidP="00575F68">
            <w:pPr>
              <w:rPr>
                <w:rFonts w:cs="Arial"/>
              </w:rPr>
            </w:pPr>
          </w:p>
        </w:tc>
      </w:tr>
      <w:tr w:rsidR="00575F68" w:rsidRPr="00F015E9" w14:paraId="55194F3C" w14:textId="77777777" w:rsidTr="00575F68">
        <w:trPr>
          <w:trHeight w:val="54"/>
        </w:trPr>
        <w:tc>
          <w:tcPr>
            <w:tcW w:w="1724" w:type="pct"/>
            <w:shd w:val="clear" w:color="auto" w:fill="auto"/>
            <w:tcMar>
              <w:top w:w="15" w:type="dxa"/>
              <w:left w:w="108" w:type="dxa"/>
              <w:bottom w:w="0" w:type="dxa"/>
              <w:right w:w="108" w:type="dxa"/>
            </w:tcMar>
            <w:vAlign w:val="bottom"/>
          </w:tcPr>
          <w:p w14:paraId="0F71B926" w14:textId="67BA80C4" w:rsidR="00575F68" w:rsidRPr="007846DC" w:rsidRDefault="00575F68" w:rsidP="00575F68">
            <w:pPr>
              <w:rPr>
                <w:rFonts w:cs="Arial"/>
              </w:rPr>
            </w:pPr>
            <w:r>
              <w:rPr>
                <w:rFonts w:ascii="Arial" w:hAnsi="Arial" w:cs="Arial"/>
                <w:color w:val="000000"/>
                <w:sz w:val="20"/>
                <w:szCs w:val="20"/>
              </w:rPr>
              <w:t>Sigrid Bolik</w:t>
            </w:r>
          </w:p>
        </w:tc>
        <w:tc>
          <w:tcPr>
            <w:tcW w:w="1638" w:type="pct"/>
            <w:shd w:val="clear" w:color="auto" w:fill="auto"/>
            <w:tcMar>
              <w:top w:w="15" w:type="dxa"/>
              <w:left w:w="108" w:type="dxa"/>
              <w:bottom w:w="0" w:type="dxa"/>
              <w:right w:w="108" w:type="dxa"/>
            </w:tcMar>
            <w:vAlign w:val="center"/>
          </w:tcPr>
          <w:p w14:paraId="18D8A140" w14:textId="77777777" w:rsidR="00575F68" w:rsidRPr="007846DC" w:rsidRDefault="00575F68" w:rsidP="00575F68">
            <w:pPr>
              <w:rPr>
                <w:rFonts w:cs="Arial"/>
              </w:rPr>
            </w:pPr>
          </w:p>
        </w:tc>
        <w:tc>
          <w:tcPr>
            <w:tcW w:w="1638" w:type="pct"/>
          </w:tcPr>
          <w:p w14:paraId="49AEE1CD" w14:textId="77777777" w:rsidR="00575F68" w:rsidRPr="007846DC" w:rsidRDefault="00575F68" w:rsidP="00575F68">
            <w:pPr>
              <w:rPr>
                <w:rFonts w:cs="Arial"/>
              </w:rPr>
            </w:pPr>
          </w:p>
        </w:tc>
      </w:tr>
      <w:tr w:rsidR="00575F68" w:rsidRPr="00F015E9" w14:paraId="544667A4" w14:textId="77777777" w:rsidTr="00575F68">
        <w:trPr>
          <w:trHeight w:val="54"/>
        </w:trPr>
        <w:tc>
          <w:tcPr>
            <w:tcW w:w="1724" w:type="pct"/>
            <w:shd w:val="clear" w:color="auto" w:fill="auto"/>
            <w:tcMar>
              <w:top w:w="15" w:type="dxa"/>
              <w:left w:w="108" w:type="dxa"/>
              <w:bottom w:w="0" w:type="dxa"/>
              <w:right w:w="108" w:type="dxa"/>
            </w:tcMar>
            <w:vAlign w:val="bottom"/>
          </w:tcPr>
          <w:p w14:paraId="4701A1DD" w14:textId="78EABDD6" w:rsidR="00575F68" w:rsidRPr="00575F68" w:rsidRDefault="00575F68" w:rsidP="00575F68">
            <w:pPr>
              <w:rPr>
                <w:rFonts w:cs="Arial"/>
              </w:rPr>
            </w:pPr>
            <w:r w:rsidRPr="00575F68">
              <w:rPr>
                <w:rFonts w:ascii="Arial" w:hAnsi="Arial" w:cs="Arial"/>
                <w:color w:val="000000"/>
                <w:sz w:val="20"/>
                <w:szCs w:val="20"/>
              </w:rPr>
              <w:t>Steve Cox</w:t>
            </w:r>
          </w:p>
        </w:tc>
        <w:tc>
          <w:tcPr>
            <w:tcW w:w="1638" w:type="pct"/>
            <w:shd w:val="clear" w:color="auto" w:fill="auto"/>
            <w:tcMar>
              <w:top w:w="15" w:type="dxa"/>
              <w:left w:w="108" w:type="dxa"/>
              <w:bottom w:w="0" w:type="dxa"/>
              <w:right w:w="108" w:type="dxa"/>
            </w:tcMar>
            <w:vAlign w:val="center"/>
          </w:tcPr>
          <w:p w14:paraId="24AB78CC" w14:textId="77777777" w:rsidR="00575F68" w:rsidRPr="007846DC" w:rsidRDefault="00575F68" w:rsidP="00575F68">
            <w:pPr>
              <w:rPr>
                <w:rFonts w:cs="Arial"/>
              </w:rPr>
            </w:pPr>
          </w:p>
        </w:tc>
        <w:tc>
          <w:tcPr>
            <w:tcW w:w="1638" w:type="pct"/>
          </w:tcPr>
          <w:p w14:paraId="6145F7F5" w14:textId="77777777" w:rsidR="00575F68" w:rsidRPr="007846DC" w:rsidRDefault="00575F68" w:rsidP="00575F68">
            <w:pPr>
              <w:rPr>
                <w:rFonts w:cs="Arial"/>
              </w:rPr>
            </w:pPr>
          </w:p>
        </w:tc>
      </w:tr>
    </w:tbl>
    <w:p w14:paraId="6D293918" w14:textId="77777777" w:rsidR="00E826BE" w:rsidRDefault="00E826BE" w:rsidP="00E826BE">
      <w:pPr>
        <w:spacing w:line="268" w:lineRule="auto"/>
        <w:ind w:right="320"/>
        <w:rPr>
          <w:rStyle w:val="eop"/>
          <w:rFonts w:cs="Arial"/>
          <w:b/>
          <w:color w:val="000000"/>
          <w:shd w:val="clear" w:color="auto" w:fill="FFFFFF"/>
        </w:rPr>
      </w:pPr>
    </w:p>
    <w:p w14:paraId="61804D78" w14:textId="74FD4E99" w:rsidR="00E826BE" w:rsidRDefault="00E826BE" w:rsidP="00201813">
      <w:pPr>
        <w:pStyle w:val="Heading3"/>
        <w:rPr>
          <w:rStyle w:val="eop"/>
          <w:rFonts w:cs="Arial"/>
          <w:color w:val="000000"/>
          <w:shd w:val="clear" w:color="auto" w:fill="FFFFFF"/>
        </w:rPr>
      </w:pPr>
      <w:bookmarkStart w:id="27" w:name="_Toc83200229"/>
      <w:r>
        <w:rPr>
          <w:rStyle w:val="eop"/>
          <w:rFonts w:cs="Arial"/>
          <w:color w:val="000000"/>
          <w:shd w:val="clear" w:color="auto" w:fill="FFFFFF"/>
        </w:rPr>
        <w:t>Panel conclusion</w:t>
      </w:r>
      <w:bookmarkEnd w:id="27"/>
    </w:p>
    <w:p w14:paraId="34BD4176" w14:textId="77777777" w:rsidR="00B968AE" w:rsidRPr="00B968AE" w:rsidRDefault="00B968AE" w:rsidP="00B968AE">
      <w:pPr>
        <w:rPr>
          <w:lang w:eastAsia="en-GB"/>
        </w:rPr>
      </w:pPr>
    </w:p>
    <w:p w14:paraId="1228E943" w14:textId="6594EBF5" w:rsidR="00E826BE" w:rsidRPr="00052B7F" w:rsidRDefault="00E826BE" w:rsidP="00E826BE">
      <w:pPr>
        <w:spacing w:line="268" w:lineRule="auto"/>
        <w:ind w:right="320"/>
        <w:jc w:val="both"/>
        <w:rPr>
          <w:rStyle w:val="eop"/>
          <w:rFonts w:cs="Arial"/>
          <w:color w:val="000000"/>
          <w:shd w:val="clear" w:color="auto" w:fill="FFFFFF"/>
        </w:rPr>
      </w:pPr>
      <w:r>
        <w:rPr>
          <w:rStyle w:val="eop"/>
          <w:rFonts w:cs="Arial"/>
          <w:color w:val="000000"/>
          <w:shd w:val="clear" w:color="auto" w:fill="FFFFFF"/>
        </w:rPr>
        <w:t xml:space="preserve">The Panel, </w:t>
      </w:r>
      <w:r w:rsidRPr="00535AFD">
        <w:rPr>
          <w:rStyle w:val="eop"/>
          <w:rFonts w:cs="Arial"/>
          <w:color w:val="000000"/>
          <w:highlight w:val="yellow"/>
          <w:shd w:val="clear" w:color="auto" w:fill="FFFFFF"/>
        </w:rPr>
        <w:t>unanimously/ by majority</w:t>
      </w:r>
      <w:r>
        <w:rPr>
          <w:rStyle w:val="eop"/>
          <w:rFonts w:cs="Arial"/>
          <w:color w:val="000000"/>
          <w:shd w:val="clear" w:color="auto" w:fill="FFFFFF"/>
        </w:rPr>
        <w:t xml:space="preserve"> </w:t>
      </w:r>
      <w:r w:rsidRPr="00855B5D">
        <w:rPr>
          <w:rStyle w:val="eop"/>
          <w:rFonts w:cs="Arial"/>
          <w:color w:val="000000"/>
          <w:shd w:val="clear" w:color="auto" w:fill="FFFFFF"/>
        </w:rPr>
        <w:t>recommended</w:t>
      </w:r>
      <w:r>
        <w:rPr>
          <w:rStyle w:val="eop"/>
          <w:rFonts w:cs="Arial"/>
          <w:color w:val="000000"/>
          <w:shd w:val="clear" w:color="auto" w:fill="FFFFFF"/>
        </w:rPr>
        <w:t xml:space="preserve"> that the </w:t>
      </w:r>
      <w:r w:rsidRPr="00C8050C">
        <w:rPr>
          <w:rStyle w:val="eop"/>
          <w:rFonts w:cs="Arial"/>
          <w:color w:val="000000"/>
          <w:shd w:val="clear" w:color="auto" w:fill="FFFFFF"/>
        </w:rPr>
        <w:t>Proposer’s solution s</w:t>
      </w:r>
      <w:r>
        <w:rPr>
          <w:rStyle w:val="eop"/>
          <w:rFonts w:cs="Arial"/>
          <w:color w:val="000000"/>
          <w:shd w:val="clear" w:color="auto" w:fill="FFFFFF"/>
        </w:rPr>
        <w:t xml:space="preserve">hould be implemented. </w:t>
      </w:r>
    </w:p>
    <w:p w14:paraId="1E8FA9E3" w14:textId="77777777" w:rsidR="00470B5B" w:rsidRPr="005603D9" w:rsidRDefault="00470B5B" w:rsidP="009A206C">
      <w:pPr>
        <w:pStyle w:val="CA4"/>
      </w:pPr>
      <w:bookmarkStart w:id="28" w:name="_Toc83200230"/>
      <w:r w:rsidRPr="005603D9">
        <w:t>When will this change take place?</w:t>
      </w:r>
      <w:bookmarkEnd w:id="28"/>
    </w:p>
    <w:p w14:paraId="739C7DC5" w14:textId="77777777" w:rsidR="009772E2" w:rsidRPr="00C66E05" w:rsidRDefault="009772E2" w:rsidP="009772E2">
      <w:pPr>
        <w:pStyle w:val="Heading3"/>
      </w:pPr>
      <w:bookmarkStart w:id="29" w:name="_Toc72224833"/>
      <w:bookmarkStart w:id="30" w:name="_Toc83200231"/>
      <w:r w:rsidRPr="009A206C">
        <w:t>Implementation date</w:t>
      </w:r>
      <w:bookmarkEnd w:id="29"/>
      <w:bookmarkEnd w:id="30"/>
    </w:p>
    <w:p w14:paraId="5591F656" w14:textId="77777777" w:rsidR="009772E2" w:rsidRPr="00B554B1" w:rsidRDefault="009772E2" w:rsidP="009772E2">
      <w:pPr>
        <w:spacing w:after="160"/>
        <w:rPr>
          <w:b/>
        </w:rPr>
      </w:pPr>
      <w:r>
        <w:t xml:space="preserve">This Modification should be implemented 10 working days following a decision from the Authority. </w:t>
      </w:r>
    </w:p>
    <w:p w14:paraId="5BA4202D" w14:textId="77777777" w:rsidR="009772E2" w:rsidRPr="009A206C" w:rsidRDefault="009772E2" w:rsidP="009772E2">
      <w:pPr>
        <w:pStyle w:val="Heading3"/>
      </w:pPr>
      <w:bookmarkStart w:id="31" w:name="_Toc72224834"/>
      <w:bookmarkStart w:id="32" w:name="_Toc83200232"/>
      <w:r w:rsidRPr="009A206C">
        <w:t>Date decision required by</w:t>
      </w:r>
      <w:bookmarkEnd w:id="31"/>
      <w:bookmarkEnd w:id="32"/>
    </w:p>
    <w:p w14:paraId="42733D82" w14:textId="77777777" w:rsidR="009772E2" w:rsidRPr="00E21979" w:rsidRDefault="009772E2" w:rsidP="009772E2">
      <w:pPr>
        <w:spacing w:after="160"/>
      </w:pPr>
      <w:r w:rsidRPr="00E21979">
        <w:t>The decision is required by the end of July 2021.</w:t>
      </w:r>
    </w:p>
    <w:p w14:paraId="5A0B71ED" w14:textId="77777777" w:rsidR="009772E2" w:rsidRPr="009A206C" w:rsidRDefault="009772E2" w:rsidP="009772E2">
      <w:pPr>
        <w:pStyle w:val="Heading3"/>
      </w:pPr>
      <w:bookmarkStart w:id="33" w:name="_Toc72224835"/>
      <w:bookmarkStart w:id="34" w:name="_Toc83200233"/>
      <w:r w:rsidRPr="009A206C">
        <w:t>Implementation approach</w:t>
      </w:r>
      <w:bookmarkEnd w:id="33"/>
      <w:bookmarkEnd w:id="34"/>
    </w:p>
    <w:p w14:paraId="041E78CD" w14:textId="77777777" w:rsidR="009772E2" w:rsidRPr="002A2A96" w:rsidRDefault="009772E2" w:rsidP="009772E2">
      <w:pPr>
        <w:spacing w:after="160"/>
      </w:pPr>
      <w:r w:rsidRPr="002A2A96">
        <w:t xml:space="preserve">No system changes are required for this modification. </w:t>
      </w:r>
      <w:r>
        <w:t xml:space="preserve">The modification requires the ESO to publish information onto a webpage. </w:t>
      </w:r>
    </w:p>
    <w:p w14:paraId="5507BAD0" w14:textId="77777777" w:rsidR="00470B5B" w:rsidRPr="005603D9" w:rsidRDefault="00470B5B" w:rsidP="009A206C">
      <w:pPr>
        <w:pStyle w:val="CA5"/>
      </w:pPr>
      <w:bookmarkStart w:id="35" w:name="_Toc83200234"/>
      <w:r w:rsidRPr="005603D9">
        <w:lastRenderedPageBreak/>
        <w:t>Interactions</w:t>
      </w:r>
      <w:bookmarkEnd w:id="3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1D2987E7" w14:textId="77777777" w:rsidTr="006277ED">
        <w:tc>
          <w:tcPr>
            <w:tcW w:w="2371" w:type="dxa"/>
          </w:tcPr>
          <w:p w14:paraId="24969F59" w14:textId="77777777" w:rsidR="00C53337" w:rsidRDefault="00950875" w:rsidP="00950875">
            <w:r>
              <w:rPr>
                <w:rFonts w:ascii="MS Gothic" w:eastAsia="MS Gothic" w:hAnsi="MS Gothic" w:hint="eastAsia"/>
              </w:rPr>
              <w:t>☐</w:t>
            </w:r>
            <w:r>
              <w:t>Grid Code</w:t>
            </w:r>
          </w:p>
        </w:tc>
        <w:tc>
          <w:tcPr>
            <w:tcW w:w="2371" w:type="dxa"/>
          </w:tcPr>
          <w:p w14:paraId="416BCE62" w14:textId="6C7CCA40" w:rsidR="00C53337" w:rsidRDefault="0053415C" w:rsidP="00950875">
            <w:sdt>
              <w:sdtPr>
                <w:id w:val="716551277"/>
                <w14:checkbox>
                  <w14:checked w14:val="1"/>
                  <w14:checkedState w14:val="2612" w14:font="MS Gothic"/>
                  <w14:uncheckedState w14:val="2610" w14:font="MS Gothic"/>
                </w14:checkbox>
              </w:sdtPr>
              <w:sdtEndPr/>
              <w:sdtContent>
                <w:r w:rsidR="00AA3805">
                  <w:rPr>
                    <w:rFonts w:ascii="MS Gothic" w:eastAsia="MS Gothic" w:hAnsi="MS Gothic" w:hint="eastAsia"/>
                  </w:rPr>
                  <w:t>☒</w:t>
                </w:r>
              </w:sdtContent>
            </w:sdt>
            <w:r w:rsidR="00866060">
              <w:t>BSC</w:t>
            </w:r>
          </w:p>
        </w:tc>
        <w:tc>
          <w:tcPr>
            <w:tcW w:w="2372" w:type="dxa"/>
          </w:tcPr>
          <w:p w14:paraId="5FD95027" w14:textId="77777777" w:rsidR="00C53337" w:rsidRDefault="00866060" w:rsidP="00950875">
            <w:r>
              <w:rPr>
                <w:rFonts w:ascii="MS Gothic" w:eastAsia="MS Gothic" w:hAnsi="MS Gothic" w:hint="eastAsia"/>
              </w:rPr>
              <w:t>☐</w:t>
            </w:r>
            <w:r>
              <w:t>STC</w:t>
            </w:r>
          </w:p>
        </w:tc>
        <w:tc>
          <w:tcPr>
            <w:tcW w:w="2372" w:type="dxa"/>
          </w:tcPr>
          <w:p w14:paraId="2EE4DE1B" w14:textId="77777777" w:rsidR="00C53337" w:rsidRDefault="00C53337" w:rsidP="00950875">
            <w:r>
              <w:rPr>
                <w:rFonts w:ascii="MS Gothic" w:eastAsia="MS Gothic" w:hAnsi="MS Gothic" w:hint="eastAsia"/>
              </w:rPr>
              <w:t>☐</w:t>
            </w:r>
            <w:r>
              <w:t>SQSS</w:t>
            </w:r>
          </w:p>
        </w:tc>
      </w:tr>
      <w:tr w:rsidR="00950875" w14:paraId="3790C5EF" w14:textId="77777777" w:rsidTr="006277ED">
        <w:tc>
          <w:tcPr>
            <w:tcW w:w="2371" w:type="dxa"/>
          </w:tcPr>
          <w:p w14:paraId="5D4F7771" w14:textId="77777777" w:rsidR="00950875" w:rsidRDefault="006277ED" w:rsidP="00950875">
            <w:r>
              <w:rPr>
                <w:rFonts w:ascii="MS Gothic" w:eastAsia="MS Gothic" w:hAnsi="MS Gothic" w:hint="eastAsia"/>
              </w:rPr>
              <w:t>☐</w:t>
            </w:r>
            <w:r>
              <w:t xml:space="preserve">European Network Codes </w:t>
            </w:r>
          </w:p>
          <w:p w14:paraId="4CA611AD" w14:textId="77777777" w:rsidR="00950875" w:rsidRDefault="00950875" w:rsidP="00C53337"/>
        </w:tc>
        <w:tc>
          <w:tcPr>
            <w:tcW w:w="2371" w:type="dxa"/>
          </w:tcPr>
          <w:p w14:paraId="1A00FBB5" w14:textId="77777777" w:rsidR="00950875" w:rsidRDefault="006277ED" w:rsidP="006277ED">
            <w:r>
              <w:rPr>
                <w:rFonts w:ascii="MS Gothic" w:eastAsia="MS Gothic" w:hAnsi="MS Gothic" w:hint="eastAsia"/>
              </w:rPr>
              <w:t>☐</w:t>
            </w:r>
            <w:r w:rsidRPr="005603D9">
              <w:t xml:space="preserve"> EBGL Article 18 T&amp;Cs</w:t>
            </w:r>
            <w:r>
              <w:rPr>
                <w:rStyle w:val="FootnoteReference"/>
              </w:rPr>
              <w:footnoteReference w:id="25"/>
            </w:r>
          </w:p>
        </w:tc>
        <w:tc>
          <w:tcPr>
            <w:tcW w:w="2372" w:type="dxa"/>
          </w:tcPr>
          <w:p w14:paraId="32C50AC6" w14:textId="77777777" w:rsidR="00951276" w:rsidRDefault="00951276" w:rsidP="00951276">
            <w:r>
              <w:rPr>
                <w:rFonts w:ascii="MS Gothic" w:eastAsia="MS Gothic" w:hAnsi="MS Gothic" w:hint="eastAsia"/>
              </w:rPr>
              <w:t>☐</w:t>
            </w:r>
            <w:r>
              <w:t>Other modifications</w:t>
            </w:r>
          </w:p>
          <w:p w14:paraId="4C3B145D" w14:textId="77777777" w:rsidR="00950875" w:rsidRDefault="00950875" w:rsidP="00950875"/>
        </w:tc>
        <w:tc>
          <w:tcPr>
            <w:tcW w:w="2372" w:type="dxa"/>
          </w:tcPr>
          <w:p w14:paraId="118903BD" w14:textId="63B519BB" w:rsidR="00950875" w:rsidRDefault="0053415C" w:rsidP="00950875">
            <w:sdt>
              <w:sdtPr>
                <w:id w:val="-848254905"/>
                <w14:checkbox>
                  <w14:checked w14:val="1"/>
                  <w14:checkedState w14:val="2612" w14:font="MS Gothic"/>
                  <w14:uncheckedState w14:val="2610" w14:font="MS Gothic"/>
                </w14:checkbox>
              </w:sdtPr>
              <w:sdtEndPr/>
              <w:sdtContent>
                <w:r w:rsidR="00AA3805">
                  <w:rPr>
                    <w:rFonts w:ascii="MS Gothic" w:eastAsia="MS Gothic" w:hAnsi="MS Gothic" w:hint="eastAsia"/>
                  </w:rPr>
                  <w:t>☒</w:t>
                </w:r>
              </w:sdtContent>
            </w:sdt>
            <w:r w:rsidR="00AA3805">
              <w:t xml:space="preserve"> </w:t>
            </w:r>
            <w:r w:rsidR="00950875">
              <w:t>Other</w:t>
            </w:r>
          </w:p>
          <w:p w14:paraId="506115DE" w14:textId="77777777" w:rsidR="00950875" w:rsidRDefault="00950875" w:rsidP="00C53337"/>
        </w:tc>
      </w:tr>
    </w:tbl>
    <w:p w14:paraId="1F9A8AE4" w14:textId="77777777" w:rsidR="007050C5" w:rsidRDefault="007050C5" w:rsidP="007050C5">
      <w:pPr>
        <w:rPr>
          <w:rStyle w:val="normaltextrun"/>
        </w:rPr>
      </w:pPr>
      <w:bookmarkStart w:id="36" w:name="_How_to_respond"/>
      <w:bookmarkEnd w:id="36"/>
      <w:r w:rsidRPr="00853819">
        <w:rPr>
          <w:rStyle w:val="normaltextrun"/>
        </w:rPr>
        <w:t>The BSC deals with the BMRS.  We do not think that this proposal will directly impact on the BSC itself.  However, it would see the ESO using the current BMRS System Warning page to inform stakeholders of changes to the condition of the GB NETS ‘System State’ situation.</w:t>
      </w:r>
    </w:p>
    <w:p w14:paraId="2EC4C19E" w14:textId="77777777" w:rsidR="009A206C" w:rsidRPr="009A206C" w:rsidRDefault="00470B5B" w:rsidP="008F0CED">
      <w:pPr>
        <w:pStyle w:val="CA7"/>
      </w:pPr>
      <w:bookmarkStart w:id="37" w:name="_Toc83200235"/>
      <w:r w:rsidRPr="005603D9">
        <w:t>Acronyms, key terms and reference material</w:t>
      </w:r>
      <w:bookmarkEnd w:id="37"/>
    </w:p>
    <w:tbl>
      <w:tblPr>
        <w:tblStyle w:val="TableGrid"/>
        <w:tblW w:w="9776" w:type="dxa"/>
        <w:tblLook w:val="04A0" w:firstRow="1" w:lastRow="0" w:firstColumn="1" w:lastColumn="0" w:noHBand="0" w:noVBand="1"/>
      </w:tblPr>
      <w:tblGrid>
        <w:gridCol w:w="2263"/>
        <w:gridCol w:w="284"/>
        <w:gridCol w:w="6946"/>
        <w:gridCol w:w="283"/>
      </w:tblGrid>
      <w:tr w:rsidR="00470B5B" w:rsidRPr="005603D9" w14:paraId="514D81AE" w14:textId="77777777" w:rsidTr="007C7870">
        <w:trPr>
          <w:gridAfter w:val="1"/>
          <w:wAfter w:w="283" w:type="dxa"/>
        </w:trPr>
        <w:tc>
          <w:tcPr>
            <w:tcW w:w="2547" w:type="dxa"/>
            <w:gridSpan w:val="2"/>
            <w:shd w:val="clear" w:color="auto" w:fill="727274" w:themeFill="text2"/>
          </w:tcPr>
          <w:p w14:paraId="4D44927B"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5AB4487B" w14:textId="77777777" w:rsidR="00470B5B" w:rsidRPr="009A206C" w:rsidRDefault="00470B5B" w:rsidP="005603D9">
            <w:pPr>
              <w:rPr>
                <w:b/>
                <w:color w:val="FFFFFF" w:themeColor="background1"/>
              </w:rPr>
            </w:pPr>
            <w:r w:rsidRPr="009A206C">
              <w:rPr>
                <w:b/>
                <w:color w:val="FFFFFF" w:themeColor="background1"/>
              </w:rPr>
              <w:t>Meaning</w:t>
            </w:r>
          </w:p>
        </w:tc>
      </w:tr>
      <w:tr w:rsidR="007C7870" w:rsidRPr="005603D9" w14:paraId="73036F58" w14:textId="77777777" w:rsidTr="007C7870">
        <w:tc>
          <w:tcPr>
            <w:tcW w:w="2263" w:type="dxa"/>
          </w:tcPr>
          <w:p w14:paraId="7065DBA7" w14:textId="77777777" w:rsidR="007C7870" w:rsidRDefault="007C7870" w:rsidP="006C318F">
            <w:r>
              <w:t>BEIS</w:t>
            </w:r>
          </w:p>
        </w:tc>
        <w:tc>
          <w:tcPr>
            <w:tcW w:w="7513" w:type="dxa"/>
            <w:gridSpan w:val="3"/>
          </w:tcPr>
          <w:p w14:paraId="0EA88BAF" w14:textId="77777777" w:rsidR="007C7870" w:rsidRPr="004E4159" w:rsidRDefault="007C7870" w:rsidP="006C318F">
            <w:pPr>
              <w:rPr>
                <w:rFonts w:cstheme="minorHAnsi"/>
                <w:szCs w:val="24"/>
              </w:rPr>
            </w:pPr>
            <w:r w:rsidRPr="004E4159">
              <w:rPr>
                <w:rFonts w:cstheme="minorHAnsi"/>
                <w:szCs w:val="24"/>
                <w:shd w:val="clear" w:color="auto" w:fill="FFFFFF"/>
              </w:rPr>
              <w:t>Business, Energy &amp; Industrial Strategy</w:t>
            </w:r>
          </w:p>
        </w:tc>
      </w:tr>
      <w:tr w:rsidR="007C7870" w:rsidRPr="005603D9" w14:paraId="7D830884" w14:textId="77777777" w:rsidTr="007C7870">
        <w:tc>
          <w:tcPr>
            <w:tcW w:w="2263" w:type="dxa"/>
          </w:tcPr>
          <w:p w14:paraId="65D37AB4" w14:textId="77777777" w:rsidR="007C7870" w:rsidRDefault="007C7870" w:rsidP="006C318F">
            <w:r>
              <w:t>BMRS</w:t>
            </w:r>
          </w:p>
        </w:tc>
        <w:tc>
          <w:tcPr>
            <w:tcW w:w="7513" w:type="dxa"/>
            <w:gridSpan w:val="3"/>
          </w:tcPr>
          <w:p w14:paraId="7D172F6B" w14:textId="77777777" w:rsidR="007C7870" w:rsidRDefault="007C7870" w:rsidP="006C318F">
            <w:r>
              <w:t>Balancing Mechanism Reporting Service</w:t>
            </w:r>
          </w:p>
        </w:tc>
      </w:tr>
      <w:tr w:rsidR="007C7870" w:rsidRPr="005603D9" w14:paraId="3F168EB4" w14:textId="77777777" w:rsidTr="007C7870">
        <w:tc>
          <w:tcPr>
            <w:tcW w:w="2263" w:type="dxa"/>
          </w:tcPr>
          <w:p w14:paraId="26EA987B" w14:textId="77777777" w:rsidR="007C7870" w:rsidRDefault="007C7870" w:rsidP="006C318F">
            <w:r>
              <w:t>BSC</w:t>
            </w:r>
          </w:p>
        </w:tc>
        <w:tc>
          <w:tcPr>
            <w:tcW w:w="7513" w:type="dxa"/>
            <w:gridSpan w:val="3"/>
          </w:tcPr>
          <w:p w14:paraId="10E86926" w14:textId="77777777" w:rsidR="007C7870" w:rsidRDefault="007C7870" w:rsidP="006C318F">
            <w:r>
              <w:t>Balancing and Settlement Code</w:t>
            </w:r>
          </w:p>
        </w:tc>
      </w:tr>
      <w:tr w:rsidR="007C7870" w:rsidRPr="005603D9" w14:paraId="4994AAF8" w14:textId="77777777" w:rsidTr="007C7870">
        <w:tc>
          <w:tcPr>
            <w:tcW w:w="2263" w:type="dxa"/>
          </w:tcPr>
          <w:p w14:paraId="5F6D5632" w14:textId="77777777" w:rsidR="007C7870" w:rsidRPr="005603D9" w:rsidRDefault="007C7870" w:rsidP="006C318F">
            <w:r>
              <w:t>CMP</w:t>
            </w:r>
          </w:p>
        </w:tc>
        <w:tc>
          <w:tcPr>
            <w:tcW w:w="7513" w:type="dxa"/>
            <w:gridSpan w:val="3"/>
          </w:tcPr>
          <w:p w14:paraId="0090AEF5" w14:textId="77777777" w:rsidR="007C7870" w:rsidRPr="005603D9" w:rsidRDefault="007C7870" w:rsidP="006C318F">
            <w:r>
              <w:t>CUSC Modification Proposal</w:t>
            </w:r>
          </w:p>
        </w:tc>
      </w:tr>
      <w:tr w:rsidR="007C7870" w:rsidRPr="005603D9" w14:paraId="3C491E9A" w14:textId="77777777" w:rsidTr="007C7870">
        <w:tc>
          <w:tcPr>
            <w:tcW w:w="2263" w:type="dxa"/>
          </w:tcPr>
          <w:p w14:paraId="676FCE40" w14:textId="77777777" w:rsidR="007C7870" w:rsidRDefault="007C7870" w:rsidP="006C318F">
            <w:r>
              <w:t>DNO</w:t>
            </w:r>
          </w:p>
        </w:tc>
        <w:tc>
          <w:tcPr>
            <w:tcW w:w="7513" w:type="dxa"/>
            <w:gridSpan w:val="3"/>
          </w:tcPr>
          <w:p w14:paraId="4748509B" w14:textId="77777777" w:rsidR="007C7870" w:rsidRPr="003B1183" w:rsidRDefault="007C7870" w:rsidP="006C318F">
            <w:pPr>
              <w:rPr>
                <w:rFonts w:cstheme="minorHAnsi"/>
                <w:b/>
                <w:bCs/>
                <w:szCs w:val="24"/>
              </w:rPr>
            </w:pPr>
            <w:r w:rsidRPr="003B1183">
              <w:rPr>
                <w:rFonts w:cstheme="minorHAnsi"/>
                <w:color w:val="222222"/>
                <w:szCs w:val="24"/>
                <w:shd w:val="clear" w:color="auto" w:fill="FFFFFF"/>
              </w:rPr>
              <w:t xml:space="preserve">Distribution </w:t>
            </w:r>
            <w:r>
              <w:rPr>
                <w:rFonts w:cstheme="minorHAnsi"/>
                <w:color w:val="222222"/>
                <w:szCs w:val="24"/>
                <w:shd w:val="clear" w:color="auto" w:fill="FFFFFF"/>
              </w:rPr>
              <w:t>N</w:t>
            </w:r>
            <w:r w:rsidRPr="003B1183">
              <w:rPr>
                <w:rFonts w:cstheme="minorHAnsi"/>
                <w:color w:val="222222"/>
                <w:szCs w:val="24"/>
                <w:shd w:val="clear" w:color="auto" w:fill="FFFFFF"/>
              </w:rPr>
              <w:t xml:space="preserve">etwork </w:t>
            </w:r>
            <w:r>
              <w:rPr>
                <w:rFonts w:cstheme="minorHAnsi"/>
                <w:color w:val="222222"/>
                <w:szCs w:val="24"/>
                <w:shd w:val="clear" w:color="auto" w:fill="FFFFFF"/>
              </w:rPr>
              <w:t>O</w:t>
            </w:r>
            <w:r w:rsidRPr="003B1183">
              <w:rPr>
                <w:rFonts w:cstheme="minorHAnsi"/>
                <w:color w:val="222222"/>
                <w:szCs w:val="24"/>
                <w:shd w:val="clear" w:color="auto" w:fill="FFFFFF"/>
              </w:rPr>
              <w:t>perator</w:t>
            </w:r>
          </w:p>
        </w:tc>
      </w:tr>
      <w:tr w:rsidR="007C7870" w:rsidRPr="005603D9" w14:paraId="471B7156" w14:textId="77777777" w:rsidTr="007C7870">
        <w:tc>
          <w:tcPr>
            <w:tcW w:w="2263" w:type="dxa"/>
          </w:tcPr>
          <w:p w14:paraId="5C27E10C" w14:textId="77777777" w:rsidR="007C7870" w:rsidRPr="005603D9" w:rsidRDefault="007C7870" w:rsidP="006C318F">
            <w:r>
              <w:t>EBGL</w:t>
            </w:r>
          </w:p>
        </w:tc>
        <w:tc>
          <w:tcPr>
            <w:tcW w:w="7513" w:type="dxa"/>
            <w:gridSpan w:val="3"/>
          </w:tcPr>
          <w:p w14:paraId="00F160CE" w14:textId="77777777" w:rsidR="007C7870" w:rsidRPr="005603D9" w:rsidRDefault="007C7870" w:rsidP="006C318F">
            <w:r>
              <w:t>Electricity Balancing Guideline</w:t>
            </w:r>
          </w:p>
        </w:tc>
      </w:tr>
      <w:tr w:rsidR="007C7870" w:rsidRPr="005603D9" w14:paraId="79CCB0BD" w14:textId="77777777" w:rsidTr="007C7870">
        <w:tc>
          <w:tcPr>
            <w:tcW w:w="2263" w:type="dxa"/>
          </w:tcPr>
          <w:p w14:paraId="02D7DA6C" w14:textId="77777777" w:rsidR="007C7870" w:rsidRDefault="007C7870" w:rsidP="006C318F">
            <w:r>
              <w:t>ENTSO-E</w:t>
            </w:r>
          </w:p>
        </w:tc>
        <w:tc>
          <w:tcPr>
            <w:tcW w:w="7513" w:type="dxa"/>
            <w:gridSpan w:val="3"/>
          </w:tcPr>
          <w:p w14:paraId="2DE30893" w14:textId="77777777" w:rsidR="007C7870" w:rsidRPr="000C0F94" w:rsidRDefault="007C7870" w:rsidP="006C318F">
            <w:pPr>
              <w:rPr>
                <w:rFonts w:cstheme="minorHAnsi"/>
                <w:szCs w:val="24"/>
              </w:rPr>
            </w:pPr>
            <w:r w:rsidRPr="000C0F94">
              <w:rPr>
                <w:rFonts w:cstheme="minorHAnsi"/>
                <w:color w:val="222222"/>
                <w:szCs w:val="24"/>
                <w:shd w:val="clear" w:color="auto" w:fill="FFFFFF"/>
              </w:rPr>
              <w:t>European Network of Transmission System Operators for Electricity</w:t>
            </w:r>
          </w:p>
        </w:tc>
      </w:tr>
      <w:tr w:rsidR="007C7870" w:rsidRPr="005603D9" w14:paraId="027BE3AF" w14:textId="77777777" w:rsidTr="007C7870">
        <w:tc>
          <w:tcPr>
            <w:tcW w:w="2263" w:type="dxa"/>
          </w:tcPr>
          <w:p w14:paraId="3CA5427D" w14:textId="77777777" w:rsidR="007C7870" w:rsidRDefault="007C7870" w:rsidP="006C318F">
            <w:r>
              <w:t>ESO</w:t>
            </w:r>
          </w:p>
        </w:tc>
        <w:tc>
          <w:tcPr>
            <w:tcW w:w="7513" w:type="dxa"/>
            <w:gridSpan w:val="3"/>
          </w:tcPr>
          <w:p w14:paraId="2AF48AC1" w14:textId="77777777" w:rsidR="007C7870" w:rsidRDefault="007C7870" w:rsidP="006C318F">
            <w:r>
              <w:t>Electricity System Operator</w:t>
            </w:r>
          </w:p>
        </w:tc>
      </w:tr>
      <w:tr w:rsidR="007C7870" w:rsidRPr="005603D9" w14:paraId="11ED9ED0" w14:textId="77777777" w:rsidTr="007C7870">
        <w:tc>
          <w:tcPr>
            <w:tcW w:w="2263" w:type="dxa"/>
          </w:tcPr>
          <w:p w14:paraId="65DA74AF" w14:textId="77777777" w:rsidR="007C7870" w:rsidRDefault="007C7870" w:rsidP="006C318F">
            <w:r>
              <w:t>NETS</w:t>
            </w:r>
          </w:p>
        </w:tc>
        <w:tc>
          <w:tcPr>
            <w:tcW w:w="7513" w:type="dxa"/>
            <w:gridSpan w:val="3"/>
          </w:tcPr>
          <w:p w14:paraId="08BB3BB1" w14:textId="77777777" w:rsidR="007C7870" w:rsidRDefault="007C7870" w:rsidP="006C318F">
            <w:r>
              <w:t>National Electricity Transmission System</w:t>
            </w:r>
          </w:p>
        </w:tc>
      </w:tr>
      <w:tr w:rsidR="007C7870" w:rsidRPr="005603D9" w14:paraId="150C5486" w14:textId="77777777" w:rsidTr="007C7870">
        <w:tc>
          <w:tcPr>
            <w:tcW w:w="2263" w:type="dxa"/>
          </w:tcPr>
          <w:p w14:paraId="63F25D2A" w14:textId="77777777" w:rsidR="007C7870" w:rsidRDefault="007C7870" w:rsidP="006C318F">
            <w:r>
              <w:t>NGESO</w:t>
            </w:r>
          </w:p>
        </w:tc>
        <w:tc>
          <w:tcPr>
            <w:tcW w:w="7513" w:type="dxa"/>
            <w:gridSpan w:val="3"/>
          </w:tcPr>
          <w:p w14:paraId="63ECF8A9" w14:textId="77777777" w:rsidR="007C7870" w:rsidRDefault="007C7870" w:rsidP="006C318F">
            <w:r>
              <w:t>National Grid Electricity System Operator</w:t>
            </w:r>
          </w:p>
        </w:tc>
      </w:tr>
      <w:tr w:rsidR="007C7870" w:rsidRPr="005603D9" w14:paraId="56C55F23" w14:textId="77777777" w:rsidTr="007C7870">
        <w:tc>
          <w:tcPr>
            <w:tcW w:w="2263" w:type="dxa"/>
          </w:tcPr>
          <w:p w14:paraId="15134617" w14:textId="77777777" w:rsidR="007C7870" w:rsidRDefault="007C7870" w:rsidP="006C318F">
            <w:r>
              <w:t>RSC</w:t>
            </w:r>
          </w:p>
        </w:tc>
        <w:tc>
          <w:tcPr>
            <w:tcW w:w="7513" w:type="dxa"/>
            <w:gridSpan w:val="3"/>
          </w:tcPr>
          <w:p w14:paraId="1F7496AE" w14:textId="77777777" w:rsidR="007C7870" w:rsidRDefault="007C7870" w:rsidP="006C318F">
            <w:pPr>
              <w:rPr>
                <w:rFonts w:cstheme="minorHAnsi"/>
                <w:color w:val="222222"/>
                <w:szCs w:val="24"/>
                <w:shd w:val="clear" w:color="auto" w:fill="FFFFFF"/>
              </w:rPr>
            </w:pPr>
            <w:r>
              <w:rPr>
                <w:rFonts w:cstheme="minorHAnsi"/>
                <w:color w:val="222222"/>
                <w:szCs w:val="24"/>
                <w:shd w:val="clear" w:color="auto" w:fill="FFFFFF"/>
              </w:rPr>
              <w:t>Regional Security Co-ordinators</w:t>
            </w:r>
          </w:p>
        </w:tc>
      </w:tr>
      <w:tr w:rsidR="007C7870" w:rsidRPr="005603D9" w14:paraId="0EFBAAC4" w14:textId="77777777" w:rsidTr="007C7870">
        <w:tc>
          <w:tcPr>
            <w:tcW w:w="2263" w:type="dxa"/>
          </w:tcPr>
          <w:p w14:paraId="6CDF97F4" w14:textId="77777777" w:rsidR="007C7870" w:rsidRDefault="007C7870" w:rsidP="006C318F">
            <w:r>
              <w:t>SGU</w:t>
            </w:r>
          </w:p>
        </w:tc>
        <w:tc>
          <w:tcPr>
            <w:tcW w:w="7513" w:type="dxa"/>
            <w:gridSpan w:val="3"/>
          </w:tcPr>
          <w:p w14:paraId="58D56E77" w14:textId="77777777" w:rsidR="007C7870" w:rsidRDefault="007C7870" w:rsidP="006C318F">
            <w:pPr>
              <w:rPr>
                <w:rFonts w:cstheme="minorHAnsi"/>
                <w:color w:val="222222"/>
                <w:szCs w:val="24"/>
                <w:shd w:val="clear" w:color="auto" w:fill="FFFFFF"/>
              </w:rPr>
            </w:pPr>
            <w:r>
              <w:rPr>
                <w:rFonts w:cstheme="minorHAnsi"/>
                <w:color w:val="222222"/>
                <w:szCs w:val="24"/>
                <w:shd w:val="clear" w:color="auto" w:fill="FFFFFF"/>
              </w:rPr>
              <w:t>Significant Grid User</w:t>
            </w:r>
          </w:p>
        </w:tc>
      </w:tr>
      <w:tr w:rsidR="007C7870" w:rsidRPr="005603D9" w14:paraId="1A8B545D" w14:textId="77777777" w:rsidTr="007C7870">
        <w:tc>
          <w:tcPr>
            <w:tcW w:w="2263" w:type="dxa"/>
          </w:tcPr>
          <w:p w14:paraId="67D2EB61" w14:textId="77777777" w:rsidR="007C7870" w:rsidRDefault="007C7870" w:rsidP="006C318F">
            <w:r>
              <w:t>SOGL</w:t>
            </w:r>
          </w:p>
        </w:tc>
        <w:tc>
          <w:tcPr>
            <w:tcW w:w="7513" w:type="dxa"/>
            <w:gridSpan w:val="3"/>
          </w:tcPr>
          <w:p w14:paraId="219CE1B3" w14:textId="77777777" w:rsidR="007C7870" w:rsidRPr="00CC7C56" w:rsidRDefault="007C7870" w:rsidP="006C318F">
            <w:pPr>
              <w:rPr>
                <w:rFonts w:cstheme="minorHAnsi"/>
                <w:color w:val="222222"/>
                <w:szCs w:val="24"/>
                <w:shd w:val="clear" w:color="auto" w:fill="FFFFFF"/>
              </w:rPr>
            </w:pPr>
            <w:r>
              <w:rPr>
                <w:rFonts w:cstheme="minorHAnsi"/>
                <w:color w:val="222222"/>
                <w:szCs w:val="24"/>
                <w:shd w:val="clear" w:color="auto" w:fill="FFFFFF"/>
              </w:rPr>
              <w:t>System Operator Guideline</w:t>
            </w:r>
          </w:p>
        </w:tc>
      </w:tr>
      <w:tr w:rsidR="007C7870" w:rsidRPr="005603D9" w14:paraId="3D07D2E4" w14:textId="77777777" w:rsidTr="007C7870">
        <w:tc>
          <w:tcPr>
            <w:tcW w:w="2263" w:type="dxa"/>
          </w:tcPr>
          <w:p w14:paraId="6E30406F" w14:textId="77777777" w:rsidR="007C7870" w:rsidRDefault="007C7870" w:rsidP="006C318F">
            <w:r>
              <w:t>SSE</w:t>
            </w:r>
          </w:p>
        </w:tc>
        <w:tc>
          <w:tcPr>
            <w:tcW w:w="7513" w:type="dxa"/>
            <w:gridSpan w:val="3"/>
          </w:tcPr>
          <w:p w14:paraId="4C24DB8F" w14:textId="77777777" w:rsidR="007C7870" w:rsidRPr="00CC7C56" w:rsidRDefault="007C7870" w:rsidP="006C318F">
            <w:pPr>
              <w:rPr>
                <w:rFonts w:cstheme="minorHAnsi"/>
                <w:szCs w:val="24"/>
              </w:rPr>
            </w:pPr>
            <w:r w:rsidRPr="00CC7C56">
              <w:rPr>
                <w:rFonts w:cstheme="minorHAnsi"/>
                <w:color w:val="222222"/>
                <w:szCs w:val="24"/>
                <w:shd w:val="clear" w:color="auto" w:fill="FFFFFF"/>
              </w:rPr>
              <w:t>Scottish and Southern Energy</w:t>
            </w:r>
          </w:p>
        </w:tc>
      </w:tr>
      <w:tr w:rsidR="007C7870" w:rsidRPr="005603D9" w14:paraId="7C1FF313" w14:textId="77777777" w:rsidTr="007C7870">
        <w:tc>
          <w:tcPr>
            <w:tcW w:w="2263" w:type="dxa"/>
          </w:tcPr>
          <w:p w14:paraId="70325BC7" w14:textId="77777777" w:rsidR="007C7870" w:rsidRPr="005603D9" w:rsidRDefault="007C7870" w:rsidP="006C318F">
            <w:r>
              <w:t>T&amp;Cs</w:t>
            </w:r>
          </w:p>
        </w:tc>
        <w:tc>
          <w:tcPr>
            <w:tcW w:w="7513" w:type="dxa"/>
            <w:gridSpan w:val="3"/>
          </w:tcPr>
          <w:p w14:paraId="56F7D129" w14:textId="77777777" w:rsidR="007C7870" w:rsidRPr="005603D9" w:rsidRDefault="007C7870" w:rsidP="006C318F">
            <w:r>
              <w:t>Terms and Conditions</w:t>
            </w:r>
          </w:p>
        </w:tc>
      </w:tr>
      <w:tr w:rsidR="007C7870" w:rsidRPr="005603D9" w14:paraId="12226A39" w14:textId="77777777" w:rsidTr="007C7870">
        <w:tc>
          <w:tcPr>
            <w:tcW w:w="2263" w:type="dxa"/>
          </w:tcPr>
          <w:p w14:paraId="70BD104B" w14:textId="77777777" w:rsidR="007C7870" w:rsidRPr="005603D9" w:rsidRDefault="007C7870" w:rsidP="006C318F">
            <w:r>
              <w:t>TSO</w:t>
            </w:r>
          </w:p>
        </w:tc>
        <w:tc>
          <w:tcPr>
            <w:tcW w:w="7513" w:type="dxa"/>
            <w:gridSpan w:val="3"/>
          </w:tcPr>
          <w:p w14:paraId="2026F8C5" w14:textId="77777777" w:rsidR="007C7870" w:rsidRPr="005603D9" w:rsidRDefault="007C7870" w:rsidP="006C318F">
            <w:r>
              <w:t>Transmission System Operator</w:t>
            </w:r>
          </w:p>
        </w:tc>
      </w:tr>
    </w:tbl>
    <w:p w14:paraId="4D51B937" w14:textId="77777777" w:rsidR="007C7870" w:rsidRPr="005603D9" w:rsidRDefault="007C7870" w:rsidP="007C7870"/>
    <w:p w14:paraId="533B48C6" w14:textId="77777777" w:rsidR="007C7870" w:rsidRPr="005603D9" w:rsidRDefault="007C7870" w:rsidP="007C7870">
      <w:pPr>
        <w:pStyle w:val="Heading3"/>
      </w:pPr>
      <w:bookmarkStart w:id="38" w:name="_Toc72224840"/>
      <w:bookmarkStart w:id="39" w:name="_Toc83200236"/>
      <w:r w:rsidRPr="005603D9">
        <w:t>Reference material</w:t>
      </w:r>
      <w:bookmarkEnd w:id="38"/>
      <w:bookmarkEnd w:id="39"/>
    </w:p>
    <w:p w14:paraId="392B8A04" w14:textId="2463ACF2" w:rsidR="00AF0BDD" w:rsidRDefault="0053415C" w:rsidP="00B968AE">
      <w:pPr>
        <w:pStyle w:val="ListParagraph"/>
        <w:numPr>
          <w:ilvl w:val="0"/>
          <w:numId w:val="29"/>
        </w:numPr>
      </w:pPr>
      <w:hyperlink r:id="rId14" w:history="1">
        <w:r w:rsidR="007C7870" w:rsidRPr="00BA508C">
          <w:rPr>
            <w:rStyle w:val="Hyperlink"/>
          </w:rPr>
          <w:t>“System Operation Guideline” (‘SOGL’) (Regulation (EU) 2017/1485</w:t>
        </w:r>
        <w:r w:rsidR="007C7870" w:rsidRPr="00BA508C">
          <w:rPr>
            <w:rStyle w:val="Hyperlink"/>
            <w:vertAlign w:val="superscript"/>
          </w:rPr>
          <w:footnoteReference w:id="26"/>
        </w:r>
        <w:r w:rsidR="007C7870" w:rsidRPr="00BA508C">
          <w:rPr>
            <w:rStyle w:val="Hyperlink"/>
          </w:rPr>
          <w:t>) dated 2</w:t>
        </w:r>
        <w:r w:rsidR="007C7870" w:rsidRPr="00BA508C">
          <w:rPr>
            <w:rStyle w:val="Hyperlink"/>
            <w:vertAlign w:val="superscript"/>
          </w:rPr>
          <w:t>nd</w:t>
        </w:r>
        <w:r w:rsidR="007C7870" w:rsidRPr="00BA508C">
          <w:rPr>
            <w:rStyle w:val="Hyperlink"/>
          </w:rPr>
          <w:t xml:space="preserve"> August 2017</w:t>
        </w:r>
      </w:hyperlink>
    </w:p>
    <w:p w14:paraId="565A88B4" w14:textId="77777777" w:rsidR="00AF0BDD" w:rsidRDefault="00AF0BDD" w:rsidP="00AF0BDD">
      <w:pPr>
        <w:pStyle w:val="CA7"/>
      </w:pPr>
      <w:bookmarkStart w:id="40" w:name="_Toc83200237"/>
      <w:r>
        <w:t>Annexes</w:t>
      </w:r>
      <w:bookmarkEnd w:id="40"/>
    </w:p>
    <w:tbl>
      <w:tblPr>
        <w:tblStyle w:val="TableGrid1"/>
        <w:tblW w:w="0" w:type="auto"/>
        <w:tblLook w:val="04A0" w:firstRow="1" w:lastRow="0" w:firstColumn="1" w:lastColumn="0" w:noHBand="0" w:noVBand="1"/>
      </w:tblPr>
      <w:tblGrid>
        <w:gridCol w:w="2263"/>
        <w:gridCol w:w="6946"/>
      </w:tblGrid>
      <w:tr w:rsidR="00923426" w:rsidRPr="00B27233" w14:paraId="31511C00" w14:textId="77777777" w:rsidTr="008371D6">
        <w:tc>
          <w:tcPr>
            <w:tcW w:w="2263" w:type="dxa"/>
            <w:shd w:val="clear" w:color="auto" w:fill="727274" w:themeFill="text2"/>
          </w:tcPr>
          <w:p w14:paraId="6A3B45A4" w14:textId="77777777" w:rsidR="00923426" w:rsidRPr="00B27233" w:rsidRDefault="00923426" w:rsidP="008371D6">
            <w:pPr>
              <w:rPr>
                <w:b/>
                <w:color w:val="FFFFFF" w:themeColor="background1"/>
              </w:rPr>
            </w:pPr>
            <w:r>
              <w:rPr>
                <w:b/>
                <w:color w:val="FFFFFF" w:themeColor="background1"/>
              </w:rPr>
              <w:t>Annex</w:t>
            </w:r>
          </w:p>
        </w:tc>
        <w:tc>
          <w:tcPr>
            <w:tcW w:w="6946" w:type="dxa"/>
            <w:shd w:val="clear" w:color="auto" w:fill="727274" w:themeFill="text2"/>
          </w:tcPr>
          <w:p w14:paraId="7EEBA620" w14:textId="77777777" w:rsidR="00923426" w:rsidRPr="00B27233" w:rsidRDefault="00923426" w:rsidP="008371D6">
            <w:pPr>
              <w:rPr>
                <w:b/>
                <w:color w:val="FFFFFF" w:themeColor="background1"/>
              </w:rPr>
            </w:pPr>
            <w:r>
              <w:rPr>
                <w:b/>
                <w:color w:val="FFFFFF" w:themeColor="background1"/>
              </w:rPr>
              <w:t>Information</w:t>
            </w:r>
          </w:p>
        </w:tc>
      </w:tr>
      <w:tr w:rsidR="00BD6F8A" w:rsidRPr="00B27233" w14:paraId="4251729F" w14:textId="77777777" w:rsidTr="008371D6">
        <w:tc>
          <w:tcPr>
            <w:tcW w:w="2263" w:type="dxa"/>
            <w:shd w:val="clear" w:color="auto" w:fill="auto"/>
          </w:tcPr>
          <w:p w14:paraId="0FAC07F1" w14:textId="499F28CB" w:rsidR="00BD6F8A" w:rsidRPr="006806B0" w:rsidRDefault="00BD6F8A" w:rsidP="00BD6F8A">
            <w:r w:rsidRPr="006806B0">
              <w:t>Annex 1</w:t>
            </w:r>
          </w:p>
        </w:tc>
        <w:tc>
          <w:tcPr>
            <w:tcW w:w="6946" w:type="dxa"/>
            <w:shd w:val="clear" w:color="auto" w:fill="auto"/>
          </w:tcPr>
          <w:p w14:paraId="55B95728" w14:textId="26E87403" w:rsidR="00BD6F8A" w:rsidRPr="006806B0" w:rsidRDefault="00BD6F8A" w:rsidP="00BD6F8A">
            <w:r w:rsidRPr="006806B0">
              <w:t>Proposal form</w:t>
            </w:r>
          </w:p>
        </w:tc>
      </w:tr>
      <w:tr w:rsidR="00BD6F8A" w:rsidRPr="00B27233" w14:paraId="2E38926E" w14:textId="77777777" w:rsidTr="008371D6">
        <w:tc>
          <w:tcPr>
            <w:tcW w:w="2263" w:type="dxa"/>
            <w:shd w:val="clear" w:color="auto" w:fill="auto"/>
          </w:tcPr>
          <w:p w14:paraId="49A7167A" w14:textId="38396775" w:rsidR="00BD6F8A" w:rsidRPr="006806B0" w:rsidRDefault="00BD6F8A" w:rsidP="00BD6F8A">
            <w:r w:rsidRPr="006806B0">
              <w:t xml:space="preserve">Annex 2 </w:t>
            </w:r>
          </w:p>
        </w:tc>
        <w:tc>
          <w:tcPr>
            <w:tcW w:w="6946" w:type="dxa"/>
            <w:shd w:val="clear" w:color="auto" w:fill="auto"/>
          </w:tcPr>
          <w:p w14:paraId="2A16228F" w14:textId="01C5C220" w:rsidR="00BD6F8A" w:rsidRPr="006806B0" w:rsidRDefault="00BD6F8A" w:rsidP="00BD6F8A">
            <w:r w:rsidRPr="006806B0">
              <w:t xml:space="preserve">Terms of </w:t>
            </w:r>
            <w:r>
              <w:t>r</w:t>
            </w:r>
            <w:r w:rsidRPr="006806B0">
              <w:t>eference</w:t>
            </w:r>
          </w:p>
        </w:tc>
      </w:tr>
      <w:tr w:rsidR="00F53C2F" w:rsidRPr="00B27233" w14:paraId="290FFAFB" w14:textId="77777777" w:rsidTr="008371D6">
        <w:tc>
          <w:tcPr>
            <w:tcW w:w="2263" w:type="dxa"/>
            <w:shd w:val="clear" w:color="auto" w:fill="auto"/>
          </w:tcPr>
          <w:p w14:paraId="4B564E91" w14:textId="6C300CCB" w:rsidR="00F53C2F" w:rsidRPr="006806B0" w:rsidRDefault="00F53C2F" w:rsidP="00F53C2F">
            <w:r w:rsidRPr="00DD069A">
              <w:rPr>
                <w:lang w:val="en-GB"/>
              </w:rPr>
              <w:t>Annex 3</w:t>
            </w:r>
          </w:p>
        </w:tc>
        <w:tc>
          <w:tcPr>
            <w:tcW w:w="6946" w:type="dxa"/>
            <w:shd w:val="clear" w:color="auto" w:fill="auto"/>
          </w:tcPr>
          <w:p w14:paraId="4910EAE4" w14:textId="681FE87F" w:rsidR="00F53C2F" w:rsidRPr="006806B0" w:rsidRDefault="004B4C70" w:rsidP="00F53C2F">
            <w:r>
              <w:rPr>
                <w:lang w:val="en-GB"/>
              </w:rPr>
              <w:t>Send back letter from the Authority</w:t>
            </w:r>
          </w:p>
        </w:tc>
      </w:tr>
      <w:tr w:rsidR="00F53C2F" w:rsidRPr="00B27233" w14:paraId="2923154F" w14:textId="77777777" w:rsidTr="008371D6">
        <w:tc>
          <w:tcPr>
            <w:tcW w:w="2263" w:type="dxa"/>
            <w:shd w:val="clear" w:color="auto" w:fill="auto"/>
          </w:tcPr>
          <w:p w14:paraId="651C33F7" w14:textId="27836BBA" w:rsidR="00F53C2F" w:rsidRPr="006806B0" w:rsidRDefault="00F53C2F" w:rsidP="00F53C2F">
            <w:r>
              <w:t>Annex 4</w:t>
            </w:r>
          </w:p>
        </w:tc>
        <w:tc>
          <w:tcPr>
            <w:tcW w:w="6946" w:type="dxa"/>
            <w:shd w:val="clear" w:color="auto" w:fill="auto"/>
          </w:tcPr>
          <w:p w14:paraId="06028132" w14:textId="43510C56" w:rsidR="00F53C2F" w:rsidRPr="006806B0" w:rsidRDefault="00C24772" w:rsidP="00F53C2F">
            <w:r>
              <w:t>Code Administrator Responses</w:t>
            </w:r>
          </w:p>
        </w:tc>
      </w:tr>
      <w:tr w:rsidR="003011CE" w:rsidRPr="00B27233" w14:paraId="44FA9CDC" w14:textId="77777777" w:rsidTr="008371D6">
        <w:tc>
          <w:tcPr>
            <w:tcW w:w="2263" w:type="dxa"/>
            <w:shd w:val="clear" w:color="auto" w:fill="auto"/>
          </w:tcPr>
          <w:p w14:paraId="4218DDA9" w14:textId="2A40EE38" w:rsidR="003011CE" w:rsidRDefault="003011CE" w:rsidP="00F53C2F">
            <w:r>
              <w:t>Annex 5</w:t>
            </w:r>
          </w:p>
        </w:tc>
        <w:tc>
          <w:tcPr>
            <w:tcW w:w="6946" w:type="dxa"/>
            <w:shd w:val="clear" w:color="auto" w:fill="auto"/>
          </w:tcPr>
          <w:p w14:paraId="4EFC6D51" w14:textId="1F2DB707" w:rsidR="003011CE" w:rsidRDefault="003011CE" w:rsidP="00F53C2F">
            <w:r>
              <w:t>Legal Text</w:t>
            </w:r>
          </w:p>
        </w:tc>
      </w:tr>
    </w:tbl>
    <w:p w14:paraId="54CFB869" w14:textId="77777777" w:rsidR="00923426" w:rsidRPr="00923426" w:rsidRDefault="00923426" w:rsidP="00923426"/>
    <w:sectPr w:rsidR="00923426" w:rsidRPr="00923426" w:rsidSect="00FB5A3B">
      <w:headerReference w:type="even" r:id="rId15"/>
      <w:headerReference w:type="default" r:id="rId16"/>
      <w:footerReference w:type="even" r:id="rId17"/>
      <w:footerReference w:type="default" r:id="rId18"/>
      <w:headerReference w:type="first" r:id="rId19"/>
      <w:footerReference w:type="first" r:id="rId20"/>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38656" w14:textId="77777777" w:rsidR="0053415C" w:rsidRDefault="0053415C" w:rsidP="00B72663">
      <w:pPr>
        <w:spacing w:line="240" w:lineRule="auto"/>
      </w:pPr>
      <w:r>
        <w:separator/>
      </w:r>
    </w:p>
  </w:endnote>
  <w:endnote w:type="continuationSeparator" w:id="0">
    <w:p w14:paraId="1D4C8483" w14:textId="77777777" w:rsidR="0053415C" w:rsidRDefault="0053415C" w:rsidP="00B72663">
      <w:pPr>
        <w:spacing w:line="240" w:lineRule="auto"/>
      </w:pPr>
      <w:r>
        <w:continuationSeparator/>
      </w:r>
    </w:p>
  </w:endnote>
  <w:endnote w:type="continuationNotice" w:id="1">
    <w:p w14:paraId="40945913" w14:textId="77777777" w:rsidR="0053415C" w:rsidRDefault="005341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DCF6D" w14:textId="77777777" w:rsidR="006C54AF" w:rsidRDefault="006C54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468E1" w14:textId="77777777" w:rsidR="00E7355C" w:rsidRPr="00A33AB4" w:rsidRDefault="00E7355C"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1</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18</w:t>
    </w:r>
    <w:r w:rsidRPr="000660DF">
      <w:rPr>
        <w:rFonts w:cs="Arial"/>
        <w:sz w:val="16"/>
        <w:szCs w:val="16"/>
        <w:lang w:val="en-US"/>
      </w:rPr>
      <w:fldChar w:fldCharType="end"/>
    </w:r>
    <w:r>
      <w:rPr>
        <w:rFonts w:cs="Arial"/>
        <w:sz w:val="16"/>
        <w:szCs w:val="16"/>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46E4C" w14:textId="77777777" w:rsidR="006C54AF" w:rsidRDefault="006C54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A5284" w14:textId="77777777" w:rsidR="0053415C" w:rsidRDefault="0053415C" w:rsidP="00B72663">
      <w:pPr>
        <w:spacing w:line="240" w:lineRule="auto"/>
      </w:pPr>
      <w:r>
        <w:separator/>
      </w:r>
    </w:p>
  </w:footnote>
  <w:footnote w:type="continuationSeparator" w:id="0">
    <w:p w14:paraId="1E7DEA97" w14:textId="77777777" w:rsidR="0053415C" w:rsidRDefault="0053415C" w:rsidP="00B72663">
      <w:pPr>
        <w:spacing w:line="240" w:lineRule="auto"/>
      </w:pPr>
      <w:r>
        <w:continuationSeparator/>
      </w:r>
    </w:p>
  </w:footnote>
  <w:footnote w:type="continuationNotice" w:id="1">
    <w:p w14:paraId="33F7162E" w14:textId="77777777" w:rsidR="0053415C" w:rsidRDefault="0053415C">
      <w:pPr>
        <w:spacing w:line="240" w:lineRule="auto"/>
      </w:pPr>
    </w:p>
  </w:footnote>
  <w:footnote w:id="2">
    <w:p w14:paraId="7CB55025" w14:textId="11CA67B1" w:rsidR="00E7355C" w:rsidRDefault="00E7355C">
      <w:pPr>
        <w:pStyle w:val="FootnoteText"/>
      </w:pPr>
      <w:r>
        <w:rPr>
          <w:rStyle w:val="FootnoteReference"/>
        </w:rPr>
        <w:footnoteRef/>
      </w:r>
      <w:r>
        <w:t xml:space="preserve"> [Add link to Ofgem send back decision]</w:t>
      </w:r>
    </w:p>
  </w:footnote>
  <w:footnote w:id="3">
    <w:p w14:paraId="45FEFEAD" w14:textId="77777777" w:rsidR="00E7355C" w:rsidRPr="00FC5717" w:rsidRDefault="00E7355C" w:rsidP="00A70AA2">
      <w:pPr>
        <w:pStyle w:val="FootnoteText"/>
        <w:rPr>
          <w:sz w:val="18"/>
          <w:szCs w:val="18"/>
        </w:rPr>
      </w:pPr>
      <w:r w:rsidRPr="00FC5717">
        <w:rPr>
          <w:rStyle w:val="FootnoteReference"/>
          <w:sz w:val="18"/>
          <w:szCs w:val="18"/>
        </w:rPr>
        <w:footnoteRef/>
      </w:r>
      <w:r w:rsidRPr="00FC5717">
        <w:rPr>
          <w:sz w:val="18"/>
          <w:szCs w:val="18"/>
        </w:rPr>
        <w:t xml:space="preserve"> In accordance with Article 19(1)</w:t>
      </w:r>
      <w:r>
        <w:rPr>
          <w:sz w:val="18"/>
          <w:szCs w:val="18"/>
        </w:rPr>
        <w:t>, (2) and (3)</w:t>
      </w:r>
      <w:r w:rsidRPr="00FC5717">
        <w:rPr>
          <w:sz w:val="18"/>
          <w:szCs w:val="18"/>
        </w:rPr>
        <w:t xml:space="preserve"> of SOGL.</w:t>
      </w:r>
    </w:p>
  </w:footnote>
  <w:footnote w:id="4">
    <w:p w14:paraId="627D0245" w14:textId="77777777" w:rsidR="00E7355C" w:rsidRPr="00FC5717" w:rsidRDefault="00E7355C" w:rsidP="00A70AA2">
      <w:pPr>
        <w:pStyle w:val="FootnoteText"/>
        <w:rPr>
          <w:sz w:val="18"/>
          <w:szCs w:val="18"/>
        </w:rPr>
      </w:pPr>
      <w:r w:rsidRPr="00FC5717">
        <w:rPr>
          <w:rStyle w:val="FootnoteReference"/>
          <w:sz w:val="18"/>
          <w:szCs w:val="18"/>
        </w:rPr>
        <w:footnoteRef/>
      </w:r>
      <w:r w:rsidRPr="00FC5717">
        <w:rPr>
          <w:sz w:val="18"/>
          <w:szCs w:val="18"/>
        </w:rPr>
        <w:t xml:space="preserve"> Although it is provided, by the ESO, to other TSOs, in accordance with </w:t>
      </w:r>
      <w:r>
        <w:rPr>
          <w:sz w:val="18"/>
          <w:szCs w:val="18"/>
        </w:rPr>
        <w:t xml:space="preserve">Article 19(4), </w:t>
      </w:r>
      <w:r w:rsidRPr="00FC5717">
        <w:rPr>
          <w:sz w:val="18"/>
          <w:szCs w:val="18"/>
        </w:rPr>
        <w:t>Article 42(1)(e) and Article 152(3</w:t>
      </w:r>
      <w:r>
        <w:rPr>
          <w:sz w:val="18"/>
          <w:szCs w:val="18"/>
        </w:rPr>
        <w:t>)</w:t>
      </w:r>
      <w:r w:rsidRPr="00FC5717">
        <w:rPr>
          <w:sz w:val="18"/>
          <w:szCs w:val="18"/>
        </w:rPr>
        <w:t>(a) of SOGL.</w:t>
      </w:r>
    </w:p>
  </w:footnote>
  <w:footnote w:id="5">
    <w:p w14:paraId="70CCFF95" w14:textId="77777777" w:rsidR="00E7355C" w:rsidRPr="00312640" w:rsidRDefault="00E7355C" w:rsidP="00A70AA2">
      <w:pPr>
        <w:pStyle w:val="FootnoteText"/>
        <w:rPr>
          <w:sz w:val="18"/>
          <w:szCs w:val="18"/>
        </w:rPr>
      </w:pPr>
      <w:r>
        <w:rPr>
          <w:rStyle w:val="FootnoteReference"/>
        </w:rPr>
        <w:footnoteRef/>
      </w:r>
      <w:r>
        <w:t xml:space="preserve"> </w:t>
      </w:r>
      <w:hyperlink r:id="rId1" w:history="1">
        <w:r w:rsidRPr="00312640">
          <w:rPr>
            <w:rStyle w:val="Hyperlink"/>
            <w:sz w:val="18"/>
            <w:szCs w:val="18"/>
          </w:rPr>
          <w:t>https://test2.bmreports.com/bmrs/?q=transmission/systemwarning</w:t>
        </w:r>
      </w:hyperlink>
    </w:p>
  </w:footnote>
  <w:footnote w:id="6">
    <w:p w14:paraId="722C2B90" w14:textId="77777777" w:rsidR="00E7355C" w:rsidRPr="00FC5717" w:rsidRDefault="00E7355C" w:rsidP="00306F78">
      <w:pPr>
        <w:pStyle w:val="FootnoteText"/>
        <w:rPr>
          <w:sz w:val="18"/>
          <w:szCs w:val="18"/>
        </w:rPr>
      </w:pPr>
      <w:r w:rsidRPr="00FC5717">
        <w:rPr>
          <w:rStyle w:val="FootnoteReference"/>
          <w:sz w:val="18"/>
          <w:szCs w:val="18"/>
        </w:rPr>
        <w:footnoteRef/>
      </w:r>
      <w:r w:rsidRPr="00FC5717">
        <w:rPr>
          <w:sz w:val="18"/>
          <w:szCs w:val="18"/>
        </w:rPr>
        <w:t xml:space="preserve"> In accordance with Article 19(1)</w:t>
      </w:r>
      <w:r>
        <w:rPr>
          <w:sz w:val="18"/>
          <w:szCs w:val="18"/>
        </w:rPr>
        <w:t>, (2) and (3)</w:t>
      </w:r>
      <w:r w:rsidRPr="00FC5717">
        <w:rPr>
          <w:sz w:val="18"/>
          <w:szCs w:val="18"/>
        </w:rPr>
        <w:t xml:space="preserve"> of SOGL.</w:t>
      </w:r>
    </w:p>
  </w:footnote>
  <w:footnote w:id="7">
    <w:p w14:paraId="239031A5" w14:textId="77777777" w:rsidR="00E7355C" w:rsidRPr="00FC5717" w:rsidRDefault="00E7355C" w:rsidP="00306F78">
      <w:pPr>
        <w:pStyle w:val="FootnoteText"/>
        <w:rPr>
          <w:sz w:val="18"/>
          <w:szCs w:val="18"/>
        </w:rPr>
      </w:pPr>
      <w:r w:rsidRPr="00FC5717">
        <w:rPr>
          <w:rStyle w:val="FootnoteReference"/>
          <w:sz w:val="18"/>
          <w:szCs w:val="18"/>
        </w:rPr>
        <w:footnoteRef/>
      </w:r>
      <w:r w:rsidRPr="00FC5717">
        <w:rPr>
          <w:sz w:val="18"/>
          <w:szCs w:val="18"/>
        </w:rPr>
        <w:t xml:space="preserve"> Although it is provided, by the ESO, to other TSOs, in accordance with </w:t>
      </w:r>
      <w:r>
        <w:rPr>
          <w:sz w:val="18"/>
          <w:szCs w:val="18"/>
        </w:rPr>
        <w:t xml:space="preserve">Article 19(4), </w:t>
      </w:r>
      <w:r w:rsidRPr="00FC5717">
        <w:rPr>
          <w:sz w:val="18"/>
          <w:szCs w:val="18"/>
        </w:rPr>
        <w:t>Article 42(1)(e) and Article 152(3</w:t>
      </w:r>
      <w:r>
        <w:rPr>
          <w:sz w:val="18"/>
          <w:szCs w:val="18"/>
        </w:rPr>
        <w:t>)</w:t>
      </w:r>
      <w:r w:rsidRPr="00FC5717">
        <w:rPr>
          <w:sz w:val="18"/>
          <w:szCs w:val="18"/>
        </w:rPr>
        <w:t>(a) of SOGL.</w:t>
      </w:r>
    </w:p>
  </w:footnote>
  <w:footnote w:id="8">
    <w:p w14:paraId="6DCD4401" w14:textId="77777777" w:rsidR="00E7355C" w:rsidRPr="00312640" w:rsidRDefault="00E7355C" w:rsidP="00306F78">
      <w:pPr>
        <w:pStyle w:val="FootnoteText"/>
        <w:rPr>
          <w:sz w:val="18"/>
          <w:szCs w:val="18"/>
        </w:rPr>
      </w:pPr>
      <w:r>
        <w:rPr>
          <w:rStyle w:val="FootnoteReference"/>
        </w:rPr>
        <w:footnoteRef/>
      </w:r>
      <w:r>
        <w:t xml:space="preserve"> </w:t>
      </w:r>
      <w:hyperlink r:id="rId2" w:history="1">
        <w:r w:rsidRPr="00312640">
          <w:rPr>
            <w:rStyle w:val="Hyperlink"/>
            <w:sz w:val="18"/>
            <w:szCs w:val="18"/>
          </w:rPr>
          <w:t>https://test2.bmreports.com/bmrs/?q=transmission/systemwarning</w:t>
        </w:r>
      </w:hyperlink>
    </w:p>
  </w:footnote>
  <w:footnote w:id="9">
    <w:p w14:paraId="76B6DBFC" w14:textId="77777777" w:rsidR="00E7355C" w:rsidRPr="00FC5717" w:rsidRDefault="00E7355C" w:rsidP="00306F78">
      <w:pPr>
        <w:pStyle w:val="FootnoteText"/>
        <w:rPr>
          <w:sz w:val="18"/>
          <w:szCs w:val="18"/>
        </w:rPr>
      </w:pPr>
      <w:r>
        <w:rPr>
          <w:rStyle w:val="FootnoteReference"/>
        </w:rPr>
        <w:footnoteRef/>
      </w:r>
      <w:r>
        <w:t xml:space="preserve"> </w:t>
      </w:r>
      <w:hyperlink r:id="rId3" w:history="1">
        <w:r w:rsidRPr="00FC5717">
          <w:rPr>
            <w:rStyle w:val="Hyperlink"/>
            <w:sz w:val="18"/>
            <w:szCs w:val="18"/>
          </w:rPr>
          <w:t>https://eur-lex.europa.eu/legal-content/EN/TXT/PDF/?uri=CELEX:32017R1485&amp;from=EN</w:t>
        </w:r>
      </w:hyperlink>
    </w:p>
  </w:footnote>
  <w:footnote w:id="10">
    <w:p w14:paraId="60225C0A" w14:textId="77777777" w:rsidR="00E7355C" w:rsidRPr="00FC5717" w:rsidRDefault="00E7355C" w:rsidP="00306F78">
      <w:pPr>
        <w:pStyle w:val="FootnoteText"/>
        <w:rPr>
          <w:sz w:val="18"/>
          <w:szCs w:val="18"/>
        </w:rPr>
      </w:pPr>
      <w:r w:rsidRPr="00FC5717">
        <w:rPr>
          <w:rStyle w:val="FootnoteReference"/>
          <w:sz w:val="18"/>
          <w:szCs w:val="18"/>
        </w:rPr>
        <w:footnoteRef/>
      </w:r>
      <w:r w:rsidRPr="00FC5717">
        <w:rPr>
          <w:sz w:val="18"/>
          <w:szCs w:val="18"/>
        </w:rPr>
        <w:t xml:space="preserve"> </w:t>
      </w:r>
      <w:hyperlink r:id="rId4" w:history="1">
        <w:r w:rsidRPr="00FC5717">
          <w:rPr>
            <w:rStyle w:val="Hyperlink"/>
            <w:sz w:val="18"/>
            <w:szCs w:val="18"/>
          </w:rPr>
          <w:t>https://www.nationalgrideso.com/document/33836/download</w:t>
        </w:r>
      </w:hyperlink>
    </w:p>
  </w:footnote>
  <w:footnote w:id="11">
    <w:p w14:paraId="2131D176" w14:textId="77777777" w:rsidR="00E7355C" w:rsidRPr="00FC5717" w:rsidRDefault="00E7355C" w:rsidP="00306F78">
      <w:pPr>
        <w:pStyle w:val="FootnoteText"/>
        <w:rPr>
          <w:sz w:val="18"/>
          <w:szCs w:val="18"/>
        </w:rPr>
      </w:pPr>
      <w:r w:rsidRPr="00FC5717">
        <w:rPr>
          <w:rStyle w:val="FootnoteReference"/>
          <w:sz w:val="18"/>
          <w:szCs w:val="18"/>
        </w:rPr>
        <w:footnoteRef/>
      </w:r>
      <w:r w:rsidRPr="00FC5717">
        <w:rPr>
          <w:sz w:val="18"/>
          <w:szCs w:val="18"/>
        </w:rPr>
        <w:t xml:space="preserve"> In accordance with Article 18</w:t>
      </w:r>
      <w:r>
        <w:rPr>
          <w:sz w:val="18"/>
          <w:szCs w:val="18"/>
        </w:rPr>
        <w:t xml:space="preserve"> of</w:t>
      </w:r>
      <w:r w:rsidRPr="00FC5717">
        <w:rPr>
          <w:sz w:val="18"/>
          <w:szCs w:val="18"/>
        </w:rPr>
        <w:t xml:space="preserve"> SOGL.</w:t>
      </w:r>
    </w:p>
  </w:footnote>
  <w:footnote w:id="12">
    <w:p w14:paraId="0F3D6FF1" w14:textId="77777777" w:rsidR="00E7355C" w:rsidRPr="00FC5717" w:rsidRDefault="00E7355C" w:rsidP="00306F78">
      <w:pPr>
        <w:pStyle w:val="FootnoteText"/>
        <w:rPr>
          <w:sz w:val="18"/>
          <w:szCs w:val="18"/>
        </w:rPr>
      </w:pPr>
      <w:r w:rsidRPr="00FC5717">
        <w:rPr>
          <w:rStyle w:val="FootnoteReference"/>
          <w:sz w:val="18"/>
          <w:szCs w:val="18"/>
        </w:rPr>
        <w:footnoteRef/>
      </w:r>
      <w:r w:rsidRPr="00FC5717">
        <w:rPr>
          <w:sz w:val="18"/>
          <w:szCs w:val="18"/>
        </w:rPr>
        <w:t xml:space="preserve"> In accordance with Article 19</w:t>
      </w:r>
      <w:r>
        <w:rPr>
          <w:sz w:val="18"/>
          <w:szCs w:val="18"/>
        </w:rPr>
        <w:t xml:space="preserve"> of</w:t>
      </w:r>
      <w:r w:rsidRPr="00FC5717">
        <w:rPr>
          <w:sz w:val="18"/>
          <w:szCs w:val="18"/>
        </w:rPr>
        <w:t xml:space="preserve"> SOGL.</w:t>
      </w:r>
    </w:p>
  </w:footnote>
  <w:footnote w:id="13">
    <w:p w14:paraId="42FC1C62" w14:textId="77777777" w:rsidR="00E7355C" w:rsidRPr="00FC5717" w:rsidRDefault="00E7355C" w:rsidP="00306F78">
      <w:pPr>
        <w:pStyle w:val="FootnoteText"/>
        <w:rPr>
          <w:sz w:val="18"/>
          <w:szCs w:val="18"/>
        </w:rPr>
      </w:pPr>
      <w:r w:rsidRPr="00FC5717">
        <w:rPr>
          <w:rStyle w:val="FootnoteReference"/>
          <w:sz w:val="18"/>
          <w:szCs w:val="18"/>
        </w:rPr>
        <w:footnoteRef/>
      </w:r>
      <w:r w:rsidRPr="00FC5717">
        <w:rPr>
          <w:sz w:val="18"/>
          <w:szCs w:val="18"/>
        </w:rPr>
        <w:t xml:space="preserve"> See, for example, Articles 20, 21, 22, 23, 27, 32, 35, 42, 56, 102, 103, 131, and 152 of SOGL.</w:t>
      </w:r>
    </w:p>
  </w:footnote>
  <w:footnote w:id="14">
    <w:p w14:paraId="5CD9BF68" w14:textId="77777777" w:rsidR="00E7355C" w:rsidRPr="00FC5717" w:rsidRDefault="00E7355C" w:rsidP="00306F78">
      <w:pPr>
        <w:pStyle w:val="FootnoteText"/>
        <w:rPr>
          <w:sz w:val="18"/>
          <w:szCs w:val="18"/>
        </w:rPr>
      </w:pPr>
      <w:r w:rsidRPr="00FC5717">
        <w:rPr>
          <w:rStyle w:val="FootnoteReference"/>
          <w:sz w:val="18"/>
          <w:szCs w:val="18"/>
        </w:rPr>
        <w:footnoteRef/>
      </w:r>
      <w:r w:rsidRPr="00FC5717">
        <w:rPr>
          <w:sz w:val="18"/>
          <w:szCs w:val="18"/>
        </w:rPr>
        <w:t xml:space="preserve"> See, for example, Articles 58 and 63 </w:t>
      </w:r>
      <w:r>
        <w:rPr>
          <w:sz w:val="18"/>
          <w:szCs w:val="18"/>
        </w:rPr>
        <w:t xml:space="preserve">of </w:t>
      </w:r>
      <w:r w:rsidRPr="00FC5717">
        <w:rPr>
          <w:sz w:val="18"/>
          <w:szCs w:val="18"/>
        </w:rPr>
        <w:t>SOGL.</w:t>
      </w:r>
    </w:p>
  </w:footnote>
  <w:footnote w:id="15">
    <w:p w14:paraId="6874D828" w14:textId="6EB00E41" w:rsidR="00323F3F" w:rsidRDefault="00323F3F">
      <w:pPr>
        <w:pStyle w:val="FootnoteText"/>
      </w:pPr>
      <w:r>
        <w:rPr>
          <w:rStyle w:val="FootnoteReference"/>
        </w:rPr>
        <w:footnoteRef/>
      </w:r>
      <w:r>
        <w:rPr>
          <w:rStyle w:val="FootnoteReference"/>
        </w:rPr>
        <w:footnoteRef/>
      </w:r>
      <w:r>
        <w:t xml:space="preserve"> (i) Mon</w:t>
      </w:r>
      <w:r w:rsidR="00FD4D89">
        <w:t>itoring operational the status of the system and (ii) using the BMRS reporting tool.</w:t>
      </w:r>
    </w:p>
  </w:footnote>
  <w:footnote w:id="16">
    <w:p w14:paraId="1884E6F6" w14:textId="557F3331" w:rsidR="00E7355C" w:rsidRDefault="00E7355C">
      <w:pPr>
        <w:pStyle w:val="FootnoteText"/>
      </w:pPr>
      <w:r>
        <w:rPr>
          <w:rStyle w:val="FootnoteReference"/>
        </w:rPr>
        <w:footnoteRef/>
      </w:r>
      <w:r>
        <w:t xml:space="preserve"> The numbering shown here is taken from the numbering </w:t>
      </w:r>
      <w:r w:rsidR="00BC3185">
        <w:t xml:space="preserve">used </w:t>
      </w:r>
      <w:r>
        <w:t>in Article 3 of SOGL</w:t>
      </w:r>
      <w:r w:rsidR="00BC3185">
        <w:t>.</w:t>
      </w:r>
    </w:p>
  </w:footnote>
  <w:footnote w:id="17">
    <w:p w14:paraId="44E14493" w14:textId="77777777" w:rsidR="00E7355C" w:rsidRPr="00FC5717" w:rsidRDefault="00E7355C" w:rsidP="005C6B40">
      <w:pPr>
        <w:pStyle w:val="FootnoteText"/>
        <w:rPr>
          <w:sz w:val="18"/>
          <w:szCs w:val="18"/>
        </w:rPr>
      </w:pPr>
      <w:r w:rsidRPr="00FC5717">
        <w:rPr>
          <w:rStyle w:val="FootnoteReference"/>
          <w:sz w:val="18"/>
          <w:szCs w:val="18"/>
        </w:rPr>
        <w:footnoteRef/>
      </w:r>
      <w:r w:rsidRPr="00FC5717">
        <w:rPr>
          <w:sz w:val="18"/>
          <w:szCs w:val="18"/>
        </w:rPr>
        <w:t xml:space="preserve"> </w:t>
      </w:r>
      <w:hyperlink r:id="rId5" w:history="1">
        <w:r w:rsidRPr="00FC5717">
          <w:rPr>
            <w:rStyle w:val="Hyperlink"/>
            <w:sz w:val="18"/>
            <w:szCs w:val="18"/>
          </w:rPr>
          <w:t>https://www.nationalgrideso.com/document/33836/download</w:t>
        </w:r>
      </w:hyperlink>
    </w:p>
  </w:footnote>
  <w:footnote w:id="18">
    <w:p w14:paraId="11108C07" w14:textId="77777777" w:rsidR="00E7355C" w:rsidRPr="00FC5717" w:rsidRDefault="00E7355C" w:rsidP="005C6B40">
      <w:pPr>
        <w:pStyle w:val="FootnoteText"/>
        <w:rPr>
          <w:sz w:val="18"/>
          <w:szCs w:val="18"/>
        </w:rPr>
      </w:pPr>
      <w:r w:rsidRPr="00FC5717">
        <w:rPr>
          <w:rStyle w:val="FootnoteReference"/>
          <w:sz w:val="18"/>
          <w:szCs w:val="18"/>
        </w:rPr>
        <w:footnoteRef/>
      </w:r>
      <w:r w:rsidRPr="00FC5717">
        <w:rPr>
          <w:sz w:val="18"/>
          <w:szCs w:val="18"/>
        </w:rPr>
        <w:t xml:space="preserve"> See, for example, Articles 20, 21, 22, 23, 27, 32, 35, 42, 56, 102, 103, 131, and 152 of SOGL.</w:t>
      </w:r>
    </w:p>
  </w:footnote>
  <w:footnote w:id="19">
    <w:p w14:paraId="42D8AD1A" w14:textId="77777777" w:rsidR="00E7355C" w:rsidRPr="00FC5717" w:rsidRDefault="00E7355C" w:rsidP="005C6B40">
      <w:pPr>
        <w:pStyle w:val="FootnoteText"/>
        <w:rPr>
          <w:sz w:val="18"/>
          <w:szCs w:val="18"/>
        </w:rPr>
      </w:pPr>
      <w:r w:rsidRPr="00FC5717">
        <w:rPr>
          <w:rStyle w:val="FootnoteReference"/>
          <w:sz w:val="18"/>
          <w:szCs w:val="18"/>
        </w:rPr>
        <w:footnoteRef/>
      </w:r>
      <w:r w:rsidRPr="00FC5717">
        <w:rPr>
          <w:sz w:val="18"/>
          <w:szCs w:val="18"/>
        </w:rPr>
        <w:t xml:space="preserve"> </w:t>
      </w:r>
      <w:hyperlink r:id="rId6" w:history="1">
        <w:r w:rsidRPr="00FC5717">
          <w:rPr>
            <w:rStyle w:val="Hyperlink"/>
            <w:sz w:val="18"/>
            <w:szCs w:val="18"/>
          </w:rPr>
          <w:t>https://eur-lex.europa.eu/legal-content/EN/TXT/PDF/?uri=CELEX:32017R2196&amp;from=EN</w:t>
        </w:r>
      </w:hyperlink>
    </w:p>
  </w:footnote>
  <w:footnote w:id="20">
    <w:p w14:paraId="0D75A001" w14:textId="77777777" w:rsidR="00E7355C" w:rsidRPr="00FC5717" w:rsidRDefault="00E7355C" w:rsidP="005C6B40">
      <w:pPr>
        <w:pStyle w:val="FootnoteText"/>
        <w:rPr>
          <w:sz w:val="18"/>
          <w:szCs w:val="18"/>
        </w:rPr>
      </w:pPr>
      <w:r w:rsidRPr="00FC5717">
        <w:rPr>
          <w:rStyle w:val="FootnoteReference"/>
          <w:sz w:val="18"/>
          <w:szCs w:val="18"/>
        </w:rPr>
        <w:footnoteRef/>
      </w:r>
      <w:r w:rsidRPr="00FC5717">
        <w:rPr>
          <w:sz w:val="18"/>
          <w:szCs w:val="18"/>
        </w:rPr>
        <w:t xml:space="preserve"> Recital (3)</w:t>
      </w:r>
      <w:r>
        <w:rPr>
          <w:sz w:val="18"/>
          <w:szCs w:val="18"/>
        </w:rPr>
        <w:t>, ERNC</w:t>
      </w:r>
      <w:r w:rsidRPr="00FC5717">
        <w:rPr>
          <w:sz w:val="18"/>
          <w:szCs w:val="18"/>
        </w:rPr>
        <w:t>.</w:t>
      </w:r>
    </w:p>
  </w:footnote>
  <w:footnote w:id="21">
    <w:p w14:paraId="74880CDE" w14:textId="77777777" w:rsidR="00E7355C" w:rsidRPr="00312640" w:rsidRDefault="00E7355C" w:rsidP="005C6B40">
      <w:pPr>
        <w:pStyle w:val="FootnoteText"/>
        <w:rPr>
          <w:sz w:val="18"/>
          <w:szCs w:val="18"/>
        </w:rPr>
      </w:pPr>
      <w:r>
        <w:rPr>
          <w:rStyle w:val="FootnoteReference"/>
        </w:rPr>
        <w:footnoteRef/>
      </w:r>
      <w:r>
        <w:t xml:space="preserve"> </w:t>
      </w:r>
      <w:r w:rsidRPr="00312640">
        <w:rPr>
          <w:sz w:val="18"/>
          <w:szCs w:val="18"/>
        </w:rPr>
        <w:t>See, for example, Part II, Title 1 of SOGL.</w:t>
      </w:r>
    </w:p>
  </w:footnote>
  <w:footnote w:id="22">
    <w:p w14:paraId="22629DEE" w14:textId="77777777" w:rsidR="00E7355C" w:rsidRDefault="00E7355C" w:rsidP="005C6B40">
      <w:pPr>
        <w:pStyle w:val="FootnoteText"/>
      </w:pPr>
      <w:r>
        <w:rPr>
          <w:rStyle w:val="FootnoteReference"/>
        </w:rPr>
        <w:footnoteRef/>
      </w:r>
      <w:r>
        <w:t xml:space="preserve"> </w:t>
      </w:r>
      <w:r w:rsidRPr="00312640">
        <w:rPr>
          <w:sz w:val="18"/>
          <w:szCs w:val="18"/>
        </w:rPr>
        <w:t>See, for example, Part II of SOGL.</w:t>
      </w:r>
    </w:p>
  </w:footnote>
  <w:footnote w:id="23">
    <w:p w14:paraId="405B827C" w14:textId="32067508" w:rsidR="00B11AFE" w:rsidRDefault="00B11AFE">
      <w:pPr>
        <w:pStyle w:val="FootnoteText"/>
      </w:pPr>
      <w:r>
        <w:rPr>
          <w:rStyle w:val="FootnoteReference"/>
        </w:rPr>
        <w:footnoteRef/>
      </w:r>
      <w:r>
        <w:t xml:space="preserve"> </w:t>
      </w:r>
      <w:hyperlink r:id="rId7" w:history="1">
        <w:r>
          <w:rPr>
            <w:rStyle w:val="Hyperlink"/>
          </w:rPr>
          <w:t>https://eur-lex.europa.eu/legal-content/EN/TXT/PDF/?uri=CELEX:32017R2196&amp;from=EN</w:t>
        </w:r>
      </w:hyperlink>
    </w:p>
  </w:footnote>
  <w:footnote w:id="24">
    <w:p w14:paraId="61EBBDB9" w14:textId="78DB82AC" w:rsidR="00C2755B" w:rsidRDefault="00C2755B">
      <w:pPr>
        <w:pStyle w:val="FootnoteText"/>
      </w:pPr>
      <w:r>
        <w:rPr>
          <w:rStyle w:val="FootnoteReference"/>
        </w:rPr>
        <w:footnoteRef/>
      </w:r>
      <w:r>
        <w:t xml:space="preserve"> “</w:t>
      </w:r>
      <w:r w:rsidRPr="00AF0AC0">
        <w:rPr>
          <w:i/>
        </w:rPr>
        <w:t>During the emergency, blackout or restoration states, each TSO shall provide in due time and for the purposes of system defence plan procedures and restoration plan procedures, the following information, where available to the TSO:</w:t>
      </w:r>
      <w:r w:rsidR="00AA4789" w:rsidRPr="00AF0AC0">
        <w:rPr>
          <w:i/>
        </w:rPr>
        <w:t xml:space="preserve"> … the system state of its transmission system</w:t>
      </w:r>
      <w:r>
        <w:t>”</w:t>
      </w:r>
    </w:p>
  </w:footnote>
  <w:footnote w:id="25">
    <w:p w14:paraId="241E6E10" w14:textId="77777777" w:rsidR="00E7355C" w:rsidRDefault="00E7355C" w:rsidP="006277ED">
      <w:pPr>
        <w:pStyle w:val="FootnoteText"/>
      </w:pPr>
      <w:r>
        <w:rPr>
          <w:rStyle w:val="FootnoteReference"/>
        </w:rPr>
        <w:footnoteRef/>
      </w:r>
      <w:r>
        <w:t xml:space="preserve"> If the modification has an impact on Article 18 T&amp;Cs, it will need to follow the process </w:t>
      </w:r>
      <w:r w:rsidRPr="005603D9">
        <w:t>set out in Article 18 of the European Electricity Balancing Guideline (EBGL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 w:id="26">
    <w:p w14:paraId="1EEE91AA" w14:textId="77777777" w:rsidR="00E7355C" w:rsidRPr="00FC5717" w:rsidRDefault="00E7355C" w:rsidP="007C7870">
      <w:pPr>
        <w:pStyle w:val="FootnoteText"/>
        <w:rPr>
          <w:sz w:val="18"/>
          <w:szCs w:val="18"/>
        </w:rPr>
      </w:pPr>
      <w:r w:rsidRPr="00FC5717">
        <w:rPr>
          <w:rStyle w:val="FootnoteReference"/>
          <w:sz w:val="18"/>
          <w:szCs w:val="18"/>
        </w:rPr>
        <w:footnoteRef/>
      </w:r>
      <w:r w:rsidRPr="00FC5717">
        <w:rPr>
          <w:sz w:val="18"/>
          <w:szCs w:val="18"/>
        </w:rPr>
        <w:t xml:space="preserve"> </w:t>
      </w:r>
      <w:hyperlink r:id="rId8" w:history="1">
        <w:r w:rsidRPr="00FC5717">
          <w:rPr>
            <w:rStyle w:val="Hyperlink"/>
            <w:sz w:val="18"/>
            <w:szCs w:val="18"/>
          </w:rPr>
          <w:t>https://eur-lex.europa.eu/legal-content/EN/TXT/PDF/?uri=CELEX:32017R1485&amp;from=EN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E210F" w14:textId="77777777" w:rsidR="00E7355C" w:rsidRDefault="0053415C">
    <w:pPr>
      <w:pStyle w:val="Header"/>
    </w:pPr>
    <w:r>
      <w:rPr>
        <w:noProof/>
      </w:rPr>
      <w:pict w14:anchorId="7989DB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19" o:spid="_x0000_s2051" type="#_x0000_t136" style="position:absolute;margin-left:0;margin-top:0;width:478.15pt;height:191.25pt;rotation:315;z-index:-251658238;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DB3A1" w14:textId="7DEF5984" w:rsidR="00E7355C" w:rsidRDefault="0053415C" w:rsidP="000E6646">
    <w:pPr>
      <w:pStyle w:val="Header"/>
      <w:ind w:left="720" w:firstLine="720"/>
      <w:jc w:val="right"/>
    </w:pPr>
    <w:bookmarkStart w:id="41" w:name="_Hlk31876634"/>
    <w:bookmarkStart w:id="42" w:name="_Hlk31876635"/>
    <w:r>
      <w:rPr>
        <w:noProof/>
      </w:rPr>
      <w:pict w14:anchorId="38C346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20" o:spid="_x0000_s2050" type="#_x0000_t136" style="position:absolute;left:0;text-align:left;margin-left:0;margin-top:0;width:478.15pt;height:191.25pt;rotation:315;z-index:-251658237;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7355C" w:rsidRPr="00184853">
      <w:rPr>
        <w:noProof/>
      </w:rPr>
      <w:drawing>
        <wp:anchor distT="0" distB="0" distL="114300" distR="114300" simplePos="0" relativeHeight="251658240" behindDoc="0" locked="1" layoutInCell="1" allowOverlap="1" wp14:anchorId="366C1225" wp14:editId="6B00F50C">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7355C">
      <w:tab/>
    </w:r>
    <w:r w:rsidR="00E7355C">
      <w:tab/>
    </w:r>
    <w:bookmarkEnd w:id="41"/>
    <w:bookmarkEnd w:id="42"/>
    <w:r w:rsidR="00E7355C">
      <w:t xml:space="preserve">Final Modification Report GC0133 </w:t>
    </w:r>
  </w:p>
  <w:p w14:paraId="78C12823" w14:textId="321E45DB" w:rsidR="00E7355C" w:rsidRDefault="00E7355C" w:rsidP="00D26A91">
    <w:pPr>
      <w:pStyle w:val="Header"/>
      <w:ind w:firstLine="720"/>
      <w:jc w:val="right"/>
    </w:pPr>
    <w:r>
      <w:t>Published on 19 May 2021</w:t>
    </w:r>
  </w:p>
  <w:p w14:paraId="252DC246" w14:textId="77777777" w:rsidR="00E7355C" w:rsidRDefault="00E7355C" w:rsidP="009446C6">
    <w:pPr>
      <w:pStyle w:val="Header"/>
      <w:ind w:left="720" w:firstLine="72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6DE45" w14:textId="77777777" w:rsidR="00E7355C" w:rsidRDefault="0053415C">
    <w:pPr>
      <w:pStyle w:val="Header"/>
    </w:pPr>
    <w:r>
      <w:rPr>
        <w:noProof/>
      </w:rPr>
      <w:pict w14:anchorId="1EC5C4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06604218" o:spid="_x0000_s2049" type="#_x0000_t136" style="position:absolute;margin-left:0;margin-top:0;width:478.15pt;height:191.25pt;rotation:315;z-index:-251658239;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7F2AD6"/>
    <w:multiLevelType w:val="hybridMultilevel"/>
    <w:tmpl w:val="E5EAEA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8F0066"/>
    <w:multiLevelType w:val="hybridMultilevel"/>
    <w:tmpl w:val="09E8657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FC50DF"/>
    <w:multiLevelType w:val="hybridMultilevel"/>
    <w:tmpl w:val="85D6F2FE"/>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413D43"/>
    <w:multiLevelType w:val="hybridMultilevel"/>
    <w:tmpl w:val="0B2E2A9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3BF198E"/>
    <w:multiLevelType w:val="hybridMultilevel"/>
    <w:tmpl w:val="3264B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C67495"/>
    <w:multiLevelType w:val="hybridMultilevel"/>
    <w:tmpl w:val="A420F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A551B2"/>
    <w:multiLevelType w:val="hybridMultilevel"/>
    <w:tmpl w:val="30AC8316"/>
    <w:lvl w:ilvl="0" w:tplc="2908900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456CD6"/>
    <w:multiLevelType w:val="hybridMultilevel"/>
    <w:tmpl w:val="3F5C3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8F27EB"/>
    <w:multiLevelType w:val="hybridMultilevel"/>
    <w:tmpl w:val="4FD65800"/>
    <w:lvl w:ilvl="0" w:tplc="0C08CEA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1528BB"/>
    <w:multiLevelType w:val="hybridMultilevel"/>
    <w:tmpl w:val="98DA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E164B5"/>
    <w:multiLevelType w:val="hybridMultilevel"/>
    <w:tmpl w:val="BCC21592"/>
    <w:lvl w:ilvl="0" w:tplc="0C08CEA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3D6715"/>
    <w:multiLevelType w:val="hybridMultilevel"/>
    <w:tmpl w:val="3B6E4BA0"/>
    <w:lvl w:ilvl="0" w:tplc="AE28A47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26"/>
  </w:num>
  <w:num w:numId="4">
    <w:abstractNumId w:val="27"/>
  </w:num>
  <w:num w:numId="5">
    <w:abstractNumId w:val="18"/>
  </w:num>
  <w:num w:numId="6">
    <w:abstractNumId w:val="9"/>
  </w:num>
  <w:num w:numId="7">
    <w:abstractNumId w:val="19"/>
  </w:num>
  <w:num w:numId="8">
    <w:abstractNumId w:val="1"/>
  </w:num>
  <w:num w:numId="9">
    <w:abstractNumId w:val="25"/>
  </w:num>
  <w:num w:numId="10">
    <w:abstractNumId w:val="8"/>
  </w:num>
  <w:num w:numId="11">
    <w:abstractNumId w:val="12"/>
  </w:num>
  <w:num w:numId="12">
    <w:abstractNumId w:val="22"/>
  </w:num>
  <w:num w:numId="13">
    <w:abstractNumId w:val="24"/>
  </w:num>
  <w:num w:numId="14">
    <w:abstractNumId w:val="31"/>
  </w:num>
  <w:num w:numId="15">
    <w:abstractNumId w:val="23"/>
  </w:num>
  <w:num w:numId="16">
    <w:abstractNumId w:val="14"/>
  </w:num>
  <w:num w:numId="17">
    <w:abstractNumId w:val="10"/>
  </w:num>
  <w:num w:numId="18">
    <w:abstractNumId w:val="20"/>
  </w:num>
  <w:num w:numId="19">
    <w:abstractNumId w:val="28"/>
  </w:num>
  <w:num w:numId="20">
    <w:abstractNumId w:val="2"/>
  </w:num>
  <w:num w:numId="21">
    <w:abstractNumId w:val="0"/>
  </w:num>
  <w:num w:numId="22">
    <w:abstractNumId w:val="21"/>
  </w:num>
  <w:num w:numId="23">
    <w:abstractNumId w:val="4"/>
  </w:num>
  <w:num w:numId="24">
    <w:abstractNumId w:val="7"/>
  </w:num>
  <w:num w:numId="25">
    <w:abstractNumId w:val="16"/>
  </w:num>
  <w:num w:numId="26">
    <w:abstractNumId w:val="30"/>
  </w:num>
  <w:num w:numId="27">
    <w:abstractNumId w:val="3"/>
  </w:num>
  <w:num w:numId="28">
    <w:abstractNumId w:val="15"/>
  </w:num>
  <w:num w:numId="29">
    <w:abstractNumId w:val="6"/>
  </w:num>
  <w:num w:numId="30">
    <w:abstractNumId w:val="29"/>
  </w:num>
  <w:num w:numId="31">
    <w:abstractNumId w:val="17"/>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ttachedTemplate r:id="rId1"/>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219"/>
    <w:rsid w:val="00001E89"/>
    <w:rsid w:val="000069F8"/>
    <w:rsid w:val="0001641F"/>
    <w:rsid w:val="00023A78"/>
    <w:rsid w:val="00033BD2"/>
    <w:rsid w:val="00036DF0"/>
    <w:rsid w:val="00036FFF"/>
    <w:rsid w:val="00041734"/>
    <w:rsid w:val="00043548"/>
    <w:rsid w:val="00047E98"/>
    <w:rsid w:val="00050444"/>
    <w:rsid w:val="00054F28"/>
    <w:rsid w:val="00057C7B"/>
    <w:rsid w:val="00060B91"/>
    <w:rsid w:val="00062DB9"/>
    <w:rsid w:val="00065212"/>
    <w:rsid w:val="000850D9"/>
    <w:rsid w:val="000863ED"/>
    <w:rsid w:val="0009588D"/>
    <w:rsid w:val="000B000B"/>
    <w:rsid w:val="000B3D26"/>
    <w:rsid w:val="000B513F"/>
    <w:rsid w:val="000C72E4"/>
    <w:rsid w:val="000D61EF"/>
    <w:rsid w:val="000D70F6"/>
    <w:rsid w:val="000D74DF"/>
    <w:rsid w:val="000E18C2"/>
    <w:rsid w:val="000E2957"/>
    <w:rsid w:val="000E53DA"/>
    <w:rsid w:val="000E6646"/>
    <w:rsid w:val="000E7929"/>
    <w:rsid w:val="000F0E64"/>
    <w:rsid w:val="000F26AE"/>
    <w:rsid w:val="000F610C"/>
    <w:rsid w:val="000F7116"/>
    <w:rsid w:val="00105A94"/>
    <w:rsid w:val="00114732"/>
    <w:rsid w:val="00115306"/>
    <w:rsid w:val="001171F1"/>
    <w:rsid w:val="00117D0B"/>
    <w:rsid w:val="001243A6"/>
    <w:rsid w:val="0012727D"/>
    <w:rsid w:val="00132E60"/>
    <w:rsid w:val="00133B9C"/>
    <w:rsid w:val="001341A5"/>
    <w:rsid w:val="001345E8"/>
    <w:rsid w:val="00141EB6"/>
    <w:rsid w:val="0014503B"/>
    <w:rsid w:val="00153022"/>
    <w:rsid w:val="00153FD1"/>
    <w:rsid w:val="00161EBD"/>
    <w:rsid w:val="001654DE"/>
    <w:rsid w:val="00165E9B"/>
    <w:rsid w:val="00170B88"/>
    <w:rsid w:val="0017158C"/>
    <w:rsid w:val="00172C15"/>
    <w:rsid w:val="00180ECC"/>
    <w:rsid w:val="001922A5"/>
    <w:rsid w:val="001960B5"/>
    <w:rsid w:val="001971BE"/>
    <w:rsid w:val="001A10AC"/>
    <w:rsid w:val="001A28DC"/>
    <w:rsid w:val="001A56FD"/>
    <w:rsid w:val="001B1848"/>
    <w:rsid w:val="001B2D96"/>
    <w:rsid w:val="001B7BC4"/>
    <w:rsid w:val="001C6B55"/>
    <w:rsid w:val="001C731C"/>
    <w:rsid w:val="001C7FEF"/>
    <w:rsid w:val="001D3402"/>
    <w:rsid w:val="001D5D76"/>
    <w:rsid w:val="001D6FA3"/>
    <w:rsid w:val="001E08C1"/>
    <w:rsid w:val="001E1568"/>
    <w:rsid w:val="001E22EA"/>
    <w:rsid w:val="001E2D15"/>
    <w:rsid w:val="001E4A07"/>
    <w:rsid w:val="001E71C5"/>
    <w:rsid w:val="001E72EF"/>
    <w:rsid w:val="001F10B7"/>
    <w:rsid w:val="001F2C94"/>
    <w:rsid w:val="00200103"/>
    <w:rsid w:val="00201813"/>
    <w:rsid w:val="00201D7B"/>
    <w:rsid w:val="00203D91"/>
    <w:rsid w:val="00211F18"/>
    <w:rsid w:val="00212E1F"/>
    <w:rsid w:val="00213A57"/>
    <w:rsid w:val="00213B24"/>
    <w:rsid w:val="0021749E"/>
    <w:rsid w:val="00222CE1"/>
    <w:rsid w:val="00224793"/>
    <w:rsid w:val="002254FD"/>
    <w:rsid w:val="00243D34"/>
    <w:rsid w:val="00247693"/>
    <w:rsid w:val="00251E4A"/>
    <w:rsid w:val="00252A83"/>
    <w:rsid w:val="00261D90"/>
    <w:rsid w:val="00270BA6"/>
    <w:rsid w:val="00270F36"/>
    <w:rsid w:val="002729E3"/>
    <w:rsid w:val="0027334E"/>
    <w:rsid w:val="00273F13"/>
    <w:rsid w:val="00282D96"/>
    <w:rsid w:val="00284A2C"/>
    <w:rsid w:val="00285203"/>
    <w:rsid w:val="00294408"/>
    <w:rsid w:val="002A5369"/>
    <w:rsid w:val="002A6FD1"/>
    <w:rsid w:val="002B37CF"/>
    <w:rsid w:val="002B4486"/>
    <w:rsid w:val="002B5DB2"/>
    <w:rsid w:val="002C03E1"/>
    <w:rsid w:val="002C44EC"/>
    <w:rsid w:val="002C7369"/>
    <w:rsid w:val="002C7437"/>
    <w:rsid w:val="002D26AC"/>
    <w:rsid w:val="002D28DB"/>
    <w:rsid w:val="002D5AAB"/>
    <w:rsid w:val="002F2733"/>
    <w:rsid w:val="002F6F4B"/>
    <w:rsid w:val="002F79E5"/>
    <w:rsid w:val="003011CE"/>
    <w:rsid w:val="0030595B"/>
    <w:rsid w:val="00306F78"/>
    <w:rsid w:val="00307074"/>
    <w:rsid w:val="00315AEC"/>
    <w:rsid w:val="00323F3F"/>
    <w:rsid w:val="00330175"/>
    <w:rsid w:val="00332DFE"/>
    <w:rsid w:val="003332D9"/>
    <w:rsid w:val="00337740"/>
    <w:rsid w:val="0034456B"/>
    <w:rsid w:val="00346A99"/>
    <w:rsid w:val="00347E2F"/>
    <w:rsid w:val="00352499"/>
    <w:rsid w:val="00353C39"/>
    <w:rsid w:val="00357412"/>
    <w:rsid w:val="00362E27"/>
    <w:rsid w:val="003647DA"/>
    <w:rsid w:val="003660C8"/>
    <w:rsid w:val="00366B3E"/>
    <w:rsid w:val="00373651"/>
    <w:rsid w:val="003929D4"/>
    <w:rsid w:val="00393864"/>
    <w:rsid w:val="003956EF"/>
    <w:rsid w:val="003A0208"/>
    <w:rsid w:val="003B3DA8"/>
    <w:rsid w:val="003B3F2C"/>
    <w:rsid w:val="003B516B"/>
    <w:rsid w:val="003B7922"/>
    <w:rsid w:val="003C3E6F"/>
    <w:rsid w:val="003C60DB"/>
    <w:rsid w:val="003C7267"/>
    <w:rsid w:val="003D13EB"/>
    <w:rsid w:val="003E0D8D"/>
    <w:rsid w:val="003F2A29"/>
    <w:rsid w:val="003F7C8D"/>
    <w:rsid w:val="00407886"/>
    <w:rsid w:val="00410D9E"/>
    <w:rsid w:val="0042079D"/>
    <w:rsid w:val="00423A09"/>
    <w:rsid w:val="00437253"/>
    <w:rsid w:val="0044587B"/>
    <w:rsid w:val="004521F9"/>
    <w:rsid w:val="00452A40"/>
    <w:rsid w:val="00455C22"/>
    <w:rsid w:val="00470B5B"/>
    <w:rsid w:val="00470FE1"/>
    <w:rsid w:val="00474A31"/>
    <w:rsid w:val="00482EB0"/>
    <w:rsid w:val="00486A97"/>
    <w:rsid w:val="0049281A"/>
    <w:rsid w:val="0049292E"/>
    <w:rsid w:val="00494910"/>
    <w:rsid w:val="00495E42"/>
    <w:rsid w:val="004A1380"/>
    <w:rsid w:val="004A6C31"/>
    <w:rsid w:val="004B0932"/>
    <w:rsid w:val="004B2DC2"/>
    <w:rsid w:val="004B4C70"/>
    <w:rsid w:val="004B65F0"/>
    <w:rsid w:val="004C02D8"/>
    <w:rsid w:val="004C38D2"/>
    <w:rsid w:val="004C39E3"/>
    <w:rsid w:val="004C610C"/>
    <w:rsid w:val="004D12C6"/>
    <w:rsid w:val="004E402B"/>
    <w:rsid w:val="004E4D47"/>
    <w:rsid w:val="004F10E6"/>
    <w:rsid w:val="004F369A"/>
    <w:rsid w:val="004F4375"/>
    <w:rsid w:val="004F58D7"/>
    <w:rsid w:val="005014B7"/>
    <w:rsid w:val="0050507F"/>
    <w:rsid w:val="0050583E"/>
    <w:rsid w:val="0050603B"/>
    <w:rsid w:val="00506D49"/>
    <w:rsid w:val="00510045"/>
    <w:rsid w:val="00513DBF"/>
    <w:rsid w:val="00514EE2"/>
    <w:rsid w:val="00514EED"/>
    <w:rsid w:val="00517106"/>
    <w:rsid w:val="00520582"/>
    <w:rsid w:val="0052061F"/>
    <w:rsid w:val="005216D1"/>
    <w:rsid w:val="00522916"/>
    <w:rsid w:val="00523DC1"/>
    <w:rsid w:val="005310F4"/>
    <w:rsid w:val="0053415C"/>
    <w:rsid w:val="00540807"/>
    <w:rsid w:val="0054132B"/>
    <w:rsid w:val="00544826"/>
    <w:rsid w:val="00546EA8"/>
    <w:rsid w:val="005470E3"/>
    <w:rsid w:val="005529CA"/>
    <w:rsid w:val="00553CF4"/>
    <w:rsid w:val="005603D9"/>
    <w:rsid w:val="00563678"/>
    <w:rsid w:val="00564462"/>
    <w:rsid w:val="00566ABB"/>
    <w:rsid w:val="00566D3F"/>
    <w:rsid w:val="0056792D"/>
    <w:rsid w:val="00575F68"/>
    <w:rsid w:val="005764EC"/>
    <w:rsid w:val="005766CB"/>
    <w:rsid w:val="00576857"/>
    <w:rsid w:val="005772FF"/>
    <w:rsid w:val="0058199D"/>
    <w:rsid w:val="00583DF8"/>
    <w:rsid w:val="005852C8"/>
    <w:rsid w:val="005901EC"/>
    <w:rsid w:val="00591634"/>
    <w:rsid w:val="00592099"/>
    <w:rsid w:val="00593CC1"/>
    <w:rsid w:val="0059567B"/>
    <w:rsid w:val="005A7B5B"/>
    <w:rsid w:val="005B0D61"/>
    <w:rsid w:val="005B51A5"/>
    <w:rsid w:val="005B55BF"/>
    <w:rsid w:val="005B778B"/>
    <w:rsid w:val="005B7986"/>
    <w:rsid w:val="005C2000"/>
    <w:rsid w:val="005C221F"/>
    <w:rsid w:val="005C34DD"/>
    <w:rsid w:val="005C5ED9"/>
    <w:rsid w:val="005C6B40"/>
    <w:rsid w:val="005E188C"/>
    <w:rsid w:val="005E3456"/>
    <w:rsid w:val="005F3609"/>
    <w:rsid w:val="005F4BEB"/>
    <w:rsid w:val="005F7437"/>
    <w:rsid w:val="005F7701"/>
    <w:rsid w:val="0060233D"/>
    <w:rsid w:val="0060367A"/>
    <w:rsid w:val="00604BFB"/>
    <w:rsid w:val="00604C97"/>
    <w:rsid w:val="00612195"/>
    <w:rsid w:val="00616962"/>
    <w:rsid w:val="006212A6"/>
    <w:rsid w:val="006219D8"/>
    <w:rsid w:val="006277ED"/>
    <w:rsid w:val="00633D8A"/>
    <w:rsid w:val="00640B16"/>
    <w:rsid w:val="006423C4"/>
    <w:rsid w:val="0064769C"/>
    <w:rsid w:val="0065298C"/>
    <w:rsid w:val="00652B68"/>
    <w:rsid w:val="0065332E"/>
    <w:rsid w:val="006533F7"/>
    <w:rsid w:val="00657390"/>
    <w:rsid w:val="00657D3D"/>
    <w:rsid w:val="00664FDA"/>
    <w:rsid w:val="00690640"/>
    <w:rsid w:val="00690D22"/>
    <w:rsid w:val="006921F3"/>
    <w:rsid w:val="006953BB"/>
    <w:rsid w:val="00696A5C"/>
    <w:rsid w:val="006A3A93"/>
    <w:rsid w:val="006A46D4"/>
    <w:rsid w:val="006B35A1"/>
    <w:rsid w:val="006C072F"/>
    <w:rsid w:val="006C1249"/>
    <w:rsid w:val="006C2553"/>
    <w:rsid w:val="006C258E"/>
    <w:rsid w:val="006C318F"/>
    <w:rsid w:val="006C4200"/>
    <w:rsid w:val="006C54AF"/>
    <w:rsid w:val="006D1339"/>
    <w:rsid w:val="006D5422"/>
    <w:rsid w:val="006F1EF7"/>
    <w:rsid w:val="006F27D8"/>
    <w:rsid w:val="006F6E36"/>
    <w:rsid w:val="006F6E5E"/>
    <w:rsid w:val="0070195A"/>
    <w:rsid w:val="00701AC0"/>
    <w:rsid w:val="007050C5"/>
    <w:rsid w:val="0071146D"/>
    <w:rsid w:val="00714E8E"/>
    <w:rsid w:val="00716992"/>
    <w:rsid w:val="00716BDC"/>
    <w:rsid w:val="007216FB"/>
    <w:rsid w:val="007221B8"/>
    <w:rsid w:val="00722219"/>
    <w:rsid w:val="00725955"/>
    <w:rsid w:val="0072711D"/>
    <w:rsid w:val="00727AF5"/>
    <w:rsid w:val="00730B6F"/>
    <w:rsid w:val="0073136D"/>
    <w:rsid w:val="0073387F"/>
    <w:rsid w:val="00734ACD"/>
    <w:rsid w:val="00735505"/>
    <w:rsid w:val="00737726"/>
    <w:rsid w:val="00737974"/>
    <w:rsid w:val="00740090"/>
    <w:rsid w:val="0074129F"/>
    <w:rsid w:val="00743650"/>
    <w:rsid w:val="00751E50"/>
    <w:rsid w:val="0075339E"/>
    <w:rsid w:val="00764293"/>
    <w:rsid w:val="00771DE2"/>
    <w:rsid w:val="0077552F"/>
    <w:rsid w:val="00781B88"/>
    <w:rsid w:val="00784122"/>
    <w:rsid w:val="0079127F"/>
    <w:rsid w:val="00795251"/>
    <w:rsid w:val="007A0FD4"/>
    <w:rsid w:val="007A3983"/>
    <w:rsid w:val="007B037C"/>
    <w:rsid w:val="007B0BBB"/>
    <w:rsid w:val="007B493A"/>
    <w:rsid w:val="007B5008"/>
    <w:rsid w:val="007B5116"/>
    <w:rsid w:val="007C0A90"/>
    <w:rsid w:val="007C1A81"/>
    <w:rsid w:val="007C7870"/>
    <w:rsid w:val="007D1E3C"/>
    <w:rsid w:val="007D6C8E"/>
    <w:rsid w:val="007F18B9"/>
    <w:rsid w:val="00801DC6"/>
    <w:rsid w:val="0080290C"/>
    <w:rsid w:val="0080730A"/>
    <w:rsid w:val="00820EAF"/>
    <w:rsid w:val="00827E33"/>
    <w:rsid w:val="00832F3D"/>
    <w:rsid w:val="00833FC9"/>
    <w:rsid w:val="00836119"/>
    <w:rsid w:val="00836223"/>
    <w:rsid w:val="008371D6"/>
    <w:rsid w:val="00841C6B"/>
    <w:rsid w:val="008467E2"/>
    <w:rsid w:val="008519EE"/>
    <w:rsid w:val="00854FB0"/>
    <w:rsid w:val="00855B5D"/>
    <w:rsid w:val="0086231B"/>
    <w:rsid w:val="008652B4"/>
    <w:rsid w:val="00866060"/>
    <w:rsid w:val="00867001"/>
    <w:rsid w:val="008674E3"/>
    <w:rsid w:val="00877A04"/>
    <w:rsid w:val="008815FC"/>
    <w:rsid w:val="008837C4"/>
    <w:rsid w:val="00885BAE"/>
    <w:rsid w:val="008867A1"/>
    <w:rsid w:val="008905D8"/>
    <w:rsid w:val="008978F6"/>
    <w:rsid w:val="008A762D"/>
    <w:rsid w:val="008B1B52"/>
    <w:rsid w:val="008B1CE9"/>
    <w:rsid w:val="008B502F"/>
    <w:rsid w:val="008B5413"/>
    <w:rsid w:val="008B74FF"/>
    <w:rsid w:val="008C261D"/>
    <w:rsid w:val="008D2BD4"/>
    <w:rsid w:val="008D6169"/>
    <w:rsid w:val="008E0179"/>
    <w:rsid w:val="008E1078"/>
    <w:rsid w:val="008E13FB"/>
    <w:rsid w:val="008E2468"/>
    <w:rsid w:val="008E3D3F"/>
    <w:rsid w:val="008F0CED"/>
    <w:rsid w:val="008F19A7"/>
    <w:rsid w:val="008F19B4"/>
    <w:rsid w:val="008F6B2A"/>
    <w:rsid w:val="009027DA"/>
    <w:rsid w:val="00903D12"/>
    <w:rsid w:val="00903EBA"/>
    <w:rsid w:val="00910115"/>
    <w:rsid w:val="009112D8"/>
    <w:rsid w:val="00911507"/>
    <w:rsid w:val="00915402"/>
    <w:rsid w:val="00916D31"/>
    <w:rsid w:val="0091783A"/>
    <w:rsid w:val="00922BD0"/>
    <w:rsid w:val="00923426"/>
    <w:rsid w:val="0092758C"/>
    <w:rsid w:val="0093081F"/>
    <w:rsid w:val="00932A8E"/>
    <w:rsid w:val="00935E65"/>
    <w:rsid w:val="00936098"/>
    <w:rsid w:val="00936825"/>
    <w:rsid w:val="009446C6"/>
    <w:rsid w:val="00950875"/>
    <w:rsid w:val="00951276"/>
    <w:rsid w:val="00951936"/>
    <w:rsid w:val="00953F4F"/>
    <w:rsid w:val="0096315C"/>
    <w:rsid w:val="00966DF4"/>
    <w:rsid w:val="00973D5A"/>
    <w:rsid w:val="0097563E"/>
    <w:rsid w:val="00975A35"/>
    <w:rsid w:val="009765EA"/>
    <w:rsid w:val="009772E2"/>
    <w:rsid w:val="00980A02"/>
    <w:rsid w:val="00982FBE"/>
    <w:rsid w:val="009850A7"/>
    <w:rsid w:val="009907CD"/>
    <w:rsid w:val="00992AE0"/>
    <w:rsid w:val="009A0E04"/>
    <w:rsid w:val="009A110C"/>
    <w:rsid w:val="009A206C"/>
    <w:rsid w:val="009A40B8"/>
    <w:rsid w:val="009A7732"/>
    <w:rsid w:val="009B0AD1"/>
    <w:rsid w:val="009B3872"/>
    <w:rsid w:val="009C29E3"/>
    <w:rsid w:val="009C36B4"/>
    <w:rsid w:val="009C52A3"/>
    <w:rsid w:val="009C540F"/>
    <w:rsid w:val="009D19FE"/>
    <w:rsid w:val="009D3CD2"/>
    <w:rsid w:val="009D52EB"/>
    <w:rsid w:val="009D57EB"/>
    <w:rsid w:val="009D6930"/>
    <w:rsid w:val="009E5E8D"/>
    <w:rsid w:val="009F0416"/>
    <w:rsid w:val="009F68ED"/>
    <w:rsid w:val="00A07AC6"/>
    <w:rsid w:val="00A132B4"/>
    <w:rsid w:val="00A138E0"/>
    <w:rsid w:val="00A1411C"/>
    <w:rsid w:val="00A14136"/>
    <w:rsid w:val="00A20BCF"/>
    <w:rsid w:val="00A24464"/>
    <w:rsid w:val="00A25D09"/>
    <w:rsid w:val="00A271B5"/>
    <w:rsid w:val="00A3267F"/>
    <w:rsid w:val="00A32C71"/>
    <w:rsid w:val="00A35A30"/>
    <w:rsid w:val="00A407B0"/>
    <w:rsid w:val="00A43F55"/>
    <w:rsid w:val="00A50F2D"/>
    <w:rsid w:val="00A57237"/>
    <w:rsid w:val="00A57385"/>
    <w:rsid w:val="00A624F6"/>
    <w:rsid w:val="00A659EF"/>
    <w:rsid w:val="00A664C0"/>
    <w:rsid w:val="00A70AA2"/>
    <w:rsid w:val="00A70AD0"/>
    <w:rsid w:val="00A74296"/>
    <w:rsid w:val="00A747AE"/>
    <w:rsid w:val="00A74A94"/>
    <w:rsid w:val="00A74E36"/>
    <w:rsid w:val="00A76164"/>
    <w:rsid w:val="00A76FB1"/>
    <w:rsid w:val="00A812C4"/>
    <w:rsid w:val="00A82D2E"/>
    <w:rsid w:val="00A83239"/>
    <w:rsid w:val="00AA2734"/>
    <w:rsid w:val="00AA3805"/>
    <w:rsid w:val="00AA4789"/>
    <w:rsid w:val="00AA6E08"/>
    <w:rsid w:val="00AB1535"/>
    <w:rsid w:val="00AB5648"/>
    <w:rsid w:val="00AB56DB"/>
    <w:rsid w:val="00AC067A"/>
    <w:rsid w:val="00AC09CC"/>
    <w:rsid w:val="00AC1063"/>
    <w:rsid w:val="00AD6D90"/>
    <w:rsid w:val="00AE1E56"/>
    <w:rsid w:val="00AE3043"/>
    <w:rsid w:val="00AE3BAD"/>
    <w:rsid w:val="00AE657B"/>
    <w:rsid w:val="00AF0AC0"/>
    <w:rsid w:val="00AF0BDD"/>
    <w:rsid w:val="00AF6A2B"/>
    <w:rsid w:val="00B11AFE"/>
    <w:rsid w:val="00B1260E"/>
    <w:rsid w:val="00B2143A"/>
    <w:rsid w:val="00B44C61"/>
    <w:rsid w:val="00B509A3"/>
    <w:rsid w:val="00B531A8"/>
    <w:rsid w:val="00B554B1"/>
    <w:rsid w:val="00B5664D"/>
    <w:rsid w:val="00B569E7"/>
    <w:rsid w:val="00B6231C"/>
    <w:rsid w:val="00B65F80"/>
    <w:rsid w:val="00B7116D"/>
    <w:rsid w:val="00B72663"/>
    <w:rsid w:val="00B779FC"/>
    <w:rsid w:val="00B94157"/>
    <w:rsid w:val="00B9422D"/>
    <w:rsid w:val="00B9548D"/>
    <w:rsid w:val="00B968AE"/>
    <w:rsid w:val="00BA3701"/>
    <w:rsid w:val="00BA6453"/>
    <w:rsid w:val="00BA69B4"/>
    <w:rsid w:val="00BB141D"/>
    <w:rsid w:val="00BB70AD"/>
    <w:rsid w:val="00BC160C"/>
    <w:rsid w:val="00BC3185"/>
    <w:rsid w:val="00BC51C8"/>
    <w:rsid w:val="00BD0ED2"/>
    <w:rsid w:val="00BD2E1B"/>
    <w:rsid w:val="00BD35ED"/>
    <w:rsid w:val="00BD530C"/>
    <w:rsid w:val="00BD6374"/>
    <w:rsid w:val="00BD6F8A"/>
    <w:rsid w:val="00BE0981"/>
    <w:rsid w:val="00BE213C"/>
    <w:rsid w:val="00BE6E10"/>
    <w:rsid w:val="00BF5CA4"/>
    <w:rsid w:val="00C01357"/>
    <w:rsid w:val="00C02D56"/>
    <w:rsid w:val="00C030E2"/>
    <w:rsid w:val="00C03F88"/>
    <w:rsid w:val="00C06491"/>
    <w:rsid w:val="00C13A33"/>
    <w:rsid w:val="00C2197C"/>
    <w:rsid w:val="00C222E7"/>
    <w:rsid w:val="00C24772"/>
    <w:rsid w:val="00C2755B"/>
    <w:rsid w:val="00C27F89"/>
    <w:rsid w:val="00C31E84"/>
    <w:rsid w:val="00C3241B"/>
    <w:rsid w:val="00C33D59"/>
    <w:rsid w:val="00C43F6D"/>
    <w:rsid w:val="00C52EC0"/>
    <w:rsid w:val="00C53337"/>
    <w:rsid w:val="00C5688C"/>
    <w:rsid w:val="00C8050C"/>
    <w:rsid w:val="00C842EE"/>
    <w:rsid w:val="00C92E92"/>
    <w:rsid w:val="00C95C07"/>
    <w:rsid w:val="00CA0880"/>
    <w:rsid w:val="00CA3C0E"/>
    <w:rsid w:val="00CA5691"/>
    <w:rsid w:val="00CB26BA"/>
    <w:rsid w:val="00CB5185"/>
    <w:rsid w:val="00CB6A53"/>
    <w:rsid w:val="00CC0794"/>
    <w:rsid w:val="00CC6916"/>
    <w:rsid w:val="00CC7F9A"/>
    <w:rsid w:val="00CD0E32"/>
    <w:rsid w:val="00CD2BAD"/>
    <w:rsid w:val="00CD466F"/>
    <w:rsid w:val="00CD7101"/>
    <w:rsid w:val="00CE6F55"/>
    <w:rsid w:val="00CF1283"/>
    <w:rsid w:val="00CF6F13"/>
    <w:rsid w:val="00D00B7B"/>
    <w:rsid w:val="00D0178A"/>
    <w:rsid w:val="00D0192A"/>
    <w:rsid w:val="00D042E7"/>
    <w:rsid w:val="00D0594B"/>
    <w:rsid w:val="00D1347E"/>
    <w:rsid w:val="00D20E29"/>
    <w:rsid w:val="00D229CE"/>
    <w:rsid w:val="00D24FEC"/>
    <w:rsid w:val="00D26A91"/>
    <w:rsid w:val="00D3031A"/>
    <w:rsid w:val="00D3287C"/>
    <w:rsid w:val="00D34CB9"/>
    <w:rsid w:val="00D35FF0"/>
    <w:rsid w:val="00D451DA"/>
    <w:rsid w:val="00D47BB5"/>
    <w:rsid w:val="00D54348"/>
    <w:rsid w:val="00D543F6"/>
    <w:rsid w:val="00D66617"/>
    <w:rsid w:val="00D67C7E"/>
    <w:rsid w:val="00D70E05"/>
    <w:rsid w:val="00DA1E15"/>
    <w:rsid w:val="00DA3CD6"/>
    <w:rsid w:val="00DA6C38"/>
    <w:rsid w:val="00DB0BF2"/>
    <w:rsid w:val="00DB0E3D"/>
    <w:rsid w:val="00DB1489"/>
    <w:rsid w:val="00DC1364"/>
    <w:rsid w:val="00DC2DEB"/>
    <w:rsid w:val="00DC39DC"/>
    <w:rsid w:val="00DC3C6F"/>
    <w:rsid w:val="00DC51C9"/>
    <w:rsid w:val="00DC72A3"/>
    <w:rsid w:val="00DD1A74"/>
    <w:rsid w:val="00DD250B"/>
    <w:rsid w:val="00DE0508"/>
    <w:rsid w:val="00DE44D6"/>
    <w:rsid w:val="00DF2437"/>
    <w:rsid w:val="00E018D1"/>
    <w:rsid w:val="00E024B5"/>
    <w:rsid w:val="00E02DC4"/>
    <w:rsid w:val="00E0319F"/>
    <w:rsid w:val="00E060D2"/>
    <w:rsid w:val="00E11875"/>
    <w:rsid w:val="00E277C2"/>
    <w:rsid w:val="00E32767"/>
    <w:rsid w:val="00E37E98"/>
    <w:rsid w:val="00E37F9D"/>
    <w:rsid w:val="00E41D6E"/>
    <w:rsid w:val="00E42796"/>
    <w:rsid w:val="00E43130"/>
    <w:rsid w:val="00E44A43"/>
    <w:rsid w:val="00E473D2"/>
    <w:rsid w:val="00E47819"/>
    <w:rsid w:val="00E47B59"/>
    <w:rsid w:val="00E52308"/>
    <w:rsid w:val="00E55782"/>
    <w:rsid w:val="00E608BB"/>
    <w:rsid w:val="00E61079"/>
    <w:rsid w:val="00E6107E"/>
    <w:rsid w:val="00E65DE4"/>
    <w:rsid w:val="00E67DDC"/>
    <w:rsid w:val="00E70251"/>
    <w:rsid w:val="00E7355C"/>
    <w:rsid w:val="00E772FD"/>
    <w:rsid w:val="00E77CFE"/>
    <w:rsid w:val="00E826BE"/>
    <w:rsid w:val="00E83EC6"/>
    <w:rsid w:val="00EA2A46"/>
    <w:rsid w:val="00EA61D6"/>
    <w:rsid w:val="00EB7561"/>
    <w:rsid w:val="00EB77C2"/>
    <w:rsid w:val="00EC28A4"/>
    <w:rsid w:val="00EC31CF"/>
    <w:rsid w:val="00ED783D"/>
    <w:rsid w:val="00EE34E9"/>
    <w:rsid w:val="00EF0A0A"/>
    <w:rsid w:val="00EF286D"/>
    <w:rsid w:val="00EF5FB7"/>
    <w:rsid w:val="00EF61E4"/>
    <w:rsid w:val="00F03711"/>
    <w:rsid w:val="00F1088F"/>
    <w:rsid w:val="00F1276A"/>
    <w:rsid w:val="00F16AD9"/>
    <w:rsid w:val="00F16C3F"/>
    <w:rsid w:val="00F17901"/>
    <w:rsid w:val="00F313B6"/>
    <w:rsid w:val="00F34B15"/>
    <w:rsid w:val="00F36416"/>
    <w:rsid w:val="00F44CB8"/>
    <w:rsid w:val="00F453D1"/>
    <w:rsid w:val="00F45EA9"/>
    <w:rsid w:val="00F4629C"/>
    <w:rsid w:val="00F464CC"/>
    <w:rsid w:val="00F50D04"/>
    <w:rsid w:val="00F53C2F"/>
    <w:rsid w:val="00F63AB1"/>
    <w:rsid w:val="00F64477"/>
    <w:rsid w:val="00F64B39"/>
    <w:rsid w:val="00F64D74"/>
    <w:rsid w:val="00F67A13"/>
    <w:rsid w:val="00F71A71"/>
    <w:rsid w:val="00F71D8B"/>
    <w:rsid w:val="00F74623"/>
    <w:rsid w:val="00F74D82"/>
    <w:rsid w:val="00F76FB4"/>
    <w:rsid w:val="00F82FEA"/>
    <w:rsid w:val="00F83973"/>
    <w:rsid w:val="00F83C09"/>
    <w:rsid w:val="00F85788"/>
    <w:rsid w:val="00F92263"/>
    <w:rsid w:val="00F97E2A"/>
    <w:rsid w:val="00FA0657"/>
    <w:rsid w:val="00FA2CF3"/>
    <w:rsid w:val="00FB5A3B"/>
    <w:rsid w:val="00FB5FD4"/>
    <w:rsid w:val="00FC3F7D"/>
    <w:rsid w:val="00FC7012"/>
    <w:rsid w:val="00FC78A4"/>
    <w:rsid w:val="00FD474F"/>
    <w:rsid w:val="00FD4D89"/>
    <w:rsid w:val="00FD60FB"/>
    <w:rsid w:val="00FE1AA8"/>
    <w:rsid w:val="00FE2D5D"/>
    <w:rsid w:val="00FE318E"/>
    <w:rsid w:val="00FF0F46"/>
    <w:rsid w:val="00FF1894"/>
    <w:rsid w:val="00FF23E9"/>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DC9098F"/>
  <w15:docId w15:val="{F220733A-2E4F-48DD-B40F-1923F292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nhideWhenUsed/>
    <w:rsid w:val="008978F6"/>
    <w:pPr>
      <w:spacing w:line="240" w:lineRule="auto"/>
    </w:pPr>
    <w:rPr>
      <w:sz w:val="20"/>
      <w:szCs w:val="20"/>
    </w:rPr>
  </w:style>
  <w:style w:type="character" w:customStyle="1" w:styleId="FootnoteTextChar">
    <w:name w:val="Footnote Text Char"/>
    <w:basedOn w:val="DefaultParagraphFont"/>
    <w:link w:val="FootnoteText"/>
    <w:rsid w:val="008978F6"/>
    <w:rPr>
      <w:sz w:val="20"/>
      <w:szCs w:val="20"/>
    </w:rPr>
  </w:style>
  <w:style w:type="character" w:styleId="FootnoteReference">
    <w:name w:val="footnote reference"/>
    <w:basedOn w:val="DefaultParagraphFont"/>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A138E0"/>
    <w:rPr>
      <w:color w:val="454545" w:themeColor="followedHyperlink"/>
      <w:u w:val="single"/>
    </w:rPr>
  </w:style>
  <w:style w:type="character" w:customStyle="1" w:styleId="ListParagraphChar">
    <w:name w:val="List Paragraph Char"/>
    <w:aliases w:val="Numbered list Char"/>
    <w:link w:val="ListParagraph"/>
    <w:uiPriority w:val="34"/>
    <w:locked/>
    <w:rsid w:val="00455C22"/>
    <w:rPr>
      <w:rFonts w:ascii="Arial" w:eastAsia="Times New Roman" w:hAnsi="Arial" w:cs="Times New Roman"/>
      <w:sz w:val="24"/>
      <w:szCs w:val="24"/>
      <w:lang w:eastAsia="en-GB"/>
    </w:rPr>
  </w:style>
  <w:style w:type="paragraph" w:styleId="BodyText">
    <w:name w:val="Body Text"/>
    <w:basedOn w:val="Normal"/>
    <w:link w:val="BodyTextChar"/>
    <w:rsid w:val="0042079D"/>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rsid w:val="0042079D"/>
    <w:rPr>
      <w:rFonts w:ascii="Arial" w:eastAsia="Times New Roman" w:hAnsi="Arial" w:cs="Times New Roman"/>
      <w:sz w:val="20"/>
      <w:szCs w:val="24"/>
      <w:lang w:eastAsia="en-GB"/>
    </w:rPr>
  </w:style>
  <w:style w:type="paragraph" w:customStyle="1" w:styleId="Default">
    <w:name w:val="Default"/>
    <w:rsid w:val="005C6B40"/>
    <w:pPr>
      <w:autoSpaceDE w:val="0"/>
      <w:autoSpaceDN w:val="0"/>
      <w:adjustRightInd w:val="0"/>
      <w:spacing w:after="0" w:line="240" w:lineRule="auto"/>
    </w:pPr>
    <w:rPr>
      <w:rFonts w:ascii="Arial" w:eastAsia="Cambria" w:hAnsi="Arial" w:cs="Arial"/>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53028">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531260107">
      <w:bodyDiv w:val="1"/>
      <w:marLeft w:val="0"/>
      <w:marRight w:val="0"/>
      <w:marTop w:val="0"/>
      <w:marBottom w:val="0"/>
      <w:divBdr>
        <w:top w:val="none" w:sz="0" w:space="0" w:color="auto"/>
        <w:left w:val="none" w:sz="0" w:space="0" w:color="auto"/>
        <w:bottom w:val="none" w:sz="0" w:space="0" w:color="auto"/>
        <w:right w:val="none" w:sz="0" w:space="0" w:color="auto"/>
      </w:divBdr>
    </w:div>
    <w:div w:id="795101386">
      <w:bodyDiv w:val="1"/>
      <w:marLeft w:val="0"/>
      <w:marRight w:val="0"/>
      <w:marTop w:val="0"/>
      <w:marBottom w:val="0"/>
      <w:divBdr>
        <w:top w:val="none" w:sz="0" w:space="0" w:color="auto"/>
        <w:left w:val="none" w:sz="0" w:space="0" w:color="auto"/>
        <w:bottom w:val="none" w:sz="0" w:space="0" w:color="auto"/>
        <w:right w:val="none" w:sz="0" w:space="0" w:color="auto"/>
      </w:divBdr>
    </w:div>
    <w:div w:id="1135562808">
      <w:bodyDiv w:val="1"/>
      <w:marLeft w:val="0"/>
      <w:marRight w:val="0"/>
      <w:marTop w:val="0"/>
      <w:marBottom w:val="0"/>
      <w:divBdr>
        <w:top w:val="none" w:sz="0" w:space="0" w:color="auto"/>
        <w:left w:val="none" w:sz="0" w:space="0" w:color="auto"/>
        <w:bottom w:val="none" w:sz="0" w:space="0" w:color="auto"/>
        <w:right w:val="none" w:sz="0" w:space="0" w:color="auto"/>
      </w:divBdr>
    </w:div>
    <w:div w:id="1364355997">
      <w:bodyDiv w:val="1"/>
      <w:marLeft w:val="0"/>
      <w:marRight w:val="0"/>
      <w:marTop w:val="0"/>
      <w:marBottom w:val="0"/>
      <w:divBdr>
        <w:top w:val="none" w:sz="0" w:space="0" w:color="auto"/>
        <w:left w:val="none" w:sz="0" w:space="0" w:color="auto"/>
        <w:bottom w:val="none" w:sz="0" w:space="0" w:color="auto"/>
        <w:right w:val="none" w:sz="0" w:space="0" w:color="auto"/>
      </w:divBdr>
    </w:div>
    <w:div w:id="1399744460">
      <w:bodyDiv w:val="1"/>
      <w:marLeft w:val="0"/>
      <w:marRight w:val="0"/>
      <w:marTop w:val="0"/>
      <w:marBottom w:val="0"/>
      <w:divBdr>
        <w:top w:val="none" w:sz="0" w:space="0" w:color="auto"/>
        <w:left w:val="none" w:sz="0" w:space="0" w:color="auto"/>
        <w:bottom w:val="none" w:sz="0" w:space="0" w:color="auto"/>
        <w:right w:val="none" w:sz="0" w:space="0" w:color="auto"/>
      </w:divBdr>
    </w:div>
    <w:div w:id="1635671985">
      <w:bodyDiv w:val="1"/>
      <w:marLeft w:val="0"/>
      <w:marRight w:val="0"/>
      <w:marTop w:val="0"/>
      <w:marBottom w:val="0"/>
      <w:divBdr>
        <w:top w:val="none" w:sz="0" w:space="0" w:color="auto"/>
        <w:left w:val="none" w:sz="0" w:space="0" w:color="auto"/>
        <w:bottom w:val="none" w:sz="0" w:space="0" w:color="auto"/>
        <w:right w:val="none" w:sz="0" w:space="0" w:color="auto"/>
      </w:divBdr>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704398829">
      <w:bodyDiv w:val="1"/>
      <w:marLeft w:val="0"/>
      <w:marRight w:val="0"/>
      <w:marTop w:val="0"/>
      <w:marBottom w:val="0"/>
      <w:divBdr>
        <w:top w:val="none" w:sz="0" w:space="0" w:color="auto"/>
        <w:left w:val="none" w:sz="0" w:space="0" w:color="auto"/>
        <w:bottom w:val="none" w:sz="0" w:space="0" w:color="auto"/>
        <w:right w:val="none" w:sz="0" w:space="0" w:color="auto"/>
      </w:divBdr>
    </w:div>
    <w:div w:id="173809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grideso.com/document/166441/download"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Nisar.Ahmed@nationalgrideso.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rth.Graham@ss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PDF/?uri=CELEX:32017R1485&amp;from=E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EN/TXT/PDF/?uri=CELEX:32017R1485&amp;from=EN" TargetMode="External"/><Relationship Id="rId3" Type="http://schemas.openxmlformats.org/officeDocument/2006/relationships/hyperlink" Target="https://eur-lex.europa.eu/legal-content/EN/TXT/PDF/?uri=CELEX:32017R1485&amp;from=EN" TargetMode="External"/><Relationship Id="rId7" Type="http://schemas.openxmlformats.org/officeDocument/2006/relationships/hyperlink" Target="https://eur-lex.europa.eu/legal-content/EN/TXT/PDF/?uri=CELEX:32017R2196&amp;from=EN" TargetMode="External"/><Relationship Id="rId2" Type="http://schemas.openxmlformats.org/officeDocument/2006/relationships/hyperlink" Target="https://test2.bmreports.com/bmrs/?q=transmission/systemwarning" TargetMode="External"/><Relationship Id="rId1" Type="http://schemas.openxmlformats.org/officeDocument/2006/relationships/hyperlink" Target="https://test2.bmreports.com/bmrs/?q=transmission/systemwarning" TargetMode="External"/><Relationship Id="rId6" Type="http://schemas.openxmlformats.org/officeDocument/2006/relationships/hyperlink" Target="https://eur-lex.europa.eu/legal-content/EN/TXT/PDF/?uri=CELEX:32017R2196&amp;from=EN" TargetMode="External"/><Relationship Id="rId5" Type="http://schemas.openxmlformats.org/officeDocument/2006/relationships/hyperlink" Target="https://www.nationalgrideso.com/document/33836/download" TargetMode="External"/><Relationship Id="rId4" Type="http://schemas.openxmlformats.org/officeDocument/2006/relationships/hyperlink" Target="https://www.nationalgrideso.com/document/33836/downloa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20and%20Templates\Modification%20templates\2.%20Report%20templates\DFMR%20FMR%20template%20(Workgroup)v4.dotx" TargetMode="External"/></Relationship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2.xml><?xml version="1.0" encoding="utf-8"?>
<ds:datastoreItem xmlns:ds="http://schemas.openxmlformats.org/officeDocument/2006/customXml" ds:itemID="{EDFDAF04-79A8-4694-9CDB-80FE18D0A14B}">
  <ds:schemaRefs>
    <ds:schemaRef ds:uri="http://schemas.openxmlformats.org/officeDocument/2006/bibliography"/>
  </ds:schemaRefs>
</ds:datastoreItem>
</file>

<file path=customXml/itemProps3.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508E67-F6B0-4B7A-A37E-DADB6FAB9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DFMR FMR template (Workgroup)v4.dotx</Template>
  <TotalTime>38</TotalTime>
  <Pages>20</Pages>
  <Words>6226</Words>
  <Characters>35494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41637</CharactersWithSpaces>
  <SharedDoc>false</SharedDoc>
  <HLinks>
    <vt:vector size="210" baseType="variant">
      <vt:variant>
        <vt:i4>5767256</vt:i4>
      </vt:variant>
      <vt:variant>
        <vt:i4>150</vt:i4>
      </vt:variant>
      <vt:variant>
        <vt:i4>0</vt:i4>
      </vt:variant>
      <vt:variant>
        <vt:i4>5</vt:i4>
      </vt:variant>
      <vt:variant>
        <vt:lpwstr>https://eur-lex.europa.eu/legal-content/EN/TXT/PDF/?uri=CELEX:32017R1485&amp;from=EN</vt:lpwstr>
      </vt:variant>
      <vt:variant>
        <vt:lpwstr/>
      </vt:variant>
      <vt:variant>
        <vt:i4>5505112</vt:i4>
      </vt:variant>
      <vt:variant>
        <vt:i4>147</vt:i4>
      </vt:variant>
      <vt:variant>
        <vt:i4>0</vt:i4>
      </vt:variant>
      <vt:variant>
        <vt:i4>5</vt:i4>
      </vt:variant>
      <vt:variant>
        <vt:lpwstr>https://www.nationalgrideso.com/document/166441/download</vt:lpwstr>
      </vt:variant>
      <vt:variant>
        <vt:lpwstr/>
      </vt:variant>
      <vt:variant>
        <vt:i4>1441846</vt:i4>
      </vt:variant>
      <vt:variant>
        <vt:i4>140</vt:i4>
      </vt:variant>
      <vt:variant>
        <vt:i4>0</vt:i4>
      </vt:variant>
      <vt:variant>
        <vt:i4>5</vt:i4>
      </vt:variant>
      <vt:variant>
        <vt:lpwstr/>
      </vt:variant>
      <vt:variant>
        <vt:lpwstr>_Toc72243403</vt:lpwstr>
      </vt:variant>
      <vt:variant>
        <vt:i4>1507382</vt:i4>
      </vt:variant>
      <vt:variant>
        <vt:i4>134</vt:i4>
      </vt:variant>
      <vt:variant>
        <vt:i4>0</vt:i4>
      </vt:variant>
      <vt:variant>
        <vt:i4>5</vt:i4>
      </vt:variant>
      <vt:variant>
        <vt:lpwstr/>
      </vt:variant>
      <vt:variant>
        <vt:lpwstr>_Toc72243402</vt:lpwstr>
      </vt:variant>
      <vt:variant>
        <vt:i4>1310774</vt:i4>
      </vt:variant>
      <vt:variant>
        <vt:i4>128</vt:i4>
      </vt:variant>
      <vt:variant>
        <vt:i4>0</vt:i4>
      </vt:variant>
      <vt:variant>
        <vt:i4>5</vt:i4>
      </vt:variant>
      <vt:variant>
        <vt:lpwstr/>
      </vt:variant>
      <vt:variant>
        <vt:lpwstr>_Toc72243401</vt:lpwstr>
      </vt:variant>
      <vt:variant>
        <vt:i4>1376310</vt:i4>
      </vt:variant>
      <vt:variant>
        <vt:i4>122</vt:i4>
      </vt:variant>
      <vt:variant>
        <vt:i4>0</vt:i4>
      </vt:variant>
      <vt:variant>
        <vt:i4>5</vt:i4>
      </vt:variant>
      <vt:variant>
        <vt:lpwstr/>
      </vt:variant>
      <vt:variant>
        <vt:lpwstr>_Toc72243400</vt:lpwstr>
      </vt:variant>
      <vt:variant>
        <vt:i4>1769535</vt:i4>
      </vt:variant>
      <vt:variant>
        <vt:i4>116</vt:i4>
      </vt:variant>
      <vt:variant>
        <vt:i4>0</vt:i4>
      </vt:variant>
      <vt:variant>
        <vt:i4>5</vt:i4>
      </vt:variant>
      <vt:variant>
        <vt:lpwstr/>
      </vt:variant>
      <vt:variant>
        <vt:lpwstr>_Toc72243399</vt:lpwstr>
      </vt:variant>
      <vt:variant>
        <vt:i4>1703999</vt:i4>
      </vt:variant>
      <vt:variant>
        <vt:i4>110</vt:i4>
      </vt:variant>
      <vt:variant>
        <vt:i4>0</vt:i4>
      </vt:variant>
      <vt:variant>
        <vt:i4>5</vt:i4>
      </vt:variant>
      <vt:variant>
        <vt:lpwstr/>
      </vt:variant>
      <vt:variant>
        <vt:lpwstr>_Toc72243398</vt:lpwstr>
      </vt:variant>
      <vt:variant>
        <vt:i4>1376319</vt:i4>
      </vt:variant>
      <vt:variant>
        <vt:i4>104</vt:i4>
      </vt:variant>
      <vt:variant>
        <vt:i4>0</vt:i4>
      </vt:variant>
      <vt:variant>
        <vt:i4>5</vt:i4>
      </vt:variant>
      <vt:variant>
        <vt:lpwstr/>
      </vt:variant>
      <vt:variant>
        <vt:lpwstr>_Toc72243397</vt:lpwstr>
      </vt:variant>
      <vt:variant>
        <vt:i4>1310783</vt:i4>
      </vt:variant>
      <vt:variant>
        <vt:i4>98</vt:i4>
      </vt:variant>
      <vt:variant>
        <vt:i4>0</vt:i4>
      </vt:variant>
      <vt:variant>
        <vt:i4>5</vt:i4>
      </vt:variant>
      <vt:variant>
        <vt:lpwstr/>
      </vt:variant>
      <vt:variant>
        <vt:lpwstr>_Toc72243396</vt:lpwstr>
      </vt:variant>
      <vt:variant>
        <vt:i4>1507391</vt:i4>
      </vt:variant>
      <vt:variant>
        <vt:i4>92</vt:i4>
      </vt:variant>
      <vt:variant>
        <vt:i4>0</vt:i4>
      </vt:variant>
      <vt:variant>
        <vt:i4>5</vt:i4>
      </vt:variant>
      <vt:variant>
        <vt:lpwstr/>
      </vt:variant>
      <vt:variant>
        <vt:lpwstr>_Toc72243395</vt:lpwstr>
      </vt:variant>
      <vt:variant>
        <vt:i4>1441855</vt:i4>
      </vt:variant>
      <vt:variant>
        <vt:i4>86</vt:i4>
      </vt:variant>
      <vt:variant>
        <vt:i4>0</vt:i4>
      </vt:variant>
      <vt:variant>
        <vt:i4>5</vt:i4>
      </vt:variant>
      <vt:variant>
        <vt:lpwstr/>
      </vt:variant>
      <vt:variant>
        <vt:lpwstr>_Toc72243394</vt:lpwstr>
      </vt:variant>
      <vt:variant>
        <vt:i4>1114175</vt:i4>
      </vt:variant>
      <vt:variant>
        <vt:i4>80</vt:i4>
      </vt:variant>
      <vt:variant>
        <vt:i4>0</vt:i4>
      </vt:variant>
      <vt:variant>
        <vt:i4>5</vt:i4>
      </vt:variant>
      <vt:variant>
        <vt:lpwstr/>
      </vt:variant>
      <vt:variant>
        <vt:lpwstr>_Toc72243393</vt:lpwstr>
      </vt:variant>
      <vt:variant>
        <vt:i4>1048639</vt:i4>
      </vt:variant>
      <vt:variant>
        <vt:i4>74</vt:i4>
      </vt:variant>
      <vt:variant>
        <vt:i4>0</vt:i4>
      </vt:variant>
      <vt:variant>
        <vt:i4>5</vt:i4>
      </vt:variant>
      <vt:variant>
        <vt:lpwstr/>
      </vt:variant>
      <vt:variant>
        <vt:lpwstr>_Toc72243392</vt:lpwstr>
      </vt:variant>
      <vt:variant>
        <vt:i4>1245247</vt:i4>
      </vt:variant>
      <vt:variant>
        <vt:i4>68</vt:i4>
      </vt:variant>
      <vt:variant>
        <vt:i4>0</vt:i4>
      </vt:variant>
      <vt:variant>
        <vt:i4>5</vt:i4>
      </vt:variant>
      <vt:variant>
        <vt:lpwstr/>
      </vt:variant>
      <vt:variant>
        <vt:lpwstr>_Toc72243391</vt:lpwstr>
      </vt:variant>
      <vt:variant>
        <vt:i4>1179711</vt:i4>
      </vt:variant>
      <vt:variant>
        <vt:i4>62</vt:i4>
      </vt:variant>
      <vt:variant>
        <vt:i4>0</vt:i4>
      </vt:variant>
      <vt:variant>
        <vt:i4>5</vt:i4>
      </vt:variant>
      <vt:variant>
        <vt:lpwstr/>
      </vt:variant>
      <vt:variant>
        <vt:lpwstr>_Toc72243390</vt:lpwstr>
      </vt:variant>
      <vt:variant>
        <vt:i4>1769534</vt:i4>
      </vt:variant>
      <vt:variant>
        <vt:i4>56</vt:i4>
      </vt:variant>
      <vt:variant>
        <vt:i4>0</vt:i4>
      </vt:variant>
      <vt:variant>
        <vt:i4>5</vt:i4>
      </vt:variant>
      <vt:variant>
        <vt:lpwstr/>
      </vt:variant>
      <vt:variant>
        <vt:lpwstr>_Toc72243389</vt:lpwstr>
      </vt:variant>
      <vt:variant>
        <vt:i4>1703998</vt:i4>
      </vt:variant>
      <vt:variant>
        <vt:i4>50</vt:i4>
      </vt:variant>
      <vt:variant>
        <vt:i4>0</vt:i4>
      </vt:variant>
      <vt:variant>
        <vt:i4>5</vt:i4>
      </vt:variant>
      <vt:variant>
        <vt:lpwstr/>
      </vt:variant>
      <vt:variant>
        <vt:lpwstr>_Toc72243388</vt:lpwstr>
      </vt:variant>
      <vt:variant>
        <vt:i4>1376318</vt:i4>
      </vt:variant>
      <vt:variant>
        <vt:i4>44</vt:i4>
      </vt:variant>
      <vt:variant>
        <vt:i4>0</vt:i4>
      </vt:variant>
      <vt:variant>
        <vt:i4>5</vt:i4>
      </vt:variant>
      <vt:variant>
        <vt:lpwstr/>
      </vt:variant>
      <vt:variant>
        <vt:lpwstr>_Toc72243387</vt:lpwstr>
      </vt:variant>
      <vt:variant>
        <vt:i4>1310782</vt:i4>
      </vt:variant>
      <vt:variant>
        <vt:i4>38</vt:i4>
      </vt:variant>
      <vt:variant>
        <vt:i4>0</vt:i4>
      </vt:variant>
      <vt:variant>
        <vt:i4>5</vt:i4>
      </vt:variant>
      <vt:variant>
        <vt:lpwstr/>
      </vt:variant>
      <vt:variant>
        <vt:lpwstr>_Toc72243386</vt:lpwstr>
      </vt:variant>
      <vt:variant>
        <vt:i4>1507390</vt:i4>
      </vt:variant>
      <vt:variant>
        <vt:i4>32</vt:i4>
      </vt:variant>
      <vt:variant>
        <vt:i4>0</vt:i4>
      </vt:variant>
      <vt:variant>
        <vt:i4>5</vt:i4>
      </vt:variant>
      <vt:variant>
        <vt:lpwstr/>
      </vt:variant>
      <vt:variant>
        <vt:lpwstr>_Toc72243385</vt:lpwstr>
      </vt:variant>
      <vt:variant>
        <vt:i4>1441854</vt:i4>
      </vt:variant>
      <vt:variant>
        <vt:i4>26</vt:i4>
      </vt:variant>
      <vt:variant>
        <vt:i4>0</vt:i4>
      </vt:variant>
      <vt:variant>
        <vt:i4>5</vt:i4>
      </vt:variant>
      <vt:variant>
        <vt:lpwstr/>
      </vt:variant>
      <vt:variant>
        <vt:lpwstr>_Toc72243384</vt:lpwstr>
      </vt:variant>
      <vt:variant>
        <vt:i4>1114174</vt:i4>
      </vt:variant>
      <vt:variant>
        <vt:i4>20</vt:i4>
      </vt:variant>
      <vt:variant>
        <vt:i4>0</vt:i4>
      </vt:variant>
      <vt:variant>
        <vt:i4>5</vt:i4>
      </vt:variant>
      <vt:variant>
        <vt:lpwstr/>
      </vt:variant>
      <vt:variant>
        <vt:lpwstr>_Toc72243383</vt:lpwstr>
      </vt:variant>
      <vt:variant>
        <vt:i4>1048638</vt:i4>
      </vt:variant>
      <vt:variant>
        <vt:i4>14</vt:i4>
      </vt:variant>
      <vt:variant>
        <vt:i4>0</vt:i4>
      </vt:variant>
      <vt:variant>
        <vt:i4>5</vt:i4>
      </vt:variant>
      <vt:variant>
        <vt:lpwstr/>
      </vt:variant>
      <vt:variant>
        <vt:lpwstr>_Toc72243382</vt:lpwstr>
      </vt:variant>
      <vt:variant>
        <vt:i4>8060943</vt:i4>
      </vt:variant>
      <vt:variant>
        <vt:i4>9</vt:i4>
      </vt:variant>
      <vt:variant>
        <vt:i4>0</vt:i4>
      </vt:variant>
      <vt:variant>
        <vt:i4>5</vt:i4>
      </vt:variant>
      <vt:variant>
        <vt:lpwstr>mailto:Nisar.Ahmed@nationalgrideso.com</vt:lpwstr>
      </vt:variant>
      <vt:variant>
        <vt:lpwstr/>
      </vt:variant>
      <vt:variant>
        <vt:i4>655475</vt:i4>
      </vt:variant>
      <vt:variant>
        <vt:i4>6</vt:i4>
      </vt:variant>
      <vt:variant>
        <vt:i4>0</vt:i4>
      </vt:variant>
      <vt:variant>
        <vt:i4>5</vt:i4>
      </vt:variant>
      <vt:variant>
        <vt:lpwstr>mailto:Garth.Graham@sse.com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ariant>
        <vt:i4>5767256</vt:i4>
      </vt:variant>
      <vt:variant>
        <vt:i4>18</vt:i4>
      </vt:variant>
      <vt:variant>
        <vt:i4>0</vt:i4>
      </vt:variant>
      <vt:variant>
        <vt:i4>5</vt:i4>
      </vt:variant>
      <vt:variant>
        <vt:lpwstr>https://eur-lex.europa.eu/legal-content/EN/TXT/PDF/?uri=CELEX:32017R1485&amp;from=EN</vt:lpwstr>
      </vt:variant>
      <vt:variant>
        <vt:lpwstr/>
      </vt:variant>
      <vt:variant>
        <vt:i4>6160474</vt:i4>
      </vt:variant>
      <vt:variant>
        <vt:i4>15</vt:i4>
      </vt:variant>
      <vt:variant>
        <vt:i4>0</vt:i4>
      </vt:variant>
      <vt:variant>
        <vt:i4>5</vt:i4>
      </vt:variant>
      <vt:variant>
        <vt:lpwstr>https://eur-lex.europa.eu/legal-content/EN/TXT/PDF/?uri=CELEX:32017R2196&amp;from=EN</vt:lpwstr>
      </vt:variant>
      <vt:variant>
        <vt:lpwstr/>
      </vt:variant>
      <vt:variant>
        <vt:i4>6357044</vt:i4>
      </vt:variant>
      <vt:variant>
        <vt:i4>12</vt:i4>
      </vt:variant>
      <vt:variant>
        <vt:i4>0</vt:i4>
      </vt:variant>
      <vt:variant>
        <vt:i4>5</vt:i4>
      </vt:variant>
      <vt:variant>
        <vt:lpwstr>https://www.nationalgrideso.com/document/33836/download</vt:lpwstr>
      </vt:variant>
      <vt:variant>
        <vt:lpwstr/>
      </vt:variant>
      <vt:variant>
        <vt:i4>6357044</vt:i4>
      </vt:variant>
      <vt:variant>
        <vt:i4>9</vt:i4>
      </vt:variant>
      <vt:variant>
        <vt:i4>0</vt:i4>
      </vt:variant>
      <vt:variant>
        <vt:i4>5</vt:i4>
      </vt:variant>
      <vt:variant>
        <vt:lpwstr>https://www.nationalgrideso.com/document/33836/download</vt:lpwstr>
      </vt:variant>
      <vt:variant>
        <vt:lpwstr/>
      </vt:variant>
      <vt:variant>
        <vt:i4>5767256</vt:i4>
      </vt:variant>
      <vt:variant>
        <vt:i4>6</vt:i4>
      </vt:variant>
      <vt:variant>
        <vt:i4>0</vt:i4>
      </vt:variant>
      <vt:variant>
        <vt:i4>5</vt:i4>
      </vt:variant>
      <vt:variant>
        <vt:lpwstr>https://eur-lex.europa.eu/legal-content/EN/TXT/PDF/?uri=CELEX:32017R1485&amp;from=EN</vt:lpwstr>
      </vt:variant>
      <vt:variant>
        <vt:lpwstr/>
      </vt:variant>
      <vt:variant>
        <vt:i4>2359401</vt:i4>
      </vt:variant>
      <vt:variant>
        <vt:i4>3</vt:i4>
      </vt:variant>
      <vt:variant>
        <vt:i4>0</vt:i4>
      </vt:variant>
      <vt:variant>
        <vt:i4>5</vt:i4>
      </vt:variant>
      <vt:variant>
        <vt:lpwstr>https://test2.bmreports.com/bmrs/?q=transmission/systemwarning</vt:lpwstr>
      </vt:variant>
      <vt:variant>
        <vt:lpwstr/>
      </vt:variant>
      <vt:variant>
        <vt:i4>2359401</vt:i4>
      </vt:variant>
      <vt:variant>
        <vt:i4>0</vt:i4>
      </vt:variant>
      <vt:variant>
        <vt:i4>0</vt:i4>
      </vt:variant>
      <vt:variant>
        <vt:i4>5</vt:i4>
      </vt:variant>
      <vt:variant>
        <vt:lpwstr>https://test2.bmreports.com/bmrs/?q=transmission/systemwarning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Guidance</dc:creator>
  <cp:lastModifiedBy>Ahmed (ESO), Nisar</cp:lastModifiedBy>
  <cp:revision>39</cp:revision>
  <dcterms:created xsi:type="dcterms:W3CDTF">2021-09-21T16:04:00Z</dcterms:created>
  <dcterms:modified xsi:type="dcterms:W3CDTF">2021-09-22T10:52:00Z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