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7E9D7" w14:textId="46F7F7D7" w:rsidR="009877EB" w:rsidRPr="007432F7" w:rsidRDefault="00CF3960" w:rsidP="003A3DD7">
      <w:pPr>
        <w:textAlignment w:val="center"/>
        <w:rPr>
          <w:rFonts w:cs="Arial"/>
          <w:b/>
          <w:iCs/>
          <w:sz w:val="44"/>
          <w:lang w:val="en-US"/>
        </w:rPr>
      </w:pPr>
      <w:r>
        <w:rPr>
          <w:rFonts w:cs="Arial"/>
          <w:b/>
          <w:iCs/>
          <w:sz w:val="44"/>
          <w:lang w:val="en-US"/>
        </w:rPr>
        <w:t>GC0121</w:t>
      </w:r>
      <w:r w:rsidR="009877EB" w:rsidRPr="007432F7">
        <w:rPr>
          <w:rFonts w:cs="Arial"/>
          <w:b/>
          <w:iCs/>
          <w:sz w:val="44"/>
          <w:lang w:val="en-US"/>
        </w:rPr>
        <w:t xml:space="preserve"> Legal </w:t>
      </w:r>
      <w:r>
        <w:rPr>
          <w:rFonts w:cs="Arial"/>
          <w:b/>
          <w:iCs/>
          <w:sz w:val="44"/>
          <w:lang w:val="en-US"/>
        </w:rPr>
        <w:t>T</w:t>
      </w:r>
      <w:r w:rsidR="009877EB" w:rsidRPr="007432F7">
        <w:rPr>
          <w:rFonts w:cs="Arial"/>
          <w:b/>
          <w:iCs/>
          <w:sz w:val="44"/>
          <w:lang w:val="en-US"/>
        </w:rPr>
        <w:t>ext</w:t>
      </w:r>
    </w:p>
    <w:p w14:paraId="01D9BB6D" w14:textId="77777777" w:rsidR="009877EB" w:rsidRDefault="009877EB"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046B" w:rsidRPr="00D411DA" w14:paraId="7E30C137" w14:textId="77777777" w:rsidTr="005A3BEE">
        <w:tc>
          <w:tcPr>
            <w:tcW w:w="9572" w:type="dxa"/>
            <w:shd w:val="clear" w:color="auto" w:fill="auto"/>
          </w:tcPr>
          <w:p w14:paraId="240F68B6" w14:textId="77777777" w:rsidR="00DB046B" w:rsidRPr="00D411DA" w:rsidRDefault="00DB046B" w:rsidP="005A3BEE">
            <w:pPr>
              <w:jc w:val="center"/>
              <w:rPr>
                <w:sz w:val="24"/>
              </w:rPr>
            </w:pPr>
            <w:r w:rsidRPr="00D411DA">
              <w:rPr>
                <w:sz w:val="24"/>
              </w:rPr>
              <w:t>P – Preface</w:t>
            </w:r>
          </w:p>
        </w:tc>
      </w:tr>
      <w:tr w:rsidR="00DB046B" w:rsidRPr="00D411DA" w14:paraId="2A11B3D7" w14:textId="77777777" w:rsidTr="005A3BEE">
        <w:tc>
          <w:tcPr>
            <w:tcW w:w="9572" w:type="dxa"/>
            <w:shd w:val="clear" w:color="auto" w:fill="auto"/>
          </w:tcPr>
          <w:p w14:paraId="2F71568A" w14:textId="77777777" w:rsidR="00DB046B" w:rsidRPr="00D411DA" w:rsidRDefault="00DB046B" w:rsidP="005A3BEE">
            <w:pPr>
              <w:rPr>
                <w:sz w:val="24"/>
              </w:rPr>
            </w:pPr>
            <w:r w:rsidRPr="00D411DA">
              <w:rPr>
                <w:sz w:val="24"/>
              </w:rPr>
              <w:t>P.2. The Grid Code is designed to: […]</w:t>
            </w:r>
            <w:r>
              <w:rPr>
                <w:sz w:val="24"/>
              </w:rPr>
              <w:t xml:space="preserve"> </w:t>
            </w:r>
            <w:r w:rsidRPr="004062BB">
              <w:rPr>
                <w:sz w:val="24"/>
              </w:rPr>
              <w:t xml:space="preserve">(iv) efficiently discharge the obligations imposed upon the licensee by this license and to comply with the </w:t>
            </w:r>
            <w:r w:rsidRPr="00A16E49">
              <w:rPr>
                <w:b/>
                <w:color w:val="FF0000"/>
                <w:sz w:val="24"/>
              </w:rPr>
              <w:t xml:space="preserve">Electricity Regulation </w:t>
            </w:r>
            <w:r w:rsidRPr="004062BB">
              <w:rPr>
                <w:sz w:val="24"/>
              </w:rPr>
              <w:t xml:space="preserve">and any relevant </w:t>
            </w:r>
            <w:r w:rsidRPr="003752D7">
              <w:rPr>
                <w:b/>
                <w:color w:val="FF0000"/>
                <w:sz w:val="24"/>
                <w:lang w:val="en-US"/>
              </w:rPr>
              <w:t>Legally Binding Decisions of the European Commission and/or the Agency</w:t>
            </w:r>
            <w:r w:rsidRPr="004062BB">
              <w:rPr>
                <w:sz w:val="24"/>
              </w:rPr>
              <w:t xml:space="preserve"> </w:t>
            </w:r>
            <w:r w:rsidRPr="004062BB">
              <w:rPr>
                <w:strike/>
                <w:color w:val="FF0000"/>
                <w:sz w:val="24"/>
              </w:rPr>
              <w:t>legally binding decisions of the European Commission and/or the Agency</w:t>
            </w:r>
            <w:r w:rsidRPr="004062BB">
              <w:rPr>
                <w:sz w:val="24"/>
              </w:rPr>
              <w:t>.</w:t>
            </w:r>
          </w:p>
        </w:tc>
      </w:tr>
    </w:tbl>
    <w:p w14:paraId="042D126E" w14:textId="77777777" w:rsidR="00DB046B" w:rsidRDefault="00DB046B"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046B" w:rsidRPr="00D411DA" w14:paraId="4547D065" w14:textId="77777777" w:rsidTr="008E2342">
        <w:tc>
          <w:tcPr>
            <w:tcW w:w="9016" w:type="dxa"/>
            <w:shd w:val="clear" w:color="auto" w:fill="auto"/>
          </w:tcPr>
          <w:p w14:paraId="5028B8D6" w14:textId="77777777" w:rsidR="00DB046B" w:rsidRPr="00D411DA" w:rsidRDefault="00DB046B" w:rsidP="005A3BEE">
            <w:pPr>
              <w:jc w:val="center"/>
              <w:rPr>
                <w:sz w:val="24"/>
              </w:rPr>
            </w:pPr>
            <w:r w:rsidRPr="00D411DA">
              <w:rPr>
                <w:sz w:val="24"/>
              </w:rPr>
              <w:t>GD – Glossary &amp; Definitions</w:t>
            </w:r>
          </w:p>
        </w:tc>
      </w:tr>
      <w:tr w:rsidR="00DB046B" w:rsidRPr="00D411DA" w14:paraId="34C5D92B" w14:textId="77777777" w:rsidTr="008E2342">
        <w:tc>
          <w:tcPr>
            <w:tcW w:w="9016" w:type="dxa"/>
            <w:shd w:val="clear" w:color="auto" w:fill="auto"/>
          </w:tcPr>
          <w:p w14:paraId="6F1286AF" w14:textId="304EE21C" w:rsidR="00DB046B" w:rsidRPr="00D411DA" w:rsidRDefault="00DB046B" w:rsidP="005A3BEE">
            <w:pPr>
              <w:rPr>
                <w:sz w:val="24"/>
              </w:rPr>
            </w:pPr>
            <w:r w:rsidRPr="003752D7">
              <w:rPr>
                <w:b/>
                <w:sz w:val="24"/>
              </w:rPr>
              <w:t>Authorised Certifier</w:t>
            </w:r>
            <w:r w:rsidRPr="00D411DA">
              <w:rPr>
                <w:sz w:val="24"/>
              </w:rPr>
              <w:t>: A</w:t>
            </w:r>
            <w:r w:rsidR="0035699A">
              <w:rPr>
                <w:sz w:val="24"/>
              </w:rPr>
              <w:t>n</w:t>
            </w:r>
            <w:r w:rsidRPr="00D411DA">
              <w:rPr>
                <w:sz w:val="24"/>
              </w:rPr>
              <w:t xml:space="preserve"> entity that issues </w:t>
            </w:r>
            <w:r w:rsidRPr="003752D7">
              <w:rPr>
                <w:b/>
                <w:sz w:val="24"/>
              </w:rPr>
              <w:t>Equipment Certificates</w:t>
            </w:r>
            <w:r w:rsidRPr="00D411DA">
              <w:rPr>
                <w:sz w:val="24"/>
              </w:rPr>
              <w:t xml:space="preserve"> and </w:t>
            </w:r>
            <w:r w:rsidRPr="003752D7">
              <w:rPr>
                <w:b/>
                <w:sz w:val="24"/>
              </w:rPr>
              <w:t>Power Generating Module Documents</w:t>
            </w:r>
            <w:r w:rsidRPr="00D411DA">
              <w:rPr>
                <w:sz w:val="24"/>
              </w:rPr>
              <w:t xml:space="preserve"> </w:t>
            </w:r>
            <w:r w:rsidRPr="0035699A">
              <w:rPr>
                <w:color w:val="000000" w:themeColor="text1"/>
                <w:sz w:val="24"/>
              </w:rPr>
              <w:t xml:space="preserve">and whose accreditation is given by the </w:t>
            </w:r>
            <w:r w:rsidRPr="0035699A">
              <w:rPr>
                <w:strike/>
                <w:color w:val="FF0000"/>
                <w:sz w:val="24"/>
              </w:rPr>
              <w:t>national affiliate of the European cooperation for Accreditation (‘EA’), established in accordance with Regulation (EC) No 765/2008 of the European Parliament and of the Council ( 1 ).</w:t>
            </w:r>
            <w:r w:rsidR="0035699A">
              <w:rPr>
                <w:strike/>
                <w:color w:val="FF0000"/>
                <w:sz w:val="24"/>
              </w:rPr>
              <w:t xml:space="preserve"> </w:t>
            </w:r>
            <w:r w:rsidR="007C7153" w:rsidRPr="0035699A">
              <w:rPr>
                <w:color w:val="FF0000"/>
                <w:sz w:val="24"/>
                <w:szCs w:val="22"/>
              </w:rPr>
              <w:t>United Kingdom Accreditation Service or such other body as may be established from time to time to carry out the function of accreditation</w:t>
            </w:r>
            <w:r w:rsidR="00DB0E66" w:rsidRPr="0035699A">
              <w:rPr>
                <w:color w:val="FF0000"/>
                <w:sz w:val="24"/>
                <w:szCs w:val="22"/>
              </w:rPr>
              <w:t>.</w:t>
            </w:r>
          </w:p>
        </w:tc>
      </w:tr>
      <w:tr w:rsidR="00FE2F35" w:rsidRPr="00D411DA" w14:paraId="7D725EB0" w14:textId="77777777" w:rsidTr="008E2342">
        <w:tc>
          <w:tcPr>
            <w:tcW w:w="9016" w:type="dxa"/>
            <w:shd w:val="clear" w:color="auto" w:fill="auto"/>
          </w:tcPr>
          <w:p w14:paraId="4BA7BFB5" w14:textId="0A94383C" w:rsidR="0004492A" w:rsidRPr="0035699A" w:rsidRDefault="00FE2F35" w:rsidP="00FE2F35">
            <w:pPr>
              <w:rPr>
                <w:sz w:val="24"/>
              </w:rPr>
            </w:pPr>
            <w:r w:rsidRPr="000D6E7B">
              <w:rPr>
                <w:b/>
                <w:sz w:val="24"/>
              </w:rPr>
              <w:t>Closed Distribution</w:t>
            </w:r>
            <w:r>
              <w:rPr>
                <w:b/>
                <w:sz w:val="24"/>
              </w:rPr>
              <w:t xml:space="preserve"> </w:t>
            </w:r>
            <w:r w:rsidRPr="000D6E7B">
              <w:rPr>
                <w:b/>
                <w:sz w:val="24"/>
              </w:rPr>
              <w:t>System or CDSO</w:t>
            </w:r>
            <w:r>
              <w:rPr>
                <w:b/>
                <w:sz w:val="24"/>
              </w:rPr>
              <w:t xml:space="preserve">: </w:t>
            </w:r>
            <w:r w:rsidRPr="000D6E7B">
              <w:rPr>
                <w:sz w:val="24"/>
              </w:rPr>
              <w:t xml:space="preserve">A </w:t>
            </w:r>
            <w:r w:rsidRPr="00667C28">
              <w:rPr>
                <w:sz w:val="24"/>
              </w:rPr>
              <w:t xml:space="preserve">distribution system classified </w:t>
            </w:r>
            <w:r w:rsidRPr="008705CE">
              <w:rPr>
                <w:strike/>
                <w:color w:val="FF0000"/>
                <w:sz w:val="24"/>
              </w:rPr>
              <w:t>pursuant to Article 28 of Directive 2009/72/EC</w:t>
            </w:r>
            <w:r w:rsidRPr="008705CE">
              <w:rPr>
                <w:color w:val="FF0000"/>
                <w:sz w:val="24"/>
              </w:rPr>
              <w:t xml:space="preserve"> </w:t>
            </w:r>
            <w:r w:rsidRPr="00667C28">
              <w:rPr>
                <w:sz w:val="24"/>
              </w:rPr>
              <w:t>as</w:t>
            </w:r>
            <w:r w:rsidRPr="000D6E7B">
              <w:rPr>
                <w:sz w:val="24"/>
              </w:rPr>
              <w:t xml:space="preserve"> a </w:t>
            </w:r>
            <w:r w:rsidRPr="000D6E7B">
              <w:rPr>
                <w:b/>
                <w:sz w:val="24"/>
              </w:rPr>
              <w:t>Closed Distribution System</w:t>
            </w:r>
            <w:r w:rsidRPr="000D6E7B">
              <w:rPr>
                <w:sz w:val="24"/>
              </w:rPr>
              <w:t xml:space="preserve"> by the </w:t>
            </w:r>
            <w:r w:rsidRPr="000D6E7B">
              <w:rPr>
                <w:b/>
                <w:sz w:val="24"/>
              </w:rPr>
              <w:t>Authority</w:t>
            </w:r>
            <w:r w:rsidRPr="000D6E7B">
              <w:rPr>
                <w:sz w:val="24"/>
              </w:rPr>
              <w:t xml:space="preserve"> which distributes electricity within a geographically confined industrial, commercial or shared services site and does not supply household </w:t>
            </w:r>
            <w:r w:rsidRPr="000D6E7B">
              <w:rPr>
                <w:b/>
                <w:sz w:val="24"/>
              </w:rPr>
              <w:t>Customers</w:t>
            </w:r>
            <w:r w:rsidRPr="000D6E7B">
              <w:rPr>
                <w:sz w:val="24"/>
              </w:rPr>
              <w:t xml:space="preserve">, without prejudice to incidental use by a small number of households located within the area served by the </w:t>
            </w:r>
            <w:r w:rsidRPr="000D6E7B">
              <w:rPr>
                <w:b/>
                <w:sz w:val="24"/>
              </w:rPr>
              <w:t>System</w:t>
            </w:r>
            <w:r w:rsidRPr="000D6E7B">
              <w:rPr>
                <w:sz w:val="24"/>
              </w:rPr>
              <w:t xml:space="preserve"> and with employment or similar associations with the owner of the </w:t>
            </w:r>
            <w:r w:rsidRPr="000D6E7B">
              <w:rPr>
                <w:b/>
                <w:sz w:val="24"/>
              </w:rPr>
              <w:t>System</w:t>
            </w:r>
            <w:r w:rsidRPr="000D6E7B">
              <w:rPr>
                <w:sz w:val="24"/>
              </w:rPr>
              <w:t>.</w:t>
            </w:r>
          </w:p>
        </w:tc>
      </w:tr>
      <w:tr w:rsidR="00DB046B" w:rsidRPr="00D411DA" w14:paraId="322BCA71" w14:textId="77777777" w:rsidTr="008E2342">
        <w:tc>
          <w:tcPr>
            <w:tcW w:w="9016" w:type="dxa"/>
            <w:shd w:val="clear" w:color="auto" w:fill="auto"/>
          </w:tcPr>
          <w:p w14:paraId="2529082F" w14:textId="639883EA" w:rsidR="00DB046B" w:rsidRPr="00CE2B5C" w:rsidRDefault="00DB046B" w:rsidP="005A3BEE">
            <w:pPr>
              <w:rPr>
                <w:color w:val="FF0000"/>
                <w:sz w:val="24"/>
                <w:lang w:val="en-US"/>
              </w:rPr>
            </w:pPr>
            <w:r w:rsidRPr="003752D7">
              <w:rPr>
                <w:b/>
                <w:color w:val="FF0000"/>
                <w:sz w:val="24"/>
                <w:lang w:val="en-US"/>
              </w:rPr>
              <w:t>Data Publisher</w:t>
            </w:r>
            <w:r w:rsidRPr="00CE2B5C">
              <w:rPr>
                <w:color w:val="FF0000"/>
                <w:sz w:val="24"/>
                <w:lang w:val="en-US"/>
              </w:rPr>
              <w:t xml:space="preserve">: </w:t>
            </w:r>
            <w:r>
              <w:rPr>
                <w:color w:val="FF0000"/>
                <w:sz w:val="24"/>
                <w:lang w:val="en-US"/>
              </w:rPr>
              <w:t>T</w:t>
            </w:r>
            <w:r w:rsidRPr="00BC5C9D">
              <w:rPr>
                <w:color w:val="FF0000"/>
                <w:sz w:val="24"/>
                <w:lang w:val="en-US"/>
              </w:rPr>
              <w:t xml:space="preserve">he person providing a </w:t>
            </w:r>
            <w:r w:rsidRPr="000E1DBC">
              <w:rPr>
                <w:color w:val="FF0000"/>
                <w:sz w:val="24"/>
                <w:lang w:val="en-US"/>
              </w:rPr>
              <w:t>reporting service</w:t>
            </w:r>
            <w:r w:rsidRPr="00BC5C9D">
              <w:rPr>
                <w:color w:val="FF0000"/>
                <w:sz w:val="24"/>
                <w:lang w:val="en-US"/>
              </w:rPr>
              <w:t xml:space="preserve">, in relation to data which is submitted to the </w:t>
            </w:r>
            <w:r w:rsidRPr="0035699A">
              <w:rPr>
                <w:color w:val="FF0000"/>
                <w:sz w:val="24"/>
                <w:lang w:val="en-US"/>
              </w:rPr>
              <w:t>reporting service under OC2.4.2.3</w:t>
            </w:r>
            <w:r w:rsidR="00F15C7A">
              <w:rPr>
                <w:color w:val="FF0000"/>
                <w:sz w:val="24"/>
                <w:lang w:val="en-US"/>
              </w:rPr>
              <w:t xml:space="preserve"> </w:t>
            </w:r>
            <w:r w:rsidRPr="0035699A">
              <w:rPr>
                <w:color w:val="FF0000"/>
                <w:sz w:val="24"/>
                <w:lang w:val="en-US"/>
              </w:rPr>
              <w:t xml:space="preserve">or a </w:t>
            </w:r>
            <w:r w:rsidRPr="0035699A">
              <w:rPr>
                <w:b/>
                <w:color w:val="FF0000"/>
                <w:sz w:val="24"/>
                <w:lang w:val="en-US"/>
              </w:rPr>
              <w:t>Transmission Licensee</w:t>
            </w:r>
            <w:r w:rsidRPr="0035699A">
              <w:rPr>
                <w:color w:val="FF0000"/>
                <w:sz w:val="24"/>
                <w:lang w:val="en-US"/>
              </w:rPr>
              <w:t xml:space="preserve">, in relation to data which the </w:t>
            </w:r>
            <w:r w:rsidRPr="0035699A">
              <w:rPr>
                <w:b/>
                <w:color w:val="FF0000"/>
                <w:sz w:val="24"/>
                <w:lang w:val="en-US"/>
              </w:rPr>
              <w:t>Transmission Licensee</w:t>
            </w:r>
            <w:r w:rsidRPr="0035699A">
              <w:rPr>
                <w:color w:val="FF0000"/>
                <w:sz w:val="24"/>
                <w:lang w:val="en-US"/>
              </w:rPr>
              <w:t xml:space="preserve"> is required to publish</w:t>
            </w:r>
            <w:r w:rsidR="00EE2CAB" w:rsidRPr="0035699A">
              <w:rPr>
                <w:color w:val="FF0000"/>
                <w:sz w:val="24"/>
                <w:lang w:val="en-US"/>
              </w:rPr>
              <w:t>.</w:t>
            </w:r>
          </w:p>
        </w:tc>
      </w:tr>
      <w:tr w:rsidR="00BE65FF" w:rsidRPr="00D411DA" w14:paraId="666B5F50" w14:textId="77777777" w:rsidTr="008E2342">
        <w:tc>
          <w:tcPr>
            <w:tcW w:w="9016" w:type="dxa"/>
            <w:shd w:val="clear" w:color="auto" w:fill="auto"/>
          </w:tcPr>
          <w:p w14:paraId="13ACC76D" w14:textId="7EECD58F" w:rsidR="00BE65FF" w:rsidRPr="008705CE" w:rsidRDefault="003A2641" w:rsidP="00BE65FF">
            <w:pPr>
              <w:rPr>
                <w:b/>
                <w:color w:val="FF0000"/>
                <w:sz w:val="24"/>
                <w:highlight w:val="yellow"/>
                <w:lang w:val="en-US"/>
              </w:rPr>
            </w:pPr>
            <w:r w:rsidRPr="008705CE">
              <w:rPr>
                <w:b/>
                <w:color w:val="FF0000"/>
                <w:sz w:val="24"/>
                <w:lang w:val="en-US"/>
              </w:rPr>
              <w:t>Electricity Balancing Regulation</w:t>
            </w:r>
            <w:r w:rsidR="00BE65FF" w:rsidRPr="008705CE">
              <w:rPr>
                <w:color w:val="FF0000"/>
                <w:sz w:val="24"/>
                <w:lang w:val="en-US"/>
              </w:rPr>
              <w:t xml:space="preserve">: </w:t>
            </w:r>
            <w:r w:rsidRPr="008705CE">
              <w:rPr>
                <w:color w:val="FF0000"/>
                <w:sz w:val="24"/>
                <w:lang w:val="en-US"/>
              </w:rPr>
              <w:t xml:space="preserve">as defined in the </w:t>
            </w:r>
            <w:r w:rsidRPr="008705CE">
              <w:rPr>
                <w:b/>
                <w:color w:val="FF0000"/>
                <w:sz w:val="24"/>
                <w:lang w:val="en-US"/>
              </w:rPr>
              <w:t>CUSC</w:t>
            </w:r>
            <w:r w:rsidRPr="008705CE">
              <w:rPr>
                <w:color w:val="FF0000"/>
                <w:sz w:val="24"/>
                <w:lang w:val="en-US"/>
              </w:rPr>
              <w:t>.</w:t>
            </w:r>
          </w:p>
        </w:tc>
      </w:tr>
      <w:tr w:rsidR="0034065C" w:rsidRPr="00D411DA" w14:paraId="4E038C35" w14:textId="77777777" w:rsidTr="008E2342">
        <w:tc>
          <w:tcPr>
            <w:tcW w:w="9016" w:type="dxa"/>
            <w:shd w:val="clear" w:color="auto" w:fill="auto"/>
          </w:tcPr>
          <w:p w14:paraId="550222F2" w14:textId="38124B1E" w:rsidR="00FC71BF" w:rsidRPr="00D411DA" w:rsidRDefault="0034065C" w:rsidP="00751BA3">
            <w:pPr>
              <w:rPr>
                <w:sz w:val="24"/>
                <w:lang w:val="en-US"/>
              </w:rPr>
            </w:pPr>
            <w:r w:rsidRPr="003752D7">
              <w:rPr>
                <w:b/>
                <w:sz w:val="24"/>
                <w:lang w:val="en-US"/>
              </w:rPr>
              <w:t>Equipment Certificate</w:t>
            </w:r>
            <w:r w:rsidRPr="0035699A">
              <w:rPr>
                <w:sz w:val="24"/>
                <w:lang w:val="en-US"/>
              </w:rPr>
              <w:t xml:space="preserve">: A document issued by an </w:t>
            </w:r>
            <w:proofErr w:type="spellStart"/>
            <w:r w:rsidRPr="0035699A">
              <w:rPr>
                <w:b/>
                <w:sz w:val="24"/>
                <w:lang w:val="en-US"/>
              </w:rPr>
              <w:t>Authorised</w:t>
            </w:r>
            <w:proofErr w:type="spellEnd"/>
            <w:r w:rsidRPr="0035699A">
              <w:rPr>
                <w:b/>
                <w:sz w:val="24"/>
                <w:lang w:val="en-US"/>
              </w:rPr>
              <w:t xml:space="preserve"> Certifier</w:t>
            </w:r>
            <w:r w:rsidRPr="0035699A">
              <w:rPr>
                <w:sz w:val="24"/>
                <w:lang w:val="en-US"/>
              </w:rPr>
              <w:t xml:space="preserve"> for equipment used by a </w:t>
            </w:r>
            <w:r w:rsidRPr="0035699A">
              <w:rPr>
                <w:b/>
                <w:sz w:val="24"/>
                <w:lang w:val="en-US"/>
              </w:rPr>
              <w:t>Power Generating Module</w:t>
            </w:r>
            <w:r w:rsidRPr="0035699A">
              <w:rPr>
                <w:color w:val="FF0000"/>
                <w:sz w:val="24"/>
                <w:lang w:val="en-US"/>
              </w:rPr>
              <w:t>,</w:t>
            </w:r>
            <w:r w:rsidRPr="0035699A">
              <w:rPr>
                <w:b/>
                <w:sz w:val="24"/>
                <w:lang w:val="en-US"/>
              </w:rPr>
              <w:t xml:space="preserve"> Demand Unit</w:t>
            </w:r>
            <w:r w:rsidRPr="0035699A">
              <w:rPr>
                <w:color w:val="FF0000"/>
                <w:sz w:val="24"/>
                <w:lang w:val="en-US"/>
              </w:rPr>
              <w:t>,</w:t>
            </w:r>
            <w:r w:rsidRPr="0035699A">
              <w:rPr>
                <w:b/>
                <w:sz w:val="24"/>
                <w:lang w:val="en-US"/>
              </w:rPr>
              <w:t xml:space="preserve"> Network Operators System</w:t>
            </w:r>
            <w:r w:rsidRPr="0035699A">
              <w:rPr>
                <w:color w:val="FF0000"/>
                <w:sz w:val="24"/>
                <w:lang w:val="en-US"/>
              </w:rPr>
              <w:t>,</w:t>
            </w:r>
            <w:r w:rsidRPr="0035699A">
              <w:rPr>
                <w:b/>
                <w:color w:val="FF0000"/>
                <w:sz w:val="24"/>
                <w:lang w:val="en-US"/>
              </w:rPr>
              <w:t xml:space="preserve"> </w:t>
            </w:r>
            <w:r w:rsidRPr="0035699A">
              <w:rPr>
                <w:b/>
                <w:sz w:val="24"/>
                <w:lang w:val="en-US"/>
              </w:rPr>
              <w:t>Non</w:t>
            </w:r>
            <w:r w:rsidR="00095846" w:rsidRPr="0035699A">
              <w:rPr>
                <w:b/>
                <w:color w:val="FF0000"/>
                <w:sz w:val="24"/>
                <w:lang w:val="en-US"/>
              </w:rPr>
              <w:t>-</w:t>
            </w:r>
            <w:r w:rsidRPr="0035699A">
              <w:rPr>
                <w:b/>
                <w:sz w:val="24"/>
                <w:lang w:val="en-US"/>
              </w:rPr>
              <w:t>Embedded Customers System</w:t>
            </w:r>
            <w:r w:rsidRPr="0035699A">
              <w:rPr>
                <w:color w:val="FF0000"/>
                <w:sz w:val="24"/>
                <w:lang w:val="en-US"/>
              </w:rPr>
              <w:t>,</w:t>
            </w:r>
            <w:r w:rsidRPr="0035699A">
              <w:rPr>
                <w:b/>
                <w:sz w:val="24"/>
                <w:lang w:val="en-US"/>
              </w:rPr>
              <w:t xml:space="preserve"> Demand Facility </w:t>
            </w:r>
            <w:r w:rsidRPr="0035699A">
              <w:rPr>
                <w:sz w:val="24"/>
                <w:lang w:val="en-US"/>
              </w:rPr>
              <w:t>or</w:t>
            </w:r>
            <w:r w:rsidRPr="0035699A">
              <w:rPr>
                <w:b/>
                <w:sz w:val="24"/>
                <w:lang w:val="en-US"/>
              </w:rPr>
              <w:t xml:space="preserve"> HVDC System</w:t>
            </w:r>
            <w:r w:rsidRPr="0035699A">
              <w:rPr>
                <w:sz w:val="24"/>
                <w:lang w:val="en-US"/>
              </w:rPr>
              <w:t xml:space="preserve">. The </w:t>
            </w:r>
            <w:r w:rsidRPr="0035699A">
              <w:rPr>
                <w:b/>
                <w:sz w:val="24"/>
                <w:lang w:val="en-US"/>
              </w:rPr>
              <w:t>Equipment Certificate</w:t>
            </w:r>
            <w:r w:rsidRPr="0035699A">
              <w:rPr>
                <w:sz w:val="24"/>
                <w:lang w:val="en-US"/>
              </w:rPr>
              <w:t xml:space="preserve"> defines the scope of its validity at a national </w:t>
            </w:r>
            <w:r w:rsidRPr="0035699A">
              <w:rPr>
                <w:strike/>
                <w:color w:val="FF0000"/>
                <w:sz w:val="24"/>
                <w:lang w:val="en-US"/>
              </w:rPr>
              <w:t>or other level at which a specific value is selected from the range allowed at a European</w:t>
            </w:r>
            <w:r w:rsidRPr="0035699A">
              <w:rPr>
                <w:sz w:val="24"/>
                <w:lang w:val="en-US"/>
              </w:rPr>
              <w:t xml:space="preserve"> level. For the purpose of replacing specific parts of the compliance process, the </w:t>
            </w:r>
            <w:r w:rsidRPr="0035699A">
              <w:rPr>
                <w:b/>
                <w:sz w:val="24"/>
                <w:lang w:val="en-US"/>
              </w:rPr>
              <w:t>Equipment Certificate</w:t>
            </w:r>
            <w:r w:rsidRPr="0035699A">
              <w:rPr>
                <w:sz w:val="24"/>
                <w:lang w:val="en-US"/>
              </w:rPr>
              <w:t xml:space="preserve"> may include models or equivalent information that have been verified against actual test results.</w:t>
            </w:r>
          </w:p>
        </w:tc>
      </w:tr>
      <w:tr w:rsidR="0034065C" w:rsidRPr="00D411DA" w14:paraId="5D0CFC8F" w14:textId="77777777" w:rsidTr="008E2342">
        <w:tc>
          <w:tcPr>
            <w:tcW w:w="9016" w:type="dxa"/>
            <w:shd w:val="clear" w:color="auto" w:fill="auto"/>
          </w:tcPr>
          <w:p w14:paraId="7926B57A" w14:textId="2F19258E" w:rsidR="0034065C" w:rsidRPr="00D411DA" w:rsidRDefault="0034065C" w:rsidP="0034065C">
            <w:pPr>
              <w:rPr>
                <w:sz w:val="24"/>
              </w:rPr>
            </w:pPr>
            <w:r w:rsidRPr="003752D7">
              <w:rPr>
                <w:b/>
                <w:sz w:val="24"/>
              </w:rPr>
              <w:lastRenderedPageBreak/>
              <w:t>EU Transparency Availability Data</w:t>
            </w:r>
            <w:r>
              <w:rPr>
                <w:sz w:val="24"/>
              </w:rPr>
              <w:t xml:space="preserve">: </w:t>
            </w:r>
            <w:r w:rsidRPr="00D411DA">
              <w:rPr>
                <w:sz w:val="24"/>
              </w:rPr>
              <w:t xml:space="preserve">Such </w:t>
            </w:r>
            <w:r w:rsidRPr="008705CE">
              <w:rPr>
                <w:color w:val="FF0000"/>
                <w:sz w:val="24"/>
              </w:rPr>
              <w:t xml:space="preserve">relevant </w:t>
            </w:r>
            <w:r w:rsidRPr="00D411DA">
              <w:rPr>
                <w:sz w:val="24"/>
              </w:rPr>
              <w:t xml:space="preserve">data as </w:t>
            </w:r>
            <w:r w:rsidRPr="00F15C7A">
              <w:rPr>
                <w:b/>
                <w:sz w:val="24"/>
              </w:rPr>
              <w:t xml:space="preserve">Customers </w:t>
            </w:r>
            <w:r w:rsidRPr="00F15C7A">
              <w:rPr>
                <w:sz w:val="24"/>
              </w:rPr>
              <w:t>a</w:t>
            </w:r>
            <w:r w:rsidRPr="00D411DA">
              <w:rPr>
                <w:sz w:val="24"/>
              </w:rPr>
              <w:t xml:space="preserve">nd </w:t>
            </w:r>
            <w:r w:rsidRPr="00F15C7A">
              <w:rPr>
                <w:b/>
                <w:sz w:val="24"/>
              </w:rPr>
              <w:t>Generators</w:t>
            </w:r>
            <w:r w:rsidRPr="0035699A">
              <w:rPr>
                <w:color w:val="FF0000"/>
                <w:sz w:val="24"/>
              </w:rPr>
              <w:t xml:space="preserve"> </w:t>
            </w:r>
            <w:r w:rsidRPr="00D411DA">
              <w:rPr>
                <w:sz w:val="24"/>
              </w:rPr>
              <w:t>are required to provide under</w:t>
            </w:r>
            <w:r>
              <w:rPr>
                <w:sz w:val="24"/>
              </w:rPr>
              <w:t xml:space="preserve"> </w:t>
            </w:r>
            <w:r w:rsidR="002D4A4F" w:rsidRPr="0035699A">
              <w:rPr>
                <w:sz w:val="24"/>
              </w:rPr>
              <w:t xml:space="preserve">Articles 7.1(a) and 7.1(b) and Articles 15.1(a), 15.1(b), 15.1(c), 15.1(d) of </w:t>
            </w:r>
            <w:r w:rsidR="00090284" w:rsidRPr="00090284">
              <w:rPr>
                <w:b/>
                <w:color w:val="FF0000"/>
                <w:sz w:val="24"/>
              </w:rPr>
              <w:t>Retained EU Law</w:t>
            </w:r>
            <w:r w:rsidR="00090284" w:rsidRPr="00090284">
              <w:rPr>
                <w:color w:val="FF0000"/>
                <w:sz w:val="24"/>
              </w:rPr>
              <w:t xml:space="preserve"> </w:t>
            </w:r>
            <w:r w:rsidR="00090284" w:rsidRPr="000C26AB">
              <w:rPr>
                <w:color w:val="FF0000"/>
                <w:sz w:val="24"/>
              </w:rPr>
              <w:t>(</w:t>
            </w:r>
            <w:r w:rsidR="002D4A4F" w:rsidRPr="0035699A">
              <w:rPr>
                <w:b/>
                <w:strike/>
                <w:color w:val="FF0000"/>
                <w:sz w:val="24"/>
              </w:rPr>
              <w:t>European</w:t>
            </w:r>
            <w:r w:rsidR="002D4A4F" w:rsidRPr="0035699A">
              <w:rPr>
                <w:color w:val="FF0000"/>
                <w:sz w:val="24"/>
              </w:rPr>
              <w:t xml:space="preserve"> Commission Regulation </w:t>
            </w:r>
            <w:r w:rsidR="00EE2CAB" w:rsidRPr="0035699A">
              <w:rPr>
                <w:color w:val="FF0000"/>
                <w:sz w:val="24"/>
              </w:rPr>
              <w:t xml:space="preserve">(EU) </w:t>
            </w:r>
            <w:r w:rsidR="002D4A4F" w:rsidRPr="0028254E">
              <w:rPr>
                <w:strike/>
                <w:color w:val="FF0000"/>
                <w:sz w:val="24"/>
              </w:rPr>
              <w:t>No.</w:t>
            </w:r>
            <w:r w:rsidR="002D4A4F" w:rsidRPr="0035699A">
              <w:rPr>
                <w:color w:val="FF0000"/>
                <w:sz w:val="24"/>
              </w:rPr>
              <w:t xml:space="preserve"> 543/2013</w:t>
            </w:r>
            <w:r w:rsidR="00090284">
              <w:rPr>
                <w:color w:val="FF0000"/>
                <w:sz w:val="24"/>
              </w:rPr>
              <w:t>)</w:t>
            </w:r>
            <w:r w:rsidR="002D4A4F" w:rsidRPr="0035699A">
              <w:rPr>
                <w:sz w:val="24"/>
              </w:rPr>
              <w:t xml:space="preserve"> </w:t>
            </w:r>
            <w:r w:rsidR="002D4A4F" w:rsidRPr="0028254E">
              <w:rPr>
                <w:strike/>
                <w:color w:val="FF0000"/>
                <w:sz w:val="24"/>
              </w:rPr>
              <w:t xml:space="preserve">respectively </w:t>
            </w:r>
            <w:r w:rsidR="002D4A4F" w:rsidRPr="001C30DF">
              <w:rPr>
                <w:strike/>
                <w:color w:val="FF0000"/>
                <w:sz w:val="24"/>
              </w:rPr>
              <w:t>(known as the Transparency Regulation)</w:t>
            </w:r>
            <w:r w:rsidR="002D4A4F" w:rsidRPr="00EE2CAB">
              <w:rPr>
                <w:sz w:val="24"/>
              </w:rPr>
              <w:t xml:space="preserve">, </w:t>
            </w:r>
            <w:r w:rsidRPr="00D411DA">
              <w:rPr>
                <w:sz w:val="24"/>
              </w:rPr>
              <w:t>and which also forms part of DRC Schedule 6 (Users’ Outage Data).</w:t>
            </w:r>
          </w:p>
        </w:tc>
      </w:tr>
      <w:tr w:rsidR="00574DDB" w:rsidRPr="00D411DA" w14:paraId="75D5E15B" w14:textId="77777777" w:rsidTr="008E2342">
        <w:tc>
          <w:tcPr>
            <w:tcW w:w="9016" w:type="dxa"/>
            <w:shd w:val="clear" w:color="auto" w:fill="auto"/>
          </w:tcPr>
          <w:p w14:paraId="51D1B9E8" w14:textId="73E7BD22" w:rsidR="00574DDB" w:rsidRPr="00742D47" w:rsidRDefault="00574DDB" w:rsidP="00574DDB">
            <w:pPr>
              <w:rPr>
                <w:b/>
                <w:strike/>
                <w:color w:val="FF0000"/>
                <w:sz w:val="24"/>
              </w:rPr>
            </w:pPr>
            <w:r w:rsidRPr="00574DDB">
              <w:rPr>
                <w:b/>
                <w:strike/>
                <w:color w:val="FF0000"/>
                <w:sz w:val="24"/>
              </w:rPr>
              <w:t>European Regulation (EU) 2016/631</w:t>
            </w:r>
            <w:r w:rsidRPr="00F426FA">
              <w:rPr>
                <w:strike/>
                <w:color w:val="FF0000"/>
                <w:sz w:val="24"/>
              </w:rPr>
              <w:t>: Commission Regulation (EU) 2016/631 of 14 April 2016 establishing a Network Code on Requirements of Generators</w:t>
            </w:r>
          </w:p>
        </w:tc>
      </w:tr>
      <w:tr w:rsidR="00574DDB" w:rsidRPr="00D411DA" w14:paraId="29274D20" w14:textId="77777777" w:rsidTr="008E2342">
        <w:tc>
          <w:tcPr>
            <w:tcW w:w="9016" w:type="dxa"/>
            <w:shd w:val="clear" w:color="auto" w:fill="auto"/>
          </w:tcPr>
          <w:p w14:paraId="7ED76AC0" w14:textId="24ABFE1D" w:rsidR="00574DDB" w:rsidRPr="00742D47" w:rsidRDefault="00574DDB" w:rsidP="00574DDB">
            <w:pPr>
              <w:rPr>
                <w:b/>
                <w:strike/>
                <w:color w:val="FF0000"/>
                <w:sz w:val="24"/>
              </w:rPr>
            </w:pPr>
            <w:r w:rsidRPr="00574DDB">
              <w:rPr>
                <w:b/>
                <w:strike/>
                <w:color w:val="FF0000"/>
                <w:sz w:val="24"/>
              </w:rPr>
              <w:t>European Regulation (EU) 2016/1388</w:t>
            </w:r>
            <w:r w:rsidRPr="00F426FA">
              <w:rPr>
                <w:strike/>
                <w:color w:val="FF0000"/>
                <w:sz w:val="24"/>
              </w:rPr>
              <w:t>: Commission Regulation (EU) 2016/1388 of 17 August 2016 establishing a Network Code on Demand Connection</w:t>
            </w:r>
          </w:p>
        </w:tc>
      </w:tr>
      <w:tr w:rsidR="00574DDB" w:rsidRPr="00D411DA" w14:paraId="783A816C" w14:textId="77777777" w:rsidTr="008E2342">
        <w:tc>
          <w:tcPr>
            <w:tcW w:w="9016" w:type="dxa"/>
            <w:shd w:val="clear" w:color="auto" w:fill="auto"/>
          </w:tcPr>
          <w:p w14:paraId="34A6A5FC" w14:textId="77777777" w:rsidR="00574DDB" w:rsidRPr="00F426FA" w:rsidRDefault="00574DDB" w:rsidP="00574DDB">
            <w:pPr>
              <w:rPr>
                <w:strike/>
                <w:color w:val="FF0000"/>
                <w:sz w:val="24"/>
              </w:rPr>
            </w:pPr>
            <w:r w:rsidRPr="00742D47">
              <w:rPr>
                <w:b/>
                <w:strike/>
                <w:color w:val="FF0000"/>
                <w:sz w:val="24"/>
              </w:rPr>
              <w:t>European Regulation (EU) 2016/1447</w:t>
            </w:r>
            <w:r w:rsidRPr="00F426FA">
              <w:rPr>
                <w:strike/>
                <w:color w:val="FF0000"/>
                <w:sz w:val="24"/>
              </w:rPr>
              <w:t>: Commission Regulation (EU) 2016/1447 of 26 August 2016 establishing a network code on requirements for Grid Connection of High Voltage Direct Current Systems and Direct Current-connected Power Park Modules</w:t>
            </w:r>
          </w:p>
        </w:tc>
      </w:tr>
      <w:tr w:rsidR="00574DDB" w:rsidRPr="00D411DA" w14:paraId="44A728A5" w14:textId="77777777" w:rsidTr="008E2342">
        <w:tc>
          <w:tcPr>
            <w:tcW w:w="9016" w:type="dxa"/>
            <w:shd w:val="clear" w:color="auto" w:fill="auto"/>
          </w:tcPr>
          <w:p w14:paraId="10C730C8" w14:textId="1C0DADFC" w:rsidR="00574DDB" w:rsidRPr="00742D47" w:rsidRDefault="00574DDB" w:rsidP="00574DDB">
            <w:pPr>
              <w:rPr>
                <w:b/>
                <w:strike/>
                <w:color w:val="FF0000"/>
                <w:sz w:val="24"/>
              </w:rPr>
            </w:pPr>
            <w:r w:rsidRPr="00574DDB">
              <w:rPr>
                <w:b/>
                <w:strike/>
                <w:color w:val="FF0000"/>
                <w:sz w:val="24"/>
              </w:rPr>
              <w:t>European Regulation (EU) 2017/1485</w:t>
            </w:r>
            <w:r w:rsidRPr="0040208B">
              <w:rPr>
                <w:strike/>
                <w:color w:val="FF0000"/>
                <w:sz w:val="24"/>
              </w:rPr>
              <w:t>: Commission Regulation (EU) 2017/1485 establishing a guideline on electricity transmission system operation</w:t>
            </w:r>
          </w:p>
        </w:tc>
      </w:tr>
      <w:tr w:rsidR="00574DDB" w:rsidRPr="00D411DA" w14:paraId="10E42173" w14:textId="77777777" w:rsidTr="008E2342">
        <w:tc>
          <w:tcPr>
            <w:tcW w:w="9016" w:type="dxa"/>
            <w:shd w:val="clear" w:color="auto" w:fill="auto"/>
          </w:tcPr>
          <w:p w14:paraId="33990867" w14:textId="77777777" w:rsidR="00574DDB" w:rsidRPr="00B36452" w:rsidRDefault="00574DDB" w:rsidP="00574DDB">
            <w:pPr>
              <w:rPr>
                <w:strike/>
                <w:color w:val="FF0000"/>
                <w:sz w:val="24"/>
              </w:rPr>
            </w:pPr>
            <w:r w:rsidRPr="00742D47">
              <w:rPr>
                <w:b/>
                <w:strike/>
                <w:color w:val="FF0000"/>
                <w:sz w:val="24"/>
              </w:rPr>
              <w:t>European Regulation (EU) 2017/2195</w:t>
            </w:r>
            <w:r w:rsidRPr="00B36452">
              <w:rPr>
                <w:strike/>
                <w:color w:val="FF0000"/>
                <w:sz w:val="24"/>
              </w:rPr>
              <w:t>: Commission Regulation (EU) 2017/2195 of 17 December 2017 establishing a guideline on electricity balancing</w:t>
            </w:r>
          </w:p>
        </w:tc>
      </w:tr>
      <w:tr w:rsidR="005316EF" w:rsidRPr="00D411DA" w14:paraId="3D3C8EFF" w14:textId="77777777" w:rsidTr="008E2342">
        <w:tc>
          <w:tcPr>
            <w:tcW w:w="9016" w:type="dxa"/>
            <w:shd w:val="clear" w:color="auto" w:fill="auto"/>
          </w:tcPr>
          <w:p w14:paraId="27D54ECB" w14:textId="0FF5E163" w:rsidR="005316EF" w:rsidRPr="00A36A69" w:rsidRDefault="005316EF" w:rsidP="001C342A">
            <w:pPr>
              <w:rPr>
                <w:b/>
                <w:color w:val="000000" w:themeColor="text1"/>
                <w:sz w:val="24"/>
                <w:lang w:val="en-US"/>
              </w:rPr>
            </w:pPr>
            <w:bookmarkStart w:id="0" w:name="_Hlk55276137"/>
            <w:r w:rsidRPr="00A36A69">
              <w:rPr>
                <w:b/>
                <w:strike/>
                <w:color w:val="FF0000"/>
                <w:sz w:val="24"/>
              </w:rPr>
              <w:t>European Regulation (EU) 2017/2196</w:t>
            </w:r>
            <w:r w:rsidRPr="00A36A69">
              <w:rPr>
                <w:strike/>
                <w:color w:val="FF0000"/>
                <w:sz w:val="24"/>
              </w:rPr>
              <w:t xml:space="preserve">: </w:t>
            </w:r>
            <w:r w:rsidR="001C342A" w:rsidRPr="00A36A69">
              <w:rPr>
                <w:strike/>
                <w:color w:val="FF0000"/>
                <w:sz w:val="24"/>
              </w:rPr>
              <w:t>of 24 November 2017 establishing a network code on emergency and restoration.</w:t>
            </w:r>
            <w:bookmarkEnd w:id="0"/>
          </w:p>
        </w:tc>
      </w:tr>
      <w:tr w:rsidR="005316EF" w:rsidRPr="00D411DA" w14:paraId="4EA36C17" w14:textId="77777777" w:rsidTr="008E2342">
        <w:tc>
          <w:tcPr>
            <w:tcW w:w="9016" w:type="dxa"/>
            <w:shd w:val="clear" w:color="auto" w:fill="auto"/>
          </w:tcPr>
          <w:p w14:paraId="4CA770E9" w14:textId="72902C34" w:rsidR="005316EF" w:rsidRPr="00A36A69" w:rsidRDefault="005316EF" w:rsidP="005316EF">
            <w:pPr>
              <w:rPr>
                <w:b/>
                <w:color w:val="FF0000"/>
                <w:sz w:val="24"/>
                <w:lang w:val="en-US"/>
              </w:rPr>
            </w:pPr>
            <w:r w:rsidRPr="00A36A69">
              <w:rPr>
                <w:b/>
                <w:color w:val="FF0000"/>
                <w:sz w:val="24"/>
                <w:lang w:val="en-US"/>
              </w:rPr>
              <w:t xml:space="preserve">IP Completion Day: </w:t>
            </w:r>
            <w:r w:rsidR="00212DDB" w:rsidRPr="0028254E">
              <w:rPr>
                <w:color w:val="FF0000"/>
                <w:sz w:val="24"/>
                <w:lang w:val="en-US"/>
              </w:rPr>
              <w:t>31 December 2020</w:t>
            </w:r>
            <w:r w:rsidR="00212DDB">
              <w:rPr>
                <w:color w:val="FF0000"/>
                <w:sz w:val="24"/>
                <w:lang w:val="en-US"/>
              </w:rPr>
              <w:t xml:space="preserve"> as</w:t>
            </w:r>
            <w:r w:rsidRPr="00A36A69">
              <w:rPr>
                <w:color w:val="FF0000"/>
                <w:sz w:val="24"/>
                <w:lang w:val="en-US"/>
              </w:rPr>
              <w:t xml:space="preserve"> defined in Section 39 of the European Union (Withdrawal Agreement) Act 2020</w:t>
            </w:r>
            <w:r w:rsidRPr="00A36A69">
              <w:rPr>
                <w:rStyle w:val="CommentReference"/>
              </w:rPr>
              <w:t>.</w:t>
            </w:r>
          </w:p>
        </w:tc>
      </w:tr>
      <w:tr w:rsidR="005316EF" w:rsidRPr="00D411DA" w14:paraId="77511719" w14:textId="77777777" w:rsidTr="008E2342">
        <w:tc>
          <w:tcPr>
            <w:tcW w:w="9016" w:type="dxa"/>
            <w:shd w:val="clear" w:color="auto" w:fill="auto"/>
          </w:tcPr>
          <w:p w14:paraId="255CE1D9" w14:textId="77777777" w:rsidR="005316EF" w:rsidRPr="00A36A69" w:rsidRDefault="005316EF" w:rsidP="005316EF">
            <w:pPr>
              <w:rPr>
                <w:color w:val="FF0000"/>
                <w:sz w:val="24"/>
                <w:lang w:val="en-US"/>
              </w:rPr>
            </w:pPr>
            <w:r w:rsidRPr="00A36A69">
              <w:rPr>
                <w:b/>
                <w:color w:val="FF0000"/>
                <w:sz w:val="24"/>
                <w:lang w:val="en-US"/>
              </w:rPr>
              <w:t>Legally Binding Decisions of the European Commission and/or the Agency</w:t>
            </w:r>
            <w:r w:rsidRPr="00A36A69">
              <w:rPr>
                <w:color w:val="FF0000"/>
                <w:sz w:val="24"/>
                <w:lang w:val="en-US"/>
              </w:rPr>
              <w:t xml:space="preserve">: Any relevant legally binding decision or decisions of the </w:t>
            </w:r>
            <w:r w:rsidRPr="0028254E">
              <w:rPr>
                <w:color w:val="FF0000"/>
                <w:sz w:val="24"/>
                <w:lang w:val="en-US"/>
              </w:rPr>
              <w:t>European Commission</w:t>
            </w:r>
            <w:r w:rsidRPr="00A36A69">
              <w:rPr>
                <w:color w:val="FF0000"/>
                <w:sz w:val="24"/>
                <w:lang w:val="en-US"/>
              </w:rPr>
              <w:t xml:space="preserve"> and/or the </w:t>
            </w:r>
            <w:r w:rsidRPr="00A36A69">
              <w:rPr>
                <w:b/>
                <w:color w:val="FF0000"/>
                <w:sz w:val="24"/>
                <w:lang w:val="en-US"/>
              </w:rPr>
              <w:t>Agency</w:t>
            </w:r>
            <w:r w:rsidRPr="00A36A69">
              <w:rPr>
                <w:color w:val="FF0000"/>
                <w:sz w:val="24"/>
                <w:lang w:val="en-US"/>
              </w:rPr>
              <w:t xml:space="preserve">, but a binding decision does not include a decision that is not, or so much of a decision as is not, </w:t>
            </w:r>
            <w:r w:rsidRPr="00A36A69">
              <w:rPr>
                <w:b/>
                <w:color w:val="FF0000"/>
                <w:sz w:val="24"/>
                <w:lang w:val="en-US"/>
              </w:rPr>
              <w:t>Retained EU Law</w:t>
            </w:r>
            <w:r w:rsidRPr="00A36A69">
              <w:rPr>
                <w:color w:val="FF0000"/>
                <w:sz w:val="24"/>
                <w:lang w:val="en-US"/>
              </w:rPr>
              <w:t>.</w:t>
            </w:r>
          </w:p>
        </w:tc>
      </w:tr>
      <w:tr w:rsidR="005316EF" w:rsidRPr="00D411DA" w14:paraId="207E07AB" w14:textId="77777777" w:rsidTr="008E2342">
        <w:tc>
          <w:tcPr>
            <w:tcW w:w="9016" w:type="dxa"/>
            <w:shd w:val="clear" w:color="auto" w:fill="auto"/>
          </w:tcPr>
          <w:p w14:paraId="7CF00F0B" w14:textId="7BD4E80A" w:rsidR="005316EF" w:rsidRPr="00A36A69" w:rsidRDefault="005316EF" w:rsidP="005316EF">
            <w:pPr>
              <w:rPr>
                <w:color w:val="FF0000"/>
                <w:sz w:val="24"/>
                <w:lang w:val="en-US"/>
              </w:rPr>
            </w:pPr>
            <w:r w:rsidRPr="00A36A69">
              <w:rPr>
                <w:b/>
                <w:color w:val="FF0000"/>
                <w:sz w:val="24"/>
                <w:lang w:val="en-US"/>
              </w:rPr>
              <w:t>Retained EU Law</w:t>
            </w:r>
            <w:r w:rsidRPr="00A36A69">
              <w:rPr>
                <w:color w:val="FF0000"/>
                <w:sz w:val="24"/>
                <w:lang w:val="en-US"/>
              </w:rPr>
              <w:t xml:space="preserve">: </w:t>
            </w:r>
            <w:r w:rsidR="0045464D">
              <w:rPr>
                <w:color w:val="FF0000"/>
                <w:sz w:val="24"/>
                <w:lang w:val="en-US"/>
              </w:rPr>
              <w:t>31 December 2020 a</w:t>
            </w:r>
            <w:r w:rsidRPr="00A36A69">
              <w:rPr>
                <w:color w:val="FF0000"/>
                <w:sz w:val="24"/>
                <w:lang w:val="en-US"/>
              </w:rPr>
              <w:t>s defined in European Union (Withdrawal) Act 2018 as amended by the European Union (Withdrawal Agreement) Act 2020.</w:t>
            </w:r>
          </w:p>
        </w:tc>
      </w:tr>
      <w:tr w:rsidR="005316EF" w:rsidRPr="00D411DA" w14:paraId="7124125F" w14:textId="77777777" w:rsidTr="008E2342">
        <w:tc>
          <w:tcPr>
            <w:tcW w:w="9016" w:type="dxa"/>
            <w:shd w:val="clear" w:color="auto" w:fill="auto"/>
          </w:tcPr>
          <w:p w14:paraId="1DF8E98A" w14:textId="09205DEA" w:rsidR="005316EF" w:rsidRPr="00A36A69" w:rsidRDefault="005316EF" w:rsidP="005316EF">
            <w:pPr>
              <w:rPr>
                <w:sz w:val="24"/>
                <w:lang w:val="en-US"/>
              </w:rPr>
            </w:pPr>
            <w:r w:rsidRPr="009549A7">
              <w:rPr>
                <w:b/>
                <w:color w:val="FF0000"/>
                <w:sz w:val="24"/>
                <w:lang w:val="en-US"/>
              </w:rPr>
              <w:t>Single Intraday Coupling</w:t>
            </w:r>
            <w:r w:rsidRPr="0045464D">
              <w:rPr>
                <w:color w:val="FF0000"/>
                <w:sz w:val="24"/>
                <w:lang w:val="en-US"/>
              </w:rPr>
              <w:t xml:space="preserve">: </w:t>
            </w:r>
            <w:r w:rsidRPr="00A36A69">
              <w:rPr>
                <w:color w:val="FF0000"/>
                <w:sz w:val="24"/>
              </w:rPr>
              <w:t xml:space="preserve">The continuous process where collected orders are </w:t>
            </w:r>
            <w:proofErr w:type="gramStart"/>
            <w:r w:rsidRPr="00A36A69">
              <w:rPr>
                <w:color w:val="FF0000"/>
                <w:sz w:val="24"/>
              </w:rPr>
              <w:t>matched</w:t>
            </w:r>
            <w:proofErr w:type="gramEnd"/>
            <w:r w:rsidRPr="00A36A69">
              <w:rPr>
                <w:color w:val="FF0000"/>
                <w:sz w:val="24"/>
              </w:rPr>
              <w:t xml:space="preserve"> and cross-zonal capacity is allocated simultaneously for different bidding zones in the intraday market.</w:t>
            </w:r>
          </w:p>
        </w:tc>
      </w:tr>
      <w:tr w:rsidR="005316EF" w:rsidRPr="00D411DA" w14:paraId="7C711512" w14:textId="77777777" w:rsidTr="008E2342">
        <w:tc>
          <w:tcPr>
            <w:tcW w:w="9016" w:type="dxa"/>
            <w:shd w:val="clear" w:color="auto" w:fill="auto"/>
          </w:tcPr>
          <w:p w14:paraId="08F2513D" w14:textId="77777777" w:rsidR="001375B3" w:rsidRPr="00A36A69" w:rsidRDefault="005316EF" w:rsidP="005316EF">
            <w:pPr>
              <w:rPr>
                <w:sz w:val="24"/>
              </w:rPr>
            </w:pPr>
            <w:r w:rsidRPr="00A36A69">
              <w:rPr>
                <w:b/>
                <w:color w:val="000000" w:themeColor="text1"/>
                <w:sz w:val="24"/>
                <w:lang w:val="en-US"/>
              </w:rPr>
              <w:t xml:space="preserve">Storage User: </w:t>
            </w:r>
            <w:r w:rsidRPr="00A36A69">
              <w:rPr>
                <w:sz w:val="24"/>
              </w:rPr>
              <w:t xml:space="preserve">A </w:t>
            </w:r>
            <w:r w:rsidRPr="00A36A69">
              <w:rPr>
                <w:b/>
                <w:sz w:val="24"/>
              </w:rPr>
              <w:t>Generator</w:t>
            </w:r>
            <w:r w:rsidRPr="00A36A69">
              <w:rPr>
                <w:sz w:val="24"/>
              </w:rPr>
              <w:t xml:space="preserve"> who owns or operates one or more </w:t>
            </w:r>
            <w:r w:rsidRPr="00A36A69">
              <w:rPr>
                <w:b/>
                <w:sz w:val="24"/>
              </w:rPr>
              <w:t>Electricity</w:t>
            </w:r>
            <w:r w:rsidRPr="00A36A69">
              <w:rPr>
                <w:sz w:val="24"/>
              </w:rPr>
              <w:t xml:space="preserve"> </w:t>
            </w:r>
            <w:r w:rsidRPr="00A36A69">
              <w:rPr>
                <w:b/>
                <w:sz w:val="24"/>
              </w:rPr>
              <w:t>Storage</w:t>
            </w:r>
            <w:r w:rsidRPr="00A36A69">
              <w:rPr>
                <w:sz w:val="24"/>
              </w:rPr>
              <w:t xml:space="preserve"> </w:t>
            </w:r>
            <w:r w:rsidRPr="00A36A69">
              <w:rPr>
                <w:b/>
                <w:sz w:val="24"/>
              </w:rPr>
              <w:t>Modules</w:t>
            </w:r>
            <w:r w:rsidRPr="00A36A69">
              <w:rPr>
                <w:sz w:val="24"/>
              </w:rPr>
              <w:t xml:space="preserve">. For the avoidance of doubt: </w:t>
            </w:r>
          </w:p>
          <w:p w14:paraId="32F50296" w14:textId="288171AA" w:rsidR="005316EF" w:rsidRPr="00A36A69" w:rsidRDefault="005316EF" w:rsidP="005316EF">
            <w:pPr>
              <w:rPr>
                <w:b/>
                <w:color w:val="000000" w:themeColor="text1"/>
                <w:sz w:val="24"/>
                <w:lang w:val="en-US"/>
              </w:rPr>
            </w:pPr>
            <w:r w:rsidRPr="00A36A69">
              <w:rPr>
                <w:sz w:val="24"/>
              </w:rPr>
              <w:t xml:space="preserve">(a) </w:t>
            </w:r>
            <w:r w:rsidR="00C33E54" w:rsidRPr="00A36A69">
              <w:rPr>
                <w:b/>
                <w:color w:val="FF0000"/>
                <w:sz w:val="24"/>
              </w:rPr>
              <w:t>Retained EU Law</w:t>
            </w:r>
            <w:r w:rsidR="00C33E54" w:rsidRPr="00A36A69">
              <w:rPr>
                <w:color w:val="FF0000"/>
                <w:sz w:val="24"/>
              </w:rPr>
              <w:t xml:space="preserve"> (Commission </w:t>
            </w:r>
            <w:r w:rsidRPr="00A36A69">
              <w:rPr>
                <w:b/>
                <w:strike/>
                <w:color w:val="FF0000"/>
                <w:sz w:val="24"/>
              </w:rPr>
              <w:t>European</w:t>
            </w:r>
            <w:r w:rsidRPr="00A36A69">
              <w:rPr>
                <w:color w:val="FF0000"/>
                <w:sz w:val="24"/>
              </w:rPr>
              <w:t xml:space="preserve"> Regulation (EU) 2016/631</w:t>
            </w:r>
            <w:r w:rsidRPr="00A36A69">
              <w:rPr>
                <w:sz w:val="24"/>
              </w:rPr>
              <w:t xml:space="preserve">, </w:t>
            </w:r>
            <w:r w:rsidRPr="00A36A69">
              <w:rPr>
                <w:b/>
                <w:strike/>
                <w:color w:val="FF0000"/>
                <w:sz w:val="24"/>
              </w:rPr>
              <w:t>European</w:t>
            </w:r>
            <w:r w:rsidRPr="00A36A69">
              <w:rPr>
                <w:b/>
                <w:color w:val="FF0000"/>
                <w:sz w:val="24"/>
              </w:rPr>
              <w:t xml:space="preserve"> </w:t>
            </w:r>
            <w:r w:rsidRPr="00A36A69">
              <w:rPr>
                <w:color w:val="FF0000"/>
                <w:sz w:val="24"/>
              </w:rPr>
              <w:t xml:space="preserve">Commission Regulation </w:t>
            </w:r>
            <w:r w:rsidR="00B50EF5" w:rsidRPr="00A36A69">
              <w:rPr>
                <w:color w:val="FF0000"/>
                <w:sz w:val="24"/>
              </w:rPr>
              <w:t xml:space="preserve">(EU) </w:t>
            </w:r>
            <w:r w:rsidRPr="00A36A69">
              <w:rPr>
                <w:color w:val="FF0000"/>
                <w:sz w:val="24"/>
              </w:rPr>
              <w:t xml:space="preserve">2016/1388 </w:t>
            </w:r>
            <w:r w:rsidRPr="00A36A69">
              <w:rPr>
                <w:sz w:val="24"/>
              </w:rPr>
              <w:t xml:space="preserve">and </w:t>
            </w:r>
            <w:r w:rsidRPr="00A36A69">
              <w:rPr>
                <w:b/>
                <w:strike/>
                <w:color w:val="FF0000"/>
                <w:sz w:val="24"/>
              </w:rPr>
              <w:t>European</w:t>
            </w:r>
            <w:r w:rsidRPr="00A36A69">
              <w:rPr>
                <w:b/>
                <w:color w:val="FF0000"/>
                <w:sz w:val="24"/>
              </w:rPr>
              <w:t xml:space="preserve"> </w:t>
            </w:r>
            <w:r w:rsidRPr="00A36A69">
              <w:rPr>
                <w:color w:val="FF0000"/>
                <w:sz w:val="24"/>
              </w:rPr>
              <w:t xml:space="preserve">Commission Regulation </w:t>
            </w:r>
            <w:r w:rsidR="00B50EF5" w:rsidRPr="00A36A69">
              <w:rPr>
                <w:color w:val="FF0000"/>
                <w:sz w:val="24"/>
              </w:rPr>
              <w:t xml:space="preserve">(EU) </w:t>
            </w:r>
            <w:r w:rsidRPr="00A36A69">
              <w:rPr>
                <w:color w:val="FF0000"/>
                <w:sz w:val="24"/>
              </w:rPr>
              <w:t>2016/1485</w:t>
            </w:r>
            <w:r w:rsidR="00A953CA" w:rsidRPr="00A36A69">
              <w:rPr>
                <w:color w:val="FF0000"/>
                <w:sz w:val="24"/>
              </w:rPr>
              <w:t>)</w:t>
            </w:r>
            <w:r w:rsidRPr="00A36A69">
              <w:rPr>
                <w:color w:val="FF0000"/>
                <w:sz w:val="24"/>
              </w:rPr>
              <w:t xml:space="preserve"> </w:t>
            </w:r>
            <w:r w:rsidRPr="00A36A69">
              <w:rPr>
                <w:sz w:val="24"/>
              </w:rPr>
              <w:t xml:space="preserve">shall not apply to </w:t>
            </w:r>
            <w:r w:rsidRPr="0028254E">
              <w:rPr>
                <w:b/>
                <w:sz w:val="24"/>
              </w:rPr>
              <w:t>Storage Users</w:t>
            </w:r>
            <w:r w:rsidRPr="00A36A69">
              <w:rPr>
                <w:sz w:val="24"/>
              </w:rPr>
              <w:t xml:space="preserve">; and </w:t>
            </w:r>
            <w:r w:rsidR="001375B3" w:rsidRPr="00A36A69">
              <w:rPr>
                <w:sz w:val="24"/>
              </w:rPr>
              <w:br/>
            </w:r>
            <w:r w:rsidRPr="00A36A69">
              <w:rPr>
                <w:sz w:val="24"/>
              </w:rPr>
              <w:lastRenderedPageBreak/>
              <w:t xml:space="preserve">(b) the </w:t>
            </w:r>
            <w:r w:rsidRPr="00A36A69">
              <w:rPr>
                <w:b/>
                <w:sz w:val="24"/>
              </w:rPr>
              <w:t>European Connection Conditions</w:t>
            </w:r>
            <w:r w:rsidRPr="00A36A69">
              <w:rPr>
                <w:sz w:val="24"/>
              </w:rPr>
              <w:t xml:space="preserve"> (</w:t>
            </w:r>
            <w:r w:rsidRPr="00A36A69">
              <w:rPr>
                <w:b/>
                <w:sz w:val="24"/>
              </w:rPr>
              <w:t>ECC</w:t>
            </w:r>
            <w:r w:rsidRPr="00A36A69">
              <w:rPr>
                <w:sz w:val="24"/>
              </w:rPr>
              <w:t xml:space="preserve">’s) shall apply to </w:t>
            </w:r>
            <w:r w:rsidRPr="00A36A69">
              <w:rPr>
                <w:b/>
                <w:sz w:val="24"/>
              </w:rPr>
              <w:t>Storage Users</w:t>
            </w:r>
            <w:r w:rsidRPr="00A36A69">
              <w:rPr>
                <w:sz w:val="24"/>
              </w:rPr>
              <w:t xml:space="preserve"> on the basis set out in Paragraph ECC1.1(d).</w:t>
            </w:r>
          </w:p>
        </w:tc>
      </w:tr>
      <w:tr w:rsidR="00EF2F3D" w:rsidRPr="00D411DA" w14:paraId="78F59A0E" w14:textId="77777777" w:rsidTr="008E2342">
        <w:tc>
          <w:tcPr>
            <w:tcW w:w="9016" w:type="dxa"/>
            <w:shd w:val="clear" w:color="auto" w:fill="auto"/>
          </w:tcPr>
          <w:p w14:paraId="5A4089DC" w14:textId="20605C64" w:rsidR="00EF2F3D" w:rsidRPr="00A36A69" w:rsidRDefault="008E28DD" w:rsidP="008E28DD">
            <w:pPr>
              <w:rPr>
                <w:b/>
                <w:sz w:val="24"/>
              </w:rPr>
            </w:pPr>
            <w:r w:rsidRPr="00A36A69">
              <w:rPr>
                <w:b/>
                <w:sz w:val="24"/>
              </w:rPr>
              <w:lastRenderedPageBreak/>
              <w:t xml:space="preserve">System Defence Plan: </w:t>
            </w:r>
            <w:r w:rsidRPr="00A36A69">
              <w:rPr>
                <w:sz w:val="24"/>
              </w:rPr>
              <w:t xml:space="preserve">A document prepared by </w:t>
            </w:r>
            <w:r w:rsidRPr="00A36A69">
              <w:rPr>
                <w:b/>
                <w:sz w:val="24"/>
              </w:rPr>
              <w:t>The Company</w:t>
            </w:r>
            <w:r w:rsidRPr="00A36A69">
              <w:rPr>
                <w:sz w:val="24"/>
              </w:rPr>
              <w:t xml:space="preserve">, as published on its </w:t>
            </w:r>
            <w:r w:rsidRPr="00A36A69">
              <w:rPr>
                <w:b/>
                <w:sz w:val="24"/>
              </w:rPr>
              <w:t>Website</w:t>
            </w:r>
            <w:r w:rsidRPr="00A36A69">
              <w:rPr>
                <w:sz w:val="24"/>
              </w:rPr>
              <w:t>, outlining how the requirements of the “defence plan”</w:t>
            </w:r>
            <w:r w:rsidR="008E1CB3" w:rsidRPr="00A36A69">
              <w:rPr>
                <w:color w:val="FF0000"/>
                <w:sz w:val="24"/>
              </w:rPr>
              <w:t>,</w:t>
            </w:r>
            <w:r w:rsidRPr="00A36A69">
              <w:rPr>
                <w:sz w:val="24"/>
              </w:rPr>
              <w:t xml:space="preserve"> as provided for</w:t>
            </w:r>
            <w:r w:rsidR="00057210" w:rsidRPr="00A36A69">
              <w:rPr>
                <w:sz w:val="24"/>
              </w:rPr>
              <w:t xml:space="preserve"> by </w:t>
            </w:r>
            <w:r w:rsidR="00057210" w:rsidRPr="00A36A69">
              <w:rPr>
                <w:b/>
                <w:color w:val="FF0000"/>
                <w:sz w:val="24"/>
              </w:rPr>
              <w:t>Retained EU Law</w:t>
            </w:r>
            <w:r w:rsidRPr="00A36A69">
              <w:rPr>
                <w:color w:val="FF0000"/>
                <w:sz w:val="24"/>
              </w:rPr>
              <w:t xml:space="preserve"> </w:t>
            </w:r>
            <w:r w:rsidR="00057210" w:rsidRPr="00A36A69">
              <w:rPr>
                <w:color w:val="FF0000"/>
                <w:sz w:val="24"/>
              </w:rPr>
              <w:t>(</w:t>
            </w:r>
            <w:r w:rsidRPr="00A36A69">
              <w:rPr>
                <w:strike/>
                <w:color w:val="FF0000"/>
                <w:sz w:val="24"/>
              </w:rPr>
              <w:t>European</w:t>
            </w:r>
            <w:r w:rsidRPr="00A36A69">
              <w:rPr>
                <w:color w:val="FF0000"/>
                <w:sz w:val="24"/>
              </w:rPr>
              <w:t xml:space="preserve"> </w:t>
            </w:r>
            <w:r w:rsidR="00C33666" w:rsidRPr="00A36A69">
              <w:rPr>
                <w:color w:val="FF0000"/>
                <w:sz w:val="24"/>
              </w:rPr>
              <w:t xml:space="preserve">Commission </w:t>
            </w:r>
            <w:r w:rsidRPr="00A36A69">
              <w:rPr>
                <w:color w:val="FF0000"/>
                <w:sz w:val="24"/>
              </w:rPr>
              <w:t>Regulation (EU) 2017/2196)</w:t>
            </w:r>
            <w:r w:rsidR="008E1CB3" w:rsidRPr="00A36A69">
              <w:rPr>
                <w:color w:val="FF0000"/>
                <w:sz w:val="24"/>
              </w:rPr>
              <w:t>,</w:t>
            </w:r>
            <w:r w:rsidRPr="00A36A69">
              <w:rPr>
                <w:sz w:val="24"/>
              </w:rPr>
              <w:t xml:space="preserve"> has been implemented within the</w:t>
            </w:r>
            <w:r w:rsidRPr="00A36A69">
              <w:rPr>
                <w:b/>
                <w:sz w:val="24"/>
              </w:rPr>
              <w:t xml:space="preserve"> GB Synchronous Area</w:t>
            </w:r>
            <w:r w:rsidRPr="0028254E">
              <w:rPr>
                <w:sz w:val="24"/>
              </w:rPr>
              <w:t>.</w:t>
            </w:r>
          </w:p>
        </w:tc>
      </w:tr>
      <w:tr w:rsidR="005659B0" w:rsidRPr="00D411DA" w14:paraId="0E8455AD" w14:textId="77777777" w:rsidTr="008E2342">
        <w:tc>
          <w:tcPr>
            <w:tcW w:w="9016" w:type="dxa"/>
            <w:shd w:val="clear" w:color="auto" w:fill="auto"/>
          </w:tcPr>
          <w:p w14:paraId="6D166096" w14:textId="4DA08A7F" w:rsidR="005659B0" w:rsidRPr="00A36A69" w:rsidRDefault="005659B0" w:rsidP="005659B0">
            <w:pPr>
              <w:rPr>
                <w:b/>
                <w:sz w:val="24"/>
              </w:rPr>
            </w:pPr>
            <w:r w:rsidRPr="00A36A69">
              <w:rPr>
                <w:b/>
                <w:sz w:val="24"/>
              </w:rPr>
              <w:t>System Restoration</w:t>
            </w:r>
            <w:r w:rsidR="00900776" w:rsidRPr="00A36A69">
              <w:rPr>
                <w:b/>
                <w:sz w:val="24"/>
              </w:rPr>
              <w:t xml:space="preserve"> Plan</w:t>
            </w:r>
            <w:r w:rsidR="00900776" w:rsidRPr="00A36A69">
              <w:rPr>
                <w:sz w:val="24"/>
              </w:rPr>
              <w:t xml:space="preserve">: A document prepared by </w:t>
            </w:r>
            <w:r w:rsidR="00900776" w:rsidRPr="00A36A69">
              <w:rPr>
                <w:b/>
                <w:sz w:val="24"/>
              </w:rPr>
              <w:t>The Company</w:t>
            </w:r>
            <w:r w:rsidR="00900776" w:rsidRPr="00A36A69">
              <w:rPr>
                <w:sz w:val="24"/>
              </w:rPr>
              <w:t xml:space="preserve">, as published on its </w:t>
            </w:r>
            <w:r w:rsidR="00900776" w:rsidRPr="00A36A69">
              <w:rPr>
                <w:b/>
                <w:sz w:val="24"/>
              </w:rPr>
              <w:t>Website</w:t>
            </w:r>
            <w:r w:rsidR="00900776" w:rsidRPr="00A36A69">
              <w:rPr>
                <w:sz w:val="24"/>
              </w:rPr>
              <w:t>, outlining how the requirements of the “restoration plan”</w:t>
            </w:r>
            <w:r w:rsidR="006D76FF" w:rsidRPr="00A36A69">
              <w:rPr>
                <w:color w:val="FF0000"/>
                <w:sz w:val="24"/>
              </w:rPr>
              <w:t xml:space="preserve">, </w:t>
            </w:r>
            <w:r w:rsidR="00900776" w:rsidRPr="00A36A69">
              <w:rPr>
                <w:sz w:val="24"/>
              </w:rPr>
              <w:t>as defined in</w:t>
            </w:r>
            <w:r w:rsidR="006D76FF" w:rsidRPr="00A36A69">
              <w:rPr>
                <w:sz w:val="24"/>
              </w:rPr>
              <w:t xml:space="preserve"> </w:t>
            </w:r>
            <w:r w:rsidR="006D76FF" w:rsidRPr="00A36A69">
              <w:rPr>
                <w:b/>
                <w:color w:val="FF0000"/>
                <w:sz w:val="24"/>
              </w:rPr>
              <w:t xml:space="preserve">Retained EU Law </w:t>
            </w:r>
            <w:r w:rsidR="006D76FF" w:rsidRPr="00A36A69">
              <w:rPr>
                <w:color w:val="FF0000"/>
                <w:sz w:val="24"/>
              </w:rPr>
              <w:t>(Commission</w:t>
            </w:r>
            <w:r w:rsidR="00900776" w:rsidRPr="00A36A69">
              <w:rPr>
                <w:color w:val="FF0000"/>
                <w:sz w:val="24"/>
              </w:rPr>
              <w:t xml:space="preserve"> </w:t>
            </w:r>
            <w:r w:rsidR="00900776" w:rsidRPr="00A36A69">
              <w:rPr>
                <w:strike/>
                <w:color w:val="FF0000"/>
                <w:sz w:val="24"/>
              </w:rPr>
              <w:t>European</w:t>
            </w:r>
            <w:r w:rsidR="00900776" w:rsidRPr="00A36A69">
              <w:rPr>
                <w:color w:val="FF0000"/>
                <w:sz w:val="24"/>
              </w:rPr>
              <w:t xml:space="preserve"> Regulation (EU) 2017/2196)</w:t>
            </w:r>
            <w:r w:rsidR="008E1CB3" w:rsidRPr="00A36A69">
              <w:rPr>
                <w:color w:val="FF0000"/>
                <w:sz w:val="24"/>
              </w:rPr>
              <w:t>,</w:t>
            </w:r>
            <w:r w:rsidR="00900776" w:rsidRPr="00A36A69">
              <w:rPr>
                <w:color w:val="FF0000"/>
                <w:sz w:val="24"/>
              </w:rPr>
              <w:t xml:space="preserve"> </w:t>
            </w:r>
            <w:r w:rsidR="00900776" w:rsidRPr="00A36A69">
              <w:rPr>
                <w:sz w:val="24"/>
              </w:rPr>
              <w:t xml:space="preserve">has been implemented within the </w:t>
            </w:r>
            <w:r w:rsidR="00900776" w:rsidRPr="00A36A69">
              <w:rPr>
                <w:b/>
                <w:sz w:val="24"/>
              </w:rPr>
              <w:t>GB Synchronous Area</w:t>
            </w:r>
            <w:r w:rsidR="00900776" w:rsidRPr="00A36A69">
              <w:rPr>
                <w:sz w:val="24"/>
              </w:rPr>
              <w:t>.</w:t>
            </w:r>
          </w:p>
        </w:tc>
      </w:tr>
      <w:tr w:rsidR="005316EF" w:rsidRPr="00D411DA" w14:paraId="5F91DA44" w14:textId="77777777" w:rsidTr="008E2342">
        <w:tc>
          <w:tcPr>
            <w:tcW w:w="9016" w:type="dxa"/>
            <w:shd w:val="clear" w:color="auto" w:fill="auto"/>
          </w:tcPr>
          <w:p w14:paraId="0FE1AC0B" w14:textId="50BF549C" w:rsidR="005316EF" w:rsidRPr="00D411DA" w:rsidRDefault="005316EF" w:rsidP="005316EF">
            <w:pPr>
              <w:rPr>
                <w:sz w:val="24"/>
                <w:highlight w:val="yellow"/>
              </w:rPr>
            </w:pPr>
            <w:r w:rsidRPr="003752D7">
              <w:rPr>
                <w:b/>
                <w:sz w:val="24"/>
              </w:rPr>
              <w:t>TERRE</w:t>
            </w:r>
            <w:r>
              <w:rPr>
                <w:sz w:val="24"/>
              </w:rPr>
              <w:t xml:space="preserve">: </w:t>
            </w:r>
            <w:r w:rsidRPr="001B021E">
              <w:rPr>
                <w:sz w:val="24"/>
              </w:rPr>
              <w:t>Trans European Replacement Reserves Exchange – a market covering the procurement of replacement reserves across Europe</w:t>
            </w:r>
            <w:r w:rsidRPr="007E6FE7">
              <w:rPr>
                <w:color w:val="FF0000"/>
                <w:sz w:val="24"/>
              </w:rPr>
              <w:t>.</w:t>
            </w:r>
            <w:r w:rsidRPr="001B021E">
              <w:rPr>
                <w:sz w:val="24"/>
              </w:rPr>
              <w:t xml:space="preserve"> </w:t>
            </w:r>
            <w:r w:rsidRPr="007E6FE7">
              <w:rPr>
                <w:strike/>
                <w:color w:val="FF0000"/>
                <w:sz w:val="24"/>
              </w:rPr>
              <w:t>as described in</w:t>
            </w:r>
            <w:r w:rsidRPr="007E6FE7">
              <w:rPr>
                <w:color w:val="FF0000"/>
                <w:sz w:val="24"/>
              </w:rPr>
              <w:t xml:space="preserve"> </w:t>
            </w:r>
            <w:r w:rsidRPr="007E6FE7">
              <w:rPr>
                <w:strike/>
                <w:color w:val="FF0000"/>
                <w:sz w:val="24"/>
              </w:rPr>
              <w:t xml:space="preserve">European Regulation (EU) 2017/2195 </w:t>
            </w:r>
            <w:r w:rsidRPr="007E6FE7">
              <w:rPr>
                <w:b/>
                <w:strike/>
                <w:color w:val="FF0000"/>
                <w:sz w:val="24"/>
              </w:rPr>
              <w:t>(EBGL)</w:t>
            </w:r>
            <w:r w:rsidRPr="007E6FE7">
              <w:rPr>
                <w:strike/>
                <w:color w:val="FF0000"/>
                <w:sz w:val="24"/>
              </w:rPr>
              <w:t xml:space="preserve"> and </w:t>
            </w:r>
            <w:r w:rsidRPr="007E6FE7">
              <w:rPr>
                <w:b/>
                <w:strike/>
                <w:color w:val="FF0000"/>
                <w:sz w:val="24"/>
              </w:rPr>
              <w:t>European</w:t>
            </w:r>
            <w:r w:rsidRPr="007E6FE7">
              <w:rPr>
                <w:strike/>
                <w:color w:val="FF0000"/>
                <w:sz w:val="24"/>
              </w:rPr>
              <w:t xml:space="preserve"> </w:t>
            </w:r>
            <w:r w:rsidRPr="007E6FE7">
              <w:rPr>
                <w:b/>
                <w:strike/>
                <w:color w:val="FF0000"/>
                <w:sz w:val="24"/>
              </w:rPr>
              <w:t>Regulation (EU) 2017/1485</w:t>
            </w:r>
          </w:p>
        </w:tc>
      </w:tr>
      <w:tr w:rsidR="005316EF" w:rsidRPr="00D411DA" w14:paraId="3DD0F6E1" w14:textId="77777777" w:rsidTr="008E2342">
        <w:tc>
          <w:tcPr>
            <w:tcW w:w="9016" w:type="dxa"/>
            <w:shd w:val="clear" w:color="auto" w:fill="auto"/>
          </w:tcPr>
          <w:p w14:paraId="26F2FEFF" w14:textId="0D258238" w:rsidR="005316EF" w:rsidRDefault="005316EF" w:rsidP="005316EF">
            <w:pPr>
              <w:rPr>
                <w:strike/>
                <w:color w:val="FF0000"/>
                <w:sz w:val="24"/>
              </w:rPr>
            </w:pPr>
            <w:r w:rsidRPr="000E65A0">
              <w:rPr>
                <w:sz w:val="24"/>
                <w:lang w:val="en-US"/>
              </w:rPr>
              <w:t xml:space="preserve">GD.2.1 </w:t>
            </w:r>
            <w:r>
              <w:rPr>
                <w:sz w:val="24"/>
                <w:lang w:val="en-US"/>
              </w:rPr>
              <w:t xml:space="preserve">[…] </w:t>
            </w:r>
            <w:r w:rsidRPr="008F08C3">
              <w:rPr>
                <w:sz w:val="24"/>
                <w:lang w:val="en-US"/>
              </w:rPr>
              <w:t xml:space="preserve">(xiii) 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 applies to current, and therefore the terms current and voltage should remain undefined with the meaning depending upon the context of the application. </w:t>
            </w:r>
            <w:r w:rsidRPr="00933A02">
              <w:rPr>
                <w:b/>
                <w:color w:val="FF0000"/>
                <w:sz w:val="24"/>
                <w:lang w:val="en-US"/>
              </w:rPr>
              <w:t>Retained EU Law</w:t>
            </w:r>
            <w:r w:rsidRPr="00933A02">
              <w:rPr>
                <w:color w:val="FF0000"/>
                <w:sz w:val="24"/>
                <w:lang w:val="en-US"/>
              </w:rPr>
              <w:t xml:space="preserve"> </w:t>
            </w:r>
            <w:r w:rsidRPr="004C0349">
              <w:rPr>
                <w:color w:val="FF0000"/>
                <w:sz w:val="24"/>
              </w:rPr>
              <w:t>(</w:t>
            </w:r>
            <w:r w:rsidRPr="007E6FE7">
              <w:rPr>
                <w:b/>
                <w:strike/>
                <w:color w:val="FF0000"/>
                <w:sz w:val="24"/>
              </w:rPr>
              <w:t xml:space="preserve">European </w:t>
            </w:r>
            <w:r w:rsidRPr="000B7296">
              <w:rPr>
                <w:color w:val="FF0000"/>
                <w:sz w:val="24"/>
              </w:rPr>
              <w:t>Commission</w:t>
            </w:r>
            <w:r w:rsidRPr="007E6FE7">
              <w:rPr>
                <w:b/>
                <w:color w:val="FF0000"/>
                <w:sz w:val="24"/>
              </w:rPr>
              <w:t xml:space="preserve"> </w:t>
            </w:r>
            <w:r w:rsidRPr="00933A02">
              <w:rPr>
                <w:color w:val="FF0000"/>
                <w:sz w:val="24"/>
              </w:rPr>
              <w:t>Regulation (EU) 2016/631</w:t>
            </w:r>
            <w:r>
              <w:rPr>
                <w:color w:val="FF0000"/>
                <w:sz w:val="24"/>
              </w:rPr>
              <w:t>)</w:t>
            </w:r>
            <w:r w:rsidRPr="00933A02">
              <w:rPr>
                <w:color w:val="FF0000"/>
                <w:sz w:val="24"/>
              </w:rPr>
              <w:t xml:space="preserve"> </w:t>
            </w:r>
            <w:r w:rsidRPr="007E6FE7">
              <w:rPr>
                <w:sz w:val="24"/>
              </w:rPr>
              <w:t>defines requirements of current and voltage but they have not been adopted as part of EU implementation for the reasons outlined above.</w:t>
            </w:r>
            <w:r w:rsidRPr="007E6FE7">
              <w:rPr>
                <w:strike/>
                <w:sz w:val="24"/>
              </w:rPr>
              <w:t xml:space="preserve"> </w:t>
            </w:r>
          </w:p>
          <w:p w14:paraId="796F4C59" w14:textId="7ADB7609" w:rsidR="005316EF" w:rsidRPr="00BC4716" w:rsidRDefault="005316EF" w:rsidP="005316EF">
            <w:pPr>
              <w:rPr>
                <w:sz w:val="24"/>
                <w:lang w:val="en-US"/>
              </w:rPr>
            </w:pPr>
            <w:bookmarkStart w:id="1" w:name="_Hlk55278844"/>
            <w:r w:rsidRPr="00935DAF">
              <w:rPr>
                <w:color w:val="FF0000"/>
                <w:sz w:val="24"/>
                <w:lang w:val="en-US"/>
              </w:rPr>
              <w:t xml:space="preserve">(xiv) </w:t>
            </w:r>
            <w:r w:rsidRPr="000B7296">
              <w:rPr>
                <w:color w:val="FF0000"/>
                <w:sz w:val="24"/>
                <w:lang w:val="en-US"/>
              </w:rPr>
              <w:t>Except where expressly stated to the contrary, reference to Commission</w:t>
            </w:r>
            <w:r w:rsidRPr="000B7296">
              <w:rPr>
                <w:strike/>
                <w:color w:val="FF0000"/>
                <w:sz w:val="24"/>
                <w:lang w:val="en-US"/>
              </w:rPr>
              <w:t xml:space="preserve"> </w:t>
            </w:r>
            <w:r w:rsidRPr="000B7296">
              <w:rPr>
                <w:color w:val="FF0000"/>
                <w:sz w:val="24"/>
                <w:lang w:val="en-US"/>
              </w:rPr>
              <w:t>Regulations means the Commission</w:t>
            </w:r>
            <w:r>
              <w:rPr>
                <w:color w:val="FF0000"/>
                <w:sz w:val="24"/>
                <w:lang w:val="en-US"/>
              </w:rPr>
              <w:t xml:space="preserve"> </w:t>
            </w:r>
            <w:r w:rsidRPr="000B7296">
              <w:rPr>
                <w:color w:val="FF0000"/>
                <w:sz w:val="24"/>
                <w:lang w:val="en-US"/>
              </w:rPr>
              <w:t xml:space="preserve">Regulation </w:t>
            </w:r>
            <w:r w:rsidR="009923B8" w:rsidRPr="00BD7879">
              <w:rPr>
                <w:color w:val="FF0000"/>
                <w:sz w:val="24"/>
                <w:lang w:val="en-US"/>
              </w:rPr>
              <w:t xml:space="preserve">(EU) </w:t>
            </w:r>
            <w:r w:rsidRPr="00BD7879">
              <w:rPr>
                <w:color w:val="FF0000"/>
                <w:sz w:val="24"/>
                <w:lang w:val="en-US"/>
              </w:rPr>
              <w:t>as</w:t>
            </w:r>
            <w:r w:rsidRPr="000B7296">
              <w:rPr>
                <w:color w:val="FF0000"/>
                <w:sz w:val="24"/>
                <w:lang w:val="en-US"/>
              </w:rPr>
              <w:t xml:space="preserve"> it forms part of </w:t>
            </w:r>
            <w:r w:rsidRPr="000B7296">
              <w:rPr>
                <w:b/>
                <w:color w:val="FF0000"/>
                <w:sz w:val="24"/>
                <w:lang w:val="en-US"/>
              </w:rPr>
              <w:t>Retained EU Law</w:t>
            </w:r>
            <w:r w:rsidRPr="000B7296">
              <w:rPr>
                <w:color w:val="FF0000"/>
                <w:sz w:val="24"/>
                <w:lang w:val="en-US"/>
              </w:rPr>
              <w:t>, as such regulation may be amended</w:t>
            </w:r>
            <w:r>
              <w:rPr>
                <w:color w:val="FF0000"/>
                <w:sz w:val="24"/>
                <w:lang w:val="en-US"/>
              </w:rPr>
              <w:t>.</w:t>
            </w:r>
            <w:bookmarkEnd w:id="1"/>
          </w:p>
        </w:tc>
      </w:tr>
    </w:tbl>
    <w:p w14:paraId="149BFC05" w14:textId="77777777" w:rsidR="00DB046B" w:rsidRDefault="00DB046B" w:rsidP="00DB046B">
      <w:pPr>
        <w:rPr>
          <w:rFonts w:cs="Arial"/>
          <w:i/>
          <w:iCs/>
          <w:color w:val="00B274"/>
          <w:sz w:val="24"/>
          <w:lang w:val="en-US"/>
        </w:rPr>
      </w:pPr>
      <w:r>
        <w:rPr>
          <w:rFonts w:cs="Arial"/>
          <w:i/>
          <w:iCs/>
          <w:color w:val="00B274"/>
          <w:sz w:val="24"/>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046B" w:rsidRPr="00D411DA" w14:paraId="493895ED" w14:textId="77777777" w:rsidTr="005A3BEE">
        <w:tc>
          <w:tcPr>
            <w:tcW w:w="9572" w:type="dxa"/>
            <w:shd w:val="clear" w:color="auto" w:fill="auto"/>
          </w:tcPr>
          <w:p w14:paraId="3F1FFCF8" w14:textId="77777777" w:rsidR="00DB046B" w:rsidRPr="00D411DA" w:rsidRDefault="00DB046B" w:rsidP="005A3BEE">
            <w:pPr>
              <w:jc w:val="center"/>
              <w:rPr>
                <w:sz w:val="24"/>
              </w:rPr>
            </w:pPr>
            <w:r>
              <w:rPr>
                <w:sz w:val="24"/>
              </w:rPr>
              <w:t>P</w:t>
            </w:r>
            <w:r w:rsidRPr="00D411DA">
              <w:rPr>
                <w:sz w:val="24"/>
              </w:rPr>
              <w:t xml:space="preserve">C – </w:t>
            </w:r>
            <w:r>
              <w:rPr>
                <w:sz w:val="24"/>
              </w:rPr>
              <w:t>PLANNING CODE</w:t>
            </w:r>
          </w:p>
        </w:tc>
      </w:tr>
      <w:tr w:rsidR="00DB046B" w:rsidRPr="00D411DA" w14:paraId="19D319C8" w14:textId="77777777" w:rsidTr="005A3BEE">
        <w:tc>
          <w:tcPr>
            <w:tcW w:w="9572" w:type="dxa"/>
            <w:shd w:val="clear" w:color="auto" w:fill="auto"/>
          </w:tcPr>
          <w:p w14:paraId="1ADC8B27" w14:textId="77777777" w:rsidR="00DB046B" w:rsidRPr="00D411DA" w:rsidRDefault="00DB046B" w:rsidP="005A3BEE">
            <w:pPr>
              <w:rPr>
                <w:sz w:val="24"/>
              </w:rPr>
            </w:pPr>
            <w:r w:rsidRPr="00FB67B1">
              <w:rPr>
                <w:sz w:val="24"/>
              </w:rPr>
              <w:t>PC.A.3.1.4</w:t>
            </w:r>
            <w:r>
              <w:rPr>
                <w:sz w:val="24"/>
              </w:rPr>
              <w:t xml:space="preserve"> […] </w:t>
            </w:r>
            <w:r w:rsidRPr="00FB67B1">
              <w:rPr>
                <w:sz w:val="24"/>
              </w:rPr>
              <w:t xml:space="preserve">a) In the case of an </w:t>
            </w:r>
            <w:r w:rsidRPr="003752D7">
              <w:rPr>
                <w:b/>
                <w:sz w:val="24"/>
              </w:rPr>
              <w:t>Embedded Small Power Station</w:t>
            </w:r>
            <w:r w:rsidRPr="00FB67B1">
              <w:rPr>
                <w:sz w:val="24"/>
              </w:rPr>
              <w:t xml:space="preserve"> first connected on or after 1 January 2015, the production type must be selected from the list below </w:t>
            </w:r>
            <w:r w:rsidRPr="00FB67B1">
              <w:rPr>
                <w:strike/>
                <w:color w:val="FF0000"/>
                <w:sz w:val="24"/>
              </w:rPr>
              <w:t>derived from the Manual of Procedures for the ENTSO-E Central Information Transparency Platform</w:t>
            </w:r>
            <w:r w:rsidRPr="00FB67B1">
              <w:rPr>
                <w:sz w:val="24"/>
              </w:rPr>
              <w:t>:</w:t>
            </w:r>
          </w:p>
        </w:tc>
      </w:tr>
    </w:tbl>
    <w:p w14:paraId="5290D37D" w14:textId="77777777" w:rsidR="00DB046B" w:rsidRDefault="00DB046B"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046B" w:rsidRPr="00D411DA" w14:paraId="53D3A1C8" w14:textId="77777777" w:rsidTr="005A3BEE">
        <w:tc>
          <w:tcPr>
            <w:tcW w:w="9572" w:type="dxa"/>
            <w:shd w:val="clear" w:color="auto" w:fill="auto"/>
          </w:tcPr>
          <w:p w14:paraId="190E4757" w14:textId="77777777" w:rsidR="00DB046B" w:rsidRPr="00D411DA" w:rsidRDefault="00DB046B" w:rsidP="005A3BEE">
            <w:pPr>
              <w:jc w:val="center"/>
              <w:rPr>
                <w:sz w:val="24"/>
              </w:rPr>
            </w:pPr>
            <w:r>
              <w:rPr>
                <w:sz w:val="24"/>
              </w:rPr>
              <w:t>EC</w:t>
            </w:r>
            <w:r w:rsidRPr="00D411DA">
              <w:rPr>
                <w:sz w:val="24"/>
              </w:rPr>
              <w:t xml:space="preserve">C – </w:t>
            </w:r>
            <w:r>
              <w:rPr>
                <w:sz w:val="24"/>
              </w:rPr>
              <w:t>EUROP</w:t>
            </w:r>
            <w:r w:rsidRPr="000071EF">
              <w:rPr>
                <w:sz w:val="24"/>
              </w:rPr>
              <w:t>EAN</w:t>
            </w:r>
            <w:r w:rsidRPr="00077295">
              <w:rPr>
                <w:sz w:val="24"/>
              </w:rPr>
              <w:t xml:space="preserve"> </w:t>
            </w:r>
            <w:r w:rsidRPr="00A41EF4">
              <w:rPr>
                <w:sz w:val="24"/>
              </w:rPr>
              <w:t>CONNECTION CONDITIONS</w:t>
            </w:r>
          </w:p>
        </w:tc>
      </w:tr>
      <w:tr w:rsidR="00DB046B" w:rsidRPr="00D411DA" w14:paraId="11C2D747" w14:textId="77777777" w:rsidTr="005A3BEE">
        <w:tc>
          <w:tcPr>
            <w:tcW w:w="9572" w:type="dxa"/>
            <w:shd w:val="clear" w:color="auto" w:fill="auto"/>
          </w:tcPr>
          <w:p w14:paraId="78F252F0" w14:textId="77777777" w:rsidR="00DB046B" w:rsidRDefault="00DB046B" w:rsidP="005A3BEE">
            <w:pPr>
              <w:rPr>
                <w:sz w:val="24"/>
              </w:rPr>
            </w:pPr>
            <w:r w:rsidRPr="000071EF">
              <w:rPr>
                <w:sz w:val="24"/>
              </w:rPr>
              <w:t>ECC</w:t>
            </w:r>
            <w:r w:rsidRPr="004E4433">
              <w:rPr>
                <w:sz w:val="24"/>
              </w:rPr>
              <w:t xml:space="preserve">.1.1 </w:t>
            </w:r>
            <w:r>
              <w:rPr>
                <w:sz w:val="24"/>
              </w:rPr>
              <w:t xml:space="preserve">[…] </w:t>
            </w:r>
          </w:p>
          <w:p w14:paraId="0364C6DD" w14:textId="5352022C" w:rsidR="00DB046B" w:rsidRPr="00933A02" w:rsidRDefault="00DB046B" w:rsidP="005A3BEE">
            <w:pPr>
              <w:rPr>
                <w:sz w:val="24"/>
              </w:rPr>
            </w:pPr>
            <w:r w:rsidRPr="00933A02">
              <w:rPr>
                <w:sz w:val="24"/>
              </w:rPr>
              <w:lastRenderedPageBreak/>
              <w:t xml:space="preserve">(c ) The requirements of </w:t>
            </w:r>
            <w:r w:rsidR="00933A02" w:rsidRPr="00933A02">
              <w:rPr>
                <w:b/>
                <w:color w:val="FF0000"/>
                <w:sz w:val="24"/>
              </w:rPr>
              <w:t>Retained EU Law</w:t>
            </w:r>
            <w:r w:rsidR="00933A02" w:rsidRPr="00933A02">
              <w:rPr>
                <w:color w:val="FF0000"/>
                <w:sz w:val="24"/>
              </w:rPr>
              <w:t xml:space="preserve"> (</w:t>
            </w:r>
            <w:r w:rsidRPr="00933A02">
              <w:rPr>
                <w:b/>
                <w:strike/>
                <w:color w:val="FF0000"/>
                <w:sz w:val="24"/>
              </w:rPr>
              <w:t>European</w:t>
            </w:r>
            <w:r w:rsidRPr="00933A02">
              <w:rPr>
                <w:b/>
                <w:color w:val="FF0000"/>
                <w:sz w:val="24"/>
              </w:rPr>
              <w:t xml:space="preserve"> </w:t>
            </w:r>
            <w:r w:rsidR="00933A02" w:rsidRPr="00933A02">
              <w:rPr>
                <w:color w:val="FF0000"/>
                <w:sz w:val="24"/>
              </w:rPr>
              <w:t xml:space="preserve">Commission </w:t>
            </w:r>
            <w:r w:rsidRPr="00933A02">
              <w:rPr>
                <w:color w:val="FF0000"/>
                <w:sz w:val="24"/>
              </w:rPr>
              <w:t>Regulation (EU) 2016/631</w:t>
            </w:r>
            <w:r w:rsidR="00933A02" w:rsidRPr="00933A02">
              <w:rPr>
                <w:color w:val="FF0000"/>
                <w:sz w:val="24"/>
              </w:rPr>
              <w:t>)</w:t>
            </w:r>
            <w:r w:rsidRPr="00933A02">
              <w:rPr>
                <w:sz w:val="24"/>
              </w:rPr>
              <w:t xml:space="preserve"> shall not apply to</w:t>
            </w:r>
          </w:p>
          <w:p w14:paraId="4C2DC18F" w14:textId="164CAF47" w:rsidR="00DB046B" w:rsidRPr="00933A02" w:rsidRDefault="00DB046B" w:rsidP="005A3BEE">
            <w:pPr>
              <w:rPr>
                <w:sz w:val="24"/>
              </w:rPr>
            </w:pPr>
            <w:r w:rsidRPr="00933A02">
              <w:rPr>
                <w:sz w:val="24"/>
              </w:rPr>
              <w:t>(</w:t>
            </w:r>
            <w:proofErr w:type="spellStart"/>
            <w:r w:rsidRPr="00933A02">
              <w:rPr>
                <w:sz w:val="24"/>
              </w:rPr>
              <w:t>i</w:t>
            </w:r>
            <w:proofErr w:type="spellEnd"/>
            <w:r w:rsidRPr="00933A02">
              <w:rPr>
                <w:sz w:val="24"/>
              </w:rPr>
              <w:t xml:space="preserve">) </w:t>
            </w:r>
            <w:r w:rsidRPr="00933A02">
              <w:rPr>
                <w:b/>
                <w:sz w:val="24"/>
              </w:rPr>
              <w:t>Power Generating Modules</w:t>
            </w:r>
            <w:r w:rsidRPr="00933A02">
              <w:rPr>
                <w:sz w:val="24"/>
              </w:rPr>
              <w:t xml:space="preserve"> that are installed to provide backup power and operate in parallel with the </w:t>
            </w:r>
            <w:r w:rsidRPr="00933A02">
              <w:rPr>
                <w:b/>
                <w:sz w:val="24"/>
              </w:rPr>
              <w:t>Total System</w:t>
            </w:r>
            <w:r w:rsidRPr="00933A02">
              <w:rPr>
                <w:sz w:val="24"/>
              </w:rPr>
              <w:t xml:space="preserve"> for less than 5 minutes per calendar month while the </w:t>
            </w:r>
            <w:r w:rsidRPr="00933A02">
              <w:rPr>
                <w:b/>
                <w:sz w:val="24"/>
              </w:rPr>
              <w:t>System</w:t>
            </w:r>
            <w:r w:rsidRPr="00933A02">
              <w:rPr>
                <w:sz w:val="24"/>
              </w:rPr>
              <w:t xml:space="preserve"> is in normal state. Parallel operation during maintenance or commissioning of tests of that </w:t>
            </w:r>
            <w:r w:rsidRPr="00933A02">
              <w:rPr>
                <w:b/>
                <w:sz w:val="24"/>
              </w:rPr>
              <w:t>Power Generating Module</w:t>
            </w:r>
            <w:r w:rsidRPr="00933A02">
              <w:rPr>
                <w:sz w:val="24"/>
              </w:rPr>
              <w:t xml:space="preserve"> shall not count towards that five</w:t>
            </w:r>
            <w:r w:rsidR="00E11174" w:rsidRPr="00E11174">
              <w:rPr>
                <w:color w:val="FF0000"/>
                <w:sz w:val="24"/>
              </w:rPr>
              <w:t>-</w:t>
            </w:r>
            <w:r w:rsidRPr="00933A02">
              <w:rPr>
                <w:sz w:val="24"/>
              </w:rPr>
              <w:t>minute limit.</w:t>
            </w:r>
          </w:p>
          <w:p w14:paraId="12676A69" w14:textId="77777777" w:rsidR="00DB046B" w:rsidRPr="00933A02" w:rsidRDefault="00DB046B" w:rsidP="005A3BEE">
            <w:pPr>
              <w:rPr>
                <w:sz w:val="24"/>
              </w:rPr>
            </w:pPr>
            <w:r w:rsidRPr="00933A02">
              <w:rPr>
                <w:sz w:val="24"/>
              </w:rPr>
              <w:t xml:space="preserve">(ii) </w:t>
            </w:r>
            <w:r w:rsidRPr="00933A02">
              <w:rPr>
                <w:b/>
                <w:sz w:val="24"/>
              </w:rPr>
              <w:t>Power Generating Modules</w:t>
            </w:r>
            <w:r w:rsidRPr="00933A02">
              <w:rPr>
                <w:sz w:val="24"/>
              </w:rPr>
              <w:t xml:space="preserve"> connected to the </w:t>
            </w:r>
            <w:r w:rsidRPr="00933A02">
              <w:rPr>
                <w:b/>
                <w:sz w:val="24"/>
              </w:rPr>
              <w:t>Transmission System</w:t>
            </w:r>
            <w:r w:rsidRPr="00933A02">
              <w:rPr>
                <w:sz w:val="24"/>
              </w:rPr>
              <w:t xml:space="preserve"> or </w:t>
            </w:r>
            <w:r w:rsidRPr="00933A02">
              <w:rPr>
                <w:b/>
                <w:sz w:val="24"/>
              </w:rPr>
              <w:t xml:space="preserve">Network Operators System </w:t>
            </w:r>
            <w:r w:rsidRPr="00933A02">
              <w:rPr>
                <w:sz w:val="24"/>
              </w:rPr>
              <w:t xml:space="preserve">which are not operated in synchronism with a </w:t>
            </w:r>
            <w:r w:rsidRPr="00933A02">
              <w:rPr>
                <w:b/>
                <w:sz w:val="24"/>
              </w:rPr>
              <w:t>Synchronous Area</w:t>
            </w:r>
            <w:r w:rsidRPr="00933A02">
              <w:rPr>
                <w:sz w:val="24"/>
              </w:rPr>
              <w:t>.</w:t>
            </w:r>
          </w:p>
          <w:p w14:paraId="062A8DE6" w14:textId="77777777" w:rsidR="00DB046B" w:rsidRPr="00933A02" w:rsidRDefault="00DB046B" w:rsidP="005A3BEE">
            <w:pPr>
              <w:rPr>
                <w:sz w:val="24"/>
              </w:rPr>
            </w:pPr>
            <w:r w:rsidRPr="00933A02">
              <w:rPr>
                <w:sz w:val="24"/>
              </w:rPr>
              <w:t xml:space="preserve">(iii) </w:t>
            </w:r>
            <w:r w:rsidRPr="00933A02">
              <w:rPr>
                <w:b/>
                <w:sz w:val="24"/>
              </w:rPr>
              <w:t>Power Generating Modules</w:t>
            </w:r>
            <w:r w:rsidRPr="00933A02">
              <w:rPr>
                <w:sz w:val="24"/>
              </w:rPr>
              <w:t xml:space="preserve"> that do not have a permanent </w:t>
            </w:r>
            <w:r w:rsidRPr="00933A02">
              <w:rPr>
                <w:b/>
                <w:sz w:val="24"/>
              </w:rPr>
              <w:t>Connection Point</w:t>
            </w:r>
            <w:r w:rsidRPr="00933A02">
              <w:rPr>
                <w:sz w:val="24"/>
              </w:rPr>
              <w:t xml:space="preserve"> or </w:t>
            </w:r>
            <w:r w:rsidRPr="00933A02">
              <w:rPr>
                <w:b/>
                <w:sz w:val="24"/>
              </w:rPr>
              <w:t>User System Entry Point</w:t>
            </w:r>
            <w:r w:rsidRPr="00933A02">
              <w:rPr>
                <w:sz w:val="24"/>
              </w:rPr>
              <w:t xml:space="preserve"> and used by </w:t>
            </w:r>
            <w:r w:rsidRPr="00933A02">
              <w:rPr>
                <w:b/>
                <w:sz w:val="24"/>
              </w:rPr>
              <w:t xml:space="preserve">The Company </w:t>
            </w:r>
            <w:r w:rsidRPr="00933A02">
              <w:rPr>
                <w:sz w:val="24"/>
              </w:rPr>
              <w:t xml:space="preserve">to temporarily provide power when normal </w:t>
            </w:r>
            <w:r w:rsidRPr="00933A02">
              <w:rPr>
                <w:b/>
                <w:sz w:val="24"/>
              </w:rPr>
              <w:t>System</w:t>
            </w:r>
            <w:r w:rsidRPr="00933A02">
              <w:rPr>
                <w:sz w:val="24"/>
              </w:rPr>
              <w:t xml:space="preserve"> capacity is partly or completely unavailable.</w:t>
            </w:r>
          </w:p>
          <w:p w14:paraId="30A4224F" w14:textId="77777777" w:rsidR="0053540B" w:rsidRPr="00933A02" w:rsidRDefault="0053540B" w:rsidP="005A3BEE">
            <w:pPr>
              <w:rPr>
                <w:sz w:val="24"/>
              </w:rPr>
            </w:pPr>
            <w:r w:rsidRPr="00933A02">
              <w:rPr>
                <w:sz w:val="24"/>
              </w:rPr>
              <w:t xml:space="preserve">(iv) </w:t>
            </w:r>
            <w:r w:rsidRPr="0056309B">
              <w:rPr>
                <w:b/>
                <w:sz w:val="24"/>
              </w:rPr>
              <w:t>Electricity Storage Modules</w:t>
            </w:r>
          </w:p>
          <w:p w14:paraId="246A015B" w14:textId="0ABD4F6D" w:rsidR="008727BE" w:rsidRPr="00534F43" w:rsidRDefault="008D18E5" w:rsidP="005A3BEE">
            <w:pPr>
              <w:rPr>
                <w:strike/>
                <w:color w:val="FF0000"/>
                <w:sz w:val="22"/>
                <w:szCs w:val="22"/>
              </w:rPr>
            </w:pPr>
            <w:r w:rsidRPr="008968D7">
              <w:rPr>
                <w:sz w:val="24"/>
                <w:szCs w:val="22"/>
              </w:rPr>
              <w:t xml:space="preserve">(d) </w:t>
            </w:r>
            <w:r w:rsidR="00534F43" w:rsidRPr="008968D7">
              <w:rPr>
                <w:b/>
                <w:sz w:val="24"/>
                <w:szCs w:val="22"/>
              </w:rPr>
              <w:t>Storage Users</w:t>
            </w:r>
            <w:r w:rsidR="00534F43" w:rsidRPr="008968D7">
              <w:rPr>
                <w:sz w:val="24"/>
                <w:szCs w:val="22"/>
              </w:rPr>
              <w:t xml:space="preserve"> are required to comply with the entirety of the </w:t>
            </w:r>
            <w:r w:rsidR="00534F43" w:rsidRPr="0056309B">
              <w:rPr>
                <w:b/>
                <w:sz w:val="24"/>
                <w:szCs w:val="22"/>
              </w:rPr>
              <w:t>ECC</w:t>
            </w:r>
            <w:r w:rsidR="00534F43" w:rsidRPr="008968D7">
              <w:rPr>
                <w:sz w:val="24"/>
                <w:szCs w:val="22"/>
              </w:rPr>
              <w:t xml:space="preserve"> but are not subject to the requirements of </w:t>
            </w:r>
            <w:r w:rsidR="00933A02" w:rsidRPr="008968D7">
              <w:rPr>
                <w:b/>
                <w:color w:val="FF0000"/>
                <w:sz w:val="24"/>
              </w:rPr>
              <w:t>Retained EU Law</w:t>
            </w:r>
            <w:r w:rsidR="00933A02" w:rsidRPr="008968D7">
              <w:rPr>
                <w:color w:val="FF0000"/>
                <w:sz w:val="24"/>
              </w:rPr>
              <w:t xml:space="preserve"> (</w:t>
            </w:r>
            <w:r w:rsidR="00933A02" w:rsidRPr="008968D7">
              <w:rPr>
                <w:b/>
                <w:strike/>
                <w:color w:val="FF0000"/>
                <w:sz w:val="24"/>
              </w:rPr>
              <w:t>European</w:t>
            </w:r>
            <w:r w:rsidR="00933A02" w:rsidRPr="008968D7">
              <w:rPr>
                <w:b/>
                <w:color w:val="FF0000"/>
                <w:sz w:val="24"/>
              </w:rPr>
              <w:t xml:space="preserve"> </w:t>
            </w:r>
            <w:r w:rsidR="00933A02" w:rsidRPr="008968D7">
              <w:rPr>
                <w:color w:val="FF0000"/>
                <w:sz w:val="24"/>
              </w:rPr>
              <w:t xml:space="preserve">Commission </w:t>
            </w:r>
            <w:r w:rsidR="00534F43" w:rsidRPr="008968D7">
              <w:rPr>
                <w:color w:val="FF0000"/>
                <w:sz w:val="24"/>
                <w:szCs w:val="22"/>
              </w:rPr>
              <w:t xml:space="preserve">Regulation (EU) 2016/631, </w:t>
            </w:r>
            <w:r w:rsidR="00933A02" w:rsidRPr="008968D7">
              <w:rPr>
                <w:b/>
                <w:strike/>
                <w:color w:val="FF0000"/>
                <w:sz w:val="24"/>
              </w:rPr>
              <w:t>European</w:t>
            </w:r>
            <w:r w:rsidR="00933A02" w:rsidRPr="008968D7">
              <w:rPr>
                <w:b/>
                <w:color w:val="FF0000"/>
                <w:sz w:val="24"/>
              </w:rPr>
              <w:t xml:space="preserve"> </w:t>
            </w:r>
            <w:r w:rsidR="00933A02" w:rsidRPr="008968D7">
              <w:rPr>
                <w:color w:val="FF0000"/>
                <w:sz w:val="24"/>
              </w:rPr>
              <w:t xml:space="preserve">Commission </w:t>
            </w:r>
            <w:r w:rsidR="00534F43" w:rsidRPr="008968D7">
              <w:rPr>
                <w:color w:val="FF0000"/>
                <w:sz w:val="24"/>
                <w:szCs w:val="22"/>
              </w:rPr>
              <w:t xml:space="preserve">Regulation (EU) 2016/1388 and </w:t>
            </w:r>
            <w:r w:rsidR="00933A02" w:rsidRPr="008968D7">
              <w:rPr>
                <w:b/>
                <w:strike/>
                <w:color w:val="FF0000"/>
                <w:sz w:val="24"/>
              </w:rPr>
              <w:t>European</w:t>
            </w:r>
            <w:r w:rsidR="00933A02" w:rsidRPr="008968D7">
              <w:rPr>
                <w:b/>
                <w:color w:val="FF0000"/>
                <w:sz w:val="24"/>
              </w:rPr>
              <w:t xml:space="preserve"> </w:t>
            </w:r>
            <w:r w:rsidR="00933A02" w:rsidRPr="008968D7">
              <w:rPr>
                <w:color w:val="FF0000"/>
                <w:sz w:val="24"/>
              </w:rPr>
              <w:t xml:space="preserve">Commission </w:t>
            </w:r>
            <w:r w:rsidR="00534F43" w:rsidRPr="008968D7">
              <w:rPr>
                <w:color w:val="FF0000"/>
                <w:sz w:val="24"/>
                <w:szCs w:val="22"/>
              </w:rPr>
              <w:t xml:space="preserve">Regulation </w:t>
            </w:r>
            <w:r w:rsidR="006053AF">
              <w:rPr>
                <w:color w:val="FF0000"/>
                <w:sz w:val="24"/>
                <w:szCs w:val="22"/>
              </w:rPr>
              <w:t>(</w:t>
            </w:r>
            <w:r w:rsidR="00534F43" w:rsidRPr="008968D7">
              <w:rPr>
                <w:color w:val="FF0000"/>
                <w:sz w:val="24"/>
                <w:szCs w:val="22"/>
              </w:rPr>
              <w:t>EU</w:t>
            </w:r>
            <w:r w:rsidR="00140A76">
              <w:rPr>
                <w:color w:val="FF0000"/>
                <w:sz w:val="24"/>
                <w:szCs w:val="22"/>
              </w:rPr>
              <w:t>)</w:t>
            </w:r>
            <w:r w:rsidR="00534F43" w:rsidRPr="008968D7">
              <w:rPr>
                <w:color w:val="FF0000"/>
                <w:sz w:val="24"/>
                <w:szCs w:val="22"/>
              </w:rPr>
              <w:t xml:space="preserve"> 2016/1485</w:t>
            </w:r>
            <w:r w:rsidR="00D01375" w:rsidRPr="008968D7">
              <w:rPr>
                <w:color w:val="FF0000"/>
                <w:sz w:val="24"/>
                <w:szCs w:val="22"/>
              </w:rPr>
              <w:t>)</w:t>
            </w:r>
            <w:r w:rsidR="00534F43" w:rsidRPr="008968D7">
              <w:rPr>
                <w:color w:val="FF0000"/>
                <w:sz w:val="24"/>
                <w:szCs w:val="22"/>
              </w:rPr>
              <w:t xml:space="preserve">. </w:t>
            </w:r>
            <w:r w:rsidR="00534F43" w:rsidRPr="008968D7">
              <w:rPr>
                <w:sz w:val="24"/>
                <w:szCs w:val="22"/>
              </w:rPr>
              <w:t xml:space="preserve">The requirements of the ECC shall therefore be enforceable against </w:t>
            </w:r>
            <w:r w:rsidR="00534F43" w:rsidRPr="008968D7">
              <w:rPr>
                <w:b/>
                <w:sz w:val="24"/>
                <w:szCs w:val="22"/>
              </w:rPr>
              <w:t>Storage Users</w:t>
            </w:r>
            <w:r w:rsidR="00534F43" w:rsidRPr="008968D7">
              <w:rPr>
                <w:sz w:val="24"/>
                <w:szCs w:val="22"/>
              </w:rPr>
              <w:t xml:space="preserve"> under the Grid Code only (and not under any of the aforementioned</w:t>
            </w:r>
            <w:r w:rsidR="00C446BF" w:rsidRPr="008968D7">
              <w:rPr>
                <w:sz w:val="24"/>
                <w:szCs w:val="22"/>
              </w:rPr>
              <w:t xml:space="preserve"> </w:t>
            </w:r>
            <w:r w:rsidR="00C446BF" w:rsidRPr="00A36A69">
              <w:rPr>
                <w:b/>
                <w:color w:val="FF0000"/>
                <w:sz w:val="24"/>
                <w:szCs w:val="22"/>
              </w:rPr>
              <w:t>Retained EU Law</w:t>
            </w:r>
            <w:r w:rsidR="00534F43" w:rsidRPr="00A36A69">
              <w:rPr>
                <w:sz w:val="24"/>
                <w:szCs w:val="22"/>
              </w:rPr>
              <w:t xml:space="preserve"> </w:t>
            </w:r>
            <w:r w:rsidR="00534F43" w:rsidRPr="004F0C86">
              <w:rPr>
                <w:b/>
                <w:strike/>
                <w:color w:val="FF0000"/>
                <w:sz w:val="24"/>
                <w:szCs w:val="22"/>
              </w:rPr>
              <w:t>European Regulations</w:t>
            </w:r>
            <w:r w:rsidR="00534F43" w:rsidRPr="00A36A69">
              <w:rPr>
                <w:sz w:val="24"/>
                <w:szCs w:val="22"/>
              </w:rPr>
              <w:t xml:space="preserve">) and any derogation sought by a </w:t>
            </w:r>
            <w:r w:rsidR="00534F43" w:rsidRPr="00A36A69">
              <w:rPr>
                <w:b/>
                <w:sz w:val="24"/>
                <w:szCs w:val="22"/>
              </w:rPr>
              <w:t>Storage User</w:t>
            </w:r>
            <w:r w:rsidR="00534F43" w:rsidRPr="00A36A69">
              <w:rPr>
                <w:sz w:val="24"/>
                <w:szCs w:val="22"/>
              </w:rPr>
              <w:t xml:space="preserve"> in respect of the ECC shall be deemed a derogation from the Grid Code only (and not from the aforementioned </w:t>
            </w:r>
            <w:r w:rsidR="00C446BF" w:rsidRPr="00A36A69">
              <w:rPr>
                <w:b/>
                <w:color w:val="FF0000"/>
                <w:sz w:val="24"/>
                <w:szCs w:val="22"/>
              </w:rPr>
              <w:t>Retained EU Law</w:t>
            </w:r>
            <w:r w:rsidR="00C446BF" w:rsidRPr="00A36A69">
              <w:rPr>
                <w:sz w:val="24"/>
                <w:szCs w:val="22"/>
              </w:rPr>
              <w:t xml:space="preserve"> </w:t>
            </w:r>
            <w:r w:rsidR="00C446BF" w:rsidRPr="00A36A69">
              <w:rPr>
                <w:b/>
                <w:strike/>
                <w:color w:val="FF0000"/>
                <w:sz w:val="24"/>
                <w:szCs w:val="22"/>
              </w:rPr>
              <w:t>European Regulations</w:t>
            </w:r>
            <w:r w:rsidR="00534F43" w:rsidRPr="00A36A69">
              <w:rPr>
                <w:sz w:val="24"/>
                <w:szCs w:val="22"/>
              </w:rPr>
              <w:t>).</w:t>
            </w:r>
          </w:p>
        </w:tc>
      </w:tr>
      <w:tr w:rsidR="00DB046B" w:rsidRPr="00D411DA" w14:paraId="1FA9F64A" w14:textId="77777777" w:rsidTr="005A3BEE">
        <w:tc>
          <w:tcPr>
            <w:tcW w:w="9572" w:type="dxa"/>
            <w:shd w:val="clear" w:color="auto" w:fill="auto"/>
          </w:tcPr>
          <w:p w14:paraId="7AC982C0" w14:textId="331B401D" w:rsidR="00DB046B" w:rsidRPr="004E4433" w:rsidRDefault="00DB046B" w:rsidP="005A3BEE">
            <w:pPr>
              <w:rPr>
                <w:sz w:val="24"/>
              </w:rPr>
            </w:pPr>
            <w:r w:rsidRPr="000071EF">
              <w:rPr>
                <w:sz w:val="24"/>
              </w:rPr>
              <w:lastRenderedPageBreak/>
              <w:t>ECC</w:t>
            </w:r>
            <w:r>
              <w:rPr>
                <w:sz w:val="24"/>
              </w:rPr>
              <w:t xml:space="preserve">.2.1 The objective of the </w:t>
            </w:r>
            <w:r w:rsidRPr="003752D7">
              <w:rPr>
                <w:b/>
                <w:sz w:val="24"/>
              </w:rPr>
              <w:t>ECC</w:t>
            </w:r>
            <w:r w:rsidRPr="003370C6">
              <w:rPr>
                <w:sz w:val="24"/>
              </w:rPr>
              <w:t xml:space="preserve"> is to ensure that by specifying minimum technical, design and operational criteria the basic rules for connection to the </w:t>
            </w:r>
            <w:r w:rsidRPr="003752D7">
              <w:rPr>
                <w:b/>
                <w:sz w:val="24"/>
              </w:rPr>
              <w:t>National Electricity Transmission System</w:t>
            </w:r>
            <w:r w:rsidRPr="003370C6">
              <w:rPr>
                <w:sz w:val="24"/>
              </w:rPr>
              <w:t xml:space="preserve"> and (for certain </w:t>
            </w:r>
            <w:r w:rsidRPr="003752D7">
              <w:rPr>
                <w:b/>
                <w:sz w:val="24"/>
              </w:rPr>
              <w:t>Users</w:t>
            </w:r>
            <w:r w:rsidRPr="003370C6">
              <w:rPr>
                <w:sz w:val="24"/>
              </w:rPr>
              <w:t xml:space="preserve">) to a </w:t>
            </w:r>
            <w:r w:rsidRPr="003752D7">
              <w:rPr>
                <w:b/>
                <w:sz w:val="24"/>
              </w:rPr>
              <w:t>User's System</w:t>
            </w:r>
            <w:r w:rsidRPr="003370C6">
              <w:rPr>
                <w:sz w:val="24"/>
              </w:rPr>
              <w:t xml:space="preserve"> are similar for all </w:t>
            </w:r>
            <w:r w:rsidRPr="003752D7">
              <w:rPr>
                <w:b/>
                <w:sz w:val="24"/>
              </w:rPr>
              <w:t>Users</w:t>
            </w:r>
            <w:r w:rsidRPr="003370C6">
              <w:rPr>
                <w:sz w:val="24"/>
              </w:rPr>
              <w:t xml:space="preserve"> of an equivalent category and will enable </w:t>
            </w:r>
            <w:r w:rsidRPr="003752D7">
              <w:rPr>
                <w:b/>
                <w:sz w:val="24"/>
              </w:rPr>
              <w:t>The Company</w:t>
            </w:r>
            <w:r w:rsidRPr="003370C6">
              <w:rPr>
                <w:sz w:val="24"/>
              </w:rPr>
              <w:t xml:space="preserve"> to comply with its statutory and </w:t>
            </w:r>
            <w:r w:rsidRPr="003752D7">
              <w:rPr>
                <w:b/>
                <w:sz w:val="24"/>
              </w:rPr>
              <w:t>Transmission Licence</w:t>
            </w:r>
            <w:r w:rsidRPr="003370C6">
              <w:rPr>
                <w:sz w:val="24"/>
              </w:rPr>
              <w:t xml:space="preserve"> obligations</w:t>
            </w:r>
            <w:r w:rsidRPr="00D56089">
              <w:rPr>
                <w:strike/>
                <w:color w:val="FF0000"/>
                <w:sz w:val="24"/>
              </w:rPr>
              <w:t xml:space="preserve"> </w:t>
            </w:r>
            <w:r w:rsidRPr="003370C6">
              <w:rPr>
                <w:strike/>
                <w:color w:val="FF0000"/>
                <w:sz w:val="24"/>
              </w:rPr>
              <w:t xml:space="preserve">and </w:t>
            </w:r>
            <w:r w:rsidRPr="003275E7">
              <w:rPr>
                <w:b/>
                <w:strike/>
                <w:color w:val="FF0000"/>
                <w:sz w:val="24"/>
              </w:rPr>
              <w:t>European Regulations</w:t>
            </w:r>
            <w:r w:rsidR="000202BE" w:rsidRPr="000202BE">
              <w:rPr>
                <w:b/>
                <w:color w:val="00B0F0"/>
                <w:sz w:val="24"/>
              </w:rPr>
              <w:t xml:space="preserve"> </w:t>
            </w:r>
            <w:r w:rsidR="000202BE" w:rsidRPr="00145F1F">
              <w:rPr>
                <w:color w:val="FF0000"/>
                <w:sz w:val="24"/>
              </w:rPr>
              <w:t xml:space="preserve">and the applicable </w:t>
            </w:r>
            <w:r w:rsidR="000202BE" w:rsidRPr="00145F1F">
              <w:rPr>
                <w:b/>
                <w:color w:val="FF0000"/>
                <w:sz w:val="24"/>
              </w:rPr>
              <w:t>Retained EU Law</w:t>
            </w:r>
            <w:r w:rsidRPr="00145F1F">
              <w:rPr>
                <w:color w:val="FF0000"/>
                <w:sz w:val="24"/>
              </w:rPr>
              <w:t>.</w:t>
            </w:r>
          </w:p>
        </w:tc>
      </w:tr>
      <w:tr w:rsidR="00DB046B" w:rsidRPr="00D411DA" w14:paraId="5DDC0B4C" w14:textId="77777777" w:rsidTr="005A3BEE">
        <w:tc>
          <w:tcPr>
            <w:tcW w:w="9572" w:type="dxa"/>
            <w:shd w:val="clear" w:color="auto" w:fill="auto"/>
          </w:tcPr>
          <w:p w14:paraId="565A3625" w14:textId="4B44B97D" w:rsidR="00DB046B" w:rsidRPr="003370C6" w:rsidRDefault="00DB046B" w:rsidP="005A3BEE">
            <w:pPr>
              <w:rPr>
                <w:sz w:val="24"/>
              </w:rPr>
            </w:pPr>
            <w:r w:rsidRPr="000071EF">
              <w:rPr>
                <w:sz w:val="24"/>
              </w:rPr>
              <w:t>ECC</w:t>
            </w:r>
            <w:r w:rsidRPr="009E4115">
              <w:rPr>
                <w:sz w:val="24"/>
              </w:rPr>
              <w:t xml:space="preserve">.6.3.17.1.5 </w:t>
            </w:r>
            <w:r w:rsidRPr="00D56089">
              <w:rPr>
                <w:sz w:val="24"/>
              </w:rPr>
              <w:t xml:space="preserve">All parties identified by </w:t>
            </w:r>
            <w:r w:rsidRPr="003752D7">
              <w:rPr>
                <w:b/>
                <w:sz w:val="24"/>
              </w:rPr>
              <w:t>The Company</w:t>
            </w:r>
            <w:r w:rsidRPr="00D56089">
              <w:rPr>
                <w:sz w:val="24"/>
              </w:rPr>
              <w:t xml:space="preserve"> as relevant to each </w:t>
            </w:r>
            <w:r w:rsidRPr="003752D7">
              <w:rPr>
                <w:b/>
                <w:sz w:val="24"/>
              </w:rPr>
              <w:t xml:space="preserve">Grid Entry Point </w:t>
            </w:r>
            <w:r w:rsidRPr="00D56089">
              <w:rPr>
                <w:sz w:val="24"/>
              </w:rPr>
              <w:t xml:space="preserve">or </w:t>
            </w:r>
            <w:r w:rsidRPr="003752D7">
              <w:rPr>
                <w:b/>
                <w:sz w:val="24"/>
              </w:rPr>
              <w:t>User System Entry Point</w:t>
            </w:r>
            <w:r w:rsidRPr="00D56089">
              <w:rPr>
                <w:sz w:val="24"/>
              </w:rPr>
              <w:t xml:space="preserve"> (if </w:t>
            </w:r>
            <w:r w:rsidRPr="003752D7">
              <w:rPr>
                <w:b/>
                <w:sz w:val="24"/>
              </w:rPr>
              <w:t>Embedded</w:t>
            </w:r>
            <w:r>
              <w:rPr>
                <w:sz w:val="24"/>
              </w:rPr>
              <w:t xml:space="preserve">) </w:t>
            </w:r>
            <w:r w:rsidRPr="00D56089">
              <w:rPr>
                <w:sz w:val="24"/>
              </w:rPr>
              <w:t xml:space="preserve">, including the </w:t>
            </w:r>
            <w:r w:rsidRPr="003752D7">
              <w:rPr>
                <w:b/>
                <w:sz w:val="24"/>
              </w:rPr>
              <w:t>Relevant Transmission Licensee</w:t>
            </w:r>
            <w:r w:rsidRPr="00D56089">
              <w:rPr>
                <w:sz w:val="24"/>
              </w:rPr>
              <w:t xml:space="preserve">, shall contribute to the studies and shall provide all relevant data and models as reasonably required to meet the purposes of the studies. </w:t>
            </w:r>
            <w:r w:rsidRPr="003752D7">
              <w:rPr>
                <w:b/>
                <w:sz w:val="24"/>
              </w:rPr>
              <w:t>The Company</w:t>
            </w:r>
            <w:r w:rsidRPr="00D56089">
              <w:rPr>
                <w:sz w:val="24"/>
              </w:rPr>
              <w:t xml:space="preserve"> shall collect this data and, where applicable, pass it on to the party responsible for the studies</w:t>
            </w:r>
            <w:r w:rsidR="00933A02">
              <w:rPr>
                <w:sz w:val="24"/>
              </w:rPr>
              <w:t xml:space="preserve"> </w:t>
            </w:r>
            <w:r w:rsidR="00933A02" w:rsidRPr="007E6FE7">
              <w:rPr>
                <w:sz w:val="24"/>
              </w:rPr>
              <w:t xml:space="preserve">in accordance with </w:t>
            </w:r>
            <w:r w:rsidR="00933A02" w:rsidRPr="007E6FE7">
              <w:rPr>
                <w:b/>
                <w:color w:val="FF0000"/>
                <w:sz w:val="24"/>
              </w:rPr>
              <w:t>Retained EU Law</w:t>
            </w:r>
            <w:r w:rsidR="00933A02" w:rsidRPr="007E6FE7">
              <w:rPr>
                <w:color w:val="FF0000"/>
                <w:sz w:val="24"/>
              </w:rPr>
              <w:t xml:space="preserve"> (</w:t>
            </w:r>
            <w:r w:rsidR="00933A02" w:rsidRPr="007E6FE7">
              <w:rPr>
                <w:sz w:val="24"/>
              </w:rPr>
              <w:t xml:space="preserve">Article 10 of </w:t>
            </w:r>
            <w:r w:rsidR="00933A02" w:rsidRPr="007E6FE7">
              <w:rPr>
                <w:b/>
                <w:strike/>
                <w:color w:val="FF0000"/>
                <w:sz w:val="24"/>
              </w:rPr>
              <w:t>European</w:t>
            </w:r>
            <w:r w:rsidR="00933A02" w:rsidRPr="007E6FE7">
              <w:rPr>
                <w:b/>
                <w:color w:val="FF0000"/>
                <w:sz w:val="24"/>
              </w:rPr>
              <w:t xml:space="preserve"> </w:t>
            </w:r>
            <w:r w:rsidR="00933A02" w:rsidRPr="007E6FE7">
              <w:rPr>
                <w:color w:val="FF0000"/>
                <w:sz w:val="24"/>
              </w:rPr>
              <w:t>Commis</w:t>
            </w:r>
            <w:r w:rsidR="00933A02">
              <w:rPr>
                <w:color w:val="FF0000"/>
                <w:sz w:val="24"/>
              </w:rPr>
              <w:t>s</w:t>
            </w:r>
            <w:r w:rsidR="00933A02" w:rsidRPr="007E6FE7">
              <w:rPr>
                <w:color w:val="FF0000"/>
                <w:sz w:val="24"/>
              </w:rPr>
              <w:t>ion</w:t>
            </w:r>
            <w:r w:rsidR="00933A02">
              <w:rPr>
                <w:b/>
                <w:color w:val="FF0000"/>
                <w:sz w:val="24"/>
              </w:rPr>
              <w:t xml:space="preserve"> </w:t>
            </w:r>
            <w:r w:rsidR="00933A02" w:rsidRPr="007E6FE7">
              <w:rPr>
                <w:color w:val="FF0000"/>
                <w:sz w:val="24"/>
              </w:rPr>
              <w:t xml:space="preserve">Regulation </w:t>
            </w:r>
            <w:r w:rsidR="00140A76">
              <w:rPr>
                <w:color w:val="FF0000"/>
                <w:sz w:val="24"/>
              </w:rPr>
              <w:t xml:space="preserve">(EU) </w:t>
            </w:r>
            <w:r w:rsidR="00933A02" w:rsidRPr="007E6FE7">
              <w:rPr>
                <w:color w:val="FF0000"/>
                <w:sz w:val="24"/>
              </w:rPr>
              <w:t>2016/</w:t>
            </w:r>
            <w:r w:rsidRPr="00F05032">
              <w:rPr>
                <w:color w:val="FF0000"/>
                <w:sz w:val="24"/>
              </w:rPr>
              <w:t>1447</w:t>
            </w:r>
            <w:r w:rsidR="00933A02" w:rsidRPr="00F05032">
              <w:rPr>
                <w:color w:val="FF0000"/>
                <w:sz w:val="24"/>
              </w:rPr>
              <w:t>)</w:t>
            </w:r>
            <w:r w:rsidR="00676090" w:rsidRPr="00933A02">
              <w:rPr>
                <w:sz w:val="24"/>
              </w:rPr>
              <w:t>.</w:t>
            </w:r>
            <w:r w:rsidR="009A1ADA" w:rsidRPr="009A1ADA">
              <w:rPr>
                <w:color w:val="00B0F0"/>
                <w:sz w:val="24"/>
              </w:rPr>
              <w:t xml:space="preserve"> </w:t>
            </w:r>
            <w:r w:rsidRPr="001B59DC">
              <w:rPr>
                <w:sz w:val="24"/>
              </w:rPr>
              <w:t xml:space="preserve">Specific information relating to the interface schedules, input/output requirements, timing and submission of any studies or data would be agreed between the </w:t>
            </w:r>
            <w:r w:rsidRPr="003752D7">
              <w:rPr>
                <w:b/>
                <w:sz w:val="24"/>
              </w:rPr>
              <w:t>User</w:t>
            </w:r>
            <w:r w:rsidRPr="001B59DC">
              <w:rPr>
                <w:sz w:val="24"/>
              </w:rPr>
              <w:t xml:space="preserve"> and </w:t>
            </w:r>
            <w:r w:rsidRPr="003752D7">
              <w:rPr>
                <w:b/>
                <w:sz w:val="24"/>
              </w:rPr>
              <w:t>The Company</w:t>
            </w:r>
            <w:r w:rsidRPr="001B59DC">
              <w:rPr>
                <w:sz w:val="24"/>
              </w:rPr>
              <w:t xml:space="preserve"> and specified (where applicable) in the </w:t>
            </w:r>
            <w:r w:rsidRPr="003752D7">
              <w:rPr>
                <w:b/>
                <w:sz w:val="24"/>
              </w:rPr>
              <w:t>Bilateral Agreement</w:t>
            </w:r>
            <w:r w:rsidRPr="001B59DC">
              <w:rPr>
                <w:sz w:val="24"/>
              </w:rPr>
              <w:t>.</w:t>
            </w:r>
          </w:p>
        </w:tc>
      </w:tr>
      <w:tr w:rsidR="00DB046B" w:rsidRPr="00D411DA" w14:paraId="68258AB4" w14:textId="77777777" w:rsidTr="005A3BEE">
        <w:tc>
          <w:tcPr>
            <w:tcW w:w="9572" w:type="dxa"/>
            <w:shd w:val="clear" w:color="auto" w:fill="auto"/>
          </w:tcPr>
          <w:p w14:paraId="5DAA44FD" w14:textId="13A43DA6" w:rsidR="00DB046B" w:rsidRPr="00D56089" w:rsidRDefault="00DB046B" w:rsidP="005A3BEE">
            <w:pPr>
              <w:rPr>
                <w:sz w:val="24"/>
              </w:rPr>
            </w:pPr>
            <w:r w:rsidRPr="000071EF">
              <w:rPr>
                <w:sz w:val="24"/>
              </w:rPr>
              <w:t>ECC</w:t>
            </w:r>
            <w:r>
              <w:rPr>
                <w:sz w:val="24"/>
              </w:rPr>
              <w:t xml:space="preserve">.6.3.17.1.7 </w:t>
            </w:r>
            <w:r w:rsidRPr="003752D7">
              <w:rPr>
                <w:b/>
                <w:sz w:val="24"/>
              </w:rPr>
              <w:t>The Company</w:t>
            </w:r>
            <w:r w:rsidRPr="00D56089">
              <w:rPr>
                <w:sz w:val="24"/>
              </w:rPr>
              <w:t xml:space="preserve"> in coordination with the </w:t>
            </w:r>
            <w:r w:rsidRPr="003752D7">
              <w:rPr>
                <w:b/>
                <w:sz w:val="24"/>
              </w:rPr>
              <w:t>Relevant Transmission Licensee</w:t>
            </w:r>
            <w:r w:rsidRPr="00D56089">
              <w:rPr>
                <w:sz w:val="24"/>
              </w:rPr>
              <w:t xml:space="preserve"> may review or replicate the study. The </w:t>
            </w:r>
            <w:r w:rsidRPr="003752D7">
              <w:rPr>
                <w:b/>
                <w:sz w:val="24"/>
              </w:rPr>
              <w:t>HVDC System Owner</w:t>
            </w:r>
            <w:r w:rsidRPr="00D56089">
              <w:rPr>
                <w:sz w:val="24"/>
              </w:rPr>
              <w:t xml:space="preserve"> shall </w:t>
            </w:r>
            <w:r w:rsidRPr="00D56089">
              <w:rPr>
                <w:sz w:val="24"/>
              </w:rPr>
              <w:lastRenderedPageBreak/>
              <w:t xml:space="preserve">provide </w:t>
            </w:r>
            <w:r w:rsidRPr="003752D7">
              <w:rPr>
                <w:b/>
                <w:sz w:val="24"/>
              </w:rPr>
              <w:t>The Company</w:t>
            </w:r>
            <w:r w:rsidRPr="00D56089">
              <w:rPr>
                <w:sz w:val="24"/>
              </w:rPr>
              <w:t xml:space="preserve"> with all relevant data and models that allow such studies to be performed. </w:t>
            </w:r>
            <w:r w:rsidRPr="00933A02">
              <w:rPr>
                <w:sz w:val="24"/>
              </w:rPr>
              <w:t xml:space="preserve">Submission of this data to </w:t>
            </w:r>
            <w:r w:rsidRPr="00933A02">
              <w:rPr>
                <w:b/>
                <w:sz w:val="24"/>
              </w:rPr>
              <w:t>Relevant Transmission Licensee’s</w:t>
            </w:r>
            <w:r w:rsidRPr="00933A02">
              <w:rPr>
                <w:sz w:val="24"/>
              </w:rPr>
              <w:t xml:space="preserve"> shall be in accordance with the requirements of </w:t>
            </w:r>
            <w:r w:rsidR="00933A02" w:rsidRPr="007E6FE7">
              <w:rPr>
                <w:b/>
                <w:color w:val="FF0000"/>
                <w:sz w:val="24"/>
              </w:rPr>
              <w:t>Retained EU Law</w:t>
            </w:r>
            <w:r w:rsidR="00933A02" w:rsidRPr="007E6FE7">
              <w:rPr>
                <w:color w:val="FF0000"/>
                <w:sz w:val="24"/>
              </w:rPr>
              <w:t xml:space="preserve"> (</w:t>
            </w:r>
            <w:r w:rsidR="00933A02" w:rsidRPr="007E6FE7">
              <w:rPr>
                <w:sz w:val="24"/>
              </w:rPr>
              <w:t xml:space="preserve">Article 10 of </w:t>
            </w:r>
            <w:r w:rsidR="00933A02" w:rsidRPr="007E6FE7">
              <w:rPr>
                <w:b/>
                <w:strike/>
                <w:color w:val="FF0000"/>
                <w:sz w:val="24"/>
              </w:rPr>
              <w:t>European</w:t>
            </w:r>
            <w:r w:rsidR="00933A02" w:rsidRPr="007E6FE7">
              <w:rPr>
                <w:b/>
                <w:color w:val="FF0000"/>
                <w:sz w:val="24"/>
              </w:rPr>
              <w:t xml:space="preserve"> </w:t>
            </w:r>
            <w:r w:rsidR="00933A02" w:rsidRPr="007E6FE7">
              <w:rPr>
                <w:color w:val="FF0000"/>
                <w:sz w:val="24"/>
              </w:rPr>
              <w:t>Commi</w:t>
            </w:r>
            <w:r w:rsidR="00933A02">
              <w:rPr>
                <w:color w:val="FF0000"/>
                <w:sz w:val="24"/>
              </w:rPr>
              <w:t>s</w:t>
            </w:r>
            <w:r w:rsidR="00933A02" w:rsidRPr="007E6FE7">
              <w:rPr>
                <w:color w:val="FF0000"/>
                <w:sz w:val="24"/>
              </w:rPr>
              <w:t>sion</w:t>
            </w:r>
            <w:r w:rsidR="00933A02">
              <w:rPr>
                <w:b/>
                <w:color w:val="FF0000"/>
                <w:sz w:val="24"/>
              </w:rPr>
              <w:t xml:space="preserve"> </w:t>
            </w:r>
            <w:r w:rsidR="00933A02" w:rsidRPr="007E6FE7">
              <w:rPr>
                <w:color w:val="FF0000"/>
                <w:sz w:val="24"/>
              </w:rPr>
              <w:t xml:space="preserve">Regulation </w:t>
            </w:r>
            <w:r w:rsidR="00140A76">
              <w:rPr>
                <w:color w:val="FF0000"/>
                <w:sz w:val="24"/>
              </w:rPr>
              <w:t xml:space="preserve">(EU) </w:t>
            </w:r>
            <w:r w:rsidR="00933A02" w:rsidRPr="007E6FE7">
              <w:rPr>
                <w:color w:val="FF0000"/>
                <w:sz w:val="24"/>
              </w:rPr>
              <w:t>2016/</w:t>
            </w:r>
            <w:r w:rsidRPr="00F05032">
              <w:rPr>
                <w:color w:val="FF0000"/>
                <w:sz w:val="24"/>
              </w:rPr>
              <w:t>144</w:t>
            </w:r>
            <w:r w:rsidR="00933A02" w:rsidRPr="00F05032">
              <w:rPr>
                <w:color w:val="FF0000"/>
                <w:sz w:val="24"/>
              </w:rPr>
              <w:t>7).</w:t>
            </w:r>
            <w:r w:rsidR="009A1ADA">
              <w:rPr>
                <w:sz w:val="24"/>
              </w:rPr>
              <w:t xml:space="preserve"> </w:t>
            </w:r>
          </w:p>
        </w:tc>
      </w:tr>
      <w:tr w:rsidR="00DB046B" w:rsidRPr="00D411DA" w14:paraId="587EF8F6" w14:textId="77777777" w:rsidTr="005A3BEE">
        <w:tc>
          <w:tcPr>
            <w:tcW w:w="9572" w:type="dxa"/>
            <w:shd w:val="clear" w:color="auto" w:fill="auto"/>
          </w:tcPr>
          <w:p w14:paraId="034711B5" w14:textId="08A6E574" w:rsidR="00DB046B" w:rsidRPr="001B59DC" w:rsidRDefault="00DB046B" w:rsidP="005A3BEE">
            <w:pPr>
              <w:rPr>
                <w:sz w:val="24"/>
              </w:rPr>
            </w:pPr>
            <w:r w:rsidRPr="000071EF">
              <w:rPr>
                <w:sz w:val="24"/>
              </w:rPr>
              <w:lastRenderedPageBreak/>
              <w:t>ECC</w:t>
            </w:r>
            <w:r w:rsidRPr="009E4115">
              <w:rPr>
                <w:sz w:val="24"/>
              </w:rPr>
              <w:t xml:space="preserve">.6.3.17.2.3 </w:t>
            </w:r>
            <w:r w:rsidRPr="00D56089">
              <w:rPr>
                <w:sz w:val="24"/>
              </w:rPr>
              <w:t xml:space="preserve">All </w:t>
            </w:r>
            <w:r w:rsidRPr="003752D7">
              <w:rPr>
                <w:b/>
                <w:sz w:val="24"/>
              </w:rPr>
              <w:t>User’s</w:t>
            </w:r>
            <w:r w:rsidRPr="00D56089">
              <w:rPr>
                <w:sz w:val="24"/>
              </w:rPr>
              <w:t xml:space="preserve"> identified by </w:t>
            </w:r>
            <w:r w:rsidRPr="003752D7">
              <w:rPr>
                <w:b/>
                <w:sz w:val="24"/>
              </w:rPr>
              <w:t>The Company</w:t>
            </w:r>
            <w:r w:rsidRPr="00D56089">
              <w:rPr>
                <w:sz w:val="24"/>
              </w:rPr>
              <w:t xml:space="preserve"> as relevant to the connection , and where applicable </w:t>
            </w:r>
            <w:r w:rsidRPr="003752D7">
              <w:rPr>
                <w:b/>
                <w:sz w:val="24"/>
              </w:rPr>
              <w:t>Relevant Transmission Licensee’s</w:t>
            </w:r>
            <w:r w:rsidRPr="00D56089">
              <w:rPr>
                <w:sz w:val="24"/>
              </w:rPr>
              <w:t xml:space="preserve">, shall contribute to the studies and shall provide all relevant data and models as reasonably required to meet the purposes of the studies. </w:t>
            </w:r>
            <w:r w:rsidRPr="003752D7">
              <w:rPr>
                <w:b/>
                <w:sz w:val="24"/>
              </w:rPr>
              <w:t>The Company</w:t>
            </w:r>
            <w:r w:rsidRPr="00D56089">
              <w:rPr>
                <w:sz w:val="24"/>
              </w:rPr>
              <w:t xml:space="preserve"> shall collect this input </w:t>
            </w:r>
            <w:r w:rsidRPr="007E6FE7">
              <w:rPr>
                <w:sz w:val="24"/>
              </w:rPr>
              <w:t xml:space="preserve">and, where applicable, pass it on to the party responsible for the studies in accordance with </w:t>
            </w:r>
            <w:r w:rsidR="007E6FE7" w:rsidRPr="007E6FE7">
              <w:rPr>
                <w:b/>
                <w:color w:val="FF0000"/>
                <w:sz w:val="24"/>
              </w:rPr>
              <w:t>Retained EU Law</w:t>
            </w:r>
            <w:r w:rsidR="007E6FE7" w:rsidRPr="007E6FE7">
              <w:rPr>
                <w:color w:val="FF0000"/>
                <w:sz w:val="24"/>
              </w:rPr>
              <w:t xml:space="preserve"> (</w:t>
            </w:r>
            <w:r w:rsidRPr="007E6FE7">
              <w:rPr>
                <w:sz w:val="24"/>
              </w:rPr>
              <w:t xml:space="preserve">Article 10 of </w:t>
            </w:r>
            <w:r w:rsidRPr="007E6FE7">
              <w:rPr>
                <w:b/>
                <w:strike/>
                <w:color w:val="FF0000"/>
                <w:sz w:val="24"/>
              </w:rPr>
              <w:t>European</w:t>
            </w:r>
            <w:r w:rsidRPr="007E6FE7">
              <w:rPr>
                <w:b/>
                <w:color w:val="FF0000"/>
                <w:sz w:val="24"/>
              </w:rPr>
              <w:t xml:space="preserve"> </w:t>
            </w:r>
            <w:r w:rsidR="007E6FE7" w:rsidRPr="007E6FE7">
              <w:rPr>
                <w:color w:val="FF0000"/>
                <w:sz w:val="24"/>
              </w:rPr>
              <w:t>Commi</w:t>
            </w:r>
            <w:r w:rsidR="00933A02">
              <w:rPr>
                <w:color w:val="FF0000"/>
                <w:sz w:val="24"/>
              </w:rPr>
              <w:t>s</w:t>
            </w:r>
            <w:r w:rsidR="007E6FE7" w:rsidRPr="007E6FE7">
              <w:rPr>
                <w:color w:val="FF0000"/>
                <w:sz w:val="24"/>
              </w:rPr>
              <w:t>sion</w:t>
            </w:r>
            <w:r w:rsidR="007E6FE7">
              <w:rPr>
                <w:b/>
                <w:color w:val="FF0000"/>
                <w:sz w:val="24"/>
              </w:rPr>
              <w:t xml:space="preserve"> </w:t>
            </w:r>
            <w:r w:rsidRPr="007E6FE7">
              <w:rPr>
                <w:color w:val="FF0000"/>
                <w:sz w:val="24"/>
              </w:rPr>
              <w:t xml:space="preserve">Regulation </w:t>
            </w:r>
            <w:r w:rsidR="009923B8">
              <w:rPr>
                <w:color w:val="FF0000"/>
                <w:sz w:val="24"/>
              </w:rPr>
              <w:t xml:space="preserve">(EU) </w:t>
            </w:r>
            <w:r w:rsidRPr="007E6FE7">
              <w:rPr>
                <w:color w:val="FF0000"/>
                <w:sz w:val="24"/>
              </w:rPr>
              <w:t>2016/1447</w:t>
            </w:r>
            <w:r w:rsidR="007E6FE7">
              <w:rPr>
                <w:color w:val="FF0000"/>
                <w:sz w:val="24"/>
              </w:rPr>
              <w:t>)</w:t>
            </w:r>
            <w:r w:rsidR="00933A02">
              <w:rPr>
                <w:color w:val="FF0000"/>
                <w:sz w:val="24"/>
              </w:rPr>
              <w:t xml:space="preserve">. </w:t>
            </w:r>
            <w:r w:rsidRPr="007E6FE7">
              <w:rPr>
                <w:sz w:val="24"/>
              </w:rPr>
              <w:t xml:space="preserve">Specific </w:t>
            </w:r>
            <w:r w:rsidRPr="00D56089">
              <w:rPr>
                <w:sz w:val="24"/>
              </w:rPr>
              <w:t xml:space="preserve">information relating to the interface schedules, input/output requirements, timing and submission of any studies or data would be agreed between the </w:t>
            </w:r>
            <w:r w:rsidRPr="003752D7">
              <w:rPr>
                <w:b/>
                <w:sz w:val="24"/>
              </w:rPr>
              <w:t>User</w:t>
            </w:r>
            <w:r w:rsidRPr="00D56089">
              <w:rPr>
                <w:sz w:val="24"/>
              </w:rPr>
              <w:t xml:space="preserve"> and </w:t>
            </w:r>
            <w:r w:rsidRPr="003752D7">
              <w:rPr>
                <w:b/>
                <w:sz w:val="24"/>
              </w:rPr>
              <w:t>The Company</w:t>
            </w:r>
            <w:r w:rsidRPr="00D56089">
              <w:rPr>
                <w:sz w:val="24"/>
              </w:rPr>
              <w:t xml:space="preserve"> and specified (where applicable) in the </w:t>
            </w:r>
            <w:r w:rsidRPr="003752D7">
              <w:rPr>
                <w:b/>
                <w:sz w:val="24"/>
              </w:rPr>
              <w:t>Bilateral Agreement</w:t>
            </w:r>
            <w:r w:rsidRPr="00D56089">
              <w:rPr>
                <w:sz w:val="24"/>
              </w:rPr>
              <w:t>.</w:t>
            </w:r>
          </w:p>
        </w:tc>
      </w:tr>
    </w:tbl>
    <w:p w14:paraId="1A21D5A8" w14:textId="58E98EC0" w:rsidR="00DB046B" w:rsidRDefault="00DB046B" w:rsidP="00DB046B">
      <w:pPr>
        <w:rPr>
          <w:rFonts w:cs="Arial"/>
          <w:i/>
          <w:iCs/>
          <w:color w:val="00B274"/>
          <w:sz w:val="24"/>
          <w:lang w:val="en-US"/>
        </w:rPr>
      </w:pPr>
      <w:r>
        <w:rPr>
          <w:rFonts w:cs="Arial"/>
          <w:i/>
          <w:iCs/>
          <w:color w:val="00B274"/>
          <w:sz w:val="24"/>
          <w:lang w:val="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705A48" w:rsidRPr="007533B0" w14:paraId="6C083254" w14:textId="77777777" w:rsidTr="00997886">
        <w:tc>
          <w:tcPr>
            <w:tcW w:w="9572" w:type="dxa"/>
            <w:shd w:val="clear" w:color="auto" w:fill="auto"/>
          </w:tcPr>
          <w:p w14:paraId="2F0849E9" w14:textId="1837F3E6" w:rsidR="00705A48" w:rsidRPr="007533B0" w:rsidRDefault="00916A41" w:rsidP="00997886">
            <w:pPr>
              <w:jc w:val="center"/>
              <w:rPr>
                <w:sz w:val="24"/>
                <w:lang w:val="fr-BE"/>
              </w:rPr>
            </w:pPr>
            <w:r w:rsidRPr="008E1CB3">
              <w:rPr>
                <w:sz w:val="24"/>
              </w:rPr>
              <w:t>EUROPEAN COMPLIANCE PROCESSES</w:t>
            </w:r>
          </w:p>
        </w:tc>
      </w:tr>
      <w:tr w:rsidR="00705A48" w:rsidRPr="00D411DA" w14:paraId="6B1CFB17" w14:textId="77777777" w:rsidTr="00997886">
        <w:tc>
          <w:tcPr>
            <w:tcW w:w="9572" w:type="dxa"/>
            <w:shd w:val="clear" w:color="auto" w:fill="auto"/>
          </w:tcPr>
          <w:p w14:paraId="4E705316" w14:textId="46304CE8" w:rsidR="00705A48" w:rsidRPr="00A36A69" w:rsidRDefault="00916A41" w:rsidP="00997886">
            <w:pPr>
              <w:rPr>
                <w:sz w:val="24"/>
              </w:rPr>
            </w:pPr>
            <w:r w:rsidRPr="00A36A69">
              <w:rPr>
                <w:sz w:val="24"/>
              </w:rPr>
              <w:t>ECP.1.1</w:t>
            </w:r>
          </w:p>
          <w:p w14:paraId="117FB3AF" w14:textId="7BE04EB8" w:rsidR="00916A41" w:rsidRPr="00D411DA" w:rsidRDefault="00916A41" w:rsidP="00997886">
            <w:pPr>
              <w:rPr>
                <w:sz w:val="24"/>
              </w:rPr>
            </w:pPr>
            <w:r w:rsidRPr="00A36A69">
              <w:rPr>
                <w:sz w:val="24"/>
              </w:rPr>
              <w:t xml:space="preserve">The </w:t>
            </w:r>
            <w:r w:rsidRPr="00A36A69">
              <w:rPr>
                <w:b/>
                <w:sz w:val="24"/>
              </w:rPr>
              <w:t>European Compliance Processes</w:t>
            </w:r>
            <w:r w:rsidRPr="00A36A69">
              <w:rPr>
                <w:sz w:val="24"/>
              </w:rPr>
              <w:t xml:space="preserve"> ("ECP") specifies the compliance process in relation to directly connected and </w:t>
            </w:r>
            <w:r w:rsidRPr="00A36A69">
              <w:rPr>
                <w:b/>
                <w:sz w:val="24"/>
              </w:rPr>
              <w:t>Embedded Power Stations</w:t>
            </w:r>
            <w:r w:rsidRPr="00A36A69">
              <w:rPr>
                <w:sz w:val="24"/>
              </w:rPr>
              <w:t xml:space="preserve"> (subject to a </w:t>
            </w:r>
            <w:r w:rsidRPr="00A36A69">
              <w:rPr>
                <w:b/>
                <w:sz w:val="24"/>
              </w:rPr>
              <w:t>Bilateral Agreement</w:t>
            </w:r>
            <w:r w:rsidRPr="00A36A69">
              <w:rPr>
                <w:sz w:val="24"/>
              </w:rPr>
              <w:t xml:space="preserve">), </w:t>
            </w:r>
            <w:r w:rsidRPr="00A36A69">
              <w:rPr>
                <w:b/>
                <w:sz w:val="24"/>
              </w:rPr>
              <w:t>HVDC Systems</w:t>
            </w:r>
            <w:r w:rsidRPr="00A36A69">
              <w:rPr>
                <w:sz w:val="24"/>
              </w:rPr>
              <w:t xml:space="preserve">, and </w:t>
            </w:r>
            <w:r w:rsidRPr="00A36A69">
              <w:rPr>
                <w:b/>
                <w:sz w:val="24"/>
              </w:rPr>
              <w:t>Network Operator’s</w:t>
            </w:r>
            <w:r w:rsidRPr="00A36A69">
              <w:rPr>
                <w:sz w:val="24"/>
              </w:rPr>
              <w:t xml:space="preserve"> or </w:t>
            </w:r>
            <w:r w:rsidRPr="00A36A69">
              <w:rPr>
                <w:b/>
                <w:sz w:val="24"/>
              </w:rPr>
              <w:t>Non-Embedded Customer’s Plant</w:t>
            </w:r>
            <w:r w:rsidRPr="00A36A69">
              <w:rPr>
                <w:sz w:val="24"/>
              </w:rPr>
              <w:t xml:space="preserve"> and </w:t>
            </w:r>
            <w:r w:rsidRPr="00A36A69">
              <w:rPr>
                <w:b/>
                <w:sz w:val="24"/>
              </w:rPr>
              <w:t>Apparatus</w:t>
            </w:r>
            <w:r w:rsidRPr="00A36A69">
              <w:rPr>
                <w:sz w:val="24"/>
              </w:rPr>
              <w:t xml:space="preserve">. For the avoidance of doubt, the requirements of the </w:t>
            </w:r>
            <w:r w:rsidRPr="00A36A69">
              <w:rPr>
                <w:b/>
                <w:sz w:val="24"/>
              </w:rPr>
              <w:t>European Compliance Processes</w:t>
            </w:r>
            <w:r w:rsidRPr="00A36A69">
              <w:rPr>
                <w:sz w:val="24"/>
              </w:rPr>
              <w:t xml:space="preserve"> do not apply to </w:t>
            </w:r>
            <w:r w:rsidRPr="00A36A69">
              <w:rPr>
                <w:b/>
                <w:sz w:val="24"/>
              </w:rPr>
              <w:t xml:space="preserve">Demand Response Providers </w:t>
            </w:r>
            <w:r w:rsidRPr="00A36A69">
              <w:rPr>
                <w:sz w:val="24"/>
              </w:rPr>
              <w:t xml:space="preserve">unless they are also an </w:t>
            </w:r>
            <w:r w:rsidRPr="00A36A69">
              <w:rPr>
                <w:b/>
                <w:sz w:val="24"/>
              </w:rPr>
              <w:t>EU Code User</w:t>
            </w:r>
            <w:r w:rsidRPr="00A36A69">
              <w:rPr>
                <w:sz w:val="24"/>
              </w:rPr>
              <w:t xml:space="preserve"> and have entered into a </w:t>
            </w:r>
            <w:r w:rsidRPr="00A36A69">
              <w:rPr>
                <w:b/>
                <w:sz w:val="24"/>
              </w:rPr>
              <w:t>CUSC Contract</w:t>
            </w:r>
            <w:r w:rsidRPr="00A36A69">
              <w:rPr>
                <w:sz w:val="24"/>
              </w:rPr>
              <w:t xml:space="preserve"> with </w:t>
            </w:r>
            <w:r w:rsidRPr="00A36A69">
              <w:rPr>
                <w:b/>
                <w:sz w:val="24"/>
              </w:rPr>
              <w:t>The Company</w:t>
            </w:r>
            <w:r w:rsidRPr="00A36A69">
              <w:rPr>
                <w:sz w:val="24"/>
              </w:rPr>
              <w:t xml:space="preserve">. </w:t>
            </w:r>
            <w:r w:rsidRPr="00A36A69">
              <w:rPr>
                <w:b/>
                <w:sz w:val="24"/>
              </w:rPr>
              <w:t>Generators</w:t>
            </w:r>
            <w:r w:rsidRPr="00A36A69">
              <w:rPr>
                <w:sz w:val="24"/>
              </w:rPr>
              <w:t xml:space="preserve"> in respect of </w:t>
            </w:r>
            <w:r w:rsidRPr="00A36A69">
              <w:rPr>
                <w:b/>
                <w:sz w:val="24"/>
              </w:rPr>
              <w:t xml:space="preserve">Electricity Storage Modules </w:t>
            </w:r>
            <w:r w:rsidRPr="00A36A69">
              <w:rPr>
                <w:sz w:val="24"/>
              </w:rPr>
              <w:t xml:space="preserve">are required to meet the requirements of this ECC but are not required to satisfy the requirements of </w:t>
            </w:r>
            <w:r w:rsidR="00AB3B21" w:rsidRPr="00A36A69">
              <w:rPr>
                <w:b/>
                <w:color w:val="FF0000"/>
                <w:sz w:val="24"/>
              </w:rPr>
              <w:t>Retained EU Law</w:t>
            </w:r>
            <w:r w:rsidR="00AB3B21" w:rsidRPr="00A36A69">
              <w:rPr>
                <w:color w:val="FF0000"/>
                <w:sz w:val="24"/>
              </w:rPr>
              <w:t xml:space="preserve"> (Commission</w:t>
            </w:r>
            <w:r w:rsidR="00AB3B21" w:rsidRPr="00A36A69">
              <w:rPr>
                <w:b/>
                <w:color w:val="FF0000"/>
                <w:sz w:val="24"/>
              </w:rPr>
              <w:t xml:space="preserve"> </w:t>
            </w:r>
            <w:r w:rsidRPr="00A36A69">
              <w:rPr>
                <w:b/>
                <w:strike/>
                <w:color w:val="FF0000"/>
                <w:sz w:val="24"/>
              </w:rPr>
              <w:t>European</w:t>
            </w:r>
            <w:r w:rsidRPr="00A36A69">
              <w:rPr>
                <w:b/>
                <w:color w:val="FF0000"/>
                <w:sz w:val="24"/>
              </w:rPr>
              <w:t xml:space="preserve"> </w:t>
            </w:r>
            <w:r w:rsidRPr="00A36A69">
              <w:rPr>
                <w:color w:val="FF0000"/>
                <w:sz w:val="24"/>
              </w:rPr>
              <w:t>Regulation (EU) 2016/631</w:t>
            </w:r>
            <w:r w:rsidR="008E1CB3" w:rsidRPr="00A36A69">
              <w:rPr>
                <w:color w:val="FF0000"/>
                <w:sz w:val="24"/>
              </w:rPr>
              <w:t xml:space="preserve">, </w:t>
            </w:r>
            <w:r w:rsidR="001F6E48" w:rsidRPr="00A36A69">
              <w:rPr>
                <w:color w:val="FF0000"/>
                <w:sz w:val="24"/>
              </w:rPr>
              <w:t xml:space="preserve">Commission </w:t>
            </w:r>
            <w:r w:rsidR="001F6E48" w:rsidRPr="00A36A69">
              <w:rPr>
                <w:b/>
                <w:strike/>
                <w:color w:val="FF0000"/>
                <w:sz w:val="24"/>
              </w:rPr>
              <w:t>European</w:t>
            </w:r>
            <w:r w:rsidR="001F6E48" w:rsidRPr="00A36A69">
              <w:rPr>
                <w:b/>
                <w:color w:val="FF0000"/>
                <w:sz w:val="24"/>
              </w:rPr>
              <w:t xml:space="preserve"> </w:t>
            </w:r>
            <w:r w:rsidRPr="00A36A69">
              <w:rPr>
                <w:color w:val="FF0000"/>
                <w:sz w:val="24"/>
              </w:rPr>
              <w:t xml:space="preserve">Regulation </w:t>
            </w:r>
            <w:r w:rsidR="009923B8">
              <w:rPr>
                <w:color w:val="FF0000"/>
                <w:sz w:val="24"/>
              </w:rPr>
              <w:t xml:space="preserve">(EU) </w:t>
            </w:r>
            <w:r w:rsidRPr="00A36A69">
              <w:rPr>
                <w:color w:val="FF0000"/>
                <w:sz w:val="24"/>
              </w:rPr>
              <w:t>2016/1388 or</w:t>
            </w:r>
            <w:r w:rsidR="008E1CB3" w:rsidRPr="00A36A69">
              <w:rPr>
                <w:color w:val="FF0000"/>
                <w:sz w:val="24"/>
              </w:rPr>
              <w:t xml:space="preserve"> </w:t>
            </w:r>
            <w:r w:rsidR="001F6E48" w:rsidRPr="00A36A69">
              <w:rPr>
                <w:color w:val="FF0000"/>
                <w:sz w:val="24"/>
              </w:rPr>
              <w:t xml:space="preserve">Commission </w:t>
            </w:r>
            <w:r w:rsidR="001F6E48" w:rsidRPr="00A36A69">
              <w:rPr>
                <w:b/>
                <w:strike/>
                <w:color w:val="FF0000"/>
                <w:sz w:val="24"/>
              </w:rPr>
              <w:t>European</w:t>
            </w:r>
            <w:r w:rsidR="001F6E48" w:rsidRPr="00A36A69">
              <w:rPr>
                <w:b/>
                <w:color w:val="FF0000"/>
                <w:sz w:val="24"/>
              </w:rPr>
              <w:t xml:space="preserve"> </w:t>
            </w:r>
            <w:r w:rsidRPr="00A36A69">
              <w:rPr>
                <w:color w:val="FF0000"/>
                <w:sz w:val="24"/>
              </w:rPr>
              <w:t xml:space="preserve">Regulation </w:t>
            </w:r>
            <w:r w:rsidR="009923B8">
              <w:rPr>
                <w:color w:val="FF0000"/>
                <w:sz w:val="24"/>
              </w:rPr>
              <w:t xml:space="preserve">(EU) </w:t>
            </w:r>
            <w:r w:rsidRPr="00A36A69">
              <w:rPr>
                <w:color w:val="FF0000"/>
                <w:sz w:val="24"/>
              </w:rPr>
              <w:t>2016/1485</w:t>
            </w:r>
            <w:r w:rsidR="001F6E48" w:rsidRPr="00A36A69">
              <w:rPr>
                <w:color w:val="FF0000"/>
                <w:sz w:val="24"/>
              </w:rPr>
              <w:t>)</w:t>
            </w:r>
            <w:r w:rsidRPr="00A36A69">
              <w:rPr>
                <w:color w:val="FF0000"/>
                <w:sz w:val="24"/>
              </w:rPr>
              <w:t xml:space="preserve">. </w:t>
            </w:r>
            <w:r w:rsidRPr="00A36A69">
              <w:rPr>
                <w:sz w:val="24"/>
              </w:rPr>
              <w:t xml:space="preserve">Any derogation in respect of </w:t>
            </w:r>
            <w:r w:rsidRPr="00A36A69">
              <w:rPr>
                <w:b/>
                <w:sz w:val="24"/>
              </w:rPr>
              <w:t>Electricity Storage Modules</w:t>
            </w:r>
            <w:r w:rsidRPr="00A36A69">
              <w:rPr>
                <w:sz w:val="24"/>
              </w:rPr>
              <w:t xml:space="preserve"> would therefore be against the GB Grid Code as the requirements applicable to </w:t>
            </w:r>
            <w:r w:rsidRPr="00A36A69">
              <w:rPr>
                <w:b/>
                <w:sz w:val="24"/>
              </w:rPr>
              <w:t>Electricity Storage Modules</w:t>
            </w:r>
            <w:r w:rsidRPr="00A36A69">
              <w:rPr>
                <w:sz w:val="24"/>
              </w:rPr>
              <w:t xml:space="preserve"> are not enforceable by EU Law:</w:t>
            </w:r>
          </w:p>
        </w:tc>
      </w:tr>
    </w:tbl>
    <w:p w14:paraId="13164C4C" w14:textId="5979AC57" w:rsidR="00705A48" w:rsidRDefault="00705A48" w:rsidP="00DB046B">
      <w:pPr>
        <w:rPr>
          <w:rFonts w:cs="Arial"/>
          <w:i/>
          <w:iCs/>
          <w:color w:val="00B274"/>
          <w:sz w:val="24"/>
          <w:lang w:val="en-US"/>
        </w:rPr>
      </w:pPr>
    </w:p>
    <w:p w14:paraId="2BD5704E" w14:textId="36422CFD" w:rsidR="00705A48" w:rsidRDefault="00705A48" w:rsidP="00DB046B">
      <w:pPr>
        <w:rPr>
          <w:rFonts w:cs="Arial"/>
          <w:i/>
          <w:iCs/>
          <w:color w:val="00B274"/>
          <w:sz w:val="24"/>
          <w:lang w:val="en-US"/>
        </w:rPr>
      </w:pPr>
    </w:p>
    <w:p w14:paraId="23C4B8C8" w14:textId="77777777" w:rsidR="00705A48" w:rsidRDefault="00705A48"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046B" w:rsidRPr="007533B0" w14:paraId="00FF6963" w14:textId="77777777" w:rsidTr="005A3BEE">
        <w:tc>
          <w:tcPr>
            <w:tcW w:w="9572" w:type="dxa"/>
            <w:shd w:val="clear" w:color="auto" w:fill="auto"/>
          </w:tcPr>
          <w:p w14:paraId="1F0E41CF" w14:textId="71FB3077" w:rsidR="00DB046B" w:rsidRPr="007533B0" w:rsidRDefault="00DB046B" w:rsidP="005A3BEE">
            <w:pPr>
              <w:jc w:val="center"/>
              <w:rPr>
                <w:sz w:val="24"/>
                <w:lang w:val="fr-BE"/>
              </w:rPr>
            </w:pPr>
            <w:r w:rsidRPr="007533B0">
              <w:rPr>
                <w:sz w:val="24"/>
                <w:lang w:val="fr-BE"/>
              </w:rPr>
              <w:t>DRS</w:t>
            </w:r>
            <w:r w:rsidR="00456173">
              <w:rPr>
                <w:sz w:val="24"/>
                <w:lang w:val="fr-BE"/>
              </w:rPr>
              <w:t>C</w:t>
            </w:r>
            <w:r w:rsidRPr="007533B0">
              <w:rPr>
                <w:sz w:val="24"/>
                <w:lang w:val="fr-BE"/>
              </w:rPr>
              <w:t xml:space="preserve"> – DEMAND RESPONSE SERVICES CODE</w:t>
            </w:r>
          </w:p>
        </w:tc>
      </w:tr>
      <w:tr w:rsidR="00DB046B" w:rsidRPr="00D411DA" w14:paraId="37F953F4" w14:textId="77777777" w:rsidTr="005A3BEE">
        <w:tc>
          <w:tcPr>
            <w:tcW w:w="9572" w:type="dxa"/>
            <w:shd w:val="clear" w:color="auto" w:fill="auto"/>
          </w:tcPr>
          <w:p w14:paraId="617A9D81" w14:textId="7CA6ACE3" w:rsidR="00DB046B" w:rsidRPr="00A36A69" w:rsidRDefault="00850A58" w:rsidP="005A3BEE">
            <w:pPr>
              <w:rPr>
                <w:sz w:val="24"/>
              </w:rPr>
            </w:pPr>
            <w:r w:rsidRPr="00A36A69">
              <w:rPr>
                <w:sz w:val="24"/>
              </w:rPr>
              <w:t>DRSC</w:t>
            </w:r>
            <w:r w:rsidRPr="00A36A69">
              <w:rPr>
                <w:color w:val="FF0000"/>
                <w:sz w:val="24"/>
              </w:rPr>
              <w:t>.</w:t>
            </w:r>
            <w:r w:rsidRPr="00A36A69">
              <w:rPr>
                <w:sz w:val="24"/>
              </w:rPr>
              <w:t>1.5</w:t>
            </w:r>
            <w:r w:rsidRPr="00A36A69">
              <w:rPr>
                <w:sz w:val="24"/>
              </w:rPr>
              <w:br/>
              <w:t xml:space="preserve">The </w:t>
            </w:r>
            <w:r w:rsidRPr="00A36A69">
              <w:rPr>
                <w:b/>
                <w:sz w:val="24"/>
              </w:rPr>
              <w:t>Demand Response Services Code</w:t>
            </w:r>
            <w:r w:rsidRPr="00A36A69">
              <w:rPr>
                <w:sz w:val="24"/>
              </w:rPr>
              <w:t xml:space="preserve"> which would form part of an </w:t>
            </w:r>
            <w:r w:rsidRPr="00A36A69">
              <w:rPr>
                <w:b/>
                <w:sz w:val="24"/>
              </w:rPr>
              <w:t>Ancillary Services</w:t>
            </w:r>
            <w:r w:rsidRPr="00A36A69">
              <w:rPr>
                <w:sz w:val="24"/>
              </w:rPr>
              <w:t xml:space="preserve"> agreement betw</w:t>
            </w:r>
            <w:bookmarkStart w:id="2" w:name="_GoBack"/>
            <w:bookmarkEnd w:id="2"/>
            <w:r w:rsidRPr="00A36A69">
              <w:rPr>
                <w:sz w:val="24"/>
              </w:rPr>
              <w:t xml:space="preserve">een a </w:t>
            </w:r>
            <w:r w:rsidRPr="00A36A69">
              <w:rPr>
                <w:b/>
                <w:sz w:val="24"/>
              </w:rPr>
              <w:t>Demand Response Provider</w:t>
            </w:r>
            <w:r w:rsidRPr="00A36A69">
              <w:rPr>
                <w:sz w:val="24"/>
              </w:rPr>
              <w:t xml:space="preserve"> and </w:t>
            </w:r>
            <w:r w:rsidRPr="00A36A69">
              <w:rPr>
                <w:b/>
                <w:sz w:val="24"/>
              </w:rPr>
              <w:t>The Company</w:t>
            </w:r>
            <w:r w:rsidRPr="00A36A69">
              <w:rPr>
                <w:sz w:val="24"/>
              </w:rPr>
              <w:t xml:space="preserve"> </w:t>
            </w:r>
            <w:r w:rsidRPr="00E47574">
              <w:rPr>
                <w:sz w:val="24"/>
              </w:rPr>
              <w:t>a</w:t>
            </w:r>
            <w:r w:rsidRPr="00A36A69">
              <w:rPr>
                <w:sz w:val="24"/>
              </w:rPr>
              <w:t xml:space="preserve">nd to discharge the obligations under </w:t>
            </w:r>
            <w:r w:rsidR="00F05032" w:rsidRPr="00A36A69">
              <w:rPr>
                <w:b/>
                <w:color w:val="FF0000"/>
                <w:sz w:val="24"/>
              </w:rPr>
              <w:t>Retained EU Law</w:t>
            </w:r>
            <w:r w:rsidR="00F05032" w:rsidRPr="00A36A69">
              <w:rPr>
                <w:color w:val="FF0000"/>
                <w:sz w:val="24"/>
              </w:rPr>
              <w:t xml:space="preserve"> </w:t>
            </w:r>
            <w:r w:rsidRPr="00A36A69">
              <w:rPr>
                <w:b/>
                <w:strike/>
                <w:color w:val="FF0000"/>
                <w:sz w:val="24"/>
              </w:rPr>
              <w:t>European</w:t>
            </w:r>
            <w:r w:rsidRPr="00A36A69">
              <w:rPr>
                <w:color w:val="FF0000"/>
                <w:sz w:val="24"/>
              </w:rPr>
              <w:t xml:space="preserve"> </w:t>
            </w:r>
            <w:r w:rsidR="00F05032" w:rsidRPr="00A36A69">
              <w:rPr>
                <w:color w:val="FF0000"/>
                <w:sz w:val="24"/>
              </w:rPr>
              <w:t>(</w:t>
            </w:r>
            <w:r w:rsidRPr="00A36A69">
              <w:rPr>
                <w:color w:val="FF0000"/>
                <w:sz w:val="24"/>
              </w:rPr>
              <w:t xml:space="preserve">Commission </w:t>
            </w:r>
            <w:r w:rsidRPr="00A36A69">
              <w:rPr>
                <w:color w:val="FF0000"/>
                <w:sz w:val="24"/>
              </w:rPr>
              <w:lastRenderedPageBreak/>
              <w:t>Regulation (EU) 2016/1388</w:t>
            </w:r>
            <w:r w:rsidR="00F05032" w:rsidRPr="00A36A69">
              <w:rPr>
                <w:color w:val="FF0000"/>
                <w:sz w:val="24"/>
              </w:rPr>
              <w:t>)</w:t>
            </w:r>
            <w:r w:rsidRPr="00A36A69">
              <w:rPr>
                <w:sz w:val="24"/>
              </w:rPr>
              <w:t xml:space="preserve">. The </w:t>
            </w:r>
            <w:r w:rsidRPr="00A36A69">
              <w:rPr>
                <w:b/>
                <w:sz w:val="24"/>
              </w:rPr>
              <w:t>Ancillary</w:t>
            </w:r>
            <w:r w:rsidRPr="00A36A69">
              <w:rPr>
                <w:sz w:val="24"/>
              </w:rPr>
              <w:t xml:space="preserve"> </w:t>
            </w:r>
            <w:r w:rsidRPr="00A36A69">
              <w:rPr>
                <w:b/>
                <w:sz w:val="24"/>
              </w:rPr>
              <w:t>Services</w:t>
            </w:r>
            <w:r w:rsidRPr="00A36A69">
              <w:rPr>
                <w:sz w:val="24"/>
              </w:rPr>
              <w:t xml:space="preserve"> agreement will include an obligation on the </w:t>
            </w:r>
            <w:r w:rsidRPr="00A36A69">
              <w:rPr>
                <w:b/>
                <w:sz w:val="24"/>
              </w:rPr>
              <w:t>Demand Response Provider</w:t>
            </w:r>
            <w:r w:rsidRPr="00A36A69">
              <w:rPr>
                <w:sz w:val="24"/>
              </w:rPr>
              <w:t xml:space="preserve"> to satisfy the applicable requirements of this </w:t>
            </w:r>
            <w:r w:rsidRPr="00A36A69">
              <w:rPr>
                <w:b/>
                <w:sz w:val="24"/>
              </w:rPr>
              <w:t>Demand Response Services Code</w:t>
            </w:r>
            <w:r w:rsidRPr="00A36A69">
              <w:rPr>
                <w:sz w:val="24"/>
              </w:rPr>
              <w:t>.</w:t>
            </w:r>
          </w:p>
        </w:tc>
      </w:tr>
      <w:tr w:rsidR="00DB046B" w:rsidRPr="00D411DA" w14:paraId="3E6357E8" w14:textId="77777777" w:rsidTr="005A3BEE">
        <w:tc>
          <w:tcPr>
            <w:tcW w:w="9572" w:type="dxa"/>
            <w:shd w:val="clear" w:color="auto" w:fill="auto"/>
          </w:tcPr>
          <w:p w14:paraId="731680C5" w14:textId="77777777" w:rsidR="00DB046B" w:rsidRPr="00A36A69" w:rsidRDefault="00DB046B" w:rsidP="005A3BEE">
            <w:pPr>
              <w:rPr>
                <w:sz w:val="24"/>
              </w:rPr>
            </w:pPr>
            <w:r w:rsidRPr="00A36A69">
              <w:rPr>
                <w:sz w:val="24"/>
              </w:rPr>
              <w:lastRenderedPageBreak/>
              <w:t xml:space="preserve">The objectives of the </w:t>
            </w:r>
            <w:r w:rsidRPr="00A36A69">
              <w:rPr>
                <w:b/>
                <w:sz w:val="24"/>
              </w:rPr>
              <w:t>DRSC</w:t>
            </w:r>
            <w:r w:rsidRPr="00A36A69">
              <w:rPr>
                <w:sz w:val="24"/>
              </w:rPr>
              <w:t xml:space="preserve"> are to</w:t>
            </w:r>
          </w:p>
          <w:p w14:paraId="4156EA32" w14:textId="366C8947" w:rsidR="00DB046B" w:rsidRPr="00A36A69" w:rsidRDefault="00DB046B" w:rsidP="005A3BEE">
            <w:pPr>
              <w:rPr>
                <w:color w:val="FF0000"/>
                <w:sz w:val="24"/>
              </w:rPr>
            </w:pPr>
            <w:r w:rsidRPr="00A36A69">
              <w:rPr>
                <w:color w:val="000000" w:themeColor="text1"/>
                <w:sz w:val="24"/>
              </w:rPr>
              <w:t>DRSC.2.1 Ensure the obligations of</w:t>
            </w:r>
            <w:r w:rsidR="009A1ADA" w:rsidRPr="00A36A69">
              <w:rPr>
                <w:color w:val="000000" w:themeColor="text1"/>
                <w:sz w:val="24"/>
              </w:rPr>
              <w:t xml:space="preserve"> </w:t>
            </w:r>
            <w:r w:rsidR="00F05032" w:rsidRPr="00A36A69">
              <w:rPr>
                <w:b/>
                <w:color w:val="FF0000"/>
                <w:sz w:val="24"/>
              </w:rPr>
              <w:t>Retained EU Law</w:t>
            </w:r>
            <w:r w:rsidR="00F05032" w:rsidRPr="00A36A69">
              <w:rPr>
                <w:color w:val="FF0000"/>
                <w:sz w:val="24"/>
              </w:rPr>
              <w:t xml:space="preserve"> </w:t>
            </w:r>
            <w:r w:rsidR="00B93942" w:rsidRPr="00A36A69">
              <w:rPr>
                <w:b/>
                <w:strike/>
                <w:color w:val="FF0000"/>
                <w:sz w:val="24"/>
              </w:rPr>
              <w:t>European</w:t>
            </w:r>
            <w:r w:rsidR="00B93942" w:rsidRPr="00A36A69">
              <w:rPr>
                <w:color w:val="FF0000"/>
                <w:sz w:val="24"/>
              </w:rPr>
              <w:t xml:space="preserve"> </w:t>
            </w:r>
            <w:r w:rsidR="00F05032" w:rsidRPr="00A36A69">
              <w:rPr>
                <w:color w:val="FF0000"/>
                <w:sz w:val="24"/>
              </w:rPr>
              <w:t>(</w:t>
            </w:r>
            <w:r w:rsidR="00850A58" w:rsidRPr="00A36A69">
              <w:rPr>
                <w:color w:val="FF0000"/>
                <w:sz w:val="24"/>
              </w:rPr>
              <w:t xml:space="preserve">Commission </w:t>
            </w:r>
            <w:r w:rsidR="00B93942" w:rsidRPr="00A36A69">
              <w:rPr>
                <w:color w:val="FF0000"/>
                <w:sz w:val="24"/>
              </w:rPr>
              <w:t>Regulation (EU) 2016/1388</w:t>
            </w:r>
            <w:r w:rsidR="00F05032" w:rsidRPr="00A36A69">
              <w:rPr>
                <w:color w:val="FF0000"/>
                <w:sz w:val="24"/>
              </w:rPr>
              <w:t>)</w:t>
            </w:r>
            <w:r w:rsidR="00B93942" w:rsidRPr="00A36A69">
              <w:rPr>
                <w:color w:val="FF0000"/>
                <w:sz w:val="24"/>
              </w:rPr>
              <w:t xml:space="preserve"> </w:t>
            </w:r>
            <w:r w:rsidRPr="00A36A69">
              <w:rPr>
                <w:color w:val="000000" w:themeColor="text1"/>
                <w:sz w:val="24"/>
              </w:rPr>
              <w:t>have been discharged; and</w:t>
            </w:r>
          </w:p>
        </w:tc>
      </w:tr>
    </w:tbl>
    <w:p w14:paraId="04302DA9" w14:textId="77777777" w:rsidR="00DB046B" w:rsidRDefault="00DB046B"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046B" w:rsidRPr="00D411DA" w14:paraId="0AE8FFF2" w14:textId="77777777" w:rsidTr="00746DE9">
        <w:tc>
          <w:tcPr>
            <w:tcW w:w="9016" w:type="dxa"/>
            <w:shd w:val="clear" w:color="auto" w:fill="auto"/>
          </w:tcPr>
          <w:p w14:paraId="47545FB8" w14:textId="77777777" w:rsidR="00DB046B" w:rsidRPr="00D411DA" w:rsidRDefault="00DB046B" w:rsidP="005A3BEE">
            <w:pPr>
              <w:jc w:val="center"/>
              <w:rPr>
                <w:sz w:val="24"/>
              </w:rPr>
            </w:pPr>
            <w:r w:rsidRPr="00D411DA">
              <w:rPr>
                <w:sz w:val="24"/>
              </w:rPr>
              <w:t>OC –</w:t>
            </w:r>
            <w:r>
              <w:rPr>
                <w:sz w:val="24"/>
              </w:rPr>
              <w:t xml:space="preserve"> OPERATING CODE</w:t>
            </w:r>
          </w:p>
        </w:tc>
      </w:tr>
      <w:tr w:rsidR="00DB046B" w:rsidRPr="00D411DA" w14:paraId="17EDB28E" w14:textId="77777777" w:rsidTr="00746DE9">
        <w:tc>
          <w:tcPr>
            <w:tcW w:w="9016" w:type="dxa"/>
            <w:shd w:val="clear" w:color="auto" w:fill="auto"/>
          </w:tcPr>
          <w:p w14:paraId="27AFA22F" w14:textId="6534A973" w:rsidR="00DB046B" w:rsidRPr="00D411DA" w:rsidRDefault="00DB046B" w:rsidP="005A3BEE">
            <w:pPr>
              <w:rPr>
                <w:sz w:val="24"/>
              </w:rPr>
            </w:pPr>
            <w:r w:rsidRPr="00D411DA">
              <w:rPr>
                <w:sz w:val="24"/>
              </w:rPr>
              <w:t>OC2.4.2.3 Under</w:t>
            </w:r>
            <w:r>
              <w:rPr>
                <w:sz w:val="24"/>
              </w:rPr>
              <w:t xml:space="preserve"> </w:t>
            </w:r>
            <w:r w:rsidR="00304E24" w:rsidRPr="00304E24">
              <w:rPr>
                <w:b/>
                <w:color w:val="FF0000"/>
                <w:sz w:val="24"/>
              </w:rPr>
              <w:t>Retained EU Law</w:t>
            </w:r>
            <w:r w:rsidR="00304E24" w:rsidRPr="00304E24">
              <w:rPr>
                <w:color w:val="FF0000"/>
                <w:sz w:val="24"/>
              </w:rPr>
              <w:t xml:space="preserve"> </w:t>
            </w:r>
            <w:r w:rsidR="00304E24" w:rsidRPr="00304E24">
              <w:rPr>
                <w:b/>
                <w:strike/>
                <w:color w:val="FF0000"/>
                <w:sz w:val="24"/>
              </w:rPr>
              <w:t>(</w:t>
            </w:r>
            <w:r w:rsidR="00D07D70" w:rsidRPr="00304E24">
              <w:rPr>
                <w:b/>
                <w:strike/>
                <w:color w:val="FF0000"/>
                <w:sz w:val="24"/>
              </w:rPr>
              <w:t>European</w:t>
            </w:r>
            <w:r w:rsidR="00D07D70" w:rsidRPr="007E6FE7">
              <w:rPr>
                <w:color w:val="FF0000"/>
                <w:sz w:val="24"/>
              </w:rPr>
              <w:t xml:space="preserve"> Commission Regulation </w:t>
            </w:r>
            <w:r w:rsidR="00140A76">
              <w:rPr>
                <w:color w:val="FF0000"/>
                <w:sz w:val="24"/>
              </w:rPr>
              <w:t xml:space="preserve">(EU) </w:t>
            </w:r>
            <w:r w:rsidR="00D07D70" w:rsidRPr="0056309B">
              <w:rPr>
                <w:strike/>
                <w:color w:val="FF0000"/>
                <w:sz w:val="24"/>
              </w:rPr>
              <w:t>No.</w:t>
            </w:r>
            <w:r w:rsidR="00D07D70" w:rsidRPr="007E6FE7">
              <w:rPr>
                <w:color w:val="FF0000"/>
                <w:sz w:val="24"/>
              </w:rPr>
              <w:t xml:space="preserve"> 543/2013</w:t>
            </w:r>
            <w:r w:rsidR="00304E24">
              <w:rPr>
                <w:color w:val="FF0000"/>
                <w:sz w:val="24"/>
              </w:rPr>
              <w:t>)</w:t>
            </w:r>
            <w:r w:rsidRPr="00D411DA">
              <w:rPr>
                <w:sz w:val="24"/>
              </w:rPr>
              <w:t xml:space="preserve">, </w:t>
            </w:r>
            <w:r w:rsidRPr="00AD5C14">
              <w:rPr>
                <w:b/>
                <w:sz w:val="24"/>
              </w:rPr>
              <w:t>Users</w:t>
            </w:r>
            <w:r w:rsidRPr="00D411DA">
              <w:rPr>
                <w:sz w:val="24"/>
              </w:rPr>
              <w:t xml:space="preserve"> are required to submit certain data </w:t>
            </w:r>
            <w:r w:rsidRPr="007E6FE7">
              <w:rPr>
                <w:strike/>
                <w:color w:val="FF0000"/>
                <w:sz w:val="24"/>
              </w:rPr>
              <w:t>for publication</w:t>
            </w:r>
            <w:r w:rsidRPr="007E6FE7">
              <w:rPr>
                <w:color w:val="FF0000"/>
                <w:sz w:val="24"/>
              </w:rPr>
              <w:t xml:space="preserve"> to the </w:t>
            </w:r>
            <w:r w:rsidRPr="007E6FE7">
              <w:rPr>
                <w:b/>
                <w:color w:val="FF0000"/>
                <w:sz w:val="24"/>
              </w:rPr>
              <w:t>Data Publisher</w:t>
            </w:r>
            <w:r w:rsidRPr="007E6FE7">
              <w:rPr>
                <w:color w:val="FF0000"/>
                <w:sz w:val="24"/>
              </w:rPr>
              <w:t xml:space="preserve"> </w:t>
            </w:r>
            <w:r w:rsidR="006161FD" w:rsidRPr="007E6FE7">
              <w:rPr>
                <w:color w:val="FF0000"/>
                <w:sz w:val="24"/>
              </w:rPr>
              <w:t>for publication</w:t>
            </w:r>
            <w:r w:rsidR="007E6FE7">
              <w:rPr>
                <w:color w:val="FF0000"/>
                <w:sz w:val="24"/>
              </w:rPr>
              <w:t>.</w:t>
            </w:r>
            <w:r w:rsidR="006161FD" w:rsidRPr="007E6FE7">
              <w:rPr>
                <w:color w:val="FF0000"/>
                <w:sz w:val="24"/>
              </w:rPr>
              <w:t xml:space="preserve"> </w:t>
            </w:r>
            <w:r w:rsidRPr="00D411DA">
              <w:rPr>
                <w:strike/>
                <w:color w:val="FF0000"/>
                <w:sz w:val="24"/>
              </w:rPr>
              <w:t xml:space="preserve">on the Central European Transparency Platform managed by the European Network of Transmission System Operators for Electricity (ENTSO-E). </w:t>
            </w:r>
            <w:r w:rsidRPr="00AD5C14">
              <w:rPr>
                <w:b/>
                <w:sz w:val="24"/>
              </w:rPr>
              <w:t>The Company</w:t>
            </w:r>
            <w:r w:rsidRPr="0064378E">
              <w:rPr>
                <w:sz w:val="24"/>
              </w:rPr>
              <w:t xml:space="preserve"> is required to facilitate the collection, verification and processing of data from </w:t>
            </w:r>
            <w:r w:rsidRPr="00942A42">
              <w:rPr>
                <w:b/>
                <w:sz w:val="24"/>
              </w:rPr>
              <w:t>Users</w:t>
            </w:r>
            <w:r w:rsidRPr="0064378E">
              <w:rPr>
                <w:sz w:val="24"/>
              </w:rPr>
              <w:t xml:space="preserve"> for onward transmission to </w:t>
            </w:r>
            <w:r w:rsidRPr="00BC5C9D">
              <w:rPr>
                <w:color w:val="FF0000"/>
                <w:sz w:val="24"/>
              </w:rPr>
              <w:t xml:space="preserve">the </w:t>
            </w:r>
            <w:r w:rsidRPr="00AD5C14">
              <w:rPr>
                <w:b/>
                <w:color w:val="FF0000"/>
                <w:sz w:val="24"/>
              </w:rPr>
              <w:t>Data Publisher</w:t>
            </w:r>
            <w:r w:rsidRPr="00D411DA">
              <w:rPr>
                <w:sz w:val="24"/>
              </w:rPr>
              <w:t xml:space="preserve"> </w:t>
            </w:r>
            <w:r w:rsidRPr="0064378E">
              <w:rPr>
                <w:strike/>
                <w:color w:val="FF0000"/>
                <w:sz w:val="24"/>
              </w:rPr>
              <w:t>the Central European Transparency Platform</w:t>
            </w:r>
            <w:r w:rsidRPr="0064378E">
              <w:rPr>
                <w:sz w:val="24"/>
              </w:rPr>
              <w:t>.</w:t>
            </w:r>
          </w:p>
        </w:tc>
      </w:tr>
      <w:tr w:rsidR="009864C8" w:rsidRPr="00A36A69" w14:paraId="2002B6B0" w14:textId="77777777" w:rsidTr="00746DE9">
        <w:tc>
          <w:tcPr>
            <w:tcW w:w="9016" w:type="dxa"/>
            <w:shd w:val="clear" w:color="auto" w:fill="auto"/>
          </w:tcPr>
          <w:p w14:paraId="4001BC7A" w14:textId="77777777" w:rsidR="009864C8" w:rsidRPr="00A36A69" w:rsidRDefault="009864C8" w:rsidP="005A3BEE">
            <w:pPr>
              <w:rPr>
                <w:sz w:val="24"/>
              </w:rPr>
            </w:pPr>
            <w:r w:rsidRPr="00A36A69">
              <w:rPr>
                <w:sz w:val="24"/>
              </w:rPr>
              <w:t>OC2.4.7</w:t>
            </w:r>
          </w:p>
          <w:p w14:paraId="469367D2" w14:textId="70064212" w:rsidR="009864C8" w:rsidRPr="00A36A69" w:rsidRDefault="005137D7" w:rsidP="005A3BEE">
            <w:pPr>
              <w:rPr>
                <w:sz w:val="24"/>
              </w:rPr>
            </w:pPr>
            <w:r w:rsidRPr="00A36A69">
              <w:rPr>
                <w:sz w:val="24"/>
              </w:rPr>
              <w:t xml:space="preserve">such </w:t>
            </w:r>
            <w:r w:rsidRPr="00A36A69">
              <w:rPr>
                <w:b/>
                <w:sz w:val="24"/>
              </w:rPr>
              <w:t>Non-Embedded Customer</w:t>
            </w:r>
            <w:r w:rsidRPr="00A36A69">
              <w:rPr>
                <w:sz w:val="24"/>
              </w:rPr>
              <w:t xml:space="preserve"> or </w:t>
            </w:r>
            <w:r w:rsidRPr="00A36A69">
              <w:rPr>
                <w:b/>
                <w:sz w:val="24"/>
              </w:rPr>
              <w:t>Generator</w:t>
            </w:r>
            <w:r w:rsidRPr="00A36A69">
              <w:rPr>
                <w:sz w:val="24"/>
              </w:rPr>
              <w:t xml:space="preserve"> shall provide </w:t>
            </w:r>
            <w:r w:rsidRPr="00A36A69">
              <w:rPr>
                <w:b/>
                <w:sz w:val="24"/>
              </w:rPr>
              <w:t>The Company</w:t>
            </w:r>
            <w:r w:rsidRPr="00A36A69">
              <w:rPr>
                <w:sz w:val="24"/>
              </w:rPr>
              <w:t xml:space="preserve"> with the </w:t>
            </w:r>
            <w:r w:rsidRPr="00A36A69">
              <w:rPr>
                <w:b/>
                <w:sz w:val="24"/>
              </w:rPr>
              <w:t>EU Transparency Availability Data</w:t>
            </w:r>
            <w:r w:rsidRPr="00A36A69">
              <w:rPr>
                <w:sz w:val="24"/>
              </w:rPr>
              <w:t xml:space="preserve"> in accordance with </w:t>
            </w:r>
            <w:r w:rsidRPr="00A36A69">
              <w:rPr>
                <w:b/>
                <w:sz w:val="24"/>
              </w:rPr>
              <w:t>DRC</w:t>
            </w:r>
            <w:r w:rsidRPr="00A36A69">
              <w:rPr>
                <w:sz w:val="24"/>
              </w:rPr>
              <w:t xml:space="preserve"> Schedule 6 (Users’ Outage Data) using </w:t>
            </w:r>
            <w:r w:rsidRPr="00A36A69">
              <w:rPr>
                <w:b/>
                <w:sz w:val="24"/>
              </w:rPr>
              <w:t>MODIS</w:t>
            </w:r>
            <w:r w:rsidRPr="00A36A69">
              <w:rPr>
                <w:sz w:val="24"/>
              </w:rPr>
              <w:t xml:space="preserve"> and, with reference to points OC2.4.7(a) to (f), </w:t>
            </w:r>
            <w:r w:rsidRPr="00A36A69">
              <w:rPr>
                <w:strike/>
                <w:color w:val="FF0000"/>
                <w:sz w:val="24"/>
              </w:rPr>
              <w:t>EU Transparency</w:t>
            </w:r>
            <w:r w:rsidRPr="00A36A69">
              <w:rPr>
                <w:color w:val="FF0000"/>
                <w:sz w:val="24"/>
              </w:rPr>
              <w:t xml:space="preserve"> </w:t>
            </w:r>
            <w:r w:rsidR="00EB00BF" w:rsidRPr="00304E24">
              <w:rPr>
                <w:b/>
                <w:color w:val="FF0000"/>
                <w:sz w:val="24"/>
              </w:rPr>
              <w:t>Retained EU Law</w:t>
            </w:r>
            <w:r w:rsidR="00EB00BF" w:rsidRPr="00304E24">
              <w:rPr>
                <w:color w:val="FF0000"/>
                <w:sz w:val="24"/>
              </w:rPr>
              <w:t xml:space="preserve"> </w:t>
            </w:r>
            <w:r w:rsidR="00EB00BF">
              <w:rPr>
                <w:color w:val="FF0000"/>
                <w:sz w:val="24"/>
              </w:rPr>
              <w:t>(</w:t>
            </w:r>
            <w:r w:rsidR="004E0D8F" w:rsidRPr="00A36A69">
              <w:rPr>
                <w:color w:val="FF0000"/>
                <w:sz w:val="24"/>
              </w:rPr>
              <w:t xml:space="preserve">Commission </w:t>
            </w:r>
            <w:r w:rsidR="00FC0834" w:rsidRPr="00A36A69">
              <w:rPr>
                <w:sz w:val="24"/>
              </w:rPr>
              <w:t xml:space="preserve">Regulation </w:t>
            </w:r>
            <w:r w:rsidR="00FC0834" w:rsidRPr="00A36A69">
              <w:rPr>
                <w:color w:val="FF0000"/>
                <w:sz w:val="24"/>
              </w:rPr>
              <w:t>(EU)  543/2013</w:t>
            </w:r>
            <w:r w:rsidR="00394FA1">
              <w:rPr>
                <w:color w:val="FF0000"/>
                <w:sz w:val="24"/>
              </w:rPr>
              <w:t>)</w:t>
            </w:r>
            <w:r w:rsidR="00FC0834" w:rsidRPr="00A36A69">
              <w:rPr>
                <w:color w:val="FF0000"/>
                <w:sz w:val="24"/>
              </w:rPr>
              <w:t xml:space="preserve"> </w:t>
            </w:r>
            <w:r w:rsidRPr="00A36A69">
              <w:rPr>
                <w:sz w:val="24"/>
              </w:rPr>
              <w:t>articles 7.1(a), 7.1(b), 15.1(a), 15.1(b), 15.1(c) and 15.1(d)</w:t>
            </w:r>
            <w:r w:rsidRPr="00C17029">
              <w:rPr>
                <w:strike/>
                <w:color w:val="FF0000"/>
                <w:sz w:val="24"/>
              </w:rPr>
              <w:t>respectively</w:t>
            </w:r>
            <w:r w:rsidRPr="00A36A69">
              <w:rPr>
                <w:sz w:val="24"/>
              </w:rPr>
              <w:t>.</w:t>
            </w:r>
          </w:p>
        </w:tc>
      </w:tr>
    </w:tbl>
    <w:p w14:paraId="3DA714B7" w14:textId="77777777" w:rsidR="00DB046B" w:rsidRPr="00A36A69" w:rsidRDefault="00DB046B"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0C6F1A" w:rsidRPr="00A36A69" w14:paraId="677F8B19" w14:textId="77777777" w:rsidTr="004E2E4E">
        <w:tc>
          <w:tcPr>
            <w:tcW w:w="9016" w:type="dxa"/>
            <w:shd w:val="clear" w:color="auto" w:fill="auto"/>
          </w:tcPr>
          <w:p w14:paraId="5D9CE810" w14:textId="5EF07398" w:rsidR="000C6F1A" w:rsidRPr="00A36A69" w:rsidRDefault="0000104C" w:rsidP="0000104C">
            <w:pPr>
              <w:jc w:val="center"/>
              <w:rPr>
                <w:sz w:val="24"/>
              </w:rPr>
            </w:pPr>
            <w:r w:rsidRPr="00A36A69">
              <w:rPr>
                <w:sz w:val="24"/>
              </w:rPr>
              <w:t>BALANCING CODE NO. 4</w:t>
            </w:r>
          </w:p>
        </w:tc>
      </w:tr>
      <w:tr w:rsidR="00DB046B" w:rsidRPr="00A36A69" w14:paraId="12C8EAD5" w14:textId="77777777" w:rsidTr="004E2E4E">
        <w:tc>
          <w:tcPr>
            <w:tcW w:w="9016" w:type="dxa"/>
            <w:shd w:val="clear" w:color="auto" w:fill="auto"/>
          </w:tcPr>
          <w:p w14:paraId="6772C0E0" w14:textId="510BD3E2" w:rsidR="00DB046B" w:rsidRPr="00A36A69" w:rsidRDefault="00DB046B" w:rsidP="005A3BEE">
            <w:pPr>
              <w:rPr>
                <w:sz w:val="24"/>
              </w:rPr>
            </w:pPr>
            <w:r w:rsidRPr="00A36A69">
              <w:rPr>
                <w:sz w:val="24"/>
              </w:rPr>
              <w:t>BC4.4.</w:t>
            </w:r>
            <w:r w:rsidRPr="00A36A69">
              <w:rPr>
                <w:strike/>
                <w:color w:val="FF0000"/>
                <w:sz w:val="24"/>
              </w:rPr>
              <w:t>2</w:t>
            </w:r>
            <w:r w:rsidR="00837179" w:rsidRPr="00A36A69">
              <w:rPr>
                <w:color w:val="FF0000"/>
                <w:sz w:val="24"/>
              </w:rPr>
              <w:t>3</w:t>
            </w:r>
            <w:r w:rsidRPr="00A36A69">
              <w:rPr>
                <w:sz w:val="24"/>
              </w:rPr>
              <w:t xml:space="preserve"> Prequalification Timelines</w:t>
            </w:r>
          </w:p>
          <w:p w14:paraId="385E3FF8" w14:textId="7CDB488C" w:rsidR="00DB046B" w:rsidRPr="00A36A69" w:rsidRDefault="00DB046B" w:rsidP="005A3BEE">
            <w:pPr>
              <w:rPr>
                <w:strike/>
                <w:color w:val="FF0000"/>
                <w:sz w:val="24"/>
              </w:rPr>
            </w:pPr>
            <w:r w:rsidRPr="00A36A69">
              <w:rPr>
                <w:b/>
                <w:strike/>
                <w:color w:val="FF0000"/>
                <w:sz w:val="24"/>
              </w:rPr>
              <w:t>European Regulation 2017/1485</w:t>
            </w:r>
            <w:r w:rsidRPr="00A36A69">
              <w:rPr>
                <w:strike/>
                <w:color w:val="FF0000"/>
                <w:sz w:val="24"/>
              </w:rPr>
              <w:t xml:space="preserve"> gives </w:t>
            </w:r>
            <w:proofErr w:type="spellStart"/>
            <w:r w:rsidRPr="00A36A69">
              <w:rPr>
                <w:strike/>
                <w:color w:val="FF0000"/>
                <w:sz w:val="24"/>
              </w:rPr>
              <w:t>t</w:t>
            </w:r>
            <w:r w:rsidRPr="00A36A69">
              <w:rPr>
                <w:color w:val="FF0000"/>
                <w:sz w:val="24"/>
              </w:rPr>
              <w:t>T</w:t>
            </w:r>
            <w:r w:rsidRPr="00A36A69">
              <w:rPr>
                <w:sz w:val="24"/>
              </w:rPr>
              <w:t>he</w:t>
            </w:r>
            <w:proofErr w:type="spellEnd"/>
            <w:r w:rsidRPr="00A36A69">
              <w:rPr>
                <w:sz w:val="24"/>
              </w:rPr>
              <w:t xml:space="preserve"> following minimum timescales for the prequalification process </w:t>
            </w:r>
            <w:r w:rsidRPr="00A36A69">
              <w:rPr>
                <w:color w:val="FF0000"/>
                <w:sz w:val="24"/>
              </w:rPr>
              <w:t>apply</w:t>
            </w:r>
            <w:r w:rsidR="00F05032" w:rsidRPr="00A36A69">
              <w:rPr>
                <w:color w:val="FF0000"/>
                <w:sz w:val="24"/>
              </w:rPr>
              <w:t>.</w:t>
            </w:r>
          </w:p>
        </w:tc>
      </w:tr>
      <w:tr w:rsidR="00DB046B" w:rsidRPr="00A36A69" w14:paraId="45AED3D7" w14:textId="77777777" w:rsidTr="004E2E4E">
        <w:tc>
          <w:tcPr>
            <w:tcW w:w="9016" w:type="dxa"/>
            <w:shd w:val="clear" w:color="auto" w:fill="auto"/>
          </w:tcPr>
          <w:p w14:paraId="40E5A9C5" w14:textId="77777777" w:rsidR="00DB046B" w:rsidRPr="00A36A69" w:rsidRDefault="00DB046B" w:rsidP="005A3BEE">
            <w:pPr>
              <w:rPr>
                <w:sz w:val="24"/>
              </w:rPr>
            </w:pPr>
            <w:r w:rsidRPr="00A36A69">
              <w:rPr>
                <w:strike/>
                <w:color w:val="FF0000"/>
                <w:sz w:val="24"/>
              </w:rPr>
              <w:t>BC4.8.1 Publication of Data at the European level</w:t>
            </w:r>
          </w:p>
        </w:tc>
      </w:tr>
    </w:tbl>
    <w:p w14:paraId="5F01C0CF" w14:textId="77777777" w:rsidR="00DB046B" w:rsidRPr="00A36A69" w:rsidRDefault="00DB046B"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046B" w:rsidRPr="00A36A69" w14:paraId="2528DB67" w14:textId="77777777" w:rsidTr="001622CB">
        <w:tc>
          <w:tcPr>
            <w:tcW w:w="9016" w:type="dxa"/>
            <w:shd w:val="clear" w:color="auto" w:fill="auto"/>
          </w:tcPr>
          <w:p w14:paraId="614EC001" w14:textId="77777777" w:rsidR="00DB046B" w:rsidRPr="00A36A69" w:rsidRDefault="00DB046B" w:rsidP="005A3BEE">
            <w:pPr>
              <w:jc w:val="center"/>
              <w:rPr>
                <w:sz w:val="24"/>
              </w:rPr>
            </w:pPr>
            <w:r w:rsidRPr="00A36A69">
              <w:rPr>
                <w:sz w:val="24"/>
              </w:rPr>
              <w:t>SCHEDULE 6 - USERS OUTAGE INFORMATION</w:t>
            </w:r>
          </w:p>
        </w:tc>
      </w:tr>
      <w:tr w:rsidR="009D5458" w:rsidRPr="00D411DA" w14:paraId="43C47B82" w14:textId="77777777" w:rsidTr="001622CB">
        <w:tc>
          <w:tcPr>
            <w:tcW w:w="9016" w:type="dxa"/>
            <w:shd w:val="clear" w:color="auto" w:fill="auto"/>
          </w:tcPr>
          <w:p w14:paraId="4B34CDB5" w14:textId="121B72BE" w:rsidR="009D5458" w:rsidRPr="003A46BA" w:rsidRDefault="003A46BA" w:rsidP="005A3BEE">
            <w:pPr>
              <w:rPr>
                <w:sz w:val="24"/>
              </w:rPr>
            </w:pPr>
            <w:r w:rsidRPr="00A36A69">
              <w:rPr>
                <w:sz w:val="24"/>
              </w:rPr>
              <w:t xml:space="preserve">The data below is to be provided to </w:t>
            </w:r>
            <w:r w:rsidRPr="00A36A69">
              <w:rPr>
                <w:b/>
                <w:sz w:val="24"/>
              </w:rPr>
              <w:t>The Company</w:t>
            </w:r>
            <w:r w:rsidRPr="00A36A69">
              <w:rPr>
                <w:sz w:val="24"/>
              </w:rPr>
              <w:t xml:space="preserve"> as required for compliance with the </w:t>
            </w:r>
            <w:r w:rsidR="00575AB8" w:rsidRPr="00A36A69">
              <w:rPr>
                <w:color w:val="FF0000"/>
                <w:sz w:val="24"/>
              </w:rPr>
              <w:t xml:space="preserve">applicable </w:t>
            </w:r>
            <w:r w:rsidR="00575AB8" w:rsidRPr="00A36A69">
              <w:rPr>
                <w:b/>
                <w:color w:val="FF0000"/>
                <w:sz w:val="24"/>
              </w:rPr>
              <w:t>Retained EU Law</w:t>
            </w:r>
            <w:r w:rsidR="00575AB8" w:rsidRPr="00A36A69">
              <w:rPr>
                <w:color w:val="FF0000"/>
                <w:sz w:val="24"/>
              </w:rPr>
              <w:t xml:space="preserve"> (</w:t>
            </w:r>
            <w:r w:rsidRPr="00A36A69">
              <w:rPr>
                <w:strike/>
                <w:color w:val="FF0000"/>
                <w:sz w:val="24"/>
              </w:rPr>
              <w:t>European</w:t>
            </w:r>
            <w:r w:rsidRPr="00A36A69">
              <w:rPr>
                <w:color w:val="FF0000"/>
                <w:sz w:val="24"/>
              </w:rPr>
              <w:t xml:space="preserve"> </w:t>
            </w:r>
            <w:r w:rsidRPr="00A36A69">
              <w:rPr>
                <w:sz w:val="24"/>
              </w:rPr>
              <w:t xml:space="preserve">Commission Regulation </w:t>
            </w:r>
            <w:r w:rsidR="00D23DA5" w:rsidRPr="00A36A69">
              <w:rPr>
                <w:color w:val="FF0000"/>
                <w:sz w:val="24"/>
              </w:rPr>
              <w:t xml:space="preserve">(EU) </w:t>
            </w:r>
            <w:r w:rsidRPr="00A36A69">
              <w:rPr>
                <w:sz w:val="24"/>
              </w:rPr>
              <w:t>543/2013 (OC2.4.2.3)</w:t>
            </w:r>
            <w:r w:rsidR="00575AB8" w:rsidRPr="00A36A69">
              <w:rPr>
                <w:color w:val="FF0000"/>
                <w:sz w:val="24"/>
              </w:rPr>
              <w:t>)</w:t>
            </w:r>
            <w:r w:rsidRPr="00A36A69">
              <w:rPr>
                <w:sz w:val="24"/>
              </w:rPr>
              <w:t xml:space="preserve">. Data provided under Article Numbers 7.1(a), 7.1(b), 15.1(a), 15.1(b), and 15.1(c) and 15.1(d) is to be provided using </w:t>
            </w:r>
            <w:r w:rsidRPr="00A36A69">
              <w:rPr>
                <w:b/>
                <w:sz w:val="24"/>
              </w:rPr>
              <w:t>MODIS</w:t>
            </w:r>
            <w:r w:rsidRPr="00A36A69">
              <w:rPr>
                <w:sz w:val="24"/>
              </w:rPr>
              <w:t>.</w:t>
            </w:r>
          </w:p>
        </w:tc>
      </w:tr>
      <w:tr w:rsidR="00DB046B" w:rsidRPr="00D411DA" w14:paraId="427F8819" w14:textId="77777777" w:rsidTr="001622CB">
        <w:tc>
          <w:tcPr>
            <w:tcW w:w="9016" w:type="dxa"/>
            <w:shd w:val="clear" w:color="auto" w:fill="auto"/>
          </w:tcPr>
          <w:p w14:paraId="6E335638" w14:textId="77777777" w:rsidR="00DB046B" w:rsidRPr="00EE7E93" w:rsidRDefault="00DB046B" w:rsidP="005A3BEE">
            <w:pPr>
              <w:rPr>
                <w:sz w:val="24"/>
              </w:rPr>
            </w:pPr>
            <w:r w:rsidRPr="00420A66">
              <w:rPr>
                <w:sz w:val="24"/>
              </w:rPr>
              <w:lastRenderedPageBreak/>
              <w:t>ECR ARTICLE No.</w:t>
            </w:r>
            <w:r>
              <w:t xml:space="preserve"> </w:t>
            </w:r>
            <w:r w:rsidRPr="00420A66">
              <w:rPr>
                <w:sz w:val="24"/>
              </w:rPr>
              <w:t>7.1(a)</w:t>
            </w:r>
            <w:r>
              <w:rPr>
                <w:sz w:val="24"/>
              </w:rPr>
              <w:t xml:space="preserve"> </w:t>
            </w:r>
            <w:r w:rsidRPr="00420A66">
              <w:rPr>
                <w:sz w:val="24"/>
              </w:rPr>
              <w:t xml:space="preserve">Planned unavailability of the </w:t>
            </w:r>
            <w:r w:rsidRPr="004B2E34">
              <w:rPr>
                <w:b/>
                <w:sz w:val="24"/>
              </w:rPr>
              <w:t>Apparatus</w:t>
            </w:r>
            <w:r w:rsidRPr="00420A66">
              <w:rPr>
                <w:sz w:val="24"/>
              </w:rPr>
              <w:t xml:space="preserve"> belonging to a </w:t>
            </w:r>
            <w:r w:rsidRPr="004B2E34">
              <w:rPr>
                <w:b/>
                <w:sz w:val="24"/>
              </w:rPr>
              <w:t>Non-Embedded Customer</w:t>
            </w:r>
            <w:r w:rsidRPr="00420A66">
              <w:rPr>
                <w:sz w:val="24"/>
              </w:rPr>
              <w:t xml:space="preserve"> where OC2.4.7 (a) applies</w:t>
            </w:r>
            <w:r>
              <w:rPr>
                <w:sz w:val="24"/>
              </w:rPr>
              <w:t xml:space="preserve"> </w:t>
            </w:r>
            <w:r w:rsidRPr="00420A66">
              <w:rPr>
                <w:strike/>
                <w:color w:val="FF0000"/>
                <w:sz w:val="24"/>
              </w:rPr>
              <w:t>- Energy Identification Code (EIC)*</w:t>
            </w:r>
            <w:r w:rsidRPr="00E73702">
              <w:rPr>
                <w:sz w:val="24"/>
              </w:rPr>
              <w:t xml:space="preserve"> […]</w:t>
            </w:r>
          </w:p>
        </w:tc>
      </w:tr>
      <w:tr w:rsidR="00DB046B" w:rsidRPr="00D411DA" w14:paraId="3A6E4522" w14:textId="77777777" w:rsidTr="001622CB">
        <w:tc>
          <w:tcPr>
            <w:tcW w:w="9016" w:type="dxa"/>
            <w:shd w:val="clear" w:color="auto" w:fill="auto"/>
          </w:tcPr>
          <w:p w14:paraId="3194F456" w14:textId="77777777" w:rsidR="00DB046B" w:rsidRPr="004A0359" w:rsidRDefault="00DB046B" w:rsidP="005A3BEE">
            <w:pPr>
              <w:rPr>
                <w:sz w:val="24"/>
              </w:rPr>
            </w:pPr>
            <w:r w:rsidRPr="00420A66">
              <w:rPr>
                <w:sz w:val="24"/>
              </w:rPr>
              <w:t>ECR ARTICLE No.</w:t>
            </w:r>
            <w:r>
              <w:t xml:space="preserve"> </w:t>
            </w:r>
            <w:r>
              <w:rPr>
                <w:sz w:val="24"/>
              </w:rPr>
              <w:t>7.1(b</w:t>
            </w:r>
            <w:r w:rsidRPr="00420A66">
              <w:rPr>
                <w:sz w:val="24"/>
              </w:rPr>
              <w:t>)</w:t>
            </w:r>
            <w:r>
              <w:rPr>
                <w:sz w:val="24"/>
              </w:rPr>
              <w:t xml:space="preserve"> </w:t>
            </w:r>
            <w:r w:rsidRPr="00420A66">
              <w:rPr>
                <w:sz w:val="24"/>
              </w:rPr>
              <w:t xml:space="preserve">Changes in actual availability of the </w:t>
            </w:r>
            <w:r w:rsidRPr="004B2E34">
              <w:rPr>
                <w:b/>
                <w:sz w:val="24"/>
              </w:rPr>
              <w:t>Apparatus</w:t>
            </w:r>
            <w:r w:rsidRPr="00420A66">
              <w:rPr>
                <w:sz w:val="24"/>
              </w:rPr>
              <w:t xml:space="preserve"> belonging to a </w:t>
            </w:r>
            <w:r w:rsidRPr="004B2E34">
              <w:rPr>
                <w:b/>
                <w:sz w:val="24"/>
              </w:rPr>
              <w:t>Non-Embedded Customer</w:t>
            </w:r>
            <w:r w:rsidRPr="00420A66">
              <w:rPr>
                <w:sz w:val="24"/>
              </w:rPr>
              <w:t xml:space="preserve"> where OC2.4.7 (b) applies</w:t>
            </w:r>
            <w:r>
              <w:rPr>
                <w:sz w:val="24"/>
              </w:rPr>
              <w:t xml:space="preserve"> </w:t>
            </w:r>
            <w:r w:rsidRPr="00F336A7">
              <w:rPr>
                <w:strike/>
                <w:color w:val="FF0000"/>
                <w:sz w:val="24"/>
              </w:rPr>
              <w:t>- Energy Identification Code (EIC)*</w:t>
            </w:r>
            <w:r w:rsidRPr="00E73702">
              <w:rPr>
                <w:sz w:val="24"/>
              </w:rPr>
              <w:t xml:space="preserve"> […]</w:t>
            </w:r>
          </w:p>
        </w:tc>
      </w:tr>
      <w:tr w:rsidR="00DB046B" w:rsidRPr="00D411DA" w14:paraId="5F3DFE25" w14:textId="77777777" w:rsidTr="001622CB">
        <w:tc>
          <w:tcPr>
            <w:tcW w:w="9016" w:type="dxa"/>
            <w:shd w:val="clear" w:color="auto" w:fill="auto"/>
          </w:tcPr>
          <w:p w14:paraId="335F048A" w14:textId="77777777" w:rsidR="00DB046B" w:rsidRPr="00F336A7" w:rsidRDefault="00DB046B" w:rsidP="005A3BEE">
            <w:pPr>
              <w:rPr>
                <w:strike/>
                <w:color w:val="FF0000"/>
                <w:sz w:val="24"/>
              </w:rPr>
            </w:pPr>
            <w:r w:rsidRPr="00F336A7">
              <w:rPr>
                <w:strike/>
                <w:color w:val="FF0000"/>
                <w:sz w:val="24"/>
              </w:rPr>
              <w:t xml:space="preserve">* </w:t>
            </w:r>
            <w:r w:rsidRPr="00656FB6">
              <w:rPr>
                <w:strike/>
                <w:color w:val="FF0000"/>
                <w:sz w:val="24"/>
              </w:rPr>
              <w:t>Energy Identification Coding (EIC) is a coding scheme that is approved by ENTSO-E for standardised electronic</w:t>
            </w:r>
            <w:r w:rsidRPr="00F336A7">
              <w:rPr>
                <w:strike/>
                <w:color w:val="FF0000"/>
                <w:sz w:val="24"/>
              </w:rPr>
              <w:t xml:space="preserve"> data interchanges and is utilised for reporting to the Central European Transparency Platform. The Company will act as the Local Issuing Office for IEC in respect of GB.</w:t>
            </w:r>
          </w:p>
        </w:tc>
      </w:tr>
    </w:tbl>
    <w:p w14:paraId="684BAD60" w14:textId="77777777" w:rsidR="00DB046B" w:rsidRDefault="00DB046B"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046B" w:rsidRPr="00D411DA" w14:paraId="591DC558" w14:textId="77777777" w:rsidTr="006C4406">
        <w:tc>
          <w:tcPr>
            <w:tcW w:w="9016" w:type="dxa"/>
            <w:shd w:val="clear" w:color="auto" w:fill="auto"/>
          </w:tcPr>
          <w:p w14:paraId="3A473735" w14:textId="77777777" w:rsidR="00DB046B" w:rsidRPr="00D411DA" w:rsidRDefault="00DB046B" w:rsidP="005A3BEE">
            <w:pPr>
              <w:jc w:val="center"/>
              <w:rPr>
                <w:sz w:val="24"/>
              </w:rPr>
            </w:pPr>
            <w:r w:rsidRPr="00D411DA">
              <w:rPr>
                <w:sz w:val="24"/>
              </w:rPr>
              <w:t>GR – Governance Rules</w:t>
            </w:r>
          </w:p>
        </w:tc>
      </w:tr>
      <w:tr w:rsidR="00DB046B" w:rsidRPr="00D411DA" w14:paraId="3E9CAAD0" w14:textId="77777777" w:rsidTr="006C4406">
        <w:tc>
          <w:tcPr>
            <w:tcW w:w="9016" w:type="dxa"/>
            <w:shd w:val="clear" w:color="auto" w:fill="auto"/>
          </w:tcPr>
          <w:p w14:paraId="662899AF" w14:textId="77777777" w:rsidR="00DB046B" w:rsidRPr="00D411DA" w:rsidRDefault="00DB046B" w:rsidP="005A3BEE">
            <w:pPr>
              <w:rPr>
                <w:sz w:val="24"/>
              </w:rPr>
            </w:pPr>
            <w:r w:rsidRPr="00D411DA">
              <w:rPr>
                <w:sz w:val="24"/>
              </w:rPr>
              <w:t>GR.15.1 A proposal to modify the Grid Code may be made:</w:t>
            </w:r>
            <w:r>
              <w:rPr>
                <w:sz w:val="24"/>
              </w:rPr>
              <w:t xml:space="preserve"> </w:t>
            </w:r>
            <w:r w:rsidRPr="00D411DA">
              <w:rPr>
                <w:sz w:val="24"/>
              </w:rPr>
              <w:t xml:space="preserve">[…] (c) by the </w:t>
            </w:r>
            <w:r w:rsidRPr="004062BB">
              <w:rPr>
                <w:b/>
                <w:sz w:val="24"/>
              </w:rPr>
              <w:t>Authority</w:t>
            </w:r>
            <w:r w:rsidRPr="00D411DA">
              <w:rPr>
                <w:sz w:val="24"/>
              </w:rPr>
              <w:t xml:space="preserve">: […] (iii) in order to comply with or implement the </w:t>
            </w:r>
            <w:r w:rsidRPr="004062BB">
              <w:rPr>
                <w:b/>
                <w:sz w:val="24"/>
              </w:rPr>
              <w:t>Electricity Regulation</w:t>
            </w:r>
            <w:r w:rsidRPr="004062BB">
              <w:rPr>
                <w:sz w:val="24"/>
              </w:rPr>
              <w:t xml:space="preserve"> </w:t>
            </w:r>
            <w:r w:rsidRPr="00D411DA">
              <w:rPr>
                <w:sz w:val="24"/>
              </w:rPr>
              <w:t xml:space="preserve">and/or any relevant </w:t>
            </w:r>
            <w:r w:rsidRPr="003752D7">
              <w:rPr>
                <w:b/>
                <w:color w:val="FF0000"/>
                <w:sz w:val="24"/>
                <w:lang w:val="en-US"/>
              </w:rPr>
              <w:t>Legally Binding Decisions of the European Commission and/or the Agency</w:t>
            </w:r>
            <w:r w:rsidRPr="00D411DA">
              <w:rPr>
                <w:sz w:val="24"/>
              </w:rPr>
              <w:t xml:space="preserve"> </w:t>
            </w:r>
            <w:r w:rsidRPr="004062BB">
              <w:rPr>
                <w:strike/>
                <w:color w:val="FF0000"/>
                <w:sz w:val="24"/>
              </w:rPr>
              <w:t>legally binding decisions of the European Commission and/or the</w:t>
            </w:r>
            <w:r w:rsidRPr="00D411DA">
              <w:rPr>
                <w:strike/>
                <w:color w:val="FF0000"/>
                <w:sz w:val="24"/>
              </w:rPr>
              <w:t xml:space="preserve"> </w:t>
            </w:r>
            <w:r w:rsidRPr="004062BB">
              <w:rPr>
                <w:b/>
                <w:strike/>
                <w:color w:val="FF0000"/>
                <w:sz w:val="24"/>
              </w:rPr>
              <w:t>Agency</w:t>
            </w:r>
            <w:r w:rsidRPr="00D411DA">
              <w:rPr>
                <w:sz w:val="24"/>
              </w:rPr>
              <w:t>.</w:t>
            </w:r>
          </w:p>
        </w:tc>
      </w:tr>
      <w:tr w:rsidR="00DB046B" w:rsidRPr="00D411DA" w14:paraId="290E469A" w14:textId="77777777" w:rsidTr="006C4406">
        <w:tc>
          <w:tcPr>
            <w:tcW w:w="9016" w:type="dxa"/>
            <w:shd w:val="clear" w:color="auto" w:fill="auto"/>
          </w:tcPr>
          <w:p w14:paraId="1B51B80B" w14:textId="77777777" w:rsidR="00DB046B" w:rsidRPr="00A36A69" w:rsidRDefault="00DB046B" w:rsidP="005A3BEE">
            <w:pPr>
              <w:rPr>
                <w:sz w:val="24"/>
              </w:rPr>
            </w:pPr>
            <w:r w:rsidRPr="00A36A69">
              <w:rPr>
                <w:sz w:val="24"/>
              </w:rPr>
              <w:t xml:space="preserve">GR.16.4 (p.14) A </w:t>
            </w:r>
            <w:r w:rsidRPr="00A36A69">
              <w:rPr>
                <w:b/>
                <w:sz w:val="24"/>
              </w:rPr>
              <w:t>Grid Code Modification Proposal</w:t>
            </w:r>
            <w:r w:rsidRPr="00A36A69">
              <w:rPr>
                <w:sz w:val="24"/>
              </w:rPr>
              <w:t xml:space="preserve"> that falls within the scope of a </w:t>
            </w:r>
            <w:r w:rsidRPr="00A36A69">
              <w:rPr>
                <w:b/>
                <w:sz w:val="24"/>
              </w:rPr>
              <w:t>Significant Code Review</w:t>
            </w:r>
            <w:r w:rsidRPr="00A36A69">
              <w:rPr>
                <w:sz w:val="24"/>
              </w:rPr>
              <w:t xml:space="preserve"> may be made where: […] (c) it is raised by the </w:t>
            </w:r>
            <w:r w:rsidRPr="00A36A69">
              <w:rPr>
                <w:b/>
                <w:sz w:val="24"/>
              </w:rPr>
              <w:t>Authority</w:t>
            </w:r>
            <w:r w:rsidRPr="00A36A69">
              <w:rPr>
                <w:sz w:val="24"/>
              </w:rPr>
              <w:t xml:space="preserve"> pursuant to GR15.1(c) (</w:t>
            </w:r>
            <w:proofErr w:type="spellStart"/>
            <w:r w:rsidRPr="00A36A69">
              <w:rPr>
                <w:sz w:val="24"/>
              </w:rPr>
              <w:t>i</w:t>
            </w:r>
            <w:proofErr w:type="spellEnd"/>
            <w:r w:rsidRPr="00A36A69">
              <w:rPr>
                <w:sz w:val="24"/>
              </w:rPr>
              <w:t xml:space="preserve">) who reasonably considers the </w:t>
            </w:r>
            <w:r w:rsidRPr="00A36A69">
              <w:rPr>
                <w:b/>
                <w:sz w:val="24"/>
              </w:rPr>
              <w:t>Grid Code Modification Proposal</w:t>
            </w:r>
            <w:r w:rsidRPr="00A36A69">
              <w:rPr>
                <w:sz w:val="24"/>
              </w:rPr>
              <w:t xml:space="preserve"> to be necessary to comply with or implement the </w:t>
            </w:r>
            <w:r w:rsidRPr="00A36A69">
              <w:rPr>
                <w:b/>
                <w:sz w:val="24"/>
              </w:rPr>
              <w:t>Electricity Regulation</w:t>
            </w:r>
            <w:r w:rsidRPr="00A36A69">
              <w:rPr>
                <w:sz w:val="24"/>
              </w:rPr>
              <w:t xml:space="preserve"> and/or any relevant </w:t>
            </w:r>
            <w:r w:rsidRPr="00A36A69">
              <w:rPr>
                <w:b/>
                <w:color w:val="FF0000"/>
                <w:sz w:val="24"/>
                <w:lang w:val="en-US"/>
              </w:rPr>
              <w:t>Legally Binding Decisions of the European Commission and/or the Agency</w:t>
            </w:r>
            <w:r w:rsidRPr="00A36A69">
              <w:rPr>
                <w:sz w:val="24"/>
              </w:rPr>
              <w:t xml:space="preserve"> </w:t>
            </w:r>
            <w:r w:rsidRPr="00A36A69">
              <w:rPr>
                <w:strike/>
                <w:color w:val="FF0000"/>
                <w:sz w:val="24"/>
              </w:rPr>
              <w:t>legally binding decisions of the European Commission and/or the Agency</w:t>
            </w:r>
            <w:r w:rsidRPr="00A36A69">
              <w:rPr>
                <w:sz w:val="24"/>
              </w:rPr>
              <w:t>;</w:t>
            </w:r>
          </w:p>
        </w:tc>
      </w:tr>
      <w:tr w:rsidR="00C16B0D" w:rsidRPr="00D411DA" w14:paraId="388F4FA2" w14:textId="77777777" w:rsidTr="006C4406">
        <w:tc>
          <w:tcPr>
            <w:tcW w:w="9016" w:type="dxa"/>
            <w:shd w:val="clear" w:color="auto" w:fill="auto"/>
          </w:tcPr>
          <w:p w14:paraId="4256AD28" w14:textId="77777777" w:rsidR="00C16B0D" w:rsidRPr="00A36A69" w:rsidRDefault="00227C29" w:rsidP="005A3BEE">
            <w:pPr>
              <w:rPr>
                <w:sz w:val="32"/>
              </w:rPr>
            </w:pPr>
            <w:r w:rsidRPr="00A36A69">
              <w:rPr>
                <w:sz w:val="24"/>
              </w:rPr>
              <w:t>GR.18.9</w:t>
            </w:r>
          </w:p>
          <w:p w14:paraId="183807C8" w14:textId="32681A97" w:rsidR="00227C29" w:rsidRPr="00A36A69" w:rsidRDefault="00227C29" w:rsidP="005A3BEE">
            <w:pPr>
              <w:rPr>
                <w:sz w:val="24"/>
              </w:rPr>
            </w:pPr>
            <w:r w:rsidRPr="00A36A69">
              <w:rPr>
                <w:sz w:val="24"/>
              </w:rPr>
              <w:t xml:space="preserve">The </w:t>
            </w:r>
            <w:r w:rsidRPr="00A36A69">
              <w:rPr>
                <w:b/>
                <w:sz w:val="24"/>
              </w:rPr>
              <w:t>Grid Code Review Panel</w:t>
            </w:r>
            <w:r w:rsidRPr="00A36A69">
              <w:rPr>
                <w:sz w:val="24"/>
              </w:rPr>
              <w:t xml:space="preserve"> shall evaluate each </w:t>
            </w:r>
            <w:r w:rsidRPr="00A36A69">
              <w:rPr>
                <w:b/>
                <w:sz w:val="24"/>
              </w:rPr>
              <w:t>Grid Code Modification Proposa</w:t>
            </w:r>
            <w:r w:rsidRPr="00A36A69">
              <w:rPr>
                <w:sz w:val="24"/>
              </w:rPr>
              <w:t xml:space="preserve">l and determine whether the </w:t>
            </w:r>
            <w:r w:rsidRPr="00A36A69">
              <w:rPr>
                <w:b/>
                <w:sz w:val="24"/>
              </w:rPr>
              <w:t>Grid Code Modification Proposal</w:t>
            </w:r>
            <w:r w:rsidRPr="00A36A69">
              <w:rPr>
                <w:sz w:val="24"/>
              </w:rPr>
              <w:t xml:space="preserve"> constitutes an amendment to the </w:t>
            </w:r>
            <w:r w:rsidRPr="00A36A69">
              <w:rPr>
                <w:b/>
                <w:sz w:val="24"/>
              </w:rPr>
              <w:t>Regulated Sections</w:t>
            </w:r>
            <w:r w:rsidRPr="00A36A69">
              <w:rPr>
                <w:sz w:val="24"/>
              </w:rPr>
              <w:t xml:space="preserve"> of the Grid Code and its expected impact on the objectives of </w:t>
            </w:r>
            <w:r w:rsidR="00D751AD" w:rsidRPr="00A36A69">
              <w:rPr>
                <w:b/>
                <w:color w:val="FF0000"/>
                <w:sz w:val="24"/>
              </w:rPr>
              <w:t>Retained EU Law</w:t>
            </w:r>
            <w:r w:rsidR="00313881" w:rsidRPr="00A36A69">
              <w:rPr>
                <w:b/>
                <w:color w:val="FF0000"/>
                <w:sz w:val="24"/>
              </w:rPr>
              <w:t xml:space="preserve"> </w:t>
            </w:r>
            <w:r w:rsidR="00313881" w:rsidRPr="00A36A69">
              <w:rPr>
                <w:color w:val="FF0000"/>
                <w:sz w:val="24"/>
              </w:rPr>
              <w:t>(</w:t>
            </w:r>
            <w:r w:rsidRPr="00A36A69">
              <w:rPr>
                <w:b/>
                <w:strike/>
                <w:color w:val="FF0000"/>
                <w:sz w:val="24"/>
              </w:rPr>
              <w:t>European</w:t>
            </w:r>
            <w:r w:rsidRPr="00A36A69">
              <w:rPr>
                <w:b/>
                <w:color w:val="FF0000"/>
                <w:sz w:val="24"/>
              </w:rPr>
              <w:t xml:space="preserve"> </w:t>
            </w:r>
            <w:r w:rsidR="008E1CB3" w:rsidRPr="00A36A69">
              <w:rPr>
                <w:color w:val="FF0000"/>
                <w:sz w:val="24"/>
              </w:rPr>
              <w:t>Commission</w:t>
            </w:r>
            <w:r w:rsidR="008E1CB3" w:rsidRPr="00A36A69">
              <w:rPr>
                <w:b/>
                <w:color w:val="FF0000"/>
                <w:sz w:val="24"/>
              </w:rPr>
              <w:t xml:space="preserve"> </w:t>
            </w:r>
            <w:r w:rsidRPr="00A36A69">
              <w:rPr>
                <w:color w:val="FF0000"/>
                <w:sz w:val="24"/>
              </w:rPr>
              <w:t>Regulation (EU) 2017/2195</w:t>
            </w:r>
            <w:r w:rsidR="00D751AD" w:rsidRPr="00A36A69">
              <w:rPr>
                <w:color w:val="FF0000"/>
                <w:sz w:val="24"/>
              </w:rPr>
              <w:t>)</w:t>
            </w:r>
            <w:r w:rsidRPr="00A36A69">
              <w:rPr>
                <w:sz w:val="24"/>
              </w:rPr>
              <w:t xml:space="preserve"> (and in the event of disagreement </w:t>
            </w:r>
            <w:r w:rsidRPr="00A36A69">
              <w:rPr>
                <w:b/>
                <w:sz w:val="24"/>
              </w:rPr>
              <w:t>The Company’s</w:t>
            </w:r>
            <w:r w:rsidRPr="00A36A69">
              <w:rPr>
                <w:sz w:val="24"/>
              </w:rPr>
              <w:t xml:space="preserve"> view shall prevail).</w:t>
            </w:r>
          </w:p>
        </w:tc>
      </w:tr>
      <w:tr w:rsidR="00831DEC" w:rsidRPr="00D411DA" w14:paraId="77ACF745" w14:textId="77777777" w:rsidTr="006C4406">
        <w:tc>
          <w:tcPr>
            <w:tcW w:w="9016" w:type="dxa"/>
            <w:shd w:val="clear" w:color="auto" w:fill="auto"/>
          </w:tcPr>
          <w:p w14:paraId="587C429F" w14:textId="77777777" w:rsidR="00831DEC" w:rsidRPr="00A36A69" w:rsidRDefault="00831DEC" w:rsidP="005A3BEE">
            <w:pPr>
              <w:rPr>
                <w:sz w:val="24"/>
              </w:rPr>
            </w:pPr>
            <w:r w:rsidRPr="00A36A69">
              <w:rPr>
                <w:sz w:val="24"/>
              </w:rPr>
              <w:t>GR.22.2</w:t>
            </w:r>
          </w:p>
          <w:p w14:paraId="539AE0C0" w14:textId="38BE84B0" w:rsidR="008E1CB3" w:rsidRPr="00A36A69" w:rsidRDefault="008E1CB3" w:rsidP="005A3BEE">
            <w:pPr>
              <w:rPr>
                <w:sz w:val="24"/>
              </w:rPr>
            </w:pPr>
            <w:r w:rsidRPr="00A36A69">
              <w:rPr>
                <w:sz w:val="24"/>
              </w:rPr>
              <w:t xml:space="preserve">(m) where a </w:t>
            </w:r>
            <w:r w:rsidRPr="00A36A69">
              <w:rPr>
                <w:b/>
                <w:sz w:val="24"/>
              </w:rPr>
              <w:t>Grid Code Modification Proposal</w:t>
            </w:r>
            <w:r w:rsidRPr="00A36A69">
              <w:rPr>
                <w:sz w:val="24"/>
              </w:rPr>
              <w:t xml:space="preserve"> or any Work</w:t>
            </w:r>
            <w:r w:rsidRPr="00A36A69">
              <w:rPr>
                <w:b/>
                <w:sz w:val="24"/>
              </w:rPr>
              <w:t xml:space="preserve">group Alternative Grid Code Modification(s) </w:t>
            </w:r>
            <w:r w:rsidRPr="00A36A69">
              <w:rPr>
                <w:sz w:val="24"/>
              </w:rPr>
              <w:t xml:space="preserve">constitutes an amendment to the </w:t>
            </w:r>
            <w:r w:rsidRPr="00A36A69">
              <w:rPr>
                <w:b/>
                <w:sz w:val="24"/>
              </w:rPr>
              <w:t>Regulated Sections</w:t>
            </w:r>
            <w:r w:rsidRPr="00A36A69">
              <w:rPr>
                <w:sz w:val="24"/>
              </w:rPr>
              <w:t xml:space="preserve">, the expected impact on the objectives of </w:t>
            </w:r>
            <w:r w:rsidRPr="00A36A69">
              <w:rPr>
                <w:b/>
                <w:color w:val="FF0000"/>
                <w:sz w:val="24"/>
              </w:rPr>
              <w:t xml:space="preserve">Retained EU Law </w:t>
            </w:r>
            <w:r w:rsidRPr="00A36A69">
              <w:rPr>
                <w:color w:val="FF0000"/>
                <w:sz w:val="24"/>
              </w:rPr>
              <w:t>(</w:t>
            </w:r>
            <w:r w:rsidRPr="00A36A69">
              <w:rPr>
                <w:b/>
                <w:strike/>
                <w:color w:val="FF0000"/>
                <w:sz w:val="24"/>
              </w:rPr>
              <w:t>European</w:t>
            </w:r>
            <w:r w:rsidRPr="00A36A69">
              <w:rPr>
                <w:b/>
                <w:color w:val="FF0000"/>
                <w:sz w:val="24"/>
              </w:rPr>
              <w:t xml:space="preserve"> </w:t>
            </w:r>
            <w:r w:rsidRPr="00A36A69">
              <w:rPr>
                <w:color w:val="FF0000"/>
                <w:sz w:val="24"/>
              </w:rPr>
              <w:t>Commission</w:t>
            </w:r>
            <w:r w:rsidRPr="00A36A69">
              <w:rPr>
                <w:b/>
                <w:color w:val="FF0000"/>
                <w:sz w:val="24"/>
              </w:rPr>
              <w:t xml:space="preserve"> </w:t>
            </w:r>
            <w:r w:rsidRPr="00A36A69">
              <w:rPr>
                <w:color w:val="FF0000"/>
                <w:sz w:val="24"/>
              </w:rPr>
              <w:t>Regulation (EU) 2017/2195</w:t>
            </w:r>
            <w:r w:rsidR="00640E68" w:rsidRPr="00A36A69">
              <w:rPr>
                <w:color w:val="FF0000"/>
                <w:sz w:val="24"/>
              </w:rPr>
              <w:t>)</w:t>
            </w:r>
            <w:r w:rsidRPr="00A36A69">
              <w:rPr>
                <w:b/>
                <w:sz w:val="24"/>
              </w:rPr>
              <w:t>.</w:t>
            </w:r>
          </w:p>
        </w:tc>
      </w:tr>
    </w:tbl>
    <w:p w14:paraId="23B75C29" w14:textId="761E95E3" w:rsidR="00DB046B" w:rsidRDefault="00DB046B" w:rsidP="00DB046B">
      <w:pPr>
        <w:rPr>
          <w:rFonts w:cs="Arial"/>
          <w:i/>
          <w:iCs/>
          <w:color w:val="00B274"/>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C4406" w:rsidRPr="00932F88" w14:paraId="00B50263" w14:textId="77777777" w:rsidTr="005A3BEE">
        <w:tc>
          <w:tcPr>
            <w:tcW w:w="9016" w:type="dxa"/>
            <w:tcBorders>
              <w:top w:val="single" w:sz="4" w:space="0" w:color="auto"/>
              <w:left w:val="single" w:sz="4" w:space="0" w:color="auto"/>
              <w:bottom w:val="single" w:sz="4" w:space="0" w:color="auto"/>
              <w:right w:val="single" w:sz="4" w:space="0" w:color="auto"/>
            </w:tcBorders>
            <w:shd w:val="clear" w:color="auto" w:fill="FFFFFF" w:themeFill="background1"/>
          </w:tcPr>
          <w:p w14:paraId="4F6C16D6" w14:textId="77777777" w:rsidR="006C4406" w:rsidRPr="006C4406" w:rsidRDefault="006C4406" w:rsidP="005A3BEE">
            <w:pPr>
              <w:jc w:val="center"/>
              <w:rPr>
                <w:sz w:val="24"/>
              </w:rPr>
            </w:pPr>
            <w:bookmarkStart w:id="3" w:name="_Hlk55288295"/>
            <w:r w:rsidRPr="006C4406">
              <w:rPr>
                <w:sz w:val="24"/>
              </w:rPr>
              <w:lastRenderedPageBreak/>
              <w:t>ANNEX GR.B Regulated Sections</w:t>
            </w:r>
            <w:bookmarkEnd w:id="3"/>
          </w:p>
        </w:tc>
      </w:tr>
      <w:tr w:rsidR="006C4406" w:rsidRPr="004E2395" w14:paraId="06D037B2" w14:textId="77777777" w:rsidTr="005A3BEE">
        <w:tc>
          <w:tcPr>
            <w:tcW w:w="9016" w:type="dxa"/>
            <w:tcBorders>
              <w:top w:val="single" w:sz="4" w:space="0" w:color="auto"/>
              <w:left w:val="single" w:sz="4" w:space="0" w:color="auto"/>
              <w:bottom w:val="single" w:sz="4" w:space="0" w:color="auto"/>
              <w:right w:val="single" w:sz="4" w:space="0" w:color="auto"/>
            </w:tcBorders>
            <w:shd w:val="clear" w:color="auto" w:fill="FFFFFF" w:themeFill="background1"/>
          </w:tcPr>
          <w:p w14:paraId="3B293FFF" w14:textId="0D418EEC" w:rsidR="006C4406" w:rsidRPr="006C4406" w:rsidRDefault="006C4406" w:rsidP="005A3BEE">
            <w:pPr>
              <w:rPr>
                <w:b/>
                <w:sz w:val="24"/>
                <w:u w:val="single"/>
              </w:rPr>
            </w:pPr>
            <w:r w:rsidRPr="006C4406">
              <w:rPr>
                <w:b/>
                <w:sz w:val="24"/>
                <w:u w:val="single"/>
              </w:rPr>
              <w:t xml:space="preserve">Mapping of </w:t>
            </w:r>
            <w:proofErr w:type="spellStart"/>
            <w:r w:rsidRPr="00AC1870">
              <w:rPr>
                <w:b/>
                <w:strike/>
                <w:color w:val="FF0000"/>
                <w:sz w:val="24"/>
                <w:u w:val="single"/>
              </w:rPr>
              <w:t>EBGL</w:t>
            </w:r>
            <w:r w:rsidRPr="00AC1870">
              <w:rPr>
                <w:b/>
                <w:color w:val="FF0000"/>
                <w:sz w:val="24"/>
                <w:u w:val="single"/>
              </w:rPr>
              <w:t>Electricity</w:t>
            </w:r>
            <w:proofErr w:type="spellEnd"/>
            <w:r w:rsidRPr="00AC1870">
              <w:rPr>
                <w:b/>
                <w:color w:val="FF0000"/>
                <w:sz w:val="24"/>
                <w:u w:val="single"/>
              </w:rPr>
              <w:t xml:space="preserve"> Balancing Regulation </w:t>
            </w:r>
            <w:r w:rsidRPr="006C4406">
              <w:rPr>
                <w:b/>
                <w:sz w:val="24"/>
                <w:u w:val="single"/>
              </w:rPr>
              <w:t>Article 18 Terms and Conditions for Balancing Service Providers and Balancing Responsible Parties to the Grid Code</w:t>
            </w:r>
          </w:p>
          <w:p w14:paraId="3888DDAC" w14:textId="77777777" w:rsidR="006C4406" w:rsidRPr="006C4406" w:rsidRDefault="006C4406" w:rsidP="005A3BEE">
            <w:pPr>
              <w:rPr>
                <w:b/>
                <w:sz w:val="24"/>
                <w:u w:val="single"/>
              </w:rPr>
            </w:pPr>
            <w:r w:rsidRPr="006C4406">
              <w:rPr>
                <w:sz w:val="24"/>
              </w:rPr>
              <w:t xml:space="preserve">The Grid Code sections identified in this table are considered to be </w:t>
            </w:r>
            <w:r w:rsidRPr="006C4406">
              <w:rPr>
                <w:b/>
                <w:sz w:val="24"/>
              </w:rPr>
              <w:t>Regulated</w:t>
            </w:r>
            <w:r w:rsidRPr="006C4406">
              <w:rPr>
                <w:sz w:val="24"/>
              </w:rPr>
              <w:t xml:space="preserve"> </w:t>
            </w:r>
            <w:r w:rsidRPr="006C4406">
              <w:rPr>
                <w:b/>
                <w:sz w:val="24"/>
              </w:rPr>
              <w:t>Sections</w:t>
            </w:r>
            <w:r w:rsidRPr="006C4406">
              <w:rPr>
                <w:sz w:val="24"/>
              </w:rPr>
              <w:t>.</w:t>
            </w:r>
          </w:p>
          <w:tbl>
            <w:tblPr>
              <w:tblW w:w="0" w:type="auto"/>
              <w:tblInd w:w="342" w:type="dxa"/>
              <w:tblCellMar>
                <w:left w:w="0" w:type="dxa"/>
                <w:right w:w="0" w:type="dxa"/>
              </w:tblCellMar>
              <w:tblLook w:val="04A0" w:firstRow="1" w:lastRow="0" w:firstColumn="1" w:lastColumn="0" w:noHBand="0" w:noVBand="1"/>
            </w:tblPr>
            <w:tblGrid>
              <w:gridCol w:w="1576"/>
              <w:gridCol w:w="5138"/>
              <w:gridCol w:w="1728"/>
            </w:tblGrid>
            <w:tr w:rsidR="00203DEC" w14:paraId="5C1A79E6" w14:textId="77777777" w:rsidTr="00C446BF">
              <w:trPr>
                <w:trHeight w:hRule="exact" w:val="2411"/>
              </w:trPr>
              <w:tc>
                <w:tcPr>
                  <w:tcW w:w="1576" w:type="dxa"/>
                  <w:tcBorders>
                    <w:top w:val="single" w:sz="6" w:space="0" w:color="000000"/>
                    <w:left w:val="single" w:sz="6" w:space="0" w:color="000000"/>
                    <w:bottom w:val="single" w:sz="6" w:space="0" w:color="000000"/>
                    <w:right w:val="single" w:sz="6" w:space="0" w:color="000000"/>
                  </w:tcBorders>
                  <w:hideMark/>
                </w:tcPr>
                <w:p w14:paraId="44473C40" w14:textId="77777777" w:rsidR="00203DEC" w:rsidRPr="00A36A69" w:rsidRDefault="00203DEC" w:rsidP="00203DEC">
                  <w:pPr>
                    <w:spacing w:line="230" w:lineRule="exact"/>
                    <w:ind w:left="360"/>
                    <w:textAlignment w:val="baseline"/>
                    <w:rPr>
                      <w:rFonts w:eastAsia="Arial"/>
                      <w:b/>
                      <w:i/>
                      <w:szCs w:val="20"/>
                    </w:rPr>
                  </w:pPr>
                  <w:r w:rsidRPr="00A36A69">
                    <w:rPr>
                      <w:rFonts w:eastAsia="Arial"/>
                      <w:b/>
                      <w:i/>
                      <w:color w:val="FF0000"/>
                      <w:lang w:val="en-US"/>
                    </w:rPr>
                    <w:t>Commission</w:t>
                  </w:r>
                  <w:r w:rsidRPr="00A36A69">
                    <w:rPr>
                      <w:rFonts w:eastAsia="Arial"/>
                      <w:b/>
                      <w:i/>
                      <w:strike/>
                      <w:color w:val="FF0000"/>
                      <w:lang w:val="en-US"/>
                    </w:rPr>
                    <w:t xml:space="preserve"> European</w:t>
                  </w:r>
                  <w:r w:rsidRPr="00A36A69">
                    <w:rPr>
                      <w:rFonts w:eastAsia="Arial"/>
                      <w:b/>
                      <w:i/>
                      <w:color w:val="FF0000"/>
                      <w:lang w:val="en-US"/>
                    </w:rPr>
                    <w:t xml:space="preserve"> </w:t>
                  </w:r>
                  <w:r w:rsidRPr="00A36A69">
                    <w:rPr>
                      <w:rFonts w:eastAsia="Arial"/>
                      <w:b/>
                      <w:i/>
                      <w:lang w:val="en-US"/>
                    </w:rPr>
                    <w:t>Regulation</w:t>
                  </w:r>
                </w:p>
                <w:p w14:paraId="2227E8D9" w14:textId="3D395B37" w:rsidR="00203DEC" w:rsidRPr="008E1CB3" w:rsidRDefault="00203DEC" w:rsidP="00203DEC">
                  <w:pPr>
                    <w:spacing w:line="225" w:lineRule="exact"/>
                    <w:jc w:val="center"/>
                    <w:textAlignment w:val="baseline"/>
                    <w:rPr>
                      <w:rFonts w:eastAsia="Arial"/>
                      <w:b/>
                      <w:i/>
                      <w:highlight w:val="yellow"/>
                      <w:lang w:val="en-US"/>
                    </w:rPr>
                  </w:pPr>
                  <w:r w:rsidRPr="00A36A69">
                    <w:rPr>
                      <w:rFonts w:eastAsia="Arial"/>
                      <w:b/>
                      <w:i/>
                      <w:lang w:val="en-US"/>
                    </w:rPr>
                    <w:t>(EU)</w:t>
                  </w:r>
                  <w:r w:rsidRPr="00A36A69">
                    <w:rPr>
                      <w:rFonts w:eastAsia="Arial"/>
                      <w:b/>
                      <w:i/>
                      <w:lang w:val="en-US"/>
                    </w:rPr>
                    <w:br/>
                    <w:t>2017/2195 Reference</w:t>
                  </w:r>
                  <w:r w:rsidRPr="00A36A69">
                    <w:rPr>
                      <w:rFonts w:eastAsia="Arial"/>
                      <w:b/>
                      <w:i/>
                      <w:lang w:val="en-US"/>
                    </w:rPr>
                    <w:br/>
                  </w:r>
                  <w:r w:rsidRPr="00A36A69">
                    <w:rPr>
                      <w:rFonts w:eastAsia="Arial"/>
                      <w:b/>
                      <w:i/>
                      <w:color w:val="FF0000"/>
                    </w:rPr>
                    <w:t>(</w:t>
                  </w:r>
                  <w:r w:rsidRPr="00A36A69">
                    <w:rPr>
                      <w:rFonts w:eastAsia="Arial"/>
                      <w:b/>
                      <w:i/>
                      <w:color w:val="FF0000"/>
                      <w:lang w:val="en-US"/>
                    </w:rPr>
                    <w:t>Retained EU Law)</w:t>
                  </w:r>
                </w:p>
              </w:tc>
              <w:tc>
                <w:tcPr>
                  <w:tcW w:w="5138" w:type="dxa"/>
                  <w:tcBorders>
                    <w:top w:val="single" w:sz="6" w:space="0" w:color="000000"/>
                    <w:left w:val="single" w:sz="6" w:space="0" w:color="000000"/>
                    <w:bottom w:val="single" w:sz="6" w:space="0" w:color="000000"/>
                    <w:right w:val="single" w:sz="6" w:space="0" w:color="000000"/>
                  </w:tcBorders>
                  <w:hideMark/>
                </w:tcPr>
                <w:p w14:paraId="701C81BB" w14:textId="77777777" w:rsidR="00203DEC" w:rsidRPr="008E1CB3" w:rsidRDefault="00203DEC" w:rsidP="00203DEC">
                  <w:pPr>
                    <w:spacing w:before="477" w:after="569" w:line="230" w:lineRule="exact"/>
                    <w:jc w:val="center"/>
                    <w:textAlignment w:val="baseline"/>
                    <w:rPr>
                      <w:rFonts w:eastAsia="Arial"/>
                      <w:b/>
                      <w:i/>
                      <w:highlight w:val="yellow"/>
                    </w:rPr>
                  </w:pPr>
                  <w:r w:rsidRPr="00C446BF">
                    <w:rPr>
                      <w:rFonts w:eastAsia="Arial"/>
                      <w:b/>
                      <w:i/>
                      <w:lang w:val="en-US"/>
                    </w:rPr>
                    <w:t>Description</w:t>
                  </w:r>
                </w:p>
              </w:tc>
              <w:tc>
                <w:tcPr>
                  <w:tcW w:w="1728" w:type="dxa"/>
                  <w:tcBorders>
                    <w:top w:val="single" w:sz="6" w:space="0" w:color="000000"/>
                    <w:left w:val="single" w:sz="6" w:space="0" w:color="000000"/>
                    <w:bottom w:val="single" w:sz="6" w:space="0" w:color="000000"/>
                    <w:right w:val="single" w:sz="6" w:space="0" w:color="000000"/>
                  </w:tcBorders>
                  <w:hideMark/>
                </w:tcPr>
                <w:p w14:paraId="10A9C5EB" w14:textId="77777777" w:rsidR="00203DEC" w:rsidRDefault="00203DEC" w:rsidP="00203DEC">
                  <w:pPr>
                    <w:spacing w:before="358" w:after="458" w:line="230" w:lineRule="exact"/>
                    <w:jc w:val="center"/>
                    <w:textAlignment w:val="baseline"/>
                    <w:rPr>
                      <w:rFonts w:eastAsia="Arial"/>
                      <w:b/>
                      <w:i/>
                    </w:rPr>
                  </w:pPr>
                  <w:r>
                    <w:rPr>
                      <w:rFonts w:eastAsia="Arial"/>
                      <w:b/>
                      <w:i/>
                      <w:lang w:val="en-US"/>
                    </w:rPr>
                    <w:t xml:space="preserve">Grid Code </w:t>
                  </w:r>
                  <w:r>
                    <w:rPr>
                      <w:rFonts w:eastAsia="Arial"/>
                      <w:b/>
                      <w:i/>
                      <w:lang w:val="en-US"/>
                    </w:rPr>
                    <w:br/>
                    <w:t>Reference</w:t>
                  </w:r>
                </w:p>
              </w:tc>
            </w:tr>
          </w:tbl>
          <w:p w14:paraId="392E678C" w14:textId="77777777" w:rsidR="00203DEC" w:rsidRDefault="00203DEC" w:rsidP="005A3BEE">
            <w:pPr>
              <w:rPr>
                <w:sz w:val="24"/>
              </w:rPr>
            </w:pPr>
          </w:p>
          <w:p w14:paraId="75ACF216" w14:textId="2FD92A09" w:rsidR="00203DEC" w:rsidRPr="006C4406" w:rsidRDefault="00203DEC" w:rsidP="005A3BEE">
            <w:pPr>
              <w:rPr>
                <w:sz w:val="24"/>
              </w:rPr>
            </w:pPr>
          </w:p>
        </w:tc>
      </w:tr>
    </w:tbl>
    <w:p w14:paraId="0E690F1E" w14:textId="77777777" w:rsidR="006C4406" w:rsidRDefault="006C4406" w:rsidP="00DB046B">
      <w:pPr>
        <w:rPr>
          <w:rFonts w:cs="Arial"/>
          <w:i/>
          <w:iCs/>
          <w:color w:val="00B274"/>
          <w:sz w:val="24"/>
          <w:lang w:val="en-US"/>
        </w:rPr>
      </w:pPr>
    </w:p>
    <w:p w14:paraId="4C575F0B" w14:textId="77777777" w:rsidR="00FA6C94" w:rsidRDefault="009D7A93"/>
    <w:sectPr w:rsidR="00FA6C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2A385DAD"/>
    <w:multiLevelType w:val="multilevel"/>
    <w:tmpl w:val="EE527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B556A7"/>
    <w:multiLevelType w:val="hybridMultilevel"/>
    <w:tmpl w:val="60C251F2"/>
    <w:lvl w:ilvl="0" w:tplc="0809000B">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7E68BF"/>
    <w:multiLevelType w:val="hybridMultilevel"/>
    <w:tmpl w:val="3B2EC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46B"/>
    <w:rsid w:val="0000104C"/>
    <w:rsid w:val="00001BED"/>
    <w:rsid w:val="00010352"/>
    <w:rsid w:val="000202BE"/>
    <w:rsid w:val="00026FAD"/>
    <w:rsid w:val="000273DF"/>
    <w:rsid w:val="000348FA"/>
    <w:rsid w:val="0004492A"/>
    <w:rsid w:val="00051B99"/>
    <w:rsid w:val="0005252E"/>
    <w:rsid w:val="00057210"/>
    <w:rsid w:val="00061955"/>
    <w:rsid w:val="000629CF"/>
    <w:rsid w:val="000723C4"/>
    <w:rsid w:val="0007348B"/>
    <w:rsid w:val="00076AFC"/>
    <w:rsid w:val="0007759F"/>
    <w:rsid w:val="000840B3"/>
    <w:rsid w:val="00090284"/>
    <w:rsid w:val="000935FE"/>
    <w:rsid w:val="00094DC3"/>
    <w:rsid w:val="00094F31"/>
    <w:rsid w:val="00095846"/>
    <w:rsid w:val="000A09AD"/>
    <w:rsid w:val="000A0F8C"/>
    <w:rsid w:val="000B7296"/>
    <w:rsid w:val="000C26AB"/>
    <w:rsid w:val="000C3213"/>
    <w:rsid w:val="000C51B4"/>
    <w:rsid w:val="000C6F1A"/>
    <w:rsid w:val="000D04FF"/>
    <w:rsid w:val="000D224F"/>
    <w:rsid w:val="000D3496"/>
    <w:rsid w:val="000D7228"/>
    <w:rsid w:val="000D7A3D"/>
    <w:rsid w:val="000E0FCE"/>
    <w:rsid w:val="000E661C"/>
    <w:rsid w:val="000E7C3C"/>
    <w:rsid w:val="000F0449"/>
    <w:rsid w:val="000F2375"/>
    <w:rsid w:val="00106D68"/>
    <w:rsid w:val="00115003"/>
    <w:rsid w:val="00117960"/>
    <w:rsid w:val="00124909"/>
    <w:rsid w:val="00125386"/>
    <w:rsid w:val="001320C6"/>
    <w:rsid w:val="001349E8"/>
    <w:rsid w:val="001375B3"/>
    <w:rsid w:val="00140A76"/>
    <w:rsid w:val="00141790"/>
    <w:rsid w:val="001420D5"/>
    <w:rsid w:val="00144DFB"/>
    <w:rsid w:val="00145F1F"/>
    <w:rsid w:val="00153DCF"/>
    <w:rsid w:val="001550A8"/>
    <w:rsid w:val="00156F21"/>
    <w:rsid w:val="001622CB"/>
    <w:rsid w:val="00166AB3"/>
    <w:rsid w:val="0017690B"/>
    <w:rsid w:val="00177904"/>
    <w:rsid w:val="00190577"/>
    <w:rsid w:val="0019101A"/>
    <w:rsid w:val="001927D2"/>
    <w:rsid w:val="00196354"/>
    <w:rsid w:val="00196B42"/>
    <w:rsid w:val="001A0A4F"/>
    <w:rsid w:val="001A5467"/>
    <w:rsid w:val="001B32AE"/>
    <w:rsid w:val="001B46C9"/>
    <w:rsid w:val="001B56BA"/>
    <w:rsid w:val="001C30DF"/>
    <w:rsid w:val="001C342A"/>
    <w:rsid w:val="001D08B5"/>
    <w:rsid w:val="001D16B2"/>
    <w:rsid w:val="001D442D"/>
    <w:rsid w:val="001D46F7"/>
    <w:rsid w:val="001D70EF"/>
    <w:rsid w:val="001E3DDA"/>
    <w:rsid w:val="001F033A"/>
    <w:rsid w:val="001F38D4"/>
    <w:rsid w:val="001F57D9"/>
    <w:rsid w:val="001F6E48"/>
    <w:rsid w:val="00203DEC"/>
    <w:rsid w:val="00205260"/>
    <w:rsid w:val="00212DDB"/>
    <w:rsid w:val="002208E3"/>
    <w:rsid w:val="00221547"/>
    <w:rsid w:val="002249B7"/>
    <w:rsid w:val="00227C29"/>
    <w:rsid w:val="002313E0"/>
    <w:rsid w:val="002338F0"/>
    <w:rsid w:val="00237112"/>
    <w:rsid w:val="00237EA2"/>
    <w:rsid w:val="00240DF7"/>
    <w:rsid w:val="00243CFC"/>
    <w:rsid w:val="00246069"/>
    <w:rsid w:val="00255A77"/>
    <w:rsid w:val="00273846"/>
    <w:rsid w:val="00275A68"/>
    <w:rsid w:val="0028254E"/>
    <w:rsid w:val="00295AB4"/>
    <w:rsid w:val="002A65C6"/>
    <w:rsid w:val="002D29B8"/>
    <w:rsid w:val="002D4A4F"/>
    <w:rsid w:val="002D6F6D"/>
    <w:rsid w:val="002E32E1"/>
    <w:rsid w:val="002F612C"/>
    <w:rsid w:val="00304E24"/>
    <w:rsid w:val="00311EEF"/>
    <w:rsid w:val="00313881"/>
    <w:rsid w:val="00320A83"/>
    <w:rsid w:val="00323938"/>
    <w:rsid w:val="00325088"/>
    <w:rsid w:val="0033048E"/>
    <w:rsid w:val="00331AF4"/>
    <w:rsid w:val="00332D3E"/>
    <w:rsid w:val="0034065C"/>
    <w:rsid w:val="0034241F"/>
    <w:rsid w:val="00344D3D"/>
    <w:rsid w:val="003505D4"/>
    <w:rsid w:val="0035077E"/>
    <w:rsid w:val="00354467"/>
    <w:rsid w:val="003545AE"/>
    <w:rsid w:val="0035699A"/>
    <w:rsid w:val="00364C70"/>
    <w:rsid w:val="003701DE"/>
    <w:rsid w:val="00386681"/>
    <w:rsid w:val="00394FA1"/>
    <w:rsid w:val="003963C5"/>
    <w:rsid w:val="003A2641"/>
    <w:rsid w:val="003A3DD7"/>
    <w:rsid w:val="003A46BA"/>
    <w:rsid w:val="003A793C"/>
    <w:rsid w:val="003B1577"/>
    <w:rsid w:val="003B2633"/>
    <w:rsid w:val="003B3E60"/>
    <w:rsid w:val="003B4A2E"/>
    <w:rsid w:val="003B594B"/>
    <w:rsid w:val="003D1CC7"/>
    <w:rsid w:val="003D7C67"/>
    <w:rsid w:val="003E581A"/>
    <w:rsid w:val="003E7FFD"/>
    <w:rsid w:val="004115CA"/>
    <w:rsid w:val="00411F37"/>
    <w:rsid w:val="0041718B"/>
    <w:rsid w:val="00427286"/>
    <w:rsid w:val="0044184A"/>
    <w:rsid w:val="004441D1"/>
    <w:rsid w:val="00445D62"/>
    <w:rsid w:val="00445E77"/>
    <w:rsid w:val="0045464D"/>
    <w:rsid w:val="00456173"/>
    <w:rsid w:val="00456B99"/>
    <w:rsid w:val="004577E8"/>
    <w:rsid w:val="00475608"/>
    <w:rsid w:val="004970FE"/>
    <w:rsid w:val="004A113D"/>
    <w:rsid w:val="004A38BF"/>
    <w:rsid w:val="004A7904"/>
    <w:rsid w:val="004B26D8"/>
    <w:rsid w:val="004B48FF"/>
    <w:rsid w:val="004C0349"/>
    <w:rsid w:val="004C4A79"/>
    <w:rsid w:val="004D18BA"/>
    <w:rsid w:val="004D257B"/>
    <w:rsid w:val="004E0D8F"/>
    <w:rsid w:val="004E212A"/>
    <w:rsid w:val="004E2E4E"/>
    <w:rsid w:val="004F0C86"/>
    <w:rsid w:val="004F4D9B"/>
    <w:rsid w:val="004F65BC"/>
    <w:rsid w:val="004F7B92"/>
    <w:rsid w:val="0050006A"/>
    <w:rsid w:val="00504FCB"/>
    <w:rsid w:val="00513178"/>
    <w:rsid w:val="005137D7"/>
    <w:rsid w:val="00521A80"/>
    <w:rsid w:val="005316EF"/>
    <w:rsid w:val="00532FEB"/>
    <w:rsid w:val="00534F43"/>
    <w:rsid w:val="0053526B"/>
    <w:rsid w:val="0053540B"/>
    <w:rsid w:val="00537562"/>
    <w:rsid w:val="0055024E"/>
    <w:rsid w:val="0055403A"/>
    <w:rsid w:val="00560B9B"/>
    <w:rsid w:val="0056309B"/>
    <w:rsid w:val="005659B0"/>
    <w:rsid w:val="00572AB2"/>
    <w:rsid w:val="00574DDB"/>
    <w:rsid w:val="00575229"/>
    <w:rsid w:val="00575AB8"/>
    <w:rsid w:val="00577850"/>
    <w:rsid w:val="005B4787"/>
    <w:rsid w:val="005B58E5"/>
    <w:rsid w:val="005B5950"/>
    <w:rsid w:val="005B6CF0"/>
    <w:rsid w:val="005C04B3"/>
    <w:rsid w:val="005C4ECB"/>
    <w:rsid w:val="005D0ABE"/>
    <w:rsid w:val="005D2721"/>
    <w:rsid w:val="005E0731"/>
    <w:rsid w:val="005E2945"/>
    <w:rsid w:val="005E649B"/>
    <w:rsid w:val="005F5BE5"/>
    <w:rsid w:val="005F5FAE"/>
    <w:rsid w:val="005F6C47"/>
    <w:rsid w:val="005F7CAB"/>
    <w:rsid w:val="006029BF"/>
    <w:rsid w:val="0060321A"/>
    <w:rsid w:val="006053AF"/>
    <w:rsid w:val="006161FD"/>
    <w:rsid w:val="006273E1"/>
    <w:rsid w:val="00630F78"/>
    <w:rsid w:val="00633E0E"/>
    <w:rsid w:val="006349AA"/>
    <w:rsid w:val="00640E68"/>
    <w:rsid w:val="00655413"/>
    <w:rsid w:val="00656FB6"/>
    <w:rsid w:val="00660B46"/>
    <w:rsid w:val="00667C28"/>
    <w:rsid w:val="00672549"/>
    <w:rsid w:val="00676090"/>
    <w:rsid w:val="00680B1A"/>
    <w:rsid w:val="00687FE7"/>
    <w:rsid w:val="006A182E"/>
    <w:rsid w:val="006A62FA"/>
    <w:rsid w:val="006A66B6"/>
    <w:rsid w:val="006C4406"/>
    <w:rsid w:val="006D05F5"/>
    <w:rsid w:val="006D34DB"/>
    <w:rsid w:val="006D76FF"/>
    <w:rsid w:val="006E0F35"/>
    <w:rsid w:val="006F3C32"/>
    <w:rsid w:val="00700DB1"/>
    <w:rsid w:val="00705A48"/>
    <w:rsid w:val="007113C9"/>
    <w:rsid w:val="0071609D"/>
    <w:rsid w:val="00717226"/>
    <w:rsid w:val="00724C1C"/>
    <w:rsid w:val="00724F16"/>
    <w:rsid w:val="0072753D"/>
    <w:rsid w:val="00742D47"/>
    <w:rsid w:val="007432F7"/>
    <w:rsid w:val="00746DE9"/>
    <w:rsid w:val="00751BA3"/>
    <w:rsid w:val="007534CC"/>
    <w:rsid w:val="00755453"/>
    <w:rsid w:val="00757078"/>
    <w:rsid w:val="00775E5B"/>
    <w:rsid w:val="007831D1"/>
    <w:rsid w:val="00790BCD"/>
    <w:rsid w:val="00791FD9"/>
    <w:rsid w:val="007945D4"/>
    <w:rsid w:val="007A7B54"/>
    <w:rsid w:val="007B616B"/>
    <w:rsid w:val="007C7153"/>
    <w:rsid w:val="007D0717"/>
    <w:rsid w:val="007D15F2"/>
    <w:rsid w:val="007D7A6B"/>
    <w:rsid w:val="007E6FE7"/>
    <w:rsid w:val="007F6145"/>
    <w:rsid w:val="00805034"/>
    <w:rsid w:val="00805EF9"/>
    <w:rsid w:val="008278C5"/>
    <w:rsid w:val="00831DEC"/>
    <w:rsid w:val="0083442A"/>
    <w:rsid w:val="008357E7"/>
    <w:rsid w:val="00837179"/>
    <w:rsid w:val="00840571"/>
    <w:rsid w:val="008432F3"/>
    <w:rsid w:val="00850A58"/>
    <w:rsid w:val="0085219D"/>
    <w:rsid w:val="008705CE"/>
    <w:rsid w:val="00870C07"/>
    <w:rsid w:val="008727BE"/>
    <w:rsid w:val="00882F65"/>
    <w:rsid w:val="008852D7"/>
    <w:rsid w:val="00886790"/>
    <w:rsid w:val="00890CC3"/>
    <w:rsid w:val="008968D7"/>
    <w:rsid w:val="00897C51"/>
    <w:rsid w:val="008A1818"/>
    <w:rsid w:val="008A1AF2"/>
    <w:rsid w:val="008A4E31"/>
    <w:rsid w:val="008A6697"/>
    <w:rsid w:val="008B04F5"/>
    <w:rsid w:val="008B595C"/>
    <w:rsid w:val="008D18E5"/>
    <w:rsid w:val="008D4555"/>
    <w:rsid w:val="008D53CA"/>
    <w:rsid w:val="008D57B0"/>
    <w:rsid w:val="008E1100"/>
    <w:rsid w:val="008E1CB3"/>
    <w:rsid w:val="008E2342"/>
    <w:rsid w:val="008E28DD"/>
    <w:rsid w:val="008E4D50"/>
    <w:rsid w:val="008F0D4D"/>
    <w:rsid w:val="008F234C"/>
    <w:rsid w:val="008F5F96"/>
    <w:rsid w:val="00900776"/>
    <w:rsid w:val="00916A41"/>
    <w:rsid w:val="00917FF2"/>
    <w:rsid w:val="00920CFB"/>
    <w:rsid w:val="00923207"/>
    <w:rsid w:val="009329C7"/>
    <w:rsid w:val="00933A02"/>
    <w:rsid w:val="00935DAF"/>
    <w:rsid w:val="009413A3"/>
    <w:rsid w:val="00950121"/>
    <w:rsid w:val="009549A7"/>
    <w:rsid w:val="009569F4"/>
    <w:rsid w:val="009676E6"/>
    <w:rsid w:val="00971796"/>
    <w:rsid w:val="00973E93"/>
    <w:rsid w:val="0097537D"/>
    <w:rsid w:val="00977D69"/>
    <w:rsid w:val="0098038F"/>
    <w:rsid w:val="009864C8"/>
    <w:rsid w:val="009877EB"/>
    <w:rsid w:val="009913D7"/>
    <w:rsid w:val="009923B8"/>
    <w:rsid w:val="00996836"/>
    <w:rsid w:val="009A1ADA"/>
    <w:rsid w:val="009A517E"/>
    <w:rsid w:val="009B145A"/>
    <w:rsid w:val="009C2068"/>
    <w:rsid w:val="009C2386"/>
    <w:rsid w:val="009D5458"/>
    <w:rsid w:val="009D7A93"/>
    <w:rsid w:val="009D7EEF"/>
    <w:rsid w:val="009E2452"/>
    <w:rsid w:val="009E5B42"/>
    <w:rsid w:val="009F171B"/>
    <w:rsid w:val="009F1979"/>
    <w:rsid w:val="009F592B"/>
    <w:rsid w:val="00A05925"/>
    <w:rsid w:val="00A16407"/>
    <w:rsid w:val="00A16E49"/>
    <w:rsid w:val="00A247F3"/>
    <w:rsid w:val="00A35D01"/>
    <w:rsid w:val="00A36A69"/>
    <w:rsid w:val="00A36B27"/>
    <w:rsid w:val="00A4254C"/>
    <w:rsid w:val="00A4354C"/>
    <w:rsid w:val="00A51DE6"/>
    <w:rsid w:val="00A527DE"/>
    <w:rsid w:val="00A53D35"/>
    <w:rsid w:val="00A5509D"/>
    <w:rsid w:val="00A568A4"/>
    <w:rsid w:val="00A56A65"/>
    <w:rsid w:val="00A57EE1"/>
    <w:rsid w:val="00A910D6"/>
    <w:rsid w:val="00A953CA"/>
    <w:rsid w:val="00AB0869"/>
    <w:rsid w:val="00AB3B21"/>
    <w:rsid w:val="00AC0C09"/>
    <w:rsid w:val="00AC0F85"/>
    <w:rsid w:val="00AC1870"/>
    <w:rsid w:val="00AD343A"/>
    <w:rsid w:val="00AD5904"/>
    <w:rsid w:val="00AE0EA1"/>
    <w:rsid w:val="00B01410"/>
    <w:rsid w:val="00B0409A"/>
    <w:rsid w:val="00B11164"/>
    <w:rsid w:val="00B30A45"/>
    <w:rsid w:val="00B36452"/>
    <w:rsid w:val="00B50EF5"/>
    <w:rsid w:val="00B557DE"/>
    <w:rsid w:val="00B64473"/>
    <w:rsid w:val="00B7328B"/>
    <w:rsid w:val="00B738B5"/>
    <w:rsid w:val="00B74281"/>
    <w:rsid w:val="00B8222D"/>
    <w:rsid w:val="00B84337"/>
    <w:rsid w:val="00B91AFD"/>
    <w:rsid w:val="00B93942"/>
    <w:rsid w:val="00BA2503"/>
    <w:rsid w:val="00BA7F19"/>
    <w:rsid w:val="00BB43B4"/>
    <w:rsid w:val="00BC1D74"/>
    <w:rsid w:val="00BC416E"/>
    <w:rsid w:val="00BC4DB2"/>
    <w:rsid w:val="00BC745B"/>
    <w:rsid w:val="00BD2370"/>
    <w:rsid w:val="00BD578C"/>
    <w:rsid w:val="00BD7879"/>
    <w:rsid w:val="00BD788A"/>
    <w:rsid w:val="00BD7A84"/>
    <w:rsid w:val="00BE0653"/>
    <w:rsid w:val="00BE645F"/>
    <w:rsid w:val="00BE65FF"/>
    <w:rsid w:val="00C146C2"/>
    <w:rsid w:val="00C16929"/>
    <w:rsid w:val="00C16B0D"/>
    <w:rsid w:val="00C17029"/>
    <w:rsid w:val="00C263CD"/>
    <w:rsid w:val="00C27958"/>
    <w:rsid w:val="00C33666"/>
    <w:rsid w:val="00C33E54"/>
    <w:rsid w:val="00C42099"/>
    <w:rsid w:val="00C446BF"/>
    <w:rsid w:val="00C50C3D"/>
    <w:rsid w:val="00C5594E"/>
    <w:rsid w:val="00C72AB6"/>
    <w:rsid w:val="00C72DF8"/>
    <w:rsid w:val="00C871F1"/>
    <w:rsid w:val="00C909A5"/>
    <w:rsid w:val="00C92912"/>
    <w:rsid w:val="00C92C39"/>
    <w:rsid w:val="00C97704"/>
    <w:rsid w:val="00CA6DD3"/>
    <w:rsid w:val="00CB63C5"/>
    <w:rsid w:val="00CB76D5"/>
    <w:rsid w:val="00CD060E"/>
    <w:rsid w:val="00CD1125"/>
    <w:rsid w:val="00CD2241"/>
    <w:rsid w:val="00CD3334"/>
    <w:rsid w:val="00CD4317"/>
    <w:rsid w:val="00CE5117"/>
    <w:rsid w:val="00CF3960"/>
    <w:rsid w:val="00D01375"/>
    <w:rsid w:val="00D07D70"/>
    <w:rsid w:val="00D113D0"/>
    <w:rsid w:val="00D13875"/>
    <w:rsid w:val="00D15120"/>
    <w:rsid w:val="00D16658"/>
    <w:rsid w:val="00D16948"/>
    <w:rsid w:val="00D23DA5"/>
    <w:rsid w:val="00D331EB"/>
    <w:rsid w:val="00D36914"/>
    <w:rsid w:val="00D369FD"/>
    <w:rsid w:val="00D40F61"/>
    <w:rsid w:val="00D5604B"/>
    <w:rsid w:val="00D751AD"/>
    <w:rsid w:val="00D773E2"/>
    <w:rsid w:val="00D801B1"/>
    <w:rsid w:val="00D87C32"/>
    <w:rsid w:val="00DA13F3"/>
    <w:rsid w:val="00DA3704"/>
    <w:rsid w:val="00DA57C1"/>
    <w:rsid w:val="00DB046B"/>
    <w:rsid w:val="00DB0E66"/>
    <w:rsid w:val="00DC37BD"/>
    <w:rsid w:val="00DD528A"/>
    <w:rsid w:val="00DE5863"/>
    <w:rsid w:val="00E00079"/>
    <w:rsid w:val="00E11174"/>
    <w:rsid w:val="00E11633"/>
    <w:rsid w:val="00E1778F"/>
    <w:rsid w:val="00E4244F"/>
    <w:rsid w:val="00E45A8D"/>
    <w:rsid w:val="00E47574"/>
    <w:rsid w:val="00E625AB"/>
    <w:rsid w:val="00E64E49"/>
    <w:rsid w:val="00E82489"/>
    <w:rsid w:val="00E8385E"/>
    <w:rsid w:val="00EA3068"/>
    <w:rsid w:val="00EA5B30"/>
    <w:rsid w:val="00EB00BF"/>
    <w:rsid w:val="00EB05A7"/>
    <w:rsid w:val="00EB0A01"/>
    <w:rsid w:val="00EC3D8D"/>
    <w:rsid w:val="00EE0C64"/>
    <w:rsid w:val="00EE26CE"/>
    <w:rsid w:val="00EE2B7B"/>
    <w:rsid w:val="00EE2CAB"/>
    <w:rsid w:val="00EE30A5"/>
    <w:rsid w:val="00EF2F3D"/>
    <w:rsid w:val="00F00E95"/>
    <w:rsid w:val="00F0160A"/>
    <w:rsid w:val="00F05032"/>
    <w:rsid w:val="00F15C7A"/>
    <w:rsid w:val="00F15FDE"/>
    <w:rsid w:val="00F20AF1"/>
    <w:rsid w:val="00F23550"/>
    <w:rsid w:val="00F3143C"/>
    <w:rsid w:val="00F32F8D"/>
    <w:rsid w:val="00F417F6"/>
    <w:rsid w:val="00F474C1"/>
    <w:rsid w:val="00F503EA"/>
    <w:rsid w:val="00F5058B"/>
    <w:rsid w:val="00F50878"/>
    <w:rsid w:val="00F54519"/>
    <w:rsid w:val="00F626C6"/>
    <w:rsid w:val="00F701CF"/>
    <w:rsid w:val="00F85CD7"/>
    <w:rsid w:val="00F87F1C"/>
    <w:rsid w:val="00F94158"/>
    <w:rsid w:val="00FA46AF"/>
    <w:rsid w:val="00FB5BBE"/>
    <w:rsid w:val="00FC04FC"/>
    <w:rsid w:val="00FC0834"/>
    <w:rsid w:val="00FC5E34"/>
    <w:rsid w:val="00FC71BF"/>
    <w:rsid w:val="00FD7256"/>
    <w:rsid w:val="00FD7FF2"/>
    <w:rsid w:val="00FE2F35"/>
    <w:rsid w:val="00FF0C57"/>
    <w:rsid w:val="00FF0EB0"/>
    <w:rsid w:val="00FF36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5C1FE"/>
  <w15:docId w15:val="{A031EE4A-EE69-4125-A775-80F33F1D5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046B"/>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qFormat/>
    <w:rsid w:val="00DB046B"/>
    <w:pPr>
      <w:keepNext/>
      <w:numPr>
        <w:numId w:val="1"/>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DB046B"/>
    <w:pPr>
      <w:keepNext/>
      <w:numPr>
        <w:ilvl w:val="1"/>
        <w:numId w:val="1"/>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DB046B"/>
    <w:pPr>
      <w:keepNext/>
      <w:keepLines/>
      <w:numPr>
        <w:ilvl w:val="2"/>
        <w:numId w:val="1"/>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DB046B"/>
    <w:pPr>
      <w:keepNext/>
      <w:keepLines/>
      <w:numPr>
        <w:ilvl w:val="3"/>
        <w:numId w:val="1"/>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DB046B"/>
    <w:pPr>
      <w:keepNext/>
      <w:keepLines/>
      <w:numPr>
        <w:ilvl w:val="4"/>
        <w:numId w:val="1"/>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DB046B"/>
    <w:pPr>
      <w:keepNext/>
      <w:keepLines/>
      <w:numPr>
        <w:ilvl w:val="5"/>
        <w:numId w:val="1"/>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DB046B"/>
    <w:pPr>
      <w:keepNext/>
      <w:keepLines/>
      <w:numPr>
        <w:ilvl w:val="6"/>
        <w:numId w:val="1"/>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DB046B"/>
    <w:pPr>
      <w:keepNext/>
      <w:keepLines/>
      <w:numPr>
        <w:ilvl w:val="7"/>
        <w:numId w:val="1"/>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DB046B"/>
    <w:pPr>
      <w:keepNext/>
      <w:keepLines/>
      <w:numPr>
        <w:ilvl w:val="8"/>
        <w:numId w:val="1"/>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046B"/>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basedOn w:val="DefaultParagraphFont"/>
    <w:link w:val="Heading2"/>
    <w:rsid w:val="00DB046B"/>
    <w:rPr>
      <w:rFonts w:ascii="Arial" w:eastAsia="Times New Roman" w:hAnsi="Arial" w:cs="Arial"/>
      <w:bCs/>
      <w:iCs/>
      <w:color w:val="008576"/>
      <w:sz w:val="80"/>
      <w:szCs w:val="28"/>
      <w:lang w:eastAsia="en-GB"/>
    </w:rPr>
  </w:style>
  <w:style w:type="character" w:customStyle="1" w:styleId="Heading3Char">
    <w:name w:val="Heading 3 Char"/>
    <w:basedOn w:val="DefaultParagraphFont"/>
    <w:link w:val="Heading3"/>
    <w:rsid w:val="00DB046B"/>
    <w:rPr>
      <w:rFonts w:ascii="Calibri" w:eastAsia="MS Gothic" w:hAnsi="Calibri" w:cs="Times New Roman"/>
      <w:b/>
      <w:bCs/>
      <w:color w:val="4F81BD"/>
      <w:sz w:val="20"/>
      <w:szCs w:val="24"/>
      <w:lang w:eastAsia="en-GB"/>
    </w:rPr>
  </w:style>
  <w:style w:type="character" w:customStyle="1" w:styleId="Heading4Char">
    <w:name w:val="Heading 4 Char"/>
    <w:basedOn w:val="DefaultParagraphFont"/>
    <w:link w:val="Heading4"/>
    <w:rsid w:val="00DB046B"/>
    <w:rPr>
      <w:rFonts w:ascii="Calibri" w:eastAsia="MS Gothic" w:hAnsi="Calibri" w:cs="Times New Roman"/>
      <w:b/>
      <w:bCs/>
      <w:i/>
      <w:iCs/>
      <w:color w:val="4F81BD"/>
      <w:sz w:val="20"/>
      <w:szCs w:val="24"/>
      <w:lang w:eastAsia="en-GB"/>
    </w:rPr>
  </w:style>
  <w:style w:type="character" w:customStyle="1" w:styleId="Heading5Char">
    <w:name w:val="Heading 5 Char"/>
    <w:basedOn w:val="DefaultParagraphFont"/>
    <w:link w:val="Heading5"/>
    <w:rsid w:val="00DB046B"/>
    <w:rPr>
      <w:rFonts w:ascii="Calibri" w:eastAsia="MS Gothic" w:hAnsi="Calibri" w:cs="Times New Roman"/>
      <w:color w:val="244061"/>
      <w:sz w:val="20"/>
      <w:szCs w:val="24"/>
      <w:lang w:eastAsia="en-GB"/>
    </w:rPr>
  </w:style>
  <w:style w:type="character" w:customStyle="1" w:styleId="Heading6Char">
    <w:name w:val="Heading 6 Char"/>
    <w:basedOn w:val="DefaultParagraphFont"/>
    <w:link w:val="Heading6"/>
    <w:rsid w:val="00DB046B"/>
    <w:rPr>
      <w:rFonts w:ascii="Calibri" w:eastAsia="MS Gothic" w:hAnsi="Calibri" w:cs="Times New Roman"/>
      <w:i/>
      <w:iCs/>
      <w:color w:val="244061"/>
      <w:sz w:val="20"/>
      <w:szCs w:val="24"/>
      <w:lang w:eastAsia="en-GB"/>
    </w:rPr>
  </w:style>
  <w:style w:type="character" w:customStyle="1" w:styleId="Heading7Char">
    <w:name w:val="Heading 7 Char"/>
    <w:basedOn w:val="DefaultParagraphFont"/>
    <w:link w:val="Heading7"/>
    <w:rsid w:val="00DB046B"/>
    <w:rPr>
      <w:rFonts w:ascii="Calibri" w:eastAsia="MS Gothic" w:hAnsi="Calibri" w:cs="Times New Roman"/>
      <w:i/>
      <w:iCs/>
      <w:color w:val="404040"/>
      <w:sz w:val="20"/>
      <w:szCs w:val="24"/>
      <w:lang w:eastAsia="en-GB"/>
    </w:rPr>
  </w:style>
  <w:style w:type="character" w:customStyle="1" w:styleId="Heading8Char">
    <w:name w:val="Heading 8 Char"/>
    <w:basedOn w:val="DefaultParagraphFont"/>
    <w:link w:val="Heading8"/>
    <w:rsid w:val="00DB046B"/>
    <w:rPr>
      <w:rFonts w:ascii="Calibri" w:eastAsia="MS Gothic" w:hAnsi="Calibri" w:cs="Times New Roman"/>
      <w:color w:val="363636"/>
      <w:sz w:val="20"/>
      <w:szCs w:val="20"/>
      <w:lang w:eastAsia="en-GB"/>
    </w:rPr>
  </w:style>
  <w:style w:type="character" w:customStyle="1" w:styleId="Heading9Char">
    <w:name w:val="Heading 9 Char"/>
    <w:basedOn w:val="DefaultParagraphFont"/>
    <w:link w:val="Heading9"/>
    <w:rsid w:val="00DB046B"/>
    <w:rPr>
      <w:rFonts w:ascii="Calibri" w:eastAsia="MS Gothic" w:hAnsi="Calibri" w:cs="Times New Roman"/>
      <w:i/>
      <w:iCs/>
      <w:color w:val="363636"/>
      <w:sz w:val="20"/>
      <w:szCs w:val="20"/>
      <w:lang w:eastAsia="en-GB"/>
    </w:rPr>
  </w:style>
  <w:style w:type="paragraph" w:customStyle="1" w:styleId="Heading01">
    <w:name w:val="Heading 01"/>
    <w:basedOn w:val="Heading1"/>
    <w:next w:val="Normal"/>
    <w:qFormat/>
    <w:rsid w:val="00DB046B"/>
    <w:pPr>
      <w:spacing w:line="240" w:lineRule="auto"/>
    </w:pPr>
  </w:style>
  <w:style w:type="character" w:styleId="CommentReference">
    <w:name w:val="annotation reference"/>
    <w:basedOn w:val="DefaultParagraphFont"/>
    <w:uiPriority w:val="99"/>
    <w:semiHidden/>
    <w:unhideWhenUsed/>
    <w:rsid w:val="001550A8"/>
    <w:rPr>
      <w:sz w:val="16"/>
      <w:szCs w:val="16"/>
    </w:rPr>
  </w:style>
  <w:style w:type="paragraph" w:styleId="CommentText">
    <w:name w:val="annotation text"/>
    <w:basedOn w:val="Normal"/>
    <w:link w:val="CommentTextChar"/>
    <w:uiPriority w:val="99"/>
    <w:unhideWhenUsed/>
    <w:rsid w:val="001550A8"/>
    <w:pPr>
      <w:spacing w:line="240" w:lineRule="auto"/>
    </w:pPr>
    <w:rPr>
      <w:szCs w:val="20"/>
    </w:rPr>
  </w:style>
  <w:style w:type="character" w:customStyle="1" w:styleId="CommentTextChar">
    <w:name w:val="Comment Text Char"/>
    <w:basedOn w:val="DefaultParagraphFont"/>
    <w:link w:val="CommentText"/>
    <w:uiPriority w:val="99"/>
    <w:rsid w:val="001550A8"/>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550A8"/>
    <w:rPr>
      <w:b/>
      <w:bCs/>
    </w:rPr>
  </w:style>
  <w:style w:type="character" w:customStyle="1" w:styleId="CommentSubjectChar">
    <w:name w:val="Comment Subject Char"/>
    <w:basedOn w:val="CommentTextChar"/>
    <w:link w:val="CommentSubject"/>
    <w:uiPriority w:val="99"/>
    <w:semiHidden/>
    <w:rsid w:val="001550A8"/>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1550A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50A8"/>
    <w:rPr>
      <w:rFonts w:ascii="Segoe UI" w:eastAsia="Times New Roman" w:hAnsi="Segoe UI" w:cs="Segoe UI"/>
      <w:sz w:val="18"/>
      <w:szCs w:val="18"/>
      <w:lang w:eastAsia="en-GB"/>
    </w:rPr>
  </w:style>
  <w:style w:type="character" w:styleId="Hyperlink">
    <w:name w:val="Hyperlink"/>
    <w:basedOn w:val="DefaultParagraphFont"/>
    <w:uiPriority w:val="99"/>
    <w:unhideWhenUsed/>
    <w:rsid w:val="00205260"/>
    <w:rPr>
      <w:color w:val="0563C1" w:themeColor="hyperlink"/>
      <w:u w:val="single"/>
    </w:rPr>
  </w:style>
  <w:style w:type="character" w:customStyle="1" w:styleId="UnresolvedMention1">
    <w:name w:val="Unresolved Mention1"/>
    <w:basedOn w:val="DefaultParagraphFont"/>
    <w:uiPriority w:val="99"/>
    <w:semiHidden/>
    <w:unhideWhenUsed/>
    <w:rsid w:val="00205260"/>
    <w:rPr>
      <w:color w:val="605E5C"/>
      <w:shd w:val="clear" w:color="auto" w:fill="E1DFDD"/>
    </w:rPr>
  </w:style>
  <w:style w:type="paragraph" w:styleId="NormalWeb">
    <w:name w:val="Normal (Web)"/>
    <w:basedOn w:val="Normal"/>
    <w:uiPriority w:val="99"/>
    <w:semiHidden/>
    <w:unhideWhenUsed/>
    <w:rsid w:val="00205260"/>
    <w:pPr>
      <w:spacing w:before="100" w:beforeAutospacing="1" w:after="100" w:afterAutospacing="1" w:line="240" w:lineRule="auto"/>
    </w:pPr>
    <w:rPr>
      <w:rFonts w:ascii="Times New Roman" w:hAnsi="Times New Roman"/>
      <w:sz w:val="24"/>
    </w:rPr>
  </w:style>
  <w:style w:type="paragraph" w:customStyle="1" w:styleId="Default">
    <w:name w:val="Default"/>
    <w:rsid w:val="008F0D4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A0A4F"/>
    <w:pPr>
      <w:ind w:left="720"/>
      <w:contextualSpacing/>
    </w:pPr>
  </w:style>
  <w:style w:type="character" w:customStyle="1" w:styleId="UnresolvedMention2">
    <w:name w:val="Unresolved Mention2"/>
    <w:basedOn w:val="DefaultParagraphFont"/>
    <w:uiPriority w:val="99"/>
    <w:semiHidden/>
    <w:unhideWhenUsed/>
    <w:rsid w:val="0007759F"/>
    <w:rPr>
      <w:color w:val="605E5C"/>
      <w:shd w:val="clear" w:color="auto" w:fill="E1DFDD"/>
    </w:rPr>
  </w:style>
  <w:style w:type="paragraph" w:customStyle="1" w:styleId="Normal1">
    <w:name w:val="Normal1"/>
    <w:basedOn w:val="Normal"/>
    <w:rsid w:val="007D15F2"/>
    <w:pPr>
      <w:spacing w:before="100" w:beforeAutospacing="1" w:after="100" w:afterAutospacing="1" w:line="240" w:lineRule="auto"/>
    </w:pPr>
    <w:rPr>
      <w:rFonts w:ascii="Times New Roman" w:hAnsi="Times New Roman"/>
      <w:sz w:val="24"/>
    </w:rPr>
  </w:style>
  <w:style w:type="character" w:styleId="FollowedHyperlink">
    <w:name w:val="FollowedHyperlink"/>
    <w:basedOn w:val="DefaultParagraphFont"/>
    <w:uiPriority w:val="99"/>
    <w:semiHidden/>
    <w:unhideWhenUsed/>
    <w:rsid w:val="001D442D"/>
    <w:rPr>
      <w:color w:val="954F72" w:themeColor="followedHyperlink"/>
      <w:u w:val="single"/>
    </w:rPr>
  </w:style>
  <w:style w:type="paragraph" w:styleId="Revision">
    <w:name w:val="Revision"/>
    <w:hidden/>
    <w:uiPriority w:val="99"/>
    <w:semiHidden/>
    <w:rsid w:val="00115003"/>
    <w:pPr>
      <w:spacing w:after="0" w:line="240" w:lineRule="auto"/>
    </w:pPr>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15533">
      <w:bodyDiv w:val="1"/>
      <w:marLeft w:val="0"/>
      <w:marRight w:val="0"/>
      <w:marTop w:val="0"/>
      <w:marBottom w:val="0"/>
      <w:divBdr>
        <w:top w:val="none" w:sz="0" w:space="0" w:color="auto"/>
        <w:left w:val="none" w:sz="0" w:space="0" w:color="auto"/>
        <w:bottom w:val="none" w:sz="0" w:space="0" w:color="auto"/>
        <w:right w:val="none" w:sz="0" w:space="0" w:color="auto"/>
      </w:divBdr>
    </w:div>
    <w:div w:id="190802792">
      <w:bodyDiv w:val="1"/>
      <w:marLeft w:val="0"/>
      <w:marRight w:val="0"/>
      <w:marTop w:val="0"/>
      <w:marBottom w:val="0"/>
      <w:divBdr>
        <w:top w:val="none" w:sz="0" w:space="0" w:color="auto"/>
        <w:left w:val="none" w:sz="0" w:space="0" w:color="auto"/>
        <w:bottom w:val="none" w:sz="0" w:space="0" w:color="auto"/>
        <w:right w:val="none" w:sz="0" w:space="0" w:color="auto"/>
      </w:divBdr>
    </w:div>
    <w:div w:id="411316897">
      <w:bodyDiv w:val="1"/>
      <w:marLeft w:val="0"/>
      <w:marRight w:val="0"/>
      <w:marTop w:val="0"/>
      <w:marBottom w:val="0"/>
      <w:divBdr>
        <w:top w:val="none" w:sz="0" w:space="0" w:color="auto"/>
        <w:left w:val="none" w:sz="0" w:space="0" w:color="auto"/>
        <w:bottom w:val="none" w:sz="0" w:space="0" w:color="auto"/>
        <w:right w:val="none" w:sz="0" w:space="0" w:color="auto"/>
      </w:divBdr>
    </w:div>
    <w:div w:id="472409456">
      <w:bodyDiv w:val="1"/>
      <w:marLeft w:val="0"/>
      <w:marRight w:val="0"/>
      <w:marTop w:val="0"/>
      <w:marBottom w:val="0"/>
      <w:divBdr>
        <w:top w:val="none" w:sz="0" w:space="0" w:color="auto"/>
        <w:left w:val="none" w:sz="0" w:space="0" w:color="auto"/>
        <w:bottom w:val="none" w:sz="0" w:space="0" w:color="auto"/>
        <w:right w:val="none" w:sz="0" w:space="0" w:color="auto"/>
      </w:divBdr>
    </w:div>
    <w:div w:id="609581843">
      <w:bodyDiv w:val="1"/>
      <w:marLeft w:val="0"/>
      <w:marRight w:val="0"/>
      <w:marTop w:val="0"/>
      <w:marBottom w:val="0"/>
      <w:divBdr>
        <w:top w:val="none" w:sz="0" w:space="0" w:color="auto"/>
        <w:left w:val="none" w:sz="0" w:space="0" w:color="auto"/>
        <w:bottom w:val="none" w:sz="0" w:space="0" w:color="auto"/>
        <w:right w:val="none" w:sz="0" w:space="0" w:color="auto"/>
      </w:divBdr>
    </w:div>
    <w:div w:id="627780569">
      <w:bodyDiv w:val="1"/>
      <w:marLeft w:val="0"/>
      <w:marRight w:val="0"/>
      <w:marTop w:val="0"/>
      <w:marBottom w:val="0"/>
      <w:divBdr>
        <w:top w:val="none" w:sz="0" w:space="0" w:color="auto"/>
        <w:left w:val="none" w:sz="0" w:space="0" w:color="auto"/>
        <w:bottom w:val="none" w:sz="0" w:space="0" w:color="auto"/>
        <w:right w:val="none" w:sz="0" w:space="0" w:color="auto"/>
      </w:divBdr>
    </w:div>
    <w:div w:id="851988828">
      <w:bodyDiv w:val="1"/>
      <w:marLeft w:val="0"/>
      <w:marRight w:val="0"/>
      <w:marTop w:val="0"/>
      <w:marBottom w:val="0"/>
      <w:divBdr>
        <w:top w:val="none" w:sz="0" w:space="0" w:color="auto"/>
        <w:left w:val="none" w:sz="0" w:space="0" w:color="auto"/>
        <w:bottom w:val="none" w:sz="0" w:space="0" w:color="auto"/>
        <w:right w:val="none" w:sz="0" w:space="0" w:color="auto"/>
      </w:divBdr>
    </w:div>
    <w:div w:id="1142039031">
      <w:bodyDiv w:val="1"/>
      <w:marLeft w:val="0"/>
      <w:marRight w:val="0"/>
      <w:marTop w:val="0"/>
      <w:marBottom w:val="0"/>
      <w:divBdr>
        <w:top w:val="none" w:sz="0" w:space="0" w:color="auto"/>
        <w:left w:val="none" w:sz="0" w:space="0" w:color="auto"/>
        <w:bottom w:val="none" w:sz="0" w:space="0" w:color="auto"/>
        <w:right w:val="none" w:sz="0" w:space="0" w:color="auto"/>
      </w:divBdr>
    </w:div>
    <w:div w:id="1152451659">
      <w:bodyDiv w:val="1"/>
      <w:marLeft w:val="0"/>
      <w:marRight w:val="0"/>
      <w:marTop w:val="0"/>
      <w:marBottom w:val="0"/>
      <w:divBdr>
        <w:top w:val="none" w:sz="0" w:space="0" w:color="auto"/>
        <w:left w:val="none" w:sz="0" w:space="0" w:color="auto"/>
        <w:bottom w:val="none" w:sz="0" w:space="0" w:color="auto"/>
        <w:right w:val="none" w:sz="0" w:space="0" w:color="auto"/>
      </w:divBdr>
    </w:div>
    <w:div w:id="1357803863">
      <w:bodyDiv w:val="1"/>
      <w:marLeft w:val="0"/>
      <w:marRight w:val="0"/>
      <w:marTop w:val="0"/>
      <w:marBottom w:val="0"/>
      <w:divBdr>
        <w:top w:val="none" w:sz="0" w:space="0" w:color="auto"/>
        <w:left w:val="none" w:sz="0" w:space="0" w:color="auto"/>
        <w:bottom w:val="none" w:sz="0" w:space="0" w:color="auto"/>
        <w:right w:val="none" w:sz="0" w:space="0" w:color="auto"/>
      </w:divBdr>
    </w:div>
    <w:div w:id="1507940425">
      <w:bodyDiv w:val="1"/>
      <w:marLeft w:val="0"/>
      <w:marRight w:val="0"/>
      <w:marTop w:val="0"/>
      <w:marBottom w:val="0"/>
      <w:divBdr>
        <w:top w:val="none" w:sz="0" w:space="0" w:color="auto"/>
        <w:left w:val="none" w:sz="0" w:space="0" w:color="auto"/>
        <w:bottom w:val="none" w:sz="0" w:space="0" w:color="auto"/>
        <w:right w:val="none" w:sz="0" w:space="0" w:color="auto"/>
      </w:divBdr>
    </w:div>
    <w:div w:id="1929583873">
      <w:bodyDiv w:val="1"/>
      <w:marLeft w:val="0"/>
      <w:marRight w:val="0"/>
      <w:marTop w:val="0"/>
      <w:marBottom w:val="0"/>
      <w:divBdr>
        <w:top w:val="none" w:sz="0" w:space="0" w:color="auto"/>
        <w:left w:val="none" w:sz="0" w:space="0" w:color="auto"/>
        <w:bottom w:val="none" w:sz="0" w:space="0" w:color="auto"/>
        <w:right w:val="none" w:sz="0" w:space="0" w:color="auto"/>
      </w:divBdr>
    </w:div>
    <w:div w:id="211316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6" ma:contentTypeDescription="Create a new document." ma:contentTypeScope="" ma:versionID="2574b1199b8c266d07366fa6b4177a6e">
  <xsd:schema xmlns:xsd="http://www.w3.org/2001/XMLSchema" xmlns:xs="http://www.w3.org/2001/XMLSchema" xmlns:p="http://schemas.microsoft.com/office/2006/metadata/properties" xmlns:ns2="6032ed8b-3e71-4b2f-ab7b-020545ac21c9" xmlns:ns3="2e3132a0-aaf2-4326-8928-c084593c093d" targetNamespace="http://schemas.microsoft.com/office/2006/metadata/properties" ma:root="true" ma:fieldsID="cb655b95d0e37e0fcb328fd832277427" ns2:_="" ns3:_="">
    <xsd:import namespace="6032ed8b-3e71-4b2f-ab7b-020545ac21c9"/>
    <xsd:import namespace="2e3132a0-aaf2-4326-8928-c084593c09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1869A-0548-4769-96A9-9F451996CF4D}">
  <ds:schemaRefs>
    <ds:schemaRef ds:uri="http://purl.org/dc/terms/"/>
    <ds:schemaRef ds:uri="http://schemas.microsoft.com/office/2006/documentManagement/types"/>
    <ds:schemaRef ds:uri="6032ed8b-3e71-4b2f-ab7b-020545ac21c9"/>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e3132a0-aaf2-4326-8928-c084593c093d"/>
    <ds:schemaRef ds:uri="http://www.w3.org/XML/1998/namespace"/>
    <ds:schemaRef ds:uri="http://purl.org/dc/dcmitype/"/>
  </ds:schemaRefs>
</ds:datastoreItem>
</file>

<file path=customXml/itemProps2.xml><?xml version="1.0" encoding="utf-8"?>
<ds:datastoreItem xmlns:ds="http://schemas.openxmlformats.org/officeDocument/2006/customXml" ds:itemID="{1DD30480-48D6-47B3-8500-360DAF412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BC15E8-777F-47AA-A4EA-55981CA8E5EF}">
  <ds:schemaRefs>
    <ds:schemaRef ds:uri="http://schemas.microsoft.com/sharepoint/v3/contenttype/forms"/>
  </ds:schemaRefs>
</ds:datastoreItem>
</file>

<file path=customXml/itemProps4.xml><?xml version="1.0" encoding="utf-8"?>
<ds:datastoreItem xmlns:ds="http://schemas.openxmlformats.org/officeDocument/2006/customXml" ds:itemID="{6D024277-35CA-4134-AFB5-05627238E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2435</Words>
  <Characters>13884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Smith(ESO), Philip</dc:creator>
  <cp:lastModifiedBy>Wamala (ESO), Laetitia</cp:lastModifiedBy>
  <cp:revision>6</cp:revision>
  <dcterms:created xsi:type="dcterms:W3CDTF">2021-06-16T11:24:00Z</dcterms:created>
  <dcterms:modified xsi:type="dcterms:W3CDTF">2021-06-16T12:41:00Z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_NewReviewCycle">
    <vt:lpwstr/>
  </property>
</Properties>
</file>