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483C67">
        <w:trPr>
          <w:trHeight w:val="826"/>
        </w:trPr>
        <w:tc>
          <w:tcPr>
            <w:tcW w:w="10070" w:type="dxa"/>
            <w:shd w:val="clear" w:color="auto" w:fill="F26522" w:themeFill="accent1"/>
          </w:tcPr>
          <w:p w14:paraId="137A8920" w14:textId="647C92B3" w:rsidR="00EE54D4" w:rsidRPr="00EB32BB" w:rsidRDefault="007D53DE" w:rsidP="00483C67">
            <w:pPr>
              <w:pStyle w:val="BlockText"/>
              <w:spacing w:before="0" w:after="0" w:line="240" w:lineRule="auto"/>
              <w:rPr>
                <w:rFonts w:cs="Arial"/>
                <w:sz w:val="20"/>
                <w:szCs w:val="20"/>
              </w:rPr>
            </w:pPr>
            <w:r>
              <w:rPr>
                <w:rFonts w:cs="Arial"/>
                <w:b/>
                <w:sz w:val="28"/>
                <w:szCs w:val="28"/>
              </w:rPr>
              <w:t>Grid Code</w:t>
            </w:r>
            <w:r w:rsidR="00EE54D4">
              <w:rPr>
                <w:rFonts w:cs="Arial"/>
                <w:b/>
                <w:sz w:val="28"/>
                <w:szCs w:val="28"/>
              </w:rPr>
              <w:t xml:space="preserve"> Alternative Form</w:t>
            </w:r>
          </w:p>
        </w:tc>
      </w:tr>
      <w:tr w:rsidR="005C2D1D" w:rsidRPr="00EB32BB" w14:paraId="18ACFA02" w14:textId="77777777" w:rsidTr="00483C67">
        <w:trPr>
          <w:trHeight w:val="2438"/>
        </w:trPr>
        <w:tc>
          <w:tcPr>
            <w:tcW w:w="10070" w:type="dxa"/>
            <w:shd w:val="clear" w:color="auto" w:fill="auto"/>
          </w:tcPr>
          <w:p w14:paraId="00BBA438" w14:textId="4D27ED5D" w:rsidR="00350A4E" w:rsidRPr="002A37F0" w:rsidRDefault="00350A4E" w:rsidP="00350A4E">
            <w:pPr>
              <w:rPr>
                <w:rFonts w:cs="Arial"/>
                <w:b/>
                <w:bCs/>
                <w:color w:val="F26522" w:themeColor="accent1"/>
                <w:sz w:val="28"/>
              </w:rPr>
            </w:pPr>
            <w:r>
              <w:rPr>
                <w:rFonts w:cs="Arial"/>
                <w:b/>
                <w:color w:val="F26522" w:themeColor="accent1"/>
                <w:sz w:val="28"/>
              </w:rPr>
              <w:t>GC01</w:t>
            </w:r>
            <w:r w:rsidR="002A37F0">
              <w:rPr>
                <w:rFonts w:cs="Arial"/>
                <w:b/>
                <w:color w:val="F26522" w:themeColor="accent1"/>
                <w:sz w:val="28"/>
              </w:rPr>
              <w:t>37</w:t>
            </w:r>
            <w:r>
              <w:rPr>
                <w:rFonts w:cs="Arial"/>
                <w:b/>
                <w:color w:val="F26522" w:themeColor="accent1"/>
                <w:sz w:val="28"/>
              </w:rPr>
              <w:t xml:space="preserve">: </w:t>
            </w:r>
            <w:r w:rsidR="002A37F0" w:rsidRPr="002A37F0">
              <w:rPr>
                <w:rFonts w:cs="Arial"/>
                <w:b/>
                <w:bCs/>
                <w:color w:val="F26522" w:themeColor="accent1"/>
                <w:sz w:val="28"/>
              </w:rPr>
              <w:t>Minimum Specification Required for Provision of GB Grid Forming (GBGF) Capability (formerly Virtual Synchronous Machine/VSM Capability)</w:t>
            </w:r>
          </w:p>
          <w:p w14:paraId="35ABBE36" w14:textId="26DE32A4" w:rsidR="005C2D1D" w:rsidRPr="00A6159E" w:rsidRDefault="002A37F0" w:rsidP="00483C67">
            <w:pPr>
              <w:spacing w:before="0" w:after="0" w:line="240" w:lineRule="auto"/>
              <w:rPr>
                <w:rFonts w:cs="Arial"/>
                <w:b/>
                <w:color w:val="F26522" w:themeColor="accent1"/>
                <w:sz w:val="24"/>
                <w:szCs w:val="20"/>
              </w:rPr>
            </w:pPr>
            <w:r w:rsidRPr="002A37F0">
              <w:t>This modification proposes to add a non-mandatory technical specification to the Grid Code, relating to what is referred to as Virtual Synchronous Machine (“VSM”) capability. The detail pertaining to its creation may be found in Section 3 “Why Change?” but the high-level overview is that the specification will enable applicable parties (primarily those utilising power electronic converter technologies e.g. wind farms, HVDC interconnectors and solar parks) to offer an additional grid stability service which will provide the opportunity to take part in a commercial market-based system.</w:t>
            </w:r>
          </w:p>
        </w:tc>
      </w:tr>
      <w:tr w:rsidR="00FC3DA0" w:rsidRPr="00EB32BB" w14:paraId="76F94904" w14:textId="77777777" w:rsidTr="00483C67">
        <w:trPr>
          <w:trHeight w:val="816"/>
        </w:trPr>
        <w:tc>
          <w:tcPr>
            <w:tcW w:w="10070" w:type="dxa"/>
            <w:shd w:val="clear" w:color="auto" w:fill="auto"/>
          </w:tcPr>
          <w:p w14:paraId="3EFFD0C7" w14:textId="1E0A5E75" w:rsidR="00FC3DA0" w:rsidRPr="00A02D8E" w:rsidRDefault="00FC3DA0" w:rsidP="00483C67">
            <w:pPr>
              <w:pStyle w:val="BodyText2"/>
              <w:spacing w:before="0" w:after="0"/>
              <w:rPr>
                <w:rFonts w:cs="Arial"/>
                <w:b/>
                <w:bCs/>
                <w:sz w:val="24"/>
              </w:rPr>
            </w:pPr>
            <w:r>
              <w:rPr>
                <w:rFonts w:cs="Arial"/>
                <w:b/>
                <w:bCs/>
                <w:sz w:val="24"/>
                <w:lang w:eastAsia="en-US"/>
              </w:rPr>
              <w:t>Overview:</w:t>
            </w:r>
            <w:r>
              <w:rPr>
                <w:rFonts w:cs="Arial"/>
                <w:sz w:val="24"/>
                <w:lang w:eastAsia="en-US"/>
              </w:rPr>
              <w:t xml:space="preserve"> [Insert a summary of the proposed alternative. What are the main differences between this alternative and the original solution?].</w:t>
            </w:r>
          </w:p>
        </w:tc>
      </w:tr>
      <w:tr w:rsidR="00FC3DA0" w:rsidRPr="00EB32BB" w14:paraId="32BC0750" w14:textId="77777777" w:rsidTr="00483C67">
        <w:trPr>
          <w:trHeight w:val="573"/>
        </w:trPr>
        <w:tc>
          <w:tcPr>
            <w:tcW w:w="10070" w:type="dxa"/>
            <w:shd w:val="clear" w:color="auto" w:fill="auto"/>
          </w:tcPr>
          <w:p w14:paraId="0ED6697A" w14:textId="77777777" w:rsidR="00FC3DA0" w:rsidRDefault="00FC3DA0" w:rsidP="00483C67">
            <w:pPr>
              <w:pStyle w:val="BodyText2"/>
              <w:spacing w:before="0" w:after="0"/>
              <w:rPr>
                <w:rFonts w:cs="Arial"/>
                <w:sz w:val="24"/>
                <w:lang w:eastAsia="en-US"/>
              </w:rPr>
            </w:pPr>
            <w:r>
              <w:rPr>
                <w:rFonts w:cs="Arial"/>
                <w:b/>
                <w:bCs/>
                <w:sz w:val="24"/>
                <w:lang w:eastAsia="en-US"/>
              </w:rPr>
              <w:t>Proposer:</w:t>
            </w:r>
            <w:r>
              <w:rPr>
                <w:rFonts w:cs="Arial"/>
                <w:sz w:val="24"/>
                <w:lang w:eastAsia="en-US"/>
              </w:rPr>
              <w:t xml:space="preserve"> [Name, Organisation]</w:t>
            </w:r>
          </w:p>
          <w:p w14:paraId="5687CC78" w14:textId="77777777" w:rsidR="00FC3DA0" w:rsidRDefault="00FC3DA0" w:rsidP="00483C67">
            <w:pPr>
              <w:pStyle w:val="BodyText2"/>
              <w:spacing w:before="0" w:after="0"/>
              <w:rPr>
                <w:rFonts w:cs="Arial"/>
                <w:b/>
                <w:bCs/>
                <w:sz w:val="24"/>
              </w:rPr>
            </w:pPr>
          </w:p>
        </w:tc>
      </w:tr>
      <w:tr w:rsidR="00AC298B" w:rsidRPr="00EB32BB" w14:paraId="6A8E329E" w14:textId="77777777" w:rsidTr="00483C67">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483C67">
            <w:pPr>
              <w:pStyle w:val="BodyText2"/>
              <w:spacing w:before="0" w:after="0"/>
              <w:rPr>
                <w:rFonts w:cs="Arial"/>
                <w:b/>
                <w:bCs/>
                <w:sz w:val="24"/>
              </w:rPr>
            </w:pPr>
          </w:p>
        </w:tc>
      </w:tr>
      <w:tr w:rsidR="001C12B3" w:rsidRPr="00EB32BB" w14:paraId="063E7DF3" w14:textId="77777777" w:rsidTr="00483C67">
        <w:trPr>
          <w:trHeight w:val="444"/>
        </w:trPr>
        <w:tc>
          <w:tcPr>
            <w:tcW w:w="10070" w:type="dxa"/>
            <w:shd w:val="clear" w:color="auto" w:fill="F26522" w:themeFill="accent1"/>
          </w:tcPr>
          <w:p w14:paraId="21F9C670" w14:textId="707FA160" w:rsidR="001C12B3" w:rsidRPr="00AC298B" w:rsidRDefault="001C12B3" w:rsidP="00483C67">
            <w:pPr>
              <w:pStyle w:val="BodyText2"/>
              <w:spacing w:before="0" w:after="0"/>
              <w:rPr>
                <w:rFonts w:cs="Arial"/>
                <w:b/>
                <w:bCs/>
                <w:color w:val="F26522" w:themeColor="accent1"/>
                <w:sz w:val="24"/>
              </w:rPr>
            </w:pPr>
            <w:r w:rsidRPr="00FB2FB5">
              <w:rPr>
                <w:rFonts w:cs="Arial"/>
                <w:b/>
                <w:bCs/>
                <w:color w:val="FFFFFF" w:themeColor="background1"/>
                <w:sz w:val="24"/>
              </w:rPr>
              <w:t>Guidance for Alternative Proposers</w:t>
            </w:r>
          </w:p>
        </w:tc>
      </w:tr>
      <w:tr w:rsidR="00AC298B" w:rsidRPr="00EB32BB" w14:paraId="16713EBA" w14:textId="77777777" w:rsidTr="00483C67">
        <w:trPr>
          <w:trHeight w:val="2570"/>
        </w:trPr>
        <w:tc>
          <w:tcPr>
            <w:tcW w:w="10070" w:type="dxa"/>
            <w:shd w:val="clear" w:color="auto" w:fill="auto"/>
          </w:tcPr>
          <w:p w14:paraId="39C67584" w14:textId="0317FEF2" w:rsidR="00AC298B" w:rsidRDefault="00554EB1" w:rsidP="00483C67">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483C67">
            <w:pPr>
              <w:pStyle w:val="BodyText2"/>
              <w:spacing w:before="0" w:after="0"/>
              <w:rPr>
                <w:rFonts w:cs="Arial"/>
                <w:bCs/>
                <w:color w:val="F26522" w:themeColor="accent1"/>
                <w:sz w:val="24"/>
              </w:rPr>
            </w:pPr>
          </w:p>
          <w:p w14:paraId="6133634A" w14:textId="73C89A26" w:rsidR="00E72D99" w:rsidRDefault="00FB2FB5" w:rsidP="00483C67">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483C67">
            <w:pPr>
              <w:pStyle w:val="BodyText2"/>
              <w:spacing w:before="0" w:after="0"/>
              <w:rPr>
                <w:rFonts w:cs="Arial"/>
                <w:bCs/>
                <w:color w:val="F26522" w:themeColor="accent1"/>
                <w:sz w:val="24"/>
              </w:rPr>
            </w:pPr>
          </w:p>
          <w:p w14:paraId="75DF66A2" w14:textId="4229FBDE" w:rsidR="005A734D" w:rsidRPr="005A734D" w:rsidRDefault="00086811" w:rsidP="00483C67">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0" w:name="_Executive_Summary"/>
      <w:bookmarkStart w:id="1" w:name="_Workgroup_Consultation_Introduction"/>
      <w:bookmarkEnd w:id="0"/>
      <w:bookmarkEnd w:id="1"/>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2"/>
      <w:r w:rsidRPr="000B6ADA">
        <w:rPr>
          <w:sz w:val="24"/>
        </w:rPr>
        <w:t>[Insert</w:t>
      </w:r>
      <w:r>
        <w:rPr>
          <w:sz w:val="24"/>
        </w:rPr>
        <w:t xml:space="preserve"> your solution</w:t>
      </w:r>
      <w:r w:rsidRPr="000B6ADA">
        <w:rPr>
          <w:sz w:val="24"/>
        </w:rPr>
        <w:t>]</w:t>
      </w:r>
      <w:commentRangeEnd w:id="2"/>
      <w:r>
        <w:rPr>
          <w:rStyle w:val="CommentReference"/>
        </w:rPr>
        <w:commentReference w:id="2"/>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941E4C" w:rsidRPr="00C73CBB" w14:paraId="727986FA" w14:textId="77777777" w:rsidTr="00915BAC">
        <w:trPr>
          <w:trHeight w:hRule="exact" w:val="561"/>
        </w:trPr>
        <w:tc>
          <w:tcPr>
            <w:tcW w:w="9209" w:type="dxa"/>
            <w:gridSpan w:val="2"/>
            <w:shd w:val="clear" w:color="auto" w:fill="F26522" w:themeFill="accent1"/>
            <w:vAlign w:val="center"/>
          </w:tcPr>
          <w:p w14:paraId="0D864108" w14:textId="77777777" w:rsidR="00941E4C" w:rsidRPr="00314414" w:rsidRDefault="00941E4C" w:rsidP="00915BAC">
            <w:pPr>
              <w:pStyle w:val="TableHeading"/>
              <w:rPr>
                <w:rFonts w:cs="Arial"/>
                <w:b/>
                <w:szCs w:val="20"/>
              </w:rPr>
            </w:pPr>
            <w:r w:rsidRPr="000B6ADA">
              <w:rPr>
                <w:rFonts w:cs="Arial"/>
                <w:b/>
                <w:color w:val="FFFFFF" w:themeColor="background1"/>
                <w:sz w:val="24"/>
                <w:szCs w:val="20"/>
              </w:rPr>
              <w:t xml:space="preserve">Proposer’s Assessment against </w:t>
            </w:r>
            <w:r>
              <w:rPr>
                <w:rFonts w:cs="Arial"/>
                <w:b/>
                <w:color w:val="FFFFFF" w:themeColor="background1"/>
                <w:sz w:val="24"/>
                <w:szCs w:val="20"/>
              </w:rPr>
              <w:t xml:space="preserve">Grid Code </w:t>
            </w:r>
            <w:r w:rsidRPr="000B6ADA">
              <w:rPr>
                <w:rFonts w:cs="Arial"/>
                <w:b/>
                <w:color w:val="FFFFFF" w:themeColor="background1"/>
                <w:sz w:val="24"/>
                <w:szCs w:val="20"/>
              </w:rPr>
              <w:t xml:space="preserve">Objectives  </w:t>
            </w:r>
          </w:p>
        </w:tc>
      </w:tr>
      <w:tr w:rsidR="00941E4C" w:rsidRPr="00C73CBB" w14:paraId="014C25FE" w14:textId="77777777" w:rsidTr="00915BAC">
        <w:trPr>
          <w:trHeight w:val="397"/>
        </w:trPr>
        <w:tc>
          <w:tcPr>
            <w:tcW w:w="6478" w:type="dxa"/>
          </w:tcPr>
          <w:p w14:paraId="3B3C1211" w14:textId="77777777" w:rsidR="00941E4C" w:rsidRPr="006A726B" w:rsidRDefault="00941E4C" w:rsidP="00915BAC">
            <w:pPr>
              <w:ind w:left="113" w:right="113"/>
              <w:rPr>
                <w:rFonts w:cs="Arial"/>
                <w:b/>
                <w:sz w:val="24"/>
                <w:szCs w:val="20"/>
              </w:rPr>
            </w:pPr>
            <w:r w:rsidRPr="006A726B">
              <w:rPr>
                <w:b/>
                <w:sz w:val="24"/>
                <w:szCs w:val="20"/>
              </w:rPr>
              <w:t>Relevant Objective</w:t>
            </w:r>
          </w:p>
        </w:tc>
        <w:tc>
          <w:tcPr>
            <w:tcW w:w="2731" w:type="dxa"/>
          </w:tcPr>
          <w:p w14:paraId="0A8DE9B9" w14:textId="77777777" w:rsidR="00941E4C" w:rsidRPr="006A726B" w:rsidRDefault="00941E4C" w:rsidP="00915BAC">
            <w:pPr>
              <w:ind w:left="113" w:right="113"/>
              <w:rPr>
                <w:b/>
                <w:sz w:val="24"/>
                <w:szCs w:val="20"/>
              </w:rPr>
            </w:pPr>
            <w:r w:rsidRPr="006A726B">
              <w:rPr>
                <w:b/>
                <w:sz w:val="24"/>
                <w:szCs w:val="20"/>
              </w:rPr>
              <w:t>Identified impact</w:t>
            </w:r>
          </w:p>
        </w:tc>
      </w:tr>
      <w:tr w:rsidR="00941E4C" w:rsidRPr="00C73CBB" w14:paraId="0F803E6F" w14:textId="77777777" w:rsidTr="00915BAC">
        <w:trPr>
          <w:trHeight w:val="397"/>
        </w:trPr>
        <w:tc>
          <w:tcPr>
            <w:tcW w:w="6478" w:type="dxa"/>
          </w:tcPr>
          <w:p w14:paraId="615A3532"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(a) To permit the development, maintenance and operation of an efficient, coordinated and economical system for the transmission of electricity</w:t>
            </w:r>
          </w:p>
        </w:tc>
        <w:tc>
          <w:tcPr>
            <w:tcW w:w="2731" w:type="dxa"/>
          </w:tcPr>
          <w:p w14:paraId="5CB7BAA5" w14:textId="77777777" w:rsidR="00941E4C" w:rsidRPr="006A726B" w:rsidRDefault="00941E4C" w:rsidP="00915BAC">
            <w:pPr>
              <w:spacing w:before="40"/>
              <w:ind w:left="113"/>
              <w:rPr>
                <w:sz w:val="24"/>
                <w:szCs w:val="20"/>
              </w:rPr>
            </w:pPr>
            <w:commentRangeStart w:id="3"/>
            <w:r w:rsidRPr="00D1569D">
              <w:rPr>
                <w:b/>
                <w:sz w:val="24"/>
              </w:rPr>
              <w:t>Positive/Negative/None:</w:t>
            </w:r>
            <w:r w:rsidRPr="00D1569D">
              <w:rPr>
                <w:sz w:val="24"/>
              </w:rPr>
              <w:t xml:space="preserve"> [Please provide rationale]</w:t>
            </w:r>
            <w:commentRangeEnd w:id="3"/>
            <w:r>
              <w:rPr>
                <w:rStyle w:val="CommentReference"/>
              </w:rPr>
              <w:commentReference w:id="3"/>
            </w:r>
          </w:p>
        </w:tc>
      </w:tr>
      <w:tr w:rsidR="00941E4C" w:rsidRPr="00C73CBB" w14:paraId="021D4B38" w14:textId="77777777" w:rsidTr="00915BAC">
        <w:trPr>
          <w:trHeight w:val="397"/>
        </w:trPr>
        <w:tc>
          <w:tcPr>
            <w:tcW w:w="6478" w:type="dxa"/>
          </w:tcPr>
          <w:p w14:paraId="45E7F0C8"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c>
          <w:tcPr>
            <w:tcW w:w="2731" w:type="dxa"/>
          </w:tcPr>
          <w:p w14:paraId="6E0CF4EE"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6AE2AC7C" w14:textId="77777777" w:rsidTr="00915BAC">
        <w:trPr>
          <w:trHeight w:val="397"/>
        </w:trPr>
        <w:tc>
          <w:tcPr>
            <w:tcW w:w="6478" w:type="dxa"/>
          </w:tcPr>
          <w:p w14:paraId="38DB6774"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(c) Subject to sub-paragraphs (</w:t>
            </w:r>
            <w:proofErr w:type="spellStart"/>
            <w:r w:rsidRPr="00C66D49">
              <w:rPr>
                <w:color w:val="auto"/>
                <w:sz w:val="24"/>
                <w:szCs w:val="20"/>
              </w:rPr>
              <w:t>i</w:t>
            </w:r>
            <w:proofErr w:type="spellEnd"/>
            <w:r w:rsidRPr="00C66D49">
              <w:rPr>
                <w:color w:val="auto"/>
                <w:sz w:val="24"/>
                <w:szCs w:val="20"/>
              </w:rPr>
              <w:t>) and (ii), to promote the security and efficiency of the electricity generation, transmission and distribution systems in the national electricity transmission system operator area taken as a whole;</w:t>
            </w:r>
          </w:p>
        </w:tc>
        <w:tc>
          <w:tcPr>
            <w:tcW w:w="2731" w:type="dxa"/>
          </w:tcPr>
          <w:p w14:paraId="541CAB41"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261EA0C5" w14:textId="77777777" w:rsidTr="00915BAC">
        <w:trPr>
          <w:trHeight w:val="397"/>
        </w:trPr>
        <w:tc>
          <w:tcPr>
            <w:tcW w:w="6478" w:type="dxa"/>
          </w:tcPr>
          <w:p w14:paraId="15000304"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 xml:space="preserve">(d) To efficiently discharge the obligations imposed upon the licensee by this license and to comply with the Electricity Regulation and any relevant legally binding decisions of the European Commission and/or the Agency; and  </w:t>
            </w:r>
          </w:p>
        </w:tc>
        <w:tc>
          <w:tcPr>
            <w:tcW w:w="2731" w:type="dxa"/>
          </w:tcPr>
          <w:p w14:paraId="3C806E92"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1F521C67" w14:textId="77777777" w:rsidTr="00915BAC">
        <w:trPr>
          <w:trHeight w:val="397"/>
        </w:trPr>
        <w:tc>
          <w:tcPr>
            <w:tcW w:w="6478" w:type="dxa"/>
          </w:tcPr>
          <w:p w14:paraId="000A7538" w14:textId="77777777" w:rsidR="00941E4C" w:rsidRPr="006A726B" w:rsidRDefault="00941E4C" w:rsidP="00915BAC">
            <w:pPr>
              <w:pStyle w:val="Tablebodycopy"/>
              <w:ind w:left="453" w:right="238" w:hanging="340"/>
              <w:rPr>
                <w:rFonts w:cs="Arial"/>
                <w:color w:val="auto"/>
                <w:sz w:val="24"/>
                <w:szCs w:val="20"/>
              </w:rPr>
            </w:pPr>
            <w:r w:rsidRPr="00C66D49">
              <w:rPr>
                <w:color w:val="auto"/>
                <w:sz w:val="24"/>
                <w:szCs w:val="20"/>
              </w:rPr>
              <w:t>(e) To promote efficiency in the implementation and administration of the Grid Code arrangements</w:t>
            </w:r>
          </w:p>
        </w:tc>
        <w:tc>
          <w:tcPr>
            <w:tcW w:w="2731" w:type="dxa"/>
          </w:tcPr>
          <w:p w14:paraId="2C3F9C0B"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r w:rsidRPr="00B72194">
        <w:rPr>
          <w:sz w:val="24"/>
        </w:rPr>
        <w:t>[</w:t>
      </w:r>
      <w:r>
        <w:rPr>
          <w:sz w:val="24"/>
        </w:rPr>
        <w:t>Insert the date which you are proposing the change is made to the code</w:t>
      </w:r>
      <w:r w:rsidRPr="00B72194">
        <w:rPr>
          <w:sz w:val="24"/>
        </w:rPr>
        <w:t>]</w:t>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4"/>
      <w:r w:rsidRPr="00AC04D3">
        <w:rPr>
          <w:sz w:val="24"/>
        </w:rPr>
        <w:lastRenderedPageBreak/>
        <w:t>[Insert approach]</w:t>
      </w:r>
      <w:commentRangeEnd w:id="4"/>
      <w:r>
        <w:rPr>
          <w:rStyle w:val="CommentReference"/>
        </w:rPr>
        <w:commentReference w:id="4"/>
      </w:r>
    </w:p>
    <w:p w14:paraId="0E267E81" w14:textId="75CFE56A" w:rsidR="00E65196" w:rsidRDefault="00E65196" w:rsidP="00E25874">
      <w:bookmarkStart w:id="5" w:name="_Workgroup_Consultation_1"/>
      <w:bookmarkEnd w:id="5"/>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6" w:name="_How_to_respond"/>
      <w:bookmarkEnd w:id="6"/>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7"/>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7"/>
            <w:r w:rsidR="00AC04D3">
              <w:rPr>
                <w:rStyle w:val="CommentReference"/>
                <w:lang w:val="en-GB"/>
              </w:rPr>
              <w:commentReference w:id="7"/>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8"/>
      <w:r w:rsidRPr="00250A22">
        <w:rPr>
          <w:b/>
          <w:sz w:val="24"/>
        </w:rPr>
        <w:t>Reference material:</w:t>
      </w:r>
    </w:p>
    <w:commentRangeEnd w:id="8"/>
    <w:p w14:paraId="28DBF18E" w14:textId="3A5658B6" w:rsidR="00754610" w:rsidRDefault="00AC04D3" w:rsidP="00754610">
      <w:pPr>
        <w:pStyle w:val="ListParagraph"/>
        <w:numPr>
          <w:ilvl w:val="0"/>
          <w:numId w:val="28"/>
        </w:numPr>
        <w:rPr>
          <w:sz w:val="24"/>
        </w:rPr>
      </w:pPr>
      <w:r>
        <w:rPr>
          <w:rStyle w:val="CommentReference"/>
        </w:rPr>
        <w:commentReference w:id="8"/>
      </w:r>
    </w:p>
    <w:p w14:paraId="1D961AE1" w14:textId="62FA9D7B" w:rsidR="00D037F9" w:rsidRDefault="00D037F9" w:rsidP="00D037F9">
      <w:pPr>
        <w:rPr>
          <w:sz w:val="24"/>
        </w:rPr>
      </w:pPr>
    </w:p>
    <w:sectPr w:rsidR="00D037F9" w:rsidSect="003B11AC">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3" w:author="Guidance" w:date="2020-09-09T08:44:00Z" w:initials="G">
    <w:p w14:paraId="2C186AB2" w14:textId="77777777" w:rsidR="00941E4C" w:rsidRDefault="00941E4C" w:rsidP="00941E4C">
      <w:pPr>
        <w:pStyle w:val="CommentText"/>
      </w:pPr>
      <w:r>
        <w:rPr>
          <w:rStyle w:val="CommentReference"/>
        </w:rPr>
        <w:annotationRef/>
      </w:r>
      <w:r>
        <w:t>Delete as appropriate. This is your assessment against the applicable objectives</w:t>
      </w:r>
    </w:p>
  </w:comment>
  <w:comment w:id="4"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7"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8"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36739E" w15:done="0"/>
  <w15:commentEx w15:paraId="2C186AB2"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36739E" w16cid:durableId="240E258D"/>
  <w16cid:commentId w16cid:paraId="2C186AB2" w16cid:durableId="240E258E"/>
  <w16cid:commentId w16cid:paraId="1FAAB578" w16cid:durableId="240E258F"/>
  <w16cid:commentId w16cid:paraId="66413A4A" w16cid:durableId="240E2590"/>
  <w16cid:commentId w16cid:paraId="4A2BAF43" w16cid:durableId="240E25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9DE1F" w14:textId="77777777" w:rsidR="004A5573" w:rsidRDefault="004A5573" w:rsidP="00D06DC4">
      <w:pPr>
        <w:spacing w:before="0" w:after="0" w:line="240" w:lineRule="auto"/>
      </w:pPr>
      <w:r>
        <w:separator/>
      </w:r>
    </w:p>
  </w:endnote>
  <w:endnote w:type="continuationSeparator" w:id="0">
    <w:p w14:paraId="0A03A886" w14:textId="77777777" w:rsidR="004A5573" w:rsidRDefault="004A5573" w:rsidP="00D06DC4">
      <w:pPr>
        <w:spacing w:before="0" w:after="0" w:line="240" w:lineRule="auto"/>
      </w:pPr>
      <w:r>
        <w:continuationSeparator/>
      </w:r>
    </w:p>
  </w:endnote>
  <w:endnote w:type="continuationNotice" w:id="1">
    <w:p w14:paraId="3E5B4021" w14:textId="77777777" w:rsidR="004A5573" w:rsidRDefault="004A5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6CA" w14:textId="77777777" w:rsidR="003F45D7" w:rsidRDefault="003F4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1E49" w14:textId="54D1D02D"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350A4E">
      <w:rPr>
        <w:rFonts w:cs="Arial"/>
        <w:noProof/>
        <w:sz w:val="16"/>
        <w:szCs w:val="16"/>
        <w:lang w:val="en-US"/>
      </w:rPr>
      <w:t>1</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350A4E">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7C68" w14:textId="77777777" w:rsidR="003F45D7" w:rsidRDefault="003F4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FE453" w14:textId="77777777" w:rsidR="004A5573" w:rsidRDefault="004A5573" w:rsidP="00D06DC4">
      <w:pPr>
        <w:spacing w:before="0" w:after="0" w:line="240" w:lineRule="auto"/>
      </w:pPr>
      <w:r>
        <w:separator/>
      </w:r>
    </w:p>
  </w:footnote>
  <w:footnote w:type="continuationSeparator" w:id="0">
    <w:p w14:paraId="04138B14" w14:textId="77777777" w:rsidR="004A5573" w:rsidRDefault="004A5573" w:rsidP="00D06DC4">
      <w:pPr>
        <w:spacing w:before="0" w:after="0" w:line="240" w:lineRule="auto"/>
      </w:pPr>
      <w:r>
        <w:continuationSeparator/>
      </w:r>
    </w:p>
  </w:footnote>
  <w:footnote w:type="continuationNotice" w:id="1">
    <w:p w14:paraId="1ACCF15C" w14:textId="77777777" w:rsidR="004A5573" w:rsidRDefault="004A55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91A6E" w14:textId="77777777" w:rsidR="003F45D7" w:rsidRDefault="003F4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547B" w14:textId="253313A2" w:rsidR="00B8588F" w:rsidRDefault="00B8588F" w:rsidP="000C711B">
    <w:pPr>
      <w:pStyle w:val="Header"/>
      <w:ind w:left="720" w:firstLine="720"/>
      <w:jc w:val="right"/>
    </w:pPr>
    <w:bookmarkStart w:id="9" w:name="_Hlk31876634"/>
    <w:bookmarkStart w:id="10" w:name="_Hlk31876635"/>
    <w:r w:rsidRPr="00184853">
      <w:rPr>
        <w:noProof/>
        <w:lang w:val="en-US" w:eastAsia="en-US"/>
      </w:rPr>
      <w:drawing>
        <wp:anchor distT="0" distB="0" distL="114300" distR="114300" simplePos="0" relativeHeight="251657216"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7D53DE">
      <w:t>GC</w:t>
    </w:r>
    <w:r w:rsidR="00350A4E">
      <w:t>01</w:t>
    </w:r>
    <w:r w:rsidR="002A37F0">
      <w:t>37</w:t>
    </w:r>
    <w:r w:rsidR="00F15028">
      <w:t xml:space="preserve"> Alternative X</w:t>
    </w:r>
    <w:r>
      <w:tab/>
    </w:r>
    <w:bookmarkEnd w:id="9"/>
    <w:bookmarkEnd w:id="10"/>
    <w:r w:rsidR="008C69B9">
      <w:t xml:space="preserve">Submitted: </w:t>
    </w:r>
    <w:r w:rsidR="003F45D7">
      <w:t>DAY</w:t>
    </w:r>
    <w:bookmarkStart w:id="11" w:name="_GoBack"/>
    <w:bookmarkEnd w:id="11"/>
    <w:r w:rsidR="001C6B13">
      <w:t xml:space="preserve"> </w:t>
    </w:r>
    <w:r w:rsidR="003F45D7">
      <w:t>MONTH</w:t>
    </w:r>
    <w:r w:rsidR="001C6B13">
      <w:t xml:space="preserve"> </w:t>
    </w:r>
    <w:r w:rsidR="003F45D7">
      <w:t>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A111C" w14:textId="77777777" w:rsidR="003F45D7" w:rsidRDefault="003F4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4F8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3837"/>
    <w:rsid w:val="00294971"/>
    <w:rsid w:val="00295110"/>
    <w:rsid w:val="002966CC"/>
    <w:rsid w:val="002971BF"/>
    <w:rsid w:val="002A0454"/>
    <w:rsid w:val="002A07AF"/>
    <w:rsid w:val="002A1AD0"/>
    <w:rsid w:val="002A37F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4A95"/>
    <w:rsid w:val="003450CE"/>
    <w:rsid w:val="003476D6"/>
    <w:rsid w:val="00347C7C"/>
    <w:rsid w:val="00350A4E"/>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347"/>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45D7"/>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3C67"/>
    <w:rsid w:val="00486612"/>
    <w:rsid w:val="004875AA"/>
    <w:rsid w:val="0048771C"/>
    <w:rsid w:val="004902CA"/>
    <w:rsid w:val="00490C99"/>
    <w:rsid w:val="0049139C"/>
    <w:rsid w:val="004930C4"/>
    <w:rsid w:val="004968CB"/>
    <w:rsid w:val="00496FB3"/>
    <w:rsid w:val="004972D4"/>
    <w:rsid w:val="00497D66"/>
    <w:rsid w:val="004A0A40"/>
    <w:rsid w:val="004A1267"/>
    <w:rsid w:val="004A5573"/>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140"/>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6AD"/>
    <w:rsid w:val="00775821"/>
    <w:rsid w:val="007760F3"/>
    <w:rsid w:val="007772C6"/>
    <w:rsid w:val="00777A55"/>
    <w:rsid w:val="00777B44"/>
    <w:rsid w:val="007833FE"/>
    <w:rsid w:val="00784CEF"/>
    <w:rsid w:val="00785417"/>
    <w:rsid w:val="00785606"/>
    <w:rsid w:val="00785A16"/>
    <w:rsid w:val="007879E3"/>
    <w:rsid w:val="00797437"/>
    <w:rsid w:val="007977E0"/>
    <w:rsid w:val="007A159A"/>
    <w:rsid w:val="007A1E50"/>
    <w:rsid w:val="007A33A6"/>
    <w:rsid w:val="007A3AAD"/>
    <w:rsid w:val="007A4186"/>
    <w:rsid w:val="007A5084"/>
    <w:rsid w:val="007A536A"/>
    <w:rsid w:val="007A6096"/>
    <w:rsid w:val="007A675B"/>
    <w:rsid w:val="007B5272"/>
    <w:rsid w:val="007B7ABB"/>
    <w:rsid w:val="007C197D"/>
    <w:rsid w:val="007C208F"/>
    <w:rsid w:val="007C23F8"/>
    <w:rsid w:val="007C34A2"/>
    <w:rsid w:val="007C7902"/>
    <w:rsid w:val="007D241F"/>
    <w:rsid w:val="007D3779"/>
    <w:rsid w:val="007D4E1B"/>
    <w:rsid w:val="007D4EE8"/>
    <w:rsid w:val="007D53DE"/>
    <w:rsid w:val="007D5451"/>
    <w:rsid w:val="007E0122"/>
    <w:rsid w:val="007E2323"/>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6A9E"/>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4C"/>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414A"/>
    <w:rsid w:val="00E02E80"/>
    <w:rsid w:val="00E03496"/>
    <w:rsid w:val="00E04473"/>
    <w:rsid w:val="00E04A73"/>
    <w:rsid w:val="00E0553F"/>
    <w:rsid w:val="00E11A30"/>
    <w:rsid w:val="00E144E0"/>
    <w:rsid w:val="00E16138"/>
    <w:rsid w:val="00E16797"/>
    <w:rsid w:val="00E16D72"/>
    <w:rsid w:val="00E20F8D"/>
    <w:rsid w:val="00E23223"/>
    <w:rsid w:val="00E25874"/>
    <w:rsid w:val="00E2799A"/>
    <w:rsid w:val="00E3000F"/>
    <w:rsid w:val="00E31A50"/>
    <w:rsid w:val="00E3329D"/>
    <w:rsid w:val="00E364C6"/>
    <w:rsid w:val="00E4032A"/>
    <w:rsid w:val="00E41CB2"/>
    <w:rsid w:val="00E431A1"/>
    <w:rsid w:val="00E434B4"/>
    <w:rsid w:val="00E4750A"/>
    <w:rsid w:val="00E47862"/>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07F76"/>
    <w:rsid w:val="00F1169B"/>
    <w:rsid w:val="00F13218"/>
    <w:rsid w:val="00F15028"/>
    <w:rsid w:val="00F17B86"/>
    <w:rsid w:val="00F20B1F"/>
    <w:rsid w:val="00F21FCF"/>
    <w:rsid w:val="00F27A74"/>
    <w:rsid w:val="00F3139A"/>
    <w:rsid w:val="00F32DCD"/>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3DA0"/>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985816914">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858619498">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500c4111159a6cdb2c559c09252a5b4b">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70b7d7a1b7933184738286741f0b676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7b6fe81-1556-4112-94ca-31043ca39b71">
      <UserInfo>
        <DisplayName>Henry (ESO), Joseph</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EE2F0-3E41-4022-AFEB-D6AFE7A7C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3.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 ds:uri="97b6fe81-1556-4112-94ca-31043ca39b71"/>
  </ds:schemaRefs>
</ds:datastoreItem>
</file>

<file path=customXml/itemProps4.xml><?xml version="1.0" encoding="utf-8"?>
<ds:datastoreItem xmlns:ds="http://schemas.openxmlformats.org/officeDocument/2006/customXml" ds:itemID="{622239C7-2006-4BCC-A425-A683F5F9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1</TotalTime>
  <Pages>4</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Patel (ESO), Kavita</cp:lastModifiedBy>
  <cp:revision>3</cp:revision>
  <cp:lastPrinted>2020-02-06T13:28:00Z</cp:lastPrinted>
  <dcterms:created xsi:type="dcterms:W3CDTF">2021-03-30T21:35:00Z</dcterms:created>
  <dcterms:modified xsi:type="dcterms:W3CDTF">2021-03-31T07:43:00Z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_NewReviewCycle">
    <vt:lpwstr/>
  </property>
</Properties>
</file>