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1050" w14:textId="77777777" w:rsidR="00540D4E" w:rsidRDefault="00C2141E" w:rsidP="00540D4E">
      <w:pPr>
        <w:pStyle w:val="Checklist"/>
        <w:tabs>
          <w:tab w:val="left" w:pos="4111"/>
        </w:tabs>
      </w:pPr>
      <w:bookmarkStart w:id="0" w:name="_GoBack"/>
      <w:bookmarkEnd w:id="0"/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893B31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3D5039F" w14:textId="55843AC6" w:rsidR="00CE6CC9" w:rsidRPr="000D39A2" w:rsidRDefault="00313FF2" w:rsidP="00A346B0">
      <w:pPr>
        <w:spacing w:after="240"/>
        <w:jc w:val="both"/>
        <w:rPr>
          <w:rFonts w:cs="Arial"/>
          <w:b/>
          <w:color w:val="F26522" w:themeColor="accent1"/>
          <w:sz w:val="40"/>
          <w:szCs w:val="40"/>
        </w:rPr>
      </w:pPr>
      <w:bookmarkStart w:id="1" w:name="_Hlk31877162"/>
      <w:r>
        <w:rPr>
          <w:rFonts w:cs="Arial"/>
          <w:b/>
          <w:color w:val="F26522" w:themeColor="accent1"/>
          <w:sz w:val="28"/>
        </w:rPr>
        <w:t>CMP</w:t>
      </w:r>
      <w:r w:rsidR="00CE6CC9">
        <w:rPr>
          <w:rFonts w:cs="Arial"/>
          <w:b/>
          <w:color w:val="F26522" w:themeColor="accent1"/>
          <w:sz w:val="28"/>
        </w:rPr>
        <w:t>35</w:t>
      </w:r>
      <w:r w:rsidR="002D58D9">
        <w:rPr>
          <w:rFonts w:cs="Arial"/>
          <w:b/>
          <w:color w:val="F26522" w:themeColor="accent1"/>
          <w:sz w:val="28"/>
        </w:rPr>
        <w:t>4</w:t>
      </w:r>
      <w:r w:rsidRPr="00CE6CC9">
        <w:rPr>
          <w:rFonts w:cs="Arial"/>
          <w:b/>
          <w:color w:val="F26522" w:themeColor="accent1"/>
          <w:sz w:val="28"/>
          <w:szCs w:val="28"/>
        </w:rPr>
        <w:t xml:space="preserve">: </w:t>
      </w:r>
      <w:r w:rsidR="000D39A2" w:rsidRPr="000D39A2">
        <w:rPr>
          <w:b/>
          <w:noProof/>
          <w:color w:val="F26522" w:themeColor="accent1"/>
          <w:sz w:val="28"/>
          <w:szCs w:val="28"/>
        </w:rPr>
        <w:t>Capacity Allocation and Congestion Management Regulation (CACM) cost sharing consequential changes</w:t>
      </w:r>
      <w:r w:rsidR="000D39A2" w:rsidRPr="000D39A2">
        <w:rPr>
          <w:noProof/>
          <w:color w:val="F26522" w:themeColor="accent1"/>
          <w:sz w:val="40"/>
          <w:szCs w:val="40"/>
        </w:rPr>
        <w:t xml:space="preserve"> </w:t>
      </w:r>
    </w:p>
    <w:bookmarkEnd w:id="1"/>
    <w:p w14:paraId="1970072A" w14:textId="77777777" w:rsidR="0006725A" w:rsidRPr="00CF795B" w:rsidRDefault="0006725A" w:rsidP="00A346B0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9CFA36E" w14:textId="253E68A4" w:rsidR="00313FF2" w:rsidRPr="00CF795B" w:rsidRDefault="00313FF2" w:rsidP="00A346B0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="00CE6CC9" w:rsidRPr="00CE6CC9">
        <w:rPr>
          <w:rFonts w:cs="Arial"/>
          <w:b/>
          <w:spacing w:val="-3"/>
          <w:sz w:val="24"/>
        </w:rPr>
        <w:t>5</w:t>
      </w:r>
      <w:r w:rsidRPr="00CE6CC9">
        <w:rPr>
          <w:rFonts w:cs="Arial"/>
          <w:b/>
          <w:spacing w:val="-3"/>
          <w:sz w:val="24"/>
        </w:rPr>
        <w:t>pm</w:t>
      </w:r>
      <w:r w:rsidRPr="00CE6CC9">
        <w:rPr>
          <w:rFonts w:cs="Arial"/>
          <w:spacing w:val="-3"/>
          <w:sz w:val="24"/>
        </w:rPr>
        <w:t xml:space="preserve"> on </w:t>
      </w:r>
      <w:r w:rsidR="000D39A2">
        <w:rPr>
          <w:rFonts w:cs="Arial"/>
          <w:b/>
          <w:bCs/>
          <w:spacing w:val="-3"/>
          <w:sz w:val="24"/>
        </w:rPr>
        <w:t>2</w:t>
      </w:r>
      <w:r w:rsidR="00A346B0">
        <w:rPr>
          <w:rFonts w:cs="Arial"/>
          <w:b/>
          <w:bCs/>
          <w:spacing w:val="-3"/>
          <w:sz w:val="24"/>
        </w:rPr>
        <w:t>3</w:t>
      </w:r>
      <w:r w:rsidR="00CE6CC9" w:rsidRPr="00CE6CC9">
        <w:rPr>
          <w:rFonts w:cs="Arial"/>
          <w:b/>
          <w:bCs/>
          <w:spacing w:val="-3"/>
          <w:sz w:val="24"/>
        </w:rPr>
        <w:t xml:space="preserve"> </w:t>
      </w:r>
      <w:r w:rsidR="000D39A2">
        <w:rPr>
          <w:rFonts w:cs="Arial"/>
          <w:b/>
          <w:bCs/>
          <w:spacing w:val="-3"/>
          <w:sz w:val="24"/>
        </w:rPr>
        <w:t>December</w:t>
      </w:r>
      <w:r w:rsidR="00CE6CC9" w:rsidRPr="00CE6CC9">
        <w:rPr>
          <w:rFonts w:cs="Arial"/>
          <w:b/>
          <w:bCs/>
          <w:spacing w:val="-3"/>
          <w:sz w:val="24"/>
        </w:rPr>
        <w:t xml:space="preserve"> 2020</w:t>
      </w:r>
      <w:proofErr w:type="gramStart"/>
      <w:r w:rsidRPr="00CE6CC9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</w:t>
      </w:r>
      <w:proofErr w:type="gramEnd"/>
      <w:r w:rsidRPr="00CF795B">
        <w:rPr>
          <w:rFonts w:cs="Arial"/>
          <w:spacing w:val="-3"/>
          <w:sz w:val="24"/>
        </w:rPr>
        <w:t>Please note that any responses received after the deadline or sent to a different email address may not receive due consideration by the Workgroup.</w:t>
      </w:r>
    </w:p>
    <w:p w14:paraId="2DBDB69D" w14:textId="558DE813" w:rsidR="00313FF2" w:rsidRPr="00CF795B" w:rsidRDefault="00313FF2" w:rsidP="00A346B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0D39A2">
        <w:rPr>
          <w:rFonts w:cs="Arial"/>
          <w:sz w:val="24"/>
        </w:rPr>
        <w:t xml:space="preserve">Paul Mullen </w:t>
      </w:r>
      <w:r w:rsidR="000D39A2">
        <w:rPr>
          <w:rStyle w:val="Hyperlink"/>
          <w:sz w:val="24"/>
        </w:rPr>
        <w:t>Paul.j.mullen</w:t>
      </w:r>
      <w:r w:rsidRPr="00F61649">
        <w:rPr>
          <w:rStyle w:val="Hyperlink"/>
          <w:sz w:val="24"/>
        </w:rPr>
        <w:t>@nationalgrideso.com</w:t>
      </w:r>
      <w:r w:rsidRPr="00CF795B">
        <w:rPr>
          <w:sz w:val="24"/>
        </w:rPr>
        <w:t xml:space="preserve"> or </w:t>
      </w:r>
      <w:hyperlink r:id="rId11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</w:p>
    <w:p w14:paraId="62135E0E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9BC7D2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C0C21B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8755EA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BAFA877" w14:textId="77777777" w:rsidTr="00760AB5">
        <w:trPr>
          <w:trHeight w:val="238"/>
        </w:trPr>
        <w:tc>
          <w:tcPr>
            <w:tcW w:w="3085" w:type="dxa"/>
          </w:tcPr>
          <w:p w14:paraId="7F1A87F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D4778C4307F94757BE5B5CDA1F09B4B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7DE715C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68E2F90" w14:textId="77777777" w:rsidTr="00760AB5">
        <w:trPr>
          <w:trHeight w:val="238"/>
        </w:trPr>
        <w:tc>
          <w:tcPr>
            <w:tcW w:w="3085" w:type="dxa"/>
          </w:tcPr>
          <w:p w14:paraId="4CDED97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C85FA141FE546ABBE17FCFE7C209AA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49640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2D44D76" w14:textId="77777777" w:rsidTr="00760AB5">
        <w:trPr>
          <w:trHeight w:val="238"/>
        </w:trPr>
        <w:tc>
          <w:tcPr>
            <w:tcW w:w="3085" w:type="dxa"/>
          </w:tcPr>
          <w:p w14:paraId="57C37FC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20AC92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F9CDF6" w14:textId="77777777" w:rsidTr="00760AB5">
        <w:trPr>
          <w:trHeight w:val="238"/>
        </w:trPr>
        <w:tc>
          <w:tcPr>
            <w:tcW w:w="3085" w:type="dxa"/>
          </w:tcPr>
          <w:p w14:paraId="55AC95B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0532C2A39854BBAA66812C47A69435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8F862F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9A6571D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3D68CBCD" w14:textId="77777777" w:rsidR="00313FF2" w:rsidRDefault="00313FF2" w:rsidP="00307162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85F5042" w14:textId="77777777" w:rsidR="00313FF2" w:rsidRDefault="00313FF2" w:rsidP="00307162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7B96FD8B" w14:textId="77777777" w:rsidR="00313FF2" w:rsidRDefault="00313FF2" w:rsidP="00307162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A89AA37" w14:textId="77777777" w:rsidR="00313FF2" w:rsidRDefault="00313FF2" w:rsidP="00307162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E53EF66" w14:textId="77777777" w:rsidR="00313FF2" w:rsidRDefault="00313FF2" w:rsidP="00307162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513F9B7" w14:textId="77777777" w:rsidR="00313FF2" w:rsidRDefault="00313FF2" w:rsidP="00307162">
      <w:pPr>
        <w:spacing w:after="160" w:line="259" w:lineRule="auto"/>
        <w:jc w:val="both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7E2A4168" w14:textId="4ED1B1F0" w:rsidR="00313FF2" w:rsidRPr="00D64BD6" w:rsidRDefault="00313FF2" w:rsidP="00CE6CC9">
      <w:pPr>
        <w:rPr>
          <w:i/>
        </w:rPr>
      </w:pPr>
      <w:r>
        <w:rPr>
          <w:rFonts w:cs="Arial"/>
          <w:b/>
          <w:sz w:val="24"/>
        </w:rPr>
        <w:br w:type="page"/>
      </w:r>
    </w:p>
    <w:p w14:paraId="361C3A67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73F9529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6552F286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EE153A7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62772E83" w14:textId="77777777" w:rsidTr="00760AB5">
        <w:trPr>
          <w:trHeight w:val="264"/>
        </w:trPr>
        <w:tc>
          <w:tcPr>
            <w:tcW w:w="483" w:type="dxa"/>
          </w:tcPr>
          <w:p w14:paraId="3A2EFC1C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378A9A8F" w14:textId="50CD70B9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CE6CC9">
              <w:rPr>
                <w:sz w:val="24"/>
              </w:rPr>
              <w:t>CMP</w:t>
            </w:r>
            <w:r w:rsidR="00CE6CC9" w:rsidRPr="00CE6CC9">
              <w:rPr>
                <w:sz w:val="24"/>
              </w:rPr>
              <w:t>3</w:t>
            </w:r>
            <w:r w:rsidR="00CE6CC9">
              <w:rPr>
                <w:sz w:val="24"/>
              </w:rPr>
              <w:t>5</w:t>
            </w:r>
            <w:r w:rsidR="000D39A2">
              <w:rPr>
                <w:sz w:val="24"/>
              </w:rPr>
              <w:t>4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Original Proposal</w:t>
            </w:r>
            <w:r w:rsidR="00CE6CC9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B58385D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A2ED5CA" w14:textId="77777777" w:rsidTr="00760AB5">
        <w:trPr>
          <w:trHeight w:val="264"/>
        </w:trPr>
        <w:tc>
          <w:tcPr>
            <w:tcW w:w="483" w:type="dxa"/>
          </w:tcPr>
          <w:p w14:paraId="1140328E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66E038B1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42EBC69A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E604F46" w14:textId="77777777" w:rsidTr="00760AB5">
        <w:trPr>
          <w:trHeight w:val="264"/>
        </w:trPr>
        <w:tc>
          <w:tcPr>
            <w:tcW w:w="483" w:type="dxa"/>
          </w:tcPr>
          <w:p w14:paraId="21CC8A0A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ED86B70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4CA90131717C4D5EB58C45CD7D85575F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0F9E7E4F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FCE2192" w14:textId="61B33847" w:rsidR="0006725A" w:rsidRDefault="0006725A" w:rsidP="0006725A">
      <w:pPr>
        <w:pStyle w:val="BodyText"/>
        <w:ind w:right="-97"/>
        <w:rPr>
          <w:b/>
          <w:sz w:val="24"/>
        </w:rPr>
      </w:pPr>
    </w:p>
    <w:p w14:paraId="3382F447" w14:textId="77777777" w:rsidR="000B340C" w:rsidRPr="00CF795B" w:rsidRDefault="000B340C" w:rsidP="0006725A">
      <w:pPr>
        <w:pStyle w:val="BodyText"/>
        <w:ind w:right="-97"/>
        <w:rPr>
          <w:b/>
          <w:sz w:val="24"/>
        </w:rPr>
      </w:pPr>
    </w:p>
    <w:sectPr w:rsidR="000B340C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412B5" w14:textId="77777777" w:rsidR="008A6936" w:rsidRDefault="008A6936" w:rsidP="0006725A">
      <w:pPr>
        <w:spacing w:line="240" w:lineRule="auto"/>
      </w:pPr>
      <w:r>
        <w:separator/>
      </w:r>
    </w:p>
  </w:endnote>
  <w:endnote w:type="continuationSeparator" w:id="0">
    <w:p w14:paraId="1D7DB47E" w14:textId="77777777" w:rsidR="008A6936" w:rsidRDefault="008A6936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22C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D55D0B5" w14:textId="77777777" w:rsidR="00B305B6" w:rsidRDefault="008A6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A1F9" w14:textId="77777777" w:rsidR="008A6936" w:rsidRDefault="008A6936" w:rsidP="0006725A">
      <w:pPr>
        <w:spacing w:line="240" w:lineRule="auto"/>
      </w:pPr>
      <w:r>
        <w:separator/>
      </w:r>
    </w:p>
  </w:footnote>
  <w:footnote w:type="continuationSeparator" w:id="0">
    <w:p w14:paraId="4A41E28E" w14:textId="77777777" w:rsidR="008A6936" w:rsidRDefault="008A6936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8019" w14:textId="0DB22651" w:rsidR="00313FF2" w:rsidRDefault="0006725A" w:rsidP="00A346B0">
    <w:pPr>
      <w:pStyle w:val="Header"/>
      <w:tabs>
        <w:tab w:val="clear" w:pos="4153"/>
        <w:tab w:val="clear" w:pos="8306"/>
        <w:tab w:val="center" w:pos="3119"/>
      </w:tabs>
      <w:ind w:left="720" w:right="94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42089B2" wp14:editId="6F4F285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A346B0">
      <w:t xml:space="preserve"> </w:t>
    </w:r>
    <w:r w:rsidR="00C2141E">
      <w:t>Code Administrator Consultation</w:t>
    </w:r>
    <w:r w:rsidR="00A346B0">
      <w:t xml:space="preserve"> </w:t>
    </w:r>
    <w:r w:rsidR="00313FF2" w:rsidRPr="00CE6CC9">
      <w:t>CMP</w:t>
    </w:r>
    <w:r w:rsidR="00CE6CC9" w:rsidRPr="00CE6CC9">
      <w:t>35</w:t>
    </w:r>
    <w:r w:rsidR="008F6B85">
      <w:t>4</w:t>
    </w:r>
  </w:p>
  <w:p w14:paraId="379822BD" w14:textId="37654EEB" w:rsidR="00A63A1C" w:rsidRDefault="00DF10F2" w:rsidP="00A346B0">
    <w:pPr>
      <w:pStyle w:val="Header"/>
      <w:ind w:left="720" w:right="94" w:firstLine="720"/>
      <w:jc w:val="right"/>
    </w:pPr>
    <w:r>
      <w:tab/>
      <w:t>Published on</w:t>
    </w:r>
    <w:r w:rsidR="00CE6CC9">
      <w:t xml:space="preserve"> </w:t>
    </w:r>
    <w:r w:rsidR="00A346B0">
      <w:t>2</w:t>
    </w:r>
    <w:r w:rsidR="008F6B85">
      <w:t>/12/</w:t>
    </w:r>
    <w:r w:rsidR="00CE6CC9">
      <w:t>2020</w:t>
    </w:r>
    <w:r>
      <w:t xml:space="preserve"> - respond by 5pm on </w:t>
    </w:r>
    <w:r w:rsidR="008F6B85">
      <w:t>2</w:t>
    </w:r>
    <w:r w:rsidR="00A346B0">
      <w:t>3</w:t>
    </w:r>
    <w:r w:rsidR="00CE6CC9">
      <w:t>/1</w:t>
    </w:r>
    <w:r w:rsidR="008F6B85">
      <w:t>2</w:t>
    </w:r>
    <w:r w:rsidR="00CE6CC9">
      <w:t>/2020</w:t>
    </w:r>
  </w:p>
  <w:p w14:paraId="62797676" w14:textId="77777777" w:rsidR="004B76AD" w:rsidRDefault="008A6936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9"/>
    <w:rsid w:val="00001630"/>
    <w:rsid w:val="00056499"/>
    <w:rsid w:val="0006725A"/>
    <w:rsid w:val="00087C95"/>
    <w:rsid w:val="00096E17"/>
    <w:rsid w:val="000B340C"/>
    <w:rsid w:val="000D146E"/>
    <w:rsid w:val="000D39A2"/>
    <w:rsid w:val="000E273C"/>
    <w:rsid w:val="00101C71"/>
    <w:rsid w:val="00120E3B"/>
    <w:rsid w:val="00132DB3"/>
    <w:rsid w:val="00183D8D"/>
    <w:rsid w:val="001F7E62"/>
    <w:rsid w:val="00217075"/>
    <w:rsid w:val="002D2F08"/>
    <w:rsid w:val="002D58D9"/>
    <w:rsid w:val="002D7074"/>
    <w:rsid w:val="002E610D"/>
    <w:rsid w:val="00307162"/>
    <w:rsid w:val="00313FF2"/>
    <w:rsid w:val="00330039"/>
    <w:rsid w:val="00386948"/>
    <w:rsid w:val="003B51E4"/>
    <w:rsid w:val="003C60F9"/>
    <w:rsid w:val="003C6C26"/>
    <w:rsid w:val="00441BF4"/>
    <w:rsid w:val="00486699"/>
    <w:rsid w:val="00540D4E"/>
    <w:rsid w:val="006103A5"/>
    <w:rsid w:val="006329D3"/>
    <w:rsid w:val="00677103"/>
    <w:rsid w:val="0069440A"/>
    <w:rsid w:val="006D6ECC"/>
    <w:rsid w:val="00713E51"/>
    <w:rsid w:val="00760AB5"/>
    <w:rsid w:val="00790E02"/>
    <w:rsid w:val="00794A5E"/>
    <w:rsid w:val="007D0BAB"/>
    <w:rsid w:val="00811809"/>
    <w:rsid w:val="00836CFF"/>
    <w:rsid w:val="00867B72"/>
    <w:rsid w:val="008A6936"/>
    <w:rsid w:val="008F6B85"/>
    <w:rsid w:val="00962A13"/>
    <w:rsid w:val="009A7FD6"/>
    <w:rsid w:val="00A10CD1"/>
    <w:rsid w:val="00A346B0"/>
    <w:rsid w:val="00A87266"/>
    <w:rsid w:val="00AC4CF2"/>
    <w:rsid w:val="00B657DD"/>
    <w:rsid w:val="00B75DF3"/>
    <w:rsid w:val="00B97BDE"/>
    <w:rsid w:val="00BD020A"/>
    <w:rsid w:val="00BE2538"/>
    <w:rsid w:val="00C204B9"/>
    <w:rsid w:val="00C2141E"/>
    <w:rsid w:val="00C456F3"/>
    <w:rsid w:val="00CB6146"/>
    <w:rsid w:val="00CC6E43"/>
    <w:rsid w:val="00CE6CC9"/>
    <w:rsid w:val="00CF795B"/>
    <w:rsid w:val="00D14DB8"/>
    <w:rsid w:val="00D1705C"/>
    <w:rsid w:val="00D179EE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41384"/>
  <w15:chartTrackingRefBased/>
  <w15:docId w15:val="{DCE5FB9F-1E82-4AD2-AF21-0D3D1DA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National%20Grid\Code%20Administrator%20-%20CUSC\3.%20CUSC%20Modifications\CMP351\Code%20Administrator%20Consultation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778C4307F94757BE5B5CDA1F09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6154-A078-4B42-817D-432F04589204}"/>
      </w:docPartPr>
      <w:docPartBody>
        <w:p w:rsidR="00E74D67" w:rsidRDefault="00F66D63">
          <w:pPr>
            <w:pStyle w:val="D4778C4307F94757BE5B5CDA1F09B4B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5FA141FE546ABBE17FCFE7C20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C5AC-F5CA-48E5-A7CE-C9FF1B253E1F}"/>
      </w:docPartPr>
      <w:docPartBody>
        <w:p w:rsidR="00E74D67" w:rsidRDefault="00F66D63">
          <w:pPr>
            <w:pStyle w:val="AC85FA141FE546ABBE17FCFE7C209A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32C2A39854BBAA66812C47A69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7066-ED7D-4B4F-8EBF-1DDB69AD9C24}"/>
      </w:docPartPr>
      <w:docPartBody>
        <w:p w:rsidR="00E74D67" w:rsidRDefault="00F66D63">
          <w:pPr>
            <w:pStyle w:val="80532C2A39854BBAA66812C47A69435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90131717C4D5EB58C45CD7D85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BA08-12D5-4DC5-A3E9-986F9FCE9912}"/>
      </w:docPartPr>
      <w:docPartBody>
        <w:p w:rsidR="00E74D67" w:rsidRDefault="00F66D63">
          <w:pPr>
            <w:pStyle w:val="4CA90131717C4D5EB58C45CD7D8557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67"/>
    <w:rsid w:val="0081697F"/>
    <w:rsid w:val="00E74D67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778C4307F94757BE5B5CDA1F09B4BC">
    <w:name w:val="D4778C4307F94757BE5B5CDA1F09B4BC"/>
  </w:style>
  <w:style w:type="paragraph" w:customStyle="1" w:styleId="AC85FA141FE546ABBE17FCFE7C209AA4">
    <w:name w:val="AC85FA141FE546ABBE17FCFE7C209AA4"/>
  </w:style>
  <w:style w:type="paragraph" w:customStyle="1" w:styleId="80532C2A39854BBAA66812C47A69435E">
    <w:name w:val="80532C2A39854BBAA66812C47A69435E"/>
  </w:style>
  <w:style w:type="paragraph" w:customStyle="1" w:styleId="4CA90131717C4D5EB58C45CD7D85575F">
    <w:name w:val="4CA90131717C4D5EB58C45CD7D855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4b53638bea34a38d749e5d1ad7dcb647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5fde6207ad4f461e79c1ad85c02ad47f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8CD5F-1FF4-4CFD-9453-D79FD57E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Mullen (ESO), Paul J</cp:lastModifiedBy>
  <cp:revision>8</cp:revision>
  <dcterms:created xsi:type="dcterms:W3CDTF">2020-10-14T12:14:00Z</dcterms:created>
  <dcterms:modified xsi:type="dcterms:W3CDTF">2020-12-01T16:01:00Z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