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EB83E3" w14:textId="77777777" w:rsidR="002F6BFA" w:rsidRPr="00244EDD" w:rsidRDefault="00A10CF5" w:rsidP="00244EDD">
      <w:pPr>
        <w:jc w:val="center"/>
        <w:rPr>
          <w:sz w:val="32"/>
        </w:rPr>
      </w:pPr>
      <w:bookmarkStart w:id="0" w:name="_GoBack"/>
      <w:bookmarkEnd w:id="0"/>
      <w:r>
        <w:rPr>
          <w:sz w:val="32"/>
        </w:rPr>
        <w:t>Request for Information</w:t>
      </w:r>
      <w:r w:rsidR="00F4769F">
        <w:rPr>
          <w:sz w:val="32"/>
        </w:rPr>
        <w:t xml:space="preserve"> Relating to Grid Code Modification “</w:t>
      </w:r>
      <w:r w:rsidR="002F6BFA" w:rsidRPr="00244EDD">
        <w:rPr>
          <w:sz w:val="32"/>
        </w:rPr>
        <w:t>GC0139 – Enhanced Planning Data Exchange</w:t>
      </w:r>
      <w:r w:rsidR="00F4769F">
        <w:rPr>
          <w:sz w:val="32"/>
        </w:rPr>
        <w:t>”</w:t>
      </w:r>
    </w:p>
    <w:p w14:paraId="4A2F632C" w14:textId="77777777" w:rsidR="002F6BFA" w:rsidRPr="00244EDD" w:rsidRDefault="002F6BFA" w:rsidP="00244EDD">
      <w:pPr>
        <w:jc w:val="center"/>
        <w:rPr>
          <w:sz w:val="32"/>
        </w:rPr>
      </w:pPr>
      <w:r w:rsidRPr="00244EDD">
        <w:rPr>
          <w:sz w:val="32"/>
        </w:rPr>
        <w:t>Resulting from Open Networks WS1B Product 4 “Data Exchange in Planning Timescales”</w:t>
      </w:r>
    </w:p>
    <w:p w14:paraId="16FC624F" w14:textId="77777777" w:rsidR="002F6BFA" w:rsidRDefault="002F6BFA" w:rsidP="00804057">
      <w:pPr>
        <w:pStyle w:val="Heading3"/>
        <w:jc w:val="center"/>
      </w:pPr>
    </w:p>
    <w:p w14:paraId="67E89250" w14:textId="660812F3" w:rsidR="00B631E6" w:rsidRDefault="005A6B02">
      <w:pPr>
        <w:pStyle w:val="TOC1"/>
        <w:tabs>
          <w:tab w:val="right" w:leader="dot" w:pos="9350"/>
        </w:tabs>
        <w:rPr>
          <w:rFonts w:eastAsiaTheme="minorEastAsia"/>
          <w:noProof/>
          <w:lang w:val="en-GB" w:eastAsia="en-GB"/>
        </w:rPr>
      </w:pPr>
      <w:r>
        <w:fldChar w:fldCharType="begin"/>
      </w:r>
      <w:r>
        <w:instrText xml:space="preserve"> TOC \o "1-2" \h \z \u </w:instrText>
      </w:r>
      <w:r>
        <w:fldChar w:fldCharType="separate"/>
      </w:r>
      <w:hyperlink w:anchor="_Toc47605615" w:history="1">
        <w:r w:rsidR="00B631E6" w:rsidRPr="006D2D22">
          <w:rPr>
            <w:rStyle w:val="Hyperlink"/>
            <w:noProof/>
          </w:rPr>
          <w:t>Purpose of Document and Rationale</w:t>
        </w:r>
        <w:r w:rsidR="00B631E6">
          <w:rPr>
            <w:noProof/>
            <w:webHidden/>
          </w:rPr>
          <w:tab/>
        </w:r>
        <w:r w:rsidR="00B631E6">
          <w:rPr>
            <w:noProof/>
            <w:webHidden/>
          </w:rPr>
          <w:fldChar w:fldCharType="begin"/>
        </w:r>
        <w:r w:rsidR="00B631E6">
          <w:rPr>
            <w:noProof/>
            <w:webHidden/>
          </w:rPr>
          <w:instrText xml:space="preserve"> PAGEREF _Toc47605615 \h </w:instrText>
        </w:r>
        <w:r w:rsidR="00B631E6">
          <w:rPr>
            <w:noProof/>
            <w:webHidden/>
          </w:rPr>
        </w:r>
        <w:r w:rsidR="00B631E6">
          <w:rPr>
            <w:noProof/>
            <w:webHidden/>
          </w:rPr>
          <w:fldChar w:fldCharType="separate"/>
        </w:r>
        <w:r w:rsidR="00B631E6">
          <w:rPr>
            <w:noProof/>
            <w:webHidden/>
          </w:rPr>
          <w:t>2</w:t>
        </w:r>
        <w:r w:rsidR="00B631E6">
          <w:rPr>
            <w:noProof/>
            <w:webHidden/>
          </w:rPr>
          <w:fldChar w:fldCharType="end"/>
        </w:r>
      </w:hyperlink>
    </w:p>
    <w:p w14:paraId="6041F49B" w14:textId="645F9BCA" w:rsidR="00B631E6" w:rsidRDefault="00B631E6">
      <w:pPr>
        <w:pStyle w:val="TOC1"/>
        <w:tabs>
          <w:tab w:val="right" w:leader="dot" w:pos="9350"/>
        </w:tabs>
        <w:rPr>
          <w:rFonts w:eastAsiaTheme="minorEastAsia"/>
          <w:noProof/>
          <w:lang w:val="en-GB" w:eastAsia="en-GB"/>
        </w:rPr>
      </w:pPr>
      <w:hyperlink w:anchor="_Toc47605616" w:history="1">
        <w:r w:rsidRPr="006D2D22">
          <w:rPr>
            <w:rStyle w:val="Hyperlink"/>
            <w:noProof/>
          </w:rPr>
          <w:t>Data Enhancement Detail</w:t>
        </w:r>
        <w:r>
          <w:rPr>
            <w:noProof/>
            <w:webHidden/>
          </w:rPr>
          <w:tab/>
        </w:r>
        <w:r>
          <w:rPr>
            <w:noProof/>
            <w:webHidden/>
          </w:rPr>
          <w:fldChar w:fldCharType="begin"/>
        </w:r>
        <w:r>
          <w:rPr>
            <w:noProof/>
            <w:webHidden/>
          </w:rPr>
          <w:instrText xml:space="preserve"> PAGEREF _Toc47605616 \h </w:instrText>
        </w:r>
        <w:r>
          <w:rPr>
            <w:noProof/>
            <w:webHidden/>
          </w:rPr>
        </w:r>
        <w:r>
          <w:rPr>
            <w:noProof/>
            <w:webHidden/>
          </w:rPr>
          <w:fldChar w:fldCharType="separate"/>
        </w:r>
        <w:r>
          <w:rPr>
            <w:noProof/>
            <w:webHidden/>
          </w:rPr>
          <w:t>3</w:t>
        </w:r>
        <w:r>
          <w:rPr>
            <w:noProof/>
            <w:webHidden/>
          </w:rPr>
          <w:fldChar w:fldCharType="end"/>
        </w:r>
      </w:hyperlink>
    </w:p>
    <w:p w14:paraId="5D51CD93" w14:textId="0453373C" w:rsidR="00B631E6" w:rsidRDefault="00B631E6">
      <w:pPr>
        <w:pStyle w:val="TOC2"/>
        <w:tabs>
          <w:tab w:val="right" w:leader="dot" w:pos="9350"/>
        </w:tabs>
        <w:rPr>
          <w:rFonts w:eastAsiaTheme="minorEastAsia"/>
          <w:noProof/>
          <w:lang w:val="en-GB" w:eastAsia="en-GB"/>
        </w:rPr>
      </w:pPr>
      <w:hyperlink w:anchor="_Toc47605617" w:history="1">
        <w:r w:rsidRPr="006D2D22">
          <w:rPr>
            <w:rStyle w:val="Hyperlink"/>
            <w:noProof/>
          </w:rPr>
          <w:t xml:space="preserve">Additions to Existing Week 24 &amp; Week 50 Data Exchange (DNO </w:t>
        </w:r>
        <w:r w:rsidRPr="006D2D22">
          <w:rPr>
            <w:rStyle w:val="Hyperlink"/>
            <w:noProof/>
          </w:rPr>
          <w:sym w:font="Wingdings" w:char="F0E0"/>
        </w:r>
        <w:r w:rsidRPr="006D2D22">
          <w:rPr>
            <w:rStyle w:val="Hyperlink"/>
            <w:noProof/>
          </w:rPr>
          <w:t xml:space="preserve"> NGESO </w:t>
        </w:r>
        <w:r w:rsidRPr="006D2D22">
          <w:rPr>
            <w:rStyle w:val="Hyperlink"/>
            <w:noProof/>
          </w:rPr>
          <w:sym w:font="Wingdings" w:char="F0E0"/>
        </w:r>
        <w:r w:rsidRPr="006D2D22">
          <w:rPr>
            <w:rStyle w:val="Hyperlink"/>
            <w:noProof/>
          </w:rPr>
          <w:t xml:space="preserve"> TOs)</w:t>
        </w:r>
        <w:r>
          <w:rPr>
            <w:noProof/>
            <w:webHidden/>
          </w:rPr>
          <w:tab/>
        </w:r>
        <w:r>
          <w:rPr>
            <w:noProof/>
            <w:webHidden/>
          </w:rPr>
          <w:fldChar w:fldCharType="begin"/>
        </w:r>
        <w:r>
          <w:rPr>
            <w:noProof/>
            <w:webHidden/>
          </w:rPr>
          <w:instrText xml:space="preserve"> PAGEREF _Toc47605617 \h </w:instrText>
        </w:r>
        <w:r>
          <w:rPr>
            <w:noProof/>
            <w:webHidden/>
          </w:rPr>
        </w:r>
        <w:r>
          <w:rPr>
            <w:noProof/>
            <w:webHidden/>
          </w:rPr>
          <w:fldChar w:fldCharType="separate"/>
        </w:r>
        <w:r>
          <w:rPr>
            <w:noProof/>
            <w:webHidden/>
          </w:rPr>
          <w:t>4</w:t>
        </w:r>
        <w:r>
          <w:rPr>
            <w:noProof/>
            <w:webHidden/>
          </w:rPr>
          <w:fldChar w:fldCharType="end"/>
        </w:r>
      </w:hyperlink>
    </w:p>
    <w:p w14:paraId="2648767E" w14:textId="68EE7358" w:rsidR="00B631E6" w:rsidRDefault="00B631E6">
      <w:pPr>
        <w:pStyle w:val="TOC2"/>
        <w:tabs>
          <w:tab w:val="right" w:leader="dot" w:pos="9350"/>
        </w:tabs>
        <w:rPr>
          <w:rFonts w:eastAsiaTheme="minorEastAsia"/>
          <w:noProof/>
          <w:lang w:val="en-GB" w:eastAsia="en-GB"/>
        </w:rPr>
      </w:pPr>
      <w:hyperlink w:anchor="_Toc47605618" w:history="1">
        <w:r w:rsidRPr="006D2D22">
          <w:rPr>
            <w:rStyle w:val="Hyperlink"/>
            <w:noProof/>
          </w:rPr>
          <w:t xml:space="preserve">Additions to Existing Week 42 Data (NGESO </w:t>
        </w:r>
        <w:r w:rsidRPr="006D2D22">
          <w:rPr>
            <w:rStyle w:val="Hyperlink"/>
            <w:noProof/>
          </w:rPr>
          <w:sym w:font="Wingdings" w:char="F0E0"/>
        </w:r>
        <w:r w:rsidRPr="006D2D22">
          <w:rPr>
            <w:rStyle w:val="Hyperlink"/>
            <w:noProof/>
          </w:rPr>
          <w:t xml:space="preserve"> DNO)</w:t>
        </w:r>
        <w:r>
          <w:rPr>
            <w:noProof/>
            <w:webHidden/>
          </w:rPr>
          <w:tab/>
        </w:r>
        <w:r>
          <w:rPr>
            <w:noProof/>
            <w:webHidden/>
          </w:rPr>
          <w:fldChar w:fldCharType="begin"/>
        </w:r>
        <w:r>
          <w:rPr>
            <w:noProof/>
            <w:webHidden/>
          </w:rPr>
          <w:instrText xml:space="preserve"> PAGEREF _Toc47605618 \h </w:instrText>
        </w:r>
        <w:r>
          <w:rPr>
            <w:noProof/>
            <w:webHidden/>
          </w:rPr>
        </w:r>
        <w:r>
          <w:rPr>
            <w:noProof/>
            <w:webHidden/>
          </w:rPr>
          <w:fldChar w:fldCharType="separate"/>
        </w:r>
        <w:r>
          <w:rPr>
            <w:noProof/>
            <w:webHidden/>
          </w:rPr>
          <w:t>4</w:t>
        </w:r>
        <w:r>
          <w:rPr>
            <w:noProof/>
            <w:webHidden/>
          </w:rPr>
          <w:fldChar w:fldCharType="end"/>
        </w:r>
      </w:hyperlink>
    </w:p>
    <w:p w14:paraId="44F67D70" w14:textId="3EDF8EE6" w:rsidR="00B631E6" w:rsidRDefault="00B631E6">
      <w:pPr>
        <w:pStyle w:val="TOC1"/>
        <w:tabs>
          <w:tab w:val="right" w:leader="dot" w:pos="9350"/>
        </w:tabs>
        <w:rPr>
          <w:rFonts w:eastAsiaTheme="minorEastAsia"/>
          <w:noProof/>
          <w:lang w:val="en-GB" w:eastAsia="en-GB"/>
        </w:rPr>
      </w:pPr>
      <w:hyperlink w:anchor="_Toc47605619" w:history="1">
        <w:r w:rsidRPr="006D2D22">
          <w:rPr>
            <w:rStyle w:val="Hyperlink"/>
            <w:noProof/>
          </w:rPr>
          <w:t>Request</w:t>
        </w:r>
        <w:r>
          <w:rPr>
            <w:noProof/>
            <w:webHidden/>
          </w:rPr>
          <w:tab/>
        </w:r>
        <w:r>
          <w:rPr>
            <w:noProof/>
            <w:webHidden/>
          </w:rPr>
          <w:fldChar w:fldCharType="begin"/>
        </w:r>
        <w:r>
          <w:rPr>
            <w:noProof/>
            <w:webHidden/>
          </w:rPr>
          <w:instrText xml:space="preserve"> PAGEREF _Toc47605619 \h </w:instrText>
        </w:r>
        <w:r>
          <w:rPr>
            <w:noProof/>
            <w:webHidden/>
          </w:rPr>
        </w:r>
        <w:r>
          <w:rPr>
            <w:noProof/>
            <w:webHidden/>
          </w:rPr>
          <w:fldChar w:fldCharType="separate"/>
        </w:r>
        <w:r>
          <w:rPr>
            <w:noProof/>
            <w:webHidden/>
          </w:rPr>
          <w:t>5</w:t>
        </w:r>
        <w:r>
          <w:rPr>
            <w:noProof/>
            <w:webHidden/>
          </w:rPr>
          <w:fldChar w:fldCharType="end"/>
        </w:r>
      </w:hyperlink>
    </w:p>
    <w:p w14:paraId="3F371E55" w14:textId="65F9232B" w:rsidR="00B631E6" w:rsidRDefault="00B631E6">
      <w:pPr>
        <w:pStyle w:val="TOC1"/>
        <w:tabs>
          <w:tab w:val="right" w:leader="dot" w:pos="9350"/>
        </w:tabs>
        <w:rPr>
          <w:rFonts w:eastAsiaTheme="minorEastAsia"/>
          <w:noProof/>
          <w:lang w:val="en-GB" w:eastAsia="en-GB"/>
        </w:rPr>
      </w:pPr>
      <w:hyperlink w:anchor="_Toc47605620" w:history="1">
        <w:r w:rsidRPr="006D2D22">
          <w:rPr>
            <w:rStyle w:val="Hyperlink"/>
            <w:noProof/>
          </w:rPr>
          <w:t>Additional Considerations for Feedback</w:t>
        </w:r>
        <w:r>
          <w:rPr>
            <w:noProof/>
            <w:webHidden/>
          </w:rPr>
          <w:tab/>
        </w:r>
        <w:r>
          <w:rPr>
            <w:noProof/>
            <w:webHidden/>
          </w:rPr>
          <w:fldChar w:fldCharType="begin"/>
        </w:r>
        <w:r>
          <w:rPr>
            <w:noProof/>
            <w:webHidden/>
          </w:rPr>
          <w:instrText xml:space="preserve"> PAGEREF _Toc47605620 \h </w:instrText>
        </w:r>
        <w:r>
          <w:rPr>
            <w:noProof/>
            <w:webHidden/>
          </w:rPr>
        </w:r>
        <w:r>
          <w:rPr>
            <w:noProof/>
            <w:webHidden/>
          </w:rPr>
          <w:fldChar w:fldCharType="separate"/>
        </w:r>
        <w:r>
          <w:rPr>
            <w:noProof/>
            <w:webHidden/>
          </w:rPr>
          <w:t>5</w:t>
        </w:r>
        <w:r>
          <w:rPr>
            <w:noProof/>
            <w:webHidden/>
          </w:rPr>
          <w:fldChar w:fldCharType="end"/>
        </w:r>
      </w:hyperlink>
    </w:p>
    <w:p w14:paraId="40938B41" w14:textId="043B1AEA" w:rsidR="00B631E6" w:rsidRDefault="00B631E6">
      <w:pPr>
        <w:pStyle w:val="TOC1"/>
        <w:tabs>
          <w:tab w:val="right" w:leader="dot" w:pos="9350"/>
        </w:tabs>
        <w:rPr>
          <w:rFonts w:eastAsiaTheme="minorEastAsia"/>
          <w:noProof/>
          <w:lang w:val="en-GB" w:eastAsia="en-GB"/>
        </w:rPr>
      </w:pPr>
      <w:hyperlink w:anchor="_Toc47605621" w:history="1">
        <w:r w:rsidRPr="006D2D22">
          <w:rPr>
            <w:rStyle w:val="Hyperlink"/>
            <w:noProof/>
          </w:rPr>
          <w:t>Reference Materials</w:t>
        </w:r>
        <w:r>
          <w:rPr>
            <w:noProof/>
            <w:webHidden/>
          </w:rPr>
          <w:tab/>
        </w:r>
        <w:r>
          <w:rPr>
            <w:noProof/>
            <w:webHidden/>
          </w:rPr>
          <w:fldChar w:fldCharType="begin"/>
        </w:r>
        <w:r>
          <w:rPr>
            <w:noProof/>
            <w:webHidden/>
          </w:rPr>
          <w:instrText xml:space="preserve"> PAGEREF _Toc47605621 \h </w:instrText>
        </w:r>
        <w:r>
          <w:rPr>
            <w:noProof/>
            <w:webHidden/>
          </w:rPr>
        </w:r>
        <w:r>
          <w:rPr>
            <w:noProof/>
            <w:webHidden/>
          </w:rPr>
          <w:fldChar w:fldCharType="separate"/>
        </w:r>
        <w:r>
          <w:rPr>
            <w:noProof/>
            <w:webHidden/>
          </w:rPr>
          <w:t>8</w:t>
        </w:r>
        <w:r>
          <w:rPr>
            <w:noProof/>
            <w:webHidden/>
          </w:rPr>
          <w:fldChar w:fldCharType="end"/>
        </w:r>
      </w:hyperlink>
    </w:p>
    <w:p w14:paraId="7752176C" w14:textId="7F8FF679" w:rsidR="00B631E6" w:rsidRDefault="00B631E6">
      <w:pPr>
        <w:pStyle w:val="TOC1"/>
        <w:tabs>
          <w:tab w:val="right" w:leader="dot" w:pos="9350"/>
        </w:tabs>
        <w:rPr>
          <w:rFonts w:eastAsiaTheme="minorEastAsia"/>
          <w:noProof/>
          <w:lang w:val="en-GB" w:eastAsia="en-GB"/>
        </w:rPr>
      </w:pPr>
      <w:hyperlink w:anchor="_Toc47605622" w:history="1">
        <w:r w:rsidRPr="006D2D22">
          <w:rPr>
            <w:rStyle w:val="Hyperlink"/>
            <w:rFonts w:eastAsia="Times New Roman"/>
            <w:noProof/>
            <w:lang w:val="en-GB" w:eastAsia="en-GB"/>
          </w:rPr>
          <w:t>Appendix A – Cost Estimates</w:t>
        </w:r>
        <w:r>
          <w:rPr>
            <w:noProof/>
            <w:webHidden/>
          </w:rPr>
          <w:tab/>
        </w:r>
        <w:r>
          <w:rPr>
            <w:noProof/>
            <w:webHidden/>
          </w:rPr>
          <w:fldChar w:fldCharType="begin"/>
        </w:r>
        <w:r>
          <w:rPr>
            <w:noProof/>
            <w:webHidden/>
          </w:rPr>
          <w:instrText xml:space="preserve"> PAGEREF _Toc47605622 \h </w:instrText>
        </w:r>
        <w:r>
          <w:rPr>
            <w:noProof/>
            <w:webHidden/>
          </w:rPr>
        </w:r>
        <w:r>
          <w:rPr>
            <w:noProof/>
            <w:webHidden/>
          </w:rPr>
          <w:fldChar w:fldCharType="separate"/>
        </w:r>
        <w:r>
          <w:rPr>
            <w:noProof/>
            <w:webHidden/>
          </w:rPr>
          <w:t>9</w:t>
        </w:r>
        <w:r>
          <w:rPr>
            <w:noProof/>
            <w:webHidden/>
          </w:rPr>
          <w:fldChar w:fldCharType="end"/>
        </w:r>
      </w:hyperlink>
    </w:p>
    <w:p w14:paraId="23599022" w14:textId="238B5981" w:rsidR="00B631E6" w:rsidRDefault="00B631E6">
      <w:pPr>
        <w:pStyle w:val="TOC1"/>
        <w:tabs>
          <w:tab w:val="right" w:leader="dot" w:pos="9350"/>
        </w:tabs>
        <w:rPr>
          <w:rFonts w:eastAsiaTheme="minorEastAsia"/>
          <w:noProof/>
          <w:lang w:val="en-GB" w:eastAsia="en-GB"/>
        </w:rPr>
      </w:pPr>
      <w:hyperlink w:anchor="_Toc47605623" w:history="1">
        <w:r w:rsidRPr="006D2D22">
          <w:rPr>
            <w:rStyle w:val="Hyperlink"/>
            <w:noProof/>
          </w:rPr>
          <w:t>Appendix B – Challenges of Defining a Switch Level Representation of The Transmission System Model Using Spreadsheets</w:t>
        </w:r>
        <w:r>
          <w:rPr>
            <w:noProof/>
            <w:webHidden/>
          </w:rPr>
          <w:tab/>
        </w:r>
        <w:r>
          <w:rPr>
            <w:noProof/>
            <w:webHidden/>
          </w:rPr>
          <w:fldChar w:fldCharType="begin"/>
        </w:r>
        <w:r>
          <w:rPr>
            <w:noProof/>
            <w:webHidden/>
          </w:rPr>
          <w:instrText xml:space="preserve"> PAGEREF _Toc47605623 \h </w:instrText>
        </w:r>
        <w:r>
          <w:rPr>
            <w:noProof/>
            <w:webHidden/>
          </w:rPr>
        </w:r>
        <w:r>
          <w:rPr>
            <w:noProof/>
            <w:webHidden/>
          </w:rPr>
          <w:fldChar w:fldCharType="separate"/>
        </w:r>
        <w:r>
          <w:rPr>
            <w:noProof/>
            <w:webHidden/>
          </w:rPr>
          <w:t>11</w:t>
        </w:r>
        <w:r>
          <w:rPr>
            <w:noProof/>
            <w:webHidden/>
          </w:rPr>
          <w:fldChar w:fldCharType="end"/>
        </w:r>
      </w:hyperlink>
    </w:p>
    <w:p w14:paraId="3E3F8410" w14:textId="32D31C11" w:rsidR="00456AB2" w:rsidRDefault="005A6B02">
      <w:pPr>
        <w:sectPr w:rsidR="00456AB2" w:rsidSect="00456AB2">
          <w:headerReference w:type="first" r:id="rId11"/>
          <w:pgSz w:w="12240" w:h="15840"/>
          <w:pgMar w:top="1440" w:right="1440" w:bottom="1440" w:left="1440" w:header="426" w:footer="708" w:gutter="0"/>
          <w:cols w:space="708"/>
          <w:titlePg/>
          <w:docGrid w:linePitch="360"/>
        </w:sectPr>
      </w:pPr>
      <w:r>
        <w:fldChar w:fldCharType="end"/>
      </w:r>
    </w:p>
    <w:p w14:paraId="25BA1EC0" w14:textId="77777777" w:rsidR="002F6BFA" w:rsidRPr="002F6BFA" w:rsidRDefault="002F6BFA" w:rsidP="00DD6CFA">
      <w:pPr>
        <w:pStyle w:val="Heading1"/>
      </w:pPr>
      <w:bookmarkStart w:id="1" w:name="_Toc47605615"/>
      <w:r w:rsidRPr="002F6BFA">
        <w:lastRenderedPageBreak/>
        <w:t>Purpose</w:t>
      </w:r>
      <w:r w:rsidR="00465C42">
        <w:t xml:space="preserve"> of Document</w:t>
      </w:r>
      <w:r w:rsidR="00FF2BBD">
        <w:t xml:space="preserve"> and Rationale</w:t>
      </w:r>
      <w:bookmarkEnd w:id="1"/>
    </w:p>
    <w:p w14:paraId="703A636B" w14:textId="77777777" w:rsidR="002B482A" w:rsidRDefault="002B482A" w:rsidP="002B482A">
      <w:pPr>
        <w:pStyle w:val="Heading3"/>
      </w:pPr>
      <w:r>
        <w:t>Introduction</w:t>
      </w:r>
    </w:p>
    <w:p w14:paraId="0B04FE81" w14:textId="5F0FAD84" w:rsidR="00465C42" w:rsidRDefault="002F6BFA" w:rsidP="00EE2EA1">
      <w:pPr>
        <w:spacing w:line="276" w:lineRule="auto"/>
      </w:pPr>
      <w:r>
        <w:t xml:space="preserve">The current format of </w:t>
      </w:r>
      <w:r w:rsidR="00EC17D2">
        <w:t xml:space="preserve">network planning </w:t>
      </w:r>
      <w:r>
        <w:t>data</w:t>
      </w:r>
      <w:r w:rsidR="00EE6812">
        <w:t xml:space="preserve"> exchange</w:t>
      </w:r>
      <w:r>
        <w:t xml:space="preserve"> between DNOs/IDNOs and National Grid</w:t>
      </w:r>
      <w:r w:rsidR="00EE6812">
        <w:t xml:space="preserve"> (most commonly via </w:t>
      </w:r>
      <w:r w:rsidR="008F7F00">
        <w:t xml:space="preserve">Microsoft Excel workbooks and </w:t>
      </w:r>
      <w:r w:rsidR="00EE6812">
        <w:t>spreadsheet</w:t>
      </w:r>
      <w:r w:rsidR="008F7F00">
        <w:t>s</w:t>
      </w:r>
      <w:r w:rsidR="00EE6812">
        <w:t xml:space="preserve">) is workable, though suboptimal, </w:t>
      </w:r>
      <w:r w:rsidR="00E24E1D">
        <w:t>as it relies heavily on</w:t>
      </w:r>
      <w:r w:rsidR="0003390B">
        <w:t xml:space="preserve"> manual manipulation and</w:t>
      </w:r>
      <w:r w:rsidR="00E24E1D">
        <w:t xml:space="preserve"> email transfer</w:t>
      </w:r>
      <w:r w:rsidR="001F68D7">
        <w:t xml:space="preserve"> or the “External Data Exchange” SharePoint site</w:t>
      </w:r>
      <w:r w:rsidR="00E24E1D">
        <w:t>.</w:t>
      </w:r>
      <w:r w:rsidR="00FD6869">
        <w:t xml:space="preserve"> </w:t>
      </w:r>
    </w:p>
    <w:p w14:paraId="59A44D70" w14:textId="77777777" w:rsidR="0089633C" w:rsidRDefault="00F57E2A" w:rsidP="00EE2EA1">
      <w:pPr>
        <w:spacing w:line="276" w:lineRule="auto"/>
      </w:pPr>
      <w:r>
        <w:t xml:space="preserve">With the intention of seeking to </w:t>
      </w:r>
      <w:r w:rsidR="00876881">
        <w:t>make better use of the energy system’s data</w:t>
      </w:r>
      <w:r w:rsidR="00035551">
        <w:t>,</w:t>
      </w:r>
      <w:r w:rsidR="00035551" w:rsidRPr="00035551">
        <w:t xml:space="preserve"> </w:t>
      </w:r>
      <w:r w:rsidR="00035551">
        <w:t xml:space="preserve">the </w:t>
      </w:r>
      <w:r w:rsidR="00035551" w:rsidRPr="00035551">
        <w:t>Department for Business, Energy and Industrial Strategy</w:t>
      </w:r>
      <w:r w:rsidR="00035551">
        <w:t xml:space="preserve"> (“BEIS”)</w:t>
      </w:r>
      <w:r w:rsidR="00035551" w:rsidRPr="00035551">
        <w:t>, Ofgem and Innovate UK</w:t>
      </w:r>
      <w:r w:rsidR="00035551">
        <w:t xml:space="preserve"> </w:t>
      </w:r>
      <w:r w:rsidR="0085054B">
        <w:t xml:space="preserve">created the “Energy Data Taskforce”, whose </w:t>
      </w:r>
      <w:r w:rsidR="00285135">
        <w:t>key objectives are to:</w:t>
      </w:r>
    </w:p>
    <w:p w14:paraId="0F3BB2D5" w14:textId="77777777" w:rsidR="00285135" w:rsidRDefault="00285135" w:rsidP="00285135">
      <w:pPr>
        <w:pStyle w:val="ListParagraph"/>
        <w:numPr>
          <w:ilvl w:val="0"/>
          <w:numId w:val="10"/>
        </w:numPr>
        <w:spacing w:line="276" w:lineRule="auto"/>
      </w:pPr>
      <w:r>
        <w:t>Deliver greater competition</w:t>
      </w:r>
    </w:p>
    <w:p w14:paraId="00485380" w14:textId="77777777" w:rsidR="00285135" w:rsidRDefault="00285135" w:rsidP="00285135">
      <w:pPr>
        <w:pStyle w:val="ListParagraph"/>
        <w:numPr>
          <w:ilvl w:val="0"/>
          <w:numId w:val="10"/>
        </w:numPr>
        <w:spacing w:line="276" w:lineRule="auto"/>
      </w:pPr>
      <w:r>
        <w:t>Drive innovation in products, services and business models</w:t>
      </w:r>
    </w:p>
    <w:p w14:paraId="71B7F8DD" w14:textId="77777777" w:rsidR="005D57BB" w:rsidRDefault="005D57BB" w:rsidP="00285135">
      <w:pPr>
        <w:pStyle w:val="ListParagraph"/>
        <w:numPr>
          <w:ilvl w:val="0"/>
          <w:numId w:val="10"/>
        </w:numPr>
        <w:spacing w:line="276" w:lineRule="auto"/>
      </w:pPr>
      <w:r>
        <w:t>Produce a more efficient and cost-effective energy system</w:t>
      </w:r>
      <w:r w:rsidR="00D77356">
        <w:rPr>
          <w:rStyle w:val="FootnoteReference"/>
        </w:rPr>
        <w:footnoteReference w:id="1"/>
      </w:r>
    </w:p>
    <w:p w14:paraId="39D32C4D" w14:textId="77777777" w:rsidR="00284B49" w:rsidRDefault="00B13295" w:rsidP="00284B49">
      <w:pPr>
        <w:pStyle w:val="Heading3"/>
      </w:pPr>
      <w:r>
        <w:t>Open Networks Project &amp; Enhanced Planning Data Exchange</w:t>
      </w:r>
    </w:p>
    <w:p w14:paraId="75574B21" w14:textId="77777777" w:rsidR="00D77356" w:rsidRDefault="009219BB" w:rsidP="00D77356">
      <w:pPr>
        <w:spacing w:line="276" w:lineRule="auto"/>
      </w:pPr>
      <w:r>
        <w:t xml:space="preserve">In 2019, the EDTF published </w:t>
      </w:r>
      <w:r w:rsidR="00B55E64">
        <w:t>“</w:t>
      </w:r>
      <w:r w:rsidR="00B55E64" w:rsidRPr="00A85465">
        <w:rPr>
          <w:i/>
        </w:rPr>
        <w:t>A Strategy for a Modern</w:t>
      </w:r>
      <w:r w:rsidR="00B55E64" w:rsidRPr="00093D4D">
        <w:rPr>
          <w:i/>
          <w:lang w:val="en-GB"/>
        </w:rPr>
        <w:t xml:space="preserve"> Digitalised</w:t>
      </w:r>
      <w:r w:rsidR="00B55E64" w:rsidRPr="00A85465">
        <w:rPr>
          <w:i/>
        </w:rPr>
        <w:t xml:space="preserve"> Energy System</w:t>
      </w:r>
      <w:r w:rsidR="00B55E64">
        <w:t>”</w:t>
      </w:r>
      <w:r>
        <w:rPr>
          <w:rStyle w:val="FootnoteReference"/>
        </w:rPr>
        <w:footnoteReference w:id="2"/>
      </w:r>
      <w:r>
        <w:t xml:space="preserve"> </w:t>
      </w:r>
      <w:r w:rsidR="00E10AAE">
        <w:t>setting out a number of pertinent recommendations</w:t>
      </w:r>
      <w:r w:rsidR="00EF04FA">
        <w:t xml:space="preserve"> which have fed into</w:t>
      </w:r>
      <w:r w:rsidR="00C47862">
        <w:t xml:space="preserve"> the Open Networks Project</w:t>
      </w:r>
      <w:r w:rsidR="00CD742F">
        <w:t xml:space="preserve"> (“ONP”)</w:t>
      </w:r>
      <w:r w:rsidR="00C47862">
        <w:t xml:space="preserve">’s </w:t>
      </w:r>
      <w:r w:rsidR="00CD742F">
        <w:t>objectives.</w:t>
      </w:r>
    </w:p>
    <w:p w14:paraId="30EA23EE" w14:textId="77777777" w:rsidR="00E24E1D" w:rsidRDefault="00E24E1D" w:rsidP="00EE2EA1">
      <w:pPr>
        <w:spacing w:line="276" w:lineRule="auto"/>
      </w:pPr>
      <w:r>
        <w:t>W</w:t>
      </w:r>
      <w:r w:rsidR="00EE6812">
        <w:t>ith regards to</w:t>
      </w:r>
      <w:r>
        <w:t xml:space="preserve"> exchange of planning data specifically, Product 4 of the </w:t>
      </w:r>
      <w:r w:rsidR="00C47862">
        <w:t>ONP</w:t>
      </w:r>
      <w:r>
        <w:t xml:space="preserve"> has resulted in Grid Code modification GC0139 “</w:t>
      </w:r>
      <w:r w:rsidRPr="00BC57F1">
        <w:rPr>
          <w:i/>
        </w:rPr>
        <w:t>Enhanced Planning-Data Exchange to Facilitate Whole System Planning</w:t>
      </w:r>
      <w:r>
        <w:t xml:space="preserve">” which </w:t>
      </w:r>
      <w:r w:rsidR="00390348">
        <w:t>will</w:t>
      </w:r>
      <w:r>
        <w:t xml:space="preserve"> expand the scope</w:t>
      </w:r>
      <w:r w:rsidR="007B4144">
        <w:t xml:space="preserve"> and detail</w:t>
      </w:r>
      <w:r>
        <w:t xml:space="preserve"> of data exchanged</w:t>
      </w:r>
      <w:r w:rsidR="00B13544">
        <w:t xml:space="preserve"> (see “</w:t>
      </w:r>
      <w:r w:rsidR="00B13544" w:rsidRPr="00BC57F1">
        <w:rPr>
          <w:i/>
        </w:rPr>
        <w:t>Data Enhancement Detail</w:t>
      </w:r>
      <w:r w:rsidR="00B13544">
        <w:t>” section)</w:t>
      </w:r>
      <w:r>
        <w:t>.</w:t>
      </w:r>
      <w:r w:rsidR="000358D6">
        <w:t xml:space="preserve"> The modification is currently at Work Group stage </w:t>
      </w:r>
      <w:r w:rsidR="00F222C6">
        <w:t xml:space="preserve">where it is </w:t>
      </w:r>
      <w:r w:rsidR="00F17657">
        <w:t>being discussed by industry stakeholders</w:t>
      </w:r>
      <w:r w:rsidR="009B2087">
        <w:t xml:space="preserve"> ahead of review by Ofgem for final approval.</w:t>
      </w:r>
    </w:p>
    <w:p w14:paraId="21712D84" w14:textId="77777777" w:rsidR="00E24E1D" w:rsidRDefault="00E24E1D" w:rsidP="00EE2EA1">
      <w:pPr>
        <w:spacing w:line="276" w:lineRule="auto"/>
      </w:pPr>
      <w:r>
        <w:t>This will facilitate the shift towards a more digital age for total network planning</w:t>
      </w:r>
      <w:r w:rsidR="00FE1369">
        <w:t>, with improved coordination</w:t>
      </w:r>
      <w:r w:rsidR="00B0594E">
        <w:t xml:space="preserve"> and efficiency</w:t>
      </w:r>
      <w:r w:rsidR="00C53BE3">
        <w:t xml:space="preserve"> throughout</w:t>
      </w:r>
      <w:r w:rsidR="00B0594E">
        <w:t>.</w:t>
      </w:r>
    </w:p>
    <w:p w14:paraId="0DEBE272" w14:textId="77777777" w:rsidR="00B13295" w:rsidRDefault="00B13295" w:rsidP="00B13295">
      <w:pPr>
        <w:pStyle w:val="Heading3"/>
      </w:pPr>
      <w:r>
        <w:t>Resource Implications</w:t>
      </w:r>
    </w:p>
    <w:p w14:paraId="2D5AD973" w14:textId="77777777" w:rsidR="00EE6812" w:rsidRDefault="00EE6812" w:rsidP="00EE2EA1">
      <w:pPr>
        <w:spacing w:line="276" w:lineRule="auto"/>
      </w:pPr>
      <w:r w:rsidRPr="00EE6812">
        <w:t xml:space="preserve">Discussions within </w:t>
      </w:r>
      <w:r w:rsidR="00767C65">
        <w:t>ONP</w:t>
      </w:r>
      <w:r>
        <w:t xml:space="preserve"> meetings, and the GC0139 industry Work Group, have established that</w:t>
      </w:r>
      <w:r w:rsidR="000317AC">
        <w:t xml:space="preserve"> implementation of</w:t>
      </w:r>
      <w:r>
        <w:t xml:space="preserve"> the </w:t>
      </w:r>
      <w:r w:rsidR="00B7018C">
        <w:t>e</w:t>
      </w:r>
      <w:r>
        <w:t>nhanced data for effective future network planning would require a greater investment in resource for all parties</w:t>
      </w:r>
      <w:r w:rsidR="00883FFA">
        <w:t xml:space="preserve"> </w:t>
      </w:r>
      <w:r w:rsidR="00F37E28">
        <w:t>should</w:t>
      </w:r>
      <w:r w:rsidR="00883FFA">
        <w:t xml:space="preserve"> the current data transfer format be retained</w:t>
      </w:r>
      <w:r w:rsidR="0031663E">
        <w:t>.</w:t>
      </w:r>
      <w:r w:rsidR="00D14AC5">
        <w:t xml:space="preserve"> This is due to the </w:t>
      </w:r>
      <w:r w:rsidR="00077847">
        <w:t xml:space="preserve">necessary </w:t>
      </w:r>
      <w:r w:rsidR="00D14AC5">
        <w:t xml:space="preserve">additional time required to </w:t>
      </w:r>
      <w:r w:rsidR="005C643D">
        <w:t xml:space="preserve">process and manage the </w:t>
      </w:r>
      <w:r w:rsidR="00B8797F">
        <w:t xml:space="preserve">additional </w:t>
      </w:r>
      <w:r w:rsidR="005C643D">
        <w:t>data.</w:t>
      </w:r>
    </w:p>
    <w:p w14:paraId="1154E6CC" w14:textId="77777777" w:rsidR="00EE6812" w:rsidRDefault="00A83293" w:rsidP="00EE2EA1">
      <w:pPr>
        <w:spacing w:line="276" w:lineRule="auto"/>
      </w:pPr>
      <w:r>
        <w:t xml:space="preserve">Consequently, </w:t>
      </w:r>
      <w:r w:rsidR="00BC3D94">
        <w:t>further assessment is being undertaken regarding</w:t>
      </w:r>
      <w:r w:rsidR="00B624F8">
        <w:t xml:space="preserve"> the benefits of</w:t>
      </w:r>
      <w:r w:rsidR="00EE6812">
        <w:t xml:space="preserve"> </w:t>
      </w:r>
      <w:r w:rsidR="00441A8F">
        <w:t>transitioning</w:t>
      </w:r>
      <w:r w:rsidR="00EE6812">
        <w:t xml:space="preserve"> to the Common Information Model format (“CIM”)</w:t>
      </w:r>
      <w:r w:rsidR="009F1CCB">
        <w:rPr>
          <w:rStyle w:val="FootnoteReference"/>
        </w:rPr>
        <w:footnoteReference w:id="3"/>
      </w:r>
      <w:r w:rsidR="001E36DE">
        <w:t>,</w:t>
      </w:r>
      <w:r w:rsidR="00B624F8">
        <w:t xml:space="preserve"> in order</w:t>
      </w:r>
      <w:r w:rsidR="00EE6812">
        <w:t xml:space="preserve"> to further</w:t>
      </w:r>
      <w:r w:rsidR="00EE6812" w:rsidRPr="00093D4D">
        <w:rPr>
          <w:lang w:val="en-GB"/>
        </w:rPr>
        <w:t xml:space="preserve"> standardise</w:t>
      </w:r>
      <w:r w:rsidR="00EE6812">
        <w:t xml:space="preserve"> the exchange process and reduce full-time equivalent (“FTE”) resourcing requirements. </w:t>
      </w:r>
      <w:r w:rsidR="001B3C57">
        <w:t xml:space="preserve">Several DNOs are already planning </w:t>
      </w:r>
      <w:r w:rsidR="00612F1F">
        <w:t>to incorporate CIM capability</w:t>
      </w:r>
      <w:r w:rsidR="00BC3B3E">
        <w:t xml:space="preserve"> as part of wider system enhancements</w:t>
      </w:r>
      <w:r w:rsidR="00612F1F">
        <w:t>.</w:t>
      </w:r>
      <w:r w:rsidR="00AA2805">
        <w:rPr>
          <w:rStyle w:val="FootnoteReference"/>
        </w:rPr>
        <w:footnoteReference w:id="4"/>
      </w:r>
    </w:p>
    <w:p w14:paraId="0126E7AC" w14:textId="77777777" w:rsidR="006B0867" w:rsidRDefault="006B0867" w:rsidP="00EE2EA1">
      <w:pPr>
        <w:spacing w:line="276" w:lineRule="auto"/>
      </w:pPr>
      <w:r>
        <w:lastRenderedPageBreak/>
        <w:t>The CIM standard has already been adopted by the International Electro</w:t>
      </w:r>
      <w:r w:rsidR="007A0F66">
        <w:t xml:space="preserve">technical Commission (“IEC”) and is </w:t>
      </w:r>
      <w:r w:rsidR="00A0608B">
        <w:t xml:space="preserve">widely adopted at transmission level within </w:t>
      </w:r>
      <w:r w:rsidR="00333FC1">
        <w:t xml:space="preserve">Europe via the </w:t>
      </w:r>
      <w:r w:rsidR="00333FC1" w:rsidRPr="00333FC1">
        <w:t>European Network of Transmission System Operators for Electricity</w:t>
      </w:r>
      <w:r w:rsidR="00832FDB">
        <w:rPr>
          <w:rStyle w:val="FootnoteReference"/>
        </w:rPr>
        <w:footnoteReference w:id="5"/>
      </w:r>
      <w:r w:rsidR="00333FC1">
        <w:t xml:space="preserve"> (“</w:t>
      </w:r>
      <w:r w:rsidR="00A0608B">
        <w:t>ENTSO-E</w:t>
      </w:r>
      <w:r w:rsidR="00333FC1">
        <w:t>”)</w:t>
      </w:r>
      <w:r w:rsidR="00486A8A">
        <w:t>.</w:t>
      </w:r>
      <w:r w:rsidR="001705ED">
        <w:t xml:space="preserve"> </w:t>
      </w:r>
      <w:r w:rsidR="00486A8A">
        <w:t>I</w:t>
      </w:r>
      <w:r w:rsidR="001705ED">
        <w:t>t is</w:t>
      </w:r>
      <w:r w:rsidR="001705ED" w:rsidRPr="00093D4D">
        <w:rPr>
          <w:lang w:val="en-GB"/>
        </w:rPr>
        <w:t xml:space="preserve"> recognised</w:t>
      </w:r>
      <w:r w:rsidR="001705ED">
        <w:t xml:space="preserve"> that it facilitates </w:t>
      </w:r>
      <w:r w:rsidR="008A6800">
        <w:t>the</w:t>
      </w:r>
      <w:r w:rsidR="006478F3">
        <w:t xml:space="preserve"> open and</w:t>
      </w:r>
      <w:r w:rsidR="008A6800">
        <w:t xml:space="preserve"> interoperable exchange of data</w:t>
      </w:r>
      <w:r w:rsidR="007A6CB3">
        <w:t xml:space="preserve"> (</w:t>
      </w:r>
      <w:r w:rsidR="006478F3">
        <w:t>a key recommendation from the EDTF report)</w:t>
      </w:r>
      <w:r w:rsidR="00827703">
        <w:t xml:space="preserve">, and </w:t>
      </w:r>
      <w:r w:rsidR="00C22142">
        <w:t>would allow for standard, set data formats to be</w:t>
      </w:r>
      <w:r w:rsidR="00C22142" w:rsidRPr="00093D4D">
        <w:rPr>
          <w:lang w:val="en-GB"/>
        </w:rPr>
        <w:t xml:space="preserve"> </w:t>
      </w:r>
      <w:r w:rsidR="006478F3" w:rsidRPr="00093D4D">
        <w:rPr>
          <w:lang w:val="en-GB"/>
        </w:rPr>
        <w:t>utilised</w:t>
      </w:r>
      <w:r w:rsidR="00C22142">
        <w:t>.</w:t>
      </w:r>
      <w:r w:rsidR="005D7052">
        <w:t xml:space="preserve"> </w:t>
      </w:r>
    </w:p>
    <w:p w14:paraId="4C925081" w14:textId="77777777" w:rsidR="00CB52C1" w:rsidRDefault="00CB52C1" w:rsidP="00CB52C1">
      <w:pPr>
        <w:pStyle w:val="Heading3"/>
      </w:pPr>
      <w:r>
        <w:t xml:space="preserve">Estimating Costs </w:t>
      </w:r>
      <w:r w:rsidR="00C13FDE">
        <w:t>– Existing Vs CIM Format</w:t>
      </w:r>
    </w:p>
    <w:p w14:paraId="24274659" w14:textId="77777777" w:rsidR="00EB72EB" w:rsidRDefault="00D12CFA" w:rsidP="00EE2EA1">
      <w:pPr>
        <w:spacing w:line="276" w:lineRule="auto"/>
      </w:pPr>
      <w:r>
        <w:t>Estimated costs of implementation</w:t>
      </w:r>
      <w:r w:rsidR="00337C2E">
        <w:t xml:space="preserve"> of CIM format</w:t>
      </w:r>
      <w:r>
        <w:t xml:space="preserve"> industry-wide are </w:t>
      </w:r>
      <w:r w:rsidR="0033353E">
        <w:t>outlined in the “</w:t>
      </w:r>
      <w:r w:rsidR="0033353E" w:rsidRPr="00E703D7">
        <w:rPr>
          <w:i/>
        </w:rPr>
        <w:t>Proposals for Implementation of Electronic Exchange of Network Planning Data</w:t>
      </w:r>
      <w:r w:rsidR="0033353E">
        <w:t>” report (link below in “Reference Materials”)</w:t>
      </w:r>
      <w:r w:rsidR="00861601">
        <w:t xml:space="preserve"> and do not form part of this RFI</w:t>
      </w:r>
      <w:r w:rsidR="00C628BC">
        <w:t xml:space="preserve"> beyond requesting feedback on the numbers and methodology in the “Additional Considerations for Feedback” free-text section below</w:t>
      </w:r>
      <w:r w:rsidR="00C74F70">
        <w:t xml:space="preserve">. </w:t>
      </w:r>
      <w:r w:rsidR="001D3E03">
        <w:t>Note that s</w:t>
      </w:r>
      <w:r w:rsidR="00EB72EB">
        <w:t>ections 2.3 and 3</w:t>
      </w:r>
      <w:r w:rsidR="00C74547">
        <w:t xml:space="preserve"> of the same report outline the CIM platform in greater detail.</w:t>
      </w:r>
    </w:p>
    <w:p w14:paraId="11C28F57" w14:textId="77777777" w:rsidR="00D12CFA" w:rsidRDefault="009B0C49" w:rsidP="00EE2EA1">
      <w:pPr>
        <w:spacing w:line="276" w:lineRule="auto"/>
      </w:pPr>
      <w:r>
        <w:t>The purpose of this exercise is</w:t>
      </w:r>
      <w:r w:rsidR="001E36DE">
        <w:t xml:space="preserve"> </w:t>
      </w:r>
      <w:r w:rsidR="00EF7964">
        <w:t>to establish</w:t>
      </w:r>
      <w:r w:rsidR="007B0852">
        <w:t xml:space="preserve"> and contrast</w:t>
      </w:r>
      <w:r w:rsidR="00EF7964">
        <w:t xml:space="preserve"> the estimated </w:t>
      </w:r>
      <w:r w:rsidR="0087284A">
        <w:t xml:space="preserve">industry </w:t>
      </w:r>
      <w:r w:rsidR="00EF7964">
        <w:t xml:space="preserve">costs of </w:t>
      </w:r>
      <w:r w:rsidR="00AF3CA9">
        <w:t>managing and</w:t>
      </w:r>
      <w:r w:rsidR="00CF3528">
        <w:t xml:space="preserve"> maintaining</w:t>
      </w:r>
      <w:r w:rsidR="00EF7964">
        <w:t xml:space="preserve"> the enhanced data</w:t>
      </w:r>
      <w:r w:rsidR="00C74F70">
        <w:t xml:space="preserve"> submissions</w:t>
      </w:r>
      <w:r w:rsidR="00D12CFA">
        <w:t xml:space="preserve"> </w:t>
      </w:r>
      <w:r w:rsidR="00B7018C">
        <w:t xml:space="preserve">required (as outlined in “Data Enhancement Detail” below) </w:t>
      </w:r>
      <w:r w:rsidR="00021FC9">
        <w:t xml:space="preserve">both with and without </w:t>
      </w:r>
      <w:r w:rsidR="007D0579">
        <w:t xml:space="preserve">transitioning to the CIM format. It is thought that retaining the current baseline </w:t>
      </w:r>
      <w:r w:rsidR="005F7E26">
        <w:t>exchange format would not facilitate a cost-</w:t>
      </w:r>
      <w:r w:rsidR="00B729C2">
        <w:t xml:space="preserve">effective solution for managing </w:t>
      </w:r>
      <w:r w:rsidR="005F05B5">
        <w:t xml:space="preserve">the proposed new data scope and detail. </w:t>
      </w:r>
    </w:p>
    <w:p w14:paraId="7001A943" w14:textId="77777777" w:rsidR="005F0638" w:rsidRDefault="005F0638" w:rsidP="00EE2EA1">
      <w:pPr>
        <w:spacing w:line="276" w:lineRule="auto"/>
      </w:pPr>
      <w:r>
        <w:t xml:space="preserve">Additionally, Ofgem have </w:t>
      </w:r>
      <w:r w:rsidR="00752EC0">
        <w:t>expressed</w:t>
      </w:r>
      <w:r>
        <w:t xml:space="preserve"> that </w:t>
      </w:r>
      <w:r w:rsidR="006B5A35">
        <w:t xml:space="preserve">regardless of format, </w:t>
      </w:r>
      <w:r>
        <w:t xml:space="preserve">all </w:t>
      </w:r>
      <w:r w:rsidR="006B5A35">
        <w:t>exchanged network data should be open moving forwards.</w:t>
      </w:r>
      <w:r w:rsidR="00752EC0">
        <w:t xml:space="preserve"> </w:t>
      </w:r>
      <w:r w:rsidR="00136926">
        <w:t>Data exchange via CIM format will make open data exchange and publication inherently easier.</w:t>
      </w:r>
    </w:p>
    <w:p w14:paraId="0AC75313" w14:textId="77777777" w:rsidR="00A47212" w:rsidRDefault="00A47212" w:rsidP="00DD6CFA">
      <w:pPr>
        <w:pStyle w:val="Heading1"/>
      </w:pPr>
      <w:bookmarkStart w:id="2" w:name="_Toc47605616"/>
      <w:r w:rsidRPr="00A47212">
        <w:t>Data Enhancement Detail</w:t>
      </w:r>
      <w:bookmarkEnd w:id="2"/>
    </w:p>
    <w:p w14:paraId="1BCAAA64" w14:textId="77777777" w:rsidR="00A47212" w:rsidRDefault="00A76730" w:rsidP="00EE2EA1">
      <w:pPr>
        <w:spacing w:line="276" w:lineRule="auto"/>
      </w:pPr>
      <w:r>
        <w:t>The data enhancements</w:t>
      </w:r>
      <w:r w:rsidR="00B864AB">
        <w:t xml:space="preserve"> within the GC0139 proposal</w:t>
      </w:r>
      <w:r>
        <w:t xml:space="preserve"> apply to the “Week 24”</w:t>
      </w:r>
      <w:r w:rsidR="00E148DA">
        <w:t>, “Week 42”</w:t>
      </w:r>
      <w:r>
        <w:t xml:space="preserve"> and “Week 50” data submissions</w:t>
      </w:r>
      <w:r w:rsidR="005D5DB4">
        <w:t>, via</w:t>
      </w:r>
      <w:r w:rsidR="00C26365">
        <w:t xml:space="preserve"> </w:t>
      </w:r>
      <w:r w:rsidR="00A47212">
        <w:t>Schedules 5 and 11 of the Data Registration Code (part of the Grid Code</w:t>
      </w:r>
      <w:r w:rsidR="00C26365">
        <w:t xml:space="preserve"> – links below in “Reference Materials”</w:t>
      </w:r>
      <w:r w:rsidR="00A47212">
        <w:t>)</w:t>
      </w:r>
      <w:r w:rsidR="00C26365">
        <w:t>.</w:t>
      </w:r>
    </w:p>
    <w:p w14:paraId="48F7716E" w14:textId="77777777" w:rsidR="0056167F" w:rsidRDefault="005C35E3" w:rsidP="00EE2EA1">
      <w:pPr>
        <w:spacing w:line="276" w:lineRule="auto"/>
      </w:pPr>
      <w:r>
        <w:t>The enhancements will</w:t>
      </w:r>
      <w:r w:rsidR="0056167F">
        <w:t>:</w:t>
      </w:r>
    </w:p>
    <w:p w14:paraId="57C75E27" w14:textId="77777777" w:rsidR="009455D0" w:rsidRDefault="0056167F" w:rsidP="0056167F">
      <w:pPr>
        <w:pStyle w:val="ListParagraph"/>
        <w:numPr>
          <w:ilvl w:val="0"/>
          <w:numId w:val="9"/>
        </w:numPr>
        <w:spacing w:line="276" w:lineRule="auto"/>
      </w:pPr>
      <w:r>
        <w:t>P</w:t>
      </w:r>
      <w:r w:rsidR="005C35E3">
        <w:t xml:space="preserve">rovide </w:t>
      </w:r>
      <w:r w:rsidR="0085634B">
        <w:t>the ESO with greater clarity on DER connected at distribution level</w:t>
      </w:r>
      <w:r w:rsidR="007123B3">
        <w:t xml:space="preserve">, enabling more </w:t>
      </w:r>
      <w:r w:rsidR="004E155F">
        <w:t xml:space="preserve">coordination and </w:t>
      </w:r>
      <w:r w:rsidR="007123B3">
        <w:t>efficient planning of the Transmission System.</w:t>
      </w:r>
    </w:p>
    <w:p w14:paraId="1673EC2A" w14:textId="77777777" w:rsidR="0056167F" w:rsidRDefault="0056167F" w:rsidP="0056167F">
      <w:pPr>
        <w:pStyle w:val="ListParagraph"/>
        <w:numPr>
          <w:ilvl w:val="0"/>
          <w:numId w:val="9"/>
        </w:numPr>
        <w:spacing w:line="276" w:lineRule="auto"/>
      </w:pPr>
      <w:r>
        <w:t xml:space="preserve">Provide DNOs with </w:t>
      </w:r>
      <w:r w:rsidR="009B5D78">
        <w:t>a deeper understanding of Transmission System flows and fault contribution within a broader range of scenarios,</w:t>
      </w:r>
      <w:r w:rsidR="00FA56CC">
        <w:t xml:space="preserve"> enabling more</w:t>
      </w:r>
      <w:r w:rsidR="004E155F">
        <w:t xml:space="preserve"> coordination</w:t>
      </w:r>
      <w:r w:rsidR="00FA56CC">
        <w:t xml:space="preserve"> efficient planning of their Distribution Network.</w:t>
      </w:r>
    </w:p>
    <w:p w14:paraId="7837D39B" w14:textId="77777777" w:rsidR="00456AB2" w:rsidRDefault="00456AB2">
      <w:pPr>
        <w:rPr>
          <w:rFonts w:asciiTheme="majorHAnsi" w:eastAsiaTheme="majorEastAsia" w:hAnsiTheme="majorHAnsi" w:cstheme="majorBidi"/>
          <w:b/>
          <w:color w:val="2F5496" w:themeColor="accent1" w:themeShade="BF"/>
          <w:sz w:val="26"/>
          <w:szCs w:val="26"/>
        </w:rPr>
      </w:pPr>
      <w:r>
        <w:br w:type="page"/>
      </w:r>
    </w:p>
    <w:p w14:paraId="10BDE509" w14:textId="77777777" w:rsidR="008A64D9" w:rsidRDefault="008A64D9" w:rsidP="00AA2F44">
      <w:pPr>
        <w:pStyle w:val="Heading2"/>
      </w:pPr>
      <w:bookmarkStart w:id="3" w:name="_Toc47605617"/>
      <w:r>
        <w:lastRenderedPageBreak/>
        <w:t xml:space="preserve">Additions to </w:t>
      </w:r>
      <w:r w:rsidR="004C370E">
        <w:t xml:space="preserve">Existing </w:t>
      </w:r>
      <w:r>
        <w:t>Week 24</w:t>
      </w:r>
      <w:r w:rsidR="004A176C">
        <w:t xml:space="preserve"> &amp; Week 50</w:t>
      </w:r>
      <w:r>
        <w:t xml:space="preserve"> Data</w:t>
      </w:r>
      <w:r w:rsidR="004A176C">
        <w:t xml:space="preserve"> Exchange</w:t>
      </w:r>
      <w:r w:rsidR="00912E9E">
        <w:t xml:space="preserve"> (DNO </w:t>
      </w:r>
      <w:r w:rsidR="00912E9E">
        <w:sym w:font="Wingdings" w:char="F0E0"/>
      </w:r>
      <w:r w:rsidR="00912E9E">
        <w:t xml:space="preserve"> NGESO</w:t>
      </w:r>
      <w:r w:rsidR="001E3181">
        <w:t xml:space="preserve"> </w:t>
      </w:r>
      <w:r w:rsidR="001E3181">
        <w:sym w:font="Wingdings" w:char="F0E0"/>
      </w:r>
      <w:r w:rsidR="001E3181">
        <w:t xml:space="preserve"> TOs</w:t>
      </w:r>
      <w:r w:rsidR="00912E9E">
        <w:t>)</w:t>
      </w:r>
      <w:bookmarkEnd w:id="3"/>
    </w:p>
    <w:p w14:paraId="60084A55" w14:textId="77777777" w:rsidR="00912E9E" w:rsidRDefault="00912E9E" w:rsidP="00EE2EA1">
      <w:pPr>
        <w:pStyle w:val="ListParagraph"/>
        <w:numPr>
          <w:ilvl w:val="0"/>
          <w:numId w:val="3"/>
        </w:numPr>
        <w:spacing w:line="276" w:lineRule="auto"/>
      </w:pPr>
      <w:r>
        <w:t xml:space="preserve">Details of any/all direct connections to the sub-transmission network </w:t>
      </w:r>
    </w:p>
    <w:p w14:paraId="39188455" w14:textId="77777777" w:rsidR="00F53ED4" w:rsidRDefault="00F53ED4" w:rsidP="00F53ED4">
      <w:pPr>
        <w:pStyle w:val="ListParagraph"/>
        <w:numPr>
          <w:ilvl w:val="1"/>
          <w:numId w:val="3"/>
        </w:numPr>
        <w:spacing w:line="276" w:lineRule="auto"/>
      </w:pPr>
      <w:r>
        <w:t>This will include detailed node, line and generator data.</w:t>
      </w:r>
    </w:p>
    <w:p w14:paraId="7C998877" w14:textId="77777777" w:rsidR="00513EC8" w:rsidRDefault="00912E9E" w:rsidP="00EE2EA1">
      <w:pPr>
        <w:pStyle w:val="ListParagraph"/>
        <w:numPr>
          <w:ilvl w:val="0"/>
          <w:numId w:val="3"/>
        </w:numPr>
        <w:spacing w:line="276" w:lineRule="auto"/>
      </w:pPr>
      <w:r>
        <w:t>Details of all DER</w:t>
      </w:r>
      <w:r w:rsidR="006365E8">
        <w:t xml:space="preserve"> connections</w:t>
      </w:r>
      <w:r>
        <w:t xml:space="preserve"> &gt;1MW (connected/accepted) &amp; expected impact on energy flows at </w:t>
      </w:r>
      <w:r w:rsidR="00513EC8">
        <w:t>the following cardinal demand points</w:t>
      </w:r>
      <w:r w:rsidR="001E3181">
        <w:t>/specified network scenarios</w:t>
      </w:r>
      <w:r w:rsidR="00513EC8">
        <w:t>:</w:t>
      </w:r>
    </w:p>
    <w:p w14:paraId="29154A66" w14:textId="77777777" w:rsidR="008A4427" w:rsidRDefault="008A4427" w:rsidP="00EE2EA1">
      <w:pPr>
        <w:pStyle w:val="ListParagraph"/>
        <w:numPr>
          <w:ilvl w:val="1"/>
          <w:numId w:val="3"/>
        </w:numPr>
        <w:spacing w:line="276" w:lineRule="auto"/>
      </w:pPr>
      <w:r>
        <w:t>Peak demand</w:t>
      </w:r>
    </w:p>
    <w:p w14:paraId="30D3E6A0" w14:textId="77777777" w:rsidR="008A4427" w:rsidRDefault="008A4427" w:rsidP="00EE2EA1">
      <w:pPr>
        <w:pStyle w:val="ListParagraph"/>
        <w:numPr>
          <w:ilvl w:val="1"/>
          <w:numId w:val="3"/>
        </w:numPr>
        <w:spacing w:line="276" w:lineRule="auto"/>
      </w:pPr>
      <w:r>
        <w:t>Summer minimum demand</w:t>
      </w:r>
    </w:p>
    <w:p w14:paraId="4C434B1C" w14:textId="77777777" w:rsidR="00912E9E" w:rsidRDefault="008A4427" w:rsidP="00EE2EA1">
      <w:pPr>
        <w:pStyle w:val="ListParagraph"/>
        <w:numPr>
          <w:ilvl w:val="1"/>
          <w:numId w:val="3"/>
        </w:numPr>
        <w:spacing w:line="276" w:lineRule="auto"/>
      </w:pPr>
      <w:r>
        <w:t>Solar peak/daytime-minimum demand</w:t>
      </w:r>
      <w:r w:rsidR="00912E9E">
        <w:t xml:space="preserve"> </w:t>
      </w:r>
    </w:p>
    <w:p w14:paraId="4CA559D9" w14:textId="77777777" w:rsidR="008A4427" w:rsidRDefault="00912E9E" w:rsidP="00EE2EA1">
      <w:pPr>
        <w:pStyle w:val="ListParagraph"/>
        <w:numPr>
          <w:ilvl w:val="0"/>
          <w:numId w:val="3"/>
        </w:numPr>
        <w:spacing w:line="276" w:lineRule="auto"/>
      </w:pPr>
      <w:r>
        <w:t>Details of all DER</w:t>
      </w:r>
      <w:r w:rsidR="008A4427">
        <w:t xml:space="preserve"> connections</w:t>
      </w:r>
      <w:r>
        <w:t xml:space="preserve"> &lt;1MW</w:t>
      </w:r>
    </w:p>
    <w:p w14:paraId="7E74AA27" w14:textId="77777777" w:rsidR="008A4427" w:rsidRDefault="008A4427" w:rsidP="00EE2EA1">
      <w:pPr>
        <w:pStyle w:val="ListParagraph"/>
        <w:numPr>
          <w:ilvl w:val="1"/>
          <w:numId w:val="3"/>
        </w:numPr>
        <w:spacing w:line="276" w:lineRule="auto"/>
      </w:pPr>
      <w:r>
        <w:t>A</w:t>
      </w:r>
      <w:r w:rsidR="00912E9E">
        <w:t>ggregated by fuel type</w:t>
      </w:r>
    </w:p>
    <w:p w14:paraId="5CB08F94" w14:textId="77777777" w:rsidR="00912E9E" w:rsidRDefault="008A4427" w:rsidP="00EE2EA1">
      <w:pPr>
        <w:pStyle w:val="ListParagraph"/>
        <w:numPr>
          <w:ilvl w:val="1"/>
          <w:numId w:val="3"/>
        </w:numPr>
        <w:spacing w:line="276" w:lineRule="auto"/>
      </w:pPr>
      <w:r>
        <w:t>D</w:t>
      </w:r>
      <w:r w:rsidR="00912E9E">
        <w:t>isaggregated by substations</w:t>
      </w:r>
    </w:p>
    <w:p w14:paraId="7C8112E1" w14:textId="77777777" w:rsidR="001F5D10" w:rsidRDefault="007E6474" w:rsidP="00FB4BF0">
      <w:pPr>
        <w:spacing w:line="276" w:lineRule="auto"/>
      </w:pPr>
      <w:r>
        <w:t>Given that this additional data would require consumption via spreadsheets</w:t>
      </w:r>
      <w:r w:rsidR="000E1D86">
        <w:t xml:space="preserve"> under the existing format of data exchange, please refer to Annex B where some key challenges of this approach are outlined</w:t>
      </w:r>
      <w:r w:rsidR="00FB4BF0">
        <w:t>.</w:t>
      </w:r>
    </w:p>
    <w:p w14:paraId="7EBE3413" w14:textId="77777777" w:rsidR="001E3181" w:rsidRDefault="001E3181" w:rsidP="00FB4BF0">
      <w:pPr>
        <w:spacing w:line="276" w:lineRule="auto"/>
      </w:pPr>
      <w:r>
        <w:t>Note that this method is likely to require regular provision for all parties to develop tools to deal with ant new technology connecting to both transmission and sub-transmission systems.</w:t>
      </w:r>
    </w:p>
    <w:p w14:paraId="61E0C44C" w14:textId="77777777" w:rsidR="00515E91" w:rsidRDefault="00515E91" w:rsidP="00515E91">
      <w:pPr>
        <w:spacing w:line="276" w:lineRule="auto"/>
      </w:pPr>
    </w:p>
    <w:p w14:paraId="06D77A25" w14:textId="77777777" w:rsidR="00C37477" w:rsidRDefault="00C37477" w:rsidP="00AA2F44">
      <w:pPr>
        <w:pStyle w:val="Heading2"/>
      </w:pPr>
      <w:bookmarkStart w:id="4" w:name="_Toc47605618"/>
      <w:r>
        <w:t xml:space="preserve">Additions to </w:t>
      </w:r>
      <w:r w:rsidR="004C370E">
        <w:t xml:space="preserve">Existing </w:t>
      </w:r>
      <w:r>
        <w:t xml:space="preserve">Week 42 Data (NGESO </w:t>
      </w:r>
      <w:r>
        <w:sym w:font="Wingdings" w:char="F0E0"/>
      </w:r>
      <w:r>
        <w:t xml:space="preserve"> DNO)</w:t>
      </w:r>
      <w:bookmarkEnd w:id="4"/>
    </w:p>
    <w:p w14:paraId="13758B73" w14:textId="77777777" w:rsidR="00272CC5" w:rsidRDefault="00272CC5" w:rsidP="00272CC5">
      <w:pPr>
        <w:spacing w:line="276" w:lineRule="auto"/>
      </w:pPr>
      <w:r>
        <w:t xml:space="preserve">A significant enhancement in that </w:t>
      </w:r>
      <w:r w:rsidR="00D151B5">
        <w:t>t</w:t>
      </w:r>
      <w:r w:rsidR="00331C37">
        <w:t xml:space="preserve">ransmission </w:t>
      </w:r>
      <w:r w:rsidR="00D151B5">
        <w:t>sy</w:t>
      </w:r>
      <w:r w:rsidR="00331C37">
        <w:t xml:space="preserve">stem </w:t>
      </w:r>
      <w:r w:rsidR="00D151B5">
        <w:t xml:space="preserve">model </w:t>
      </w:r>
      <w:r w:rsidR="00331C37">
        <w:t>data will be specified in a</w:t>
      </w:r>
      <w:r w:rsidR="001E50FF">
        <w:t xml:space="preserve"> </w:t>
      </w:r>
      <w:r w:rsidR="001E50FF" w:rsidRPr="00272CC5">
        <w:rPr>
          <w:u w:val="single"/>
        </w:rPr>
        <w:t>switch level, s</w:t>
      </w:r>
      <w:r w:rsidR="00331C37" w:rsidRPr="00272CC5">
        <w:rPr>
          <w:u w:val="single"/>
        </w:rPr>
        <w:t xml:space="preserve">ingle </w:t>
      </w:r>
      <w:r w:rsidR="001E50FF" w:rsidRPr="00272CC5">
        <w:rPr>
          <w:u w:val="single"/>
        </w:rPr>
        <w:t>b</w:t>
      </w:r>
      <w:r w:rsidR="00331C37" w:rsidRPr="00272CC5">
        <w:rPr>
          <w:u w:val="single"/>
        </w:rPr>
        <w:t>oundary</w:t>
      </w:r>
      <w:r w:rsidR="00331C37">
        <w:t xml:space="preserve"> format model per DNO</w:t>
      </w:r>
      <w:r w:rsidR="00D151B5">
        <w:t xml:space="preserve"> area,</w:t>
      </w:r>
      <w:r w:rsidR="00D151B5" w:rsidRPr="00D151B5">
        <w:t xml:space="preserve"> </w:t>
      </w:r>
      <w:r w:rsidR="00D151B5">
        <w:t>together with equivalent networks at agreed boundary points.</w:t>
      </w:r>
    </w:p>
    <w:p w14:paraId="1F73827C" w14:textId="77777777" w:rsidR="00272CC5" w:rsidRDefault="0044298F" w:rsidP="0044298F">
      <w:pPr>
        <w:spacing w:line="276" w:lineRule="auto"/>
      </w:pPr>
      <w:r>
        <w:t>Models will be provided for the following cardinal demand points:</w:t>
      </w:r>
    </w:p>
    <w:p w14:paraId="2D61A25E" w14:textId="77777777" w:rsidR="006A0543" w:rsidRDefault="006A0543" w:rsidP="00051205">
      <w:pPr>
        <w:pStyle w:val="ListParagraph"/>
        <w:numPr>
          <w:ilvl w:val="1"/>
          <w:numId w:val="3"/>
        </w:numPr>
        <w:spacing w:line="276" w:lineRule="auto"/>
      </w:pPr>
      <w:r>
        <w:t>Maximum fault level</w:t>
      </w:r>
    </w:p>
    <w:p w14:paraId="159EC964" w14:textId="77777777" w:rsidR="006A0543" w:rsidRDefault="006A0543" w:rsidP="00051205">
      <w:pPr>
        <w:pStyle w:val="ListParagraph"/>
        <w:numPr>
          <w:ilvl w:val="1"/>
          <w:numId w:val="3"/>
        </w:numPr>
        <w:spacing w:line="276" w:lineRule="auto"/>
      </w:pPr>
      <w:r>
        <w:t>Peak demand</w:t>
      </w:r>
      <w:r w:rsidR="001E3181">
        <w:t xml:space="preserve"> (likely to cover the High Flow South scenario initially but may expand in future)</w:t>
      </w:r>
    </w:p>
    <w:p w14:paraId="07A0C19F" w14:textId="77777777" w:rsidR="006A0543" w:rsidRDefault="006A0543" w:rsidP="00051205">
      <w:pPr>
        <w:pStyle w:val="ListParagraph"/>
        <w:numPr>
          <w:ilvl w:val="1"/>
          <w:numId w:val="3"/>
        </w:numPr>
        <w:spacing w:line="276" w:lineRule="auto"/>
      </w:pPr>
      <w:r>
        <w:t>Summer minimum demand</w:t>
      </w:r>
    </w:p>
    <w:p w14:paraId="3D309E65" w14:textId="77777777" w:rsidR="006A0543" w:rsidRDefault="006A0543" w:rsidP="00051205">
      <w:pPr>
        <w:pStyle w:val="ListParagraph"/>
        <w:numPr>
          <w:ilvl w:val="1"/>
          <w:numId w:val="3"/>
        </w:numPr>
        <w:spacing w:line="276" w:lineRule="auto"/>
      </w:pPr>
      <w:r>
        <w:t>Solar-peak/daytime-minimum demand</w:t>
      </w:r>
    </w:p>
    <w:p w14:paraId="0D3953EC" w14:textId="77777777" w:rsidR="006A0543" w:rsidRDefault="006A0543" w:rsidP="00051205">
      <w:pPr>
        <w:pStyle w:val="ListParagraph"/>
        <w:numPr>
          <w:ilvl w:val="1"/>
          <w:numId w:val="3"/>
        </w:numPr>
        <w:spacing w:line="276" w:lineRule="auto"/>
      </w:pPr>
      <w:r>
        <w:t>National high-power transfer dispatch scenario and</w:t>
      </w:r>
      <w:r w:rsidR="00073EDA">
        <w:t xml:space="preserve"> n</w:t>
      </w:r>
      <w:r>
        <w:t>ational low</w:t>
      </w:r>
      <w:r w:rsidR="00073EDA">
        <w:t>-</w:t>
      </w:r>
      <w:r>
        <w:t>power transfer dispatch scenario</w:t>
      </w:r>
      <w:r w:rsidR="00073EDA">
        <w:t>s</w:t>
      </w:r>
    </w:p>
    <w:p w14:paraId="6B55464B" w14:textId="77777777" w:rsidR="004E155F" w:rsidRDefault="00810AF4" w:rsidP="004E155F">
      <w:pPr>
        <w:spacing w:line="276" w:lineRule="auto"/>
      </w:pPr>
      <w:r>
        <w:t>It is vital for all parties to consider the additional resource required to manage and</w:t>
      </w:r>
      <w:r w:rsidRPr="00093D4D">
        <w:rPr>
          <w:lang w:val="en-GB"/>
        </w:rPr>
        <w:t xml:space="preserve"> utilise</w:t>
      </w:r>
      <w:r>
        <w:t xml:space="preserve"> this </w:t>
      </w:r>
      <w:r w:rsidR="004540F5">
        <w:t>additional data</w:t>
      </w:r>
      <w:r w:rsidR="007D3301">
        <w:t xml:space="preserve"> </w:t>
      </w:r>
      <w:r>
        <w:t>compared with the current baseline.</w:t>
      </w:r>
      <w:r w:rsidR="00B17656">
        <w:t xml:space="preserve"> </w:t>
      </w:r>
    </w:p>
    <w:p w14:paraId="7E18CDBE" w14:textId="77777777" w:rsidR="00180F3B" w:rsidRDefault="00180F3B" w:rsidP="00DD6CFA">
      <w:pPr>
        <w:pStyle w:val="Heading1"/>
      </w:pPr>
    </w:p>
    <w:p w14:paraId="653089EA" w14:textId="77777777" w:rsidR="00180F3B" w:rsidRDefault="00180F3B">
      <w:pPr>
        <w:rPr>
          <w:rFonts w:asciiTheme="majorHAnsi" w:eastAsiaTheme="majorEastAsia" w:hAnsiTheme="majorHAnsi" w:cstheme="majorBidi"/>
          <w:b/>
          <w:bCs/>
          <w:color w:val="44546A" w:themeColor="text2"/>
          <w:sz w:val="32"/>
          <w:szCs w:val="32"/>
          <w:u w:val="single"/>
        </w:rPr>
      </w:pPr>
      <w:r>
        <w:br w:type="page"/>
      </w:r>
    </w:p>
    <w:p w14:paraId="4176A8FA" w14:textId="19C45FF2" w:rsidR="00997A4B" w:rsidRDefault="00997A4B" w:rsidP="00DD6CFA">
      <w:pPr>
        <w:pStyle w:val="Heading1"/>
      </w:pPr>
      <w:bookmarkStart w:id="5" w:name="_Toc47605619"/>
      <w:r>
        <w:lastRenderedPageBreak/>
        <w:t>Request</w:t>
      </w:r>
      <w:bookmarkEnd w:id="5"/>
    </w:p>
    <w:p w14:paraId="003D50DF" w14:textId="77777777" w:rsidR="00997A4B" w:rsidRDefault="00997A4B" w:rsidP="00997A4B">
      <w:pPr>
        <w:spacing w:line="276" w:lineRule="auto"/>
      </w:pPr>
      <w:r>
        <w:t xml:space="preserve">As part of the GC0139 modification process, the Work Group is seeking to establish the potential cost impact </w:t>
      </w:r>
      <w:r w:rsidR="00620D29">
        <w:t>resulting from these changes</w:t>
      </w:r>
      <w:r>
        <w:t xml:space="preserve"> as opposed to managing the enhanced data using current formats.</w:t>
      </w:r>
    </w:p>
    <w:p w14:paraId="4B542A84" w14:textId="77777777" w:rsidR="00DD6CFA" w:rsidRDefault="00997A4B" w:rsidP="00997A4B">
      <w:pPr>
        <w:spacing w:line="276" w:lineRule="auto"/>
        <w:rPr>
          <w:rFonts w:ascii="Calibri" w:eastAsia="Times New Roman" w:hAnsi="Calibri" w:cs="Calibri"/>
          <w:lang w:val="en-GB" w:eastAsia="en-GB"/>
        </w:rPr>
      </w:pPr>
      <w:r>
        <w:t xml:space="preserve">While some DNO representatives have confirmed that it is feasible to assimilate </w:t>
      </w:r>
      <w:r>
        <w:rPr>
          <w:rFonts w:ascii="Calibri" w:eastAsia="Times New Roman" w:hAnsi="Calibri" w:cs="Calibri"/>
          <w:lang w:val="en-GB" w:eastAsia="en-GB"/>
        </w:rPr>
        <w:t>single boundary, switch-level National Grid</w:t>
      </w:r>
      <w:r w:rsidRPr="00D24B4D">
        <w:rPr>
          <w:rFonts w:ascii="Calibri" w:eastAsia="Times New Roman" w:hAnsi="Calibri" w:cs="Calibri"/>
          <w:lang w:val="en-GB" w:eastAsia="en-GB"/>
        </w:rPr>
        <w:t xml:space="preserve"> models into their software</w:t>
      </w:r>
      <w:r>
        <w:rPr>
          <w:rFonts w:ascii="Calibri" w:eastAsia="Times New Roman" w:hAnsi="Calibri" w:cs="Calibri"/>
          <w:lang w:val="en-GB" w:eastAsia="en-GB"/>
        </w:rPr>
        <w:t xml:space="preserve">, the cost of doing so via utilisation of current formats and processes needs consideration in contrast with the cost of </w:t>
      </w:r>
      <w:r w:rsidR="003C236B">
        <w:rPr>
          <w:rFonts w:ascii="Calibri" w:eastAsia="Times New Roman" w:hAnsi="Calibri" w:cs="Calibri"/>
          <w:lang w:val="en-GB" w:eastAsia="en-GB"/>
        </w:rPr>
        <w:t>doing so via CIM format.</w:t>
      </w:r>
    </w:p>
    <w:p w14:paraId="76EFE9EF" w14:textId="77777777" w:rsidR="00997A4B" w:rsidRDefault="00997A4B" w:rsidP="00997A4B">
      <w:pPr>
        <w:spacing w:line="276" w:lineRule="auto"/>
      </w:pPr>
      <w:r>
        <w:t xml:space="preserve">As such, we would be grateful if you could complete the details requested in Appendix A to the best of your ability. This will facilitate a </w:t>
      </w:r>
      <w:r w:rsidR="00DD6CFA">
        <w:t>high-level</w:t>
      </w:r>
      <w:r>
        <w:t xml:space="preserve"> value-judgement</w:t>
      </w:r>
      <w:r w:rsidR="00D532FE">
        <w:t xml:space="preserve"> in terms of FTE resource requirements and will</w:t>
      </w:r>
      <w:r>
        <w:t xml:space="preserve"> ensure the appropriate direction of travel for this modification.</w:t>
      </w:r>
    </w:p>
    <w:p w14:paraId="6CEE7832" w14:textId="77777777" w:rsidR="001E5156" w:rsidRDefault="001E5156" w:rsidP="00DD6CFA">
      <w:pPr>
        <w:pStyle w:val="Heading1"/>
      </w:pPr>
      <w:bookmarkStart w:id="6" w:name="_Toc47605620"/>
      <w:r>
        <w:t>Additional Considerations</w:t>
      </w:r>
      <w:r w:rsidR="00445A7B">
        <w:t xml:space="preserve"> for </w:t>
      </w:r>
      <w:r w:rsidR="00267976">
        <w:t>Feedback</w:t>
      </w:r>
      <w:bookmarkEnd w:id="6"/>
    </w:p>
    <w:p w14:paraId="13861878" w14:textId="77777777" w:rsidR="004574FD" w:rsidRDefault="00546DC2" w:rsidP="00DE3739">
      <w:pPr>
        <w:pStyle w:val="Heading3"/>
      </w:pPr>
      <w:r>
        <w:t>Implementation Timescale for CIM</w:t>
      </w:r>
    </w:p>
    <w:tbl>
      <w:tblPr>
        <w:tblStyle w:val="TableGrid"/>
        <w:tblW w:w="0" w:type="auto"/>
        <w:tblLook w:val="04A0" w:firstRow="1" w:lastRow="0" w:firstColumn="1" w:lastColumn="0" w:noHBand="0" w:noVBand="1"/>
      </w:tblPr>
      <w:tblGrid>
        <w:gridCol w:w="9350"/>
      </w:tblGrid>
      <w:tr w:rsidR="000F478E" w:rsidRPr="000F478E" w14:paraId="3E77F77D" w14:textId="77777777" w:rsidTr="000F478E">
        <w:tc>
          <w:tcPr>
            <w:tcW w:w="9350" w:type="dxa"/>
          </w:tcPr>
          <w:p w14:paraId="1A656247" w14:textId="77777777" w:rsidR="000F478E" w:rsidRPr="000F478E" w:rsidRDefault="000F478E" w:rsidP="00746FC2">
            <w:r w:rsidRPr="000F478E">
              <w:t>Please estimate CIM implementation timescale within your company</w:t>
            </w:r>
            <w:r>
              <w:t xml:space="preserve"> </w:t>
            </w:r>
            <w:r w:rsidRPr="000F478E">
              <w:t>in months</w:t>
            </w:r>
            <w:r w:rsidR="00AC511F">
              <w:t>, with any accompanying comments of note.</w:t>
            </w:r>
            <w:r w:rsidR="00313C0A">
              <w:t xml:space="preserve"> Please also comment on the </w:t>
            </w:r>
            <w:r w:rsidR="00896D5A">
              <w:t>implementation timescale and methodology in the “</w:t>
            </w:r>
            <w:r w:rsidR="00896D5A" w:rsidRPr="00B4283E">
              <w:t>Proposals for Implementation of Electronic Exchange of Network Planning Data</w:t>
            </w:r>
            <w:r w:rsidR="00896D5A">
              <w:t xml:space="preserve">” Report (section </w:t>
            </w:r>
            <w:r w:rsidR="00045EC8">
              <w:t>4.6)</w:t>
            </w:r>
          </w:p>
        </w:tc>
      </w:tr>
      <w:tr w:rsidR="000F478E" w:rsidRPr="000F478E" w14:paraId="0B7041FA" w14:textId="77777777" w:rsidTr="00056EA1">
        <w:trPr>
          <w:trHeight w:val="2833"/>
        </w:trPr>
        <w:tc>
          <w:tcPr>
            <w:tcW w:w="9350" w:type="dxa"/>
          </w:tcPr>
          <w:p w14:paraId="1B5E4B02" w14:textId="77777777" w:rsidR="000F478E" w:rsidRPr="000F478E" w:rsidRDefault="000F478E" w:rsidP="00746FC2"/>
        </w:tc>
      </w:tr>
    </w:tbl>
    <w:p w14:paraId="6C9FDAC6" w14:textId="77777777" w:rsidR="004574FD" w:rsidRDefault="004574FD" w:rsidP="00DE3739">
      <w:pPr>
        <w:pStyle w:val="Heading3"/>
      </w:pPr>
    </w:p>
    <w:p w14:paraId="4B98DEA8" w14:textId="77777777" w:rsidR="00313C0A" w:rsidRDefault="00313C0A" w:rsidP="00313C0A">
      <w:pPr>
        <w:pStyle w:val="Heading3"/>
      </w:pPr>
      <w:r>
        <w:t>Estimated Industry Setup Costs for CIM Implementation</w:t>
      </w:r>
    </w:p>
    <w:tbl>
      <w:tblPr>
        <w:tblStyle w:val="TableGrid"/>
        <w:tblW w:w="4995" w:type="pct"/>
        <w:tblLook w:val="04A0" w:firstRow="1" w:lastRow="0" w:firstColumn="1" w:lastColumn="0" w:noHBand="0" w:noVBand="1"/>
      </w:tblPr>
      <w:tblGrid>
        <w:gridCol w:w="9341"/>
      </w:tblGrid>
      <w:tr w:rsidR="00313C0A" w:rsidRPr="0033386B" w14:paraId="762AB48B" w14:textId="77777777" w:rsidTr="0098372D">
        <w:tc>
          <w:tcPr>
            <w:tcW w:w="5000" w:type="pct"/>
          </w:tcPr>
          <w:p w14:paraId="42A2AF45" w14:textId="77777777" w:rsidR="00313C0A" w:rsidRPr="0033386B" w:rsidRDefault="00313C0A" w:rsidP="0098372D">
            <w:r>
              <w:t xml:space="preserve">Please provide any feedback on the estimated </w:t>
            </w:r>
            <w:r w:rsidRPr="00605F88">
              <w:rPr>
                <w:b/>
              </w:rPr>
              <w:t>setup</w:t>
            </w:r>
            <w:r>
              <w:t xml:space="preserve"> costs and associated methodology</w:t>
            </w:r>
            <w:r w:rsidR="00605F88">
              <w:t xml:space="preserve"> for CIM implementation</w:t>
            </w:r>
            <w:r>
              <w:t xml:space="preserve"> </w:t>
            </w:r>
            <w:r w:rsidR="00605F88">
              <w:t xml:space="preserve">in the </w:t>
            </w:r>
            <w:r>
              <w:t>“</w:t>
            </w:r>
            <w:r w:rsidRPr="00B4283E">
              <w:t>Proposals for Implementation of Electronic Exchange of Network Planning Data</w:t>
            </w:r>
            <w:r>
              <w:t xml:space="preserve">” Report (Section 4). </w:t>
            </w:r>
          </w:p>
        </w:tc>
      </w:tr>
      <w:tr w:rsidR="00313C0A" w:rsidRPr="0033386B" w14:paraId="13BFDA86" w14:textId="77777777" w:rsidTr="00056EA1">
        <w:trPr>
          <w:trHeight w:val="2852"/>
        </w:trPr>
        <w:tc>
          <w:tcPr>
            <w:tcW w:w="5000" w:type="pct"/>
          </w:tcPr>
          <w:p w14:paraId="5F5D2777" w14:textId="77777777" w:rsidR="00313C0A" w:rsidRPr="0033386B" w:rsidRDefault="00313C0A" w:rsidP="0098372D"/>
        </w:tc>
      </w:tr>
    </w:tbl>
    <w:p w14:paraId="1E8A8A5A" w14:textId="6CE5B60B" w:rsidR="00DE3739" w:rsidRPr="00DE3739" w:rsidRDefault="00DE3739" w:rsidP="00DE3739">
      <w:pPr>
        <w:pStyle w:val="Heading3"/>
      </w:pPr>
      <w:r>
        <w:lastRenderedPageBreak/>
        <w:t>Alternative Solutions</w:t>
      </w:r>
    </w:p>
    <w:tbl>
      <w:tblPr>
        <w:tblStyle w:val="TableGrid"/>
        <w:tblW w:w="0" w:type="auto"/>
        <w:tblLook w:val="04A0" w:firstRow="1" w:lastRow="0" w:firstColumn="1" w:lastColumn="0" w:noHBand="0" w:noVBand="1"/>
      </w:tblPr>
      <w:tblGrid>
        <w:gridCol w:w="9350"/>
      </w:tblGrid>
      <w:tr w:rsidR="00DE3739" w:rsidRPr="00DE3739" w14:paraId="13B7A19C" w14:textId="77777777" w:rsidTr="00DE3739">
        <w:trPr>
          <w:trHeight w:val="904"/>
        </w:trPr>
        <w:tc>
          <w:tcPr>
            <w:tcW w:w="9350" w:type="dxa"/>
          </w:tcPr>
          <w:p w14:paraId="43EA6F2B" w14:textId="77777777" w:rsidR="00DE3739" w:rsidRPr="00DE3739" w:rsidRDefault="00DE3739" w:rsidP="00895567">
            <w:r w:rsidRPr="00DE3739">
              <w:t>Are you of the opinion that an alternative solution would be more appropriate than the proposed move to CIM format? For example, use of a specific software solution industry wide. If so, please detail below with your rationale.</w:t>
            </w:r>
          </w:p>
        </w:tc>
      </w:tr>
      <w:tr w:rsidR="00DE3739" w:rsidRPr="00DE3739" w14:paraId="009474EF" w14:textId="77777777" w:rsidTr="00056EA1">
        <w:trPr>
          <w:trHeight w:val="4572"/>
        </w:trPr>
        <w:tc>
          <w:tcPr>
            <w:tcW w:w="9350" w:type="dxa"/>
          </w:tcPr>
          <w:p w14:paraId="06BFA11C" w14:textId="77777777" w:rsidR="00DE3739" w:rsidRPr="00DE3739" w:rsidRDefault="00DE3739" w:rsidP="00895567"/>
        </w:tc>
      </w:tr>
    </w:tbl>
    <w:p w14:paraId="5A56AC6B" w14:textId="77777777" w:rsidR="0075642C" w:rsidRDefault="0075642C" w:rsidP="0075642C">
      <w:pPr>
        <w:pStyle w:val="Heading3"/>
      </w:pPr>
    </w:p>
    <w:p w14:paraId="01B355C9" w14:textId="77777777" w:rsidR="0075642C" w:rsidRPr="00DD6CFA" w:rsidRDefault="0075642C" w:rsidP="00056EA1">
      <w:pPr>
        <w:pStyle w:val="Heading3"/>
      </w:pPr>
      <w:r>
        <w:t>Wider Benefits of CIM</w:t>
      </w:r>
    </w:p>
    <w:tbl>
      <w:tblPr>
        <w:tblStyle w:val="TableGrid"/>
        <w:tblW w:w="4995" w:type="pct"/>
        <w:tblLook w:val="04A0" w:firstRow="1" w:lastRow="0" w:firstColumn="1" w:lastColumn="0" w:noHBand="0" w:noVBand="1"/>
      </w:tblPr>
      <w:tblGrid>
        <w:gridCol w:w="9341"/>
      </w:tblGrid>
      <w:tr w:rsidR="0075642C" w:rsidRPr="0033386B" w14:paraId="7B8E3F20" w14:textId="77777777" w:rsidTr="0098372D">
        <w:tc>
          <w:tcPr>
            <w:tcW w:w="5000" w:type="pct"/>
          </w:tcPr>
          <w:p w14:paraId="57EEB478" w14:textId="77777777" w:rsidR="0075642C" w:rsidRPr="0033386B" w:rsidRDefault="00712FDE" w:rsidP="0098372D">
            <w:r>
              <w:t xml:space="preserve">What other benefits has your company identified in association with a move to the CIM data platform? For example, </w:t>
            </w:r>
            <w:r w:rsidR="004526A9">
              <w:t>implications for other projects or long-term business need and process efficienc</w:t>
            </w:r>
            <w:r w:rsidR="00847006">
              <w:t>ies.</w:t>
            </w:r>
          </w:p>
        </w:tc>
      </w:tr>
      <w:tr w:rsidR="0075642C" w:rsidRPr="0033386B" w14:paraId="1E118017" w14:textId="77777777" w:rsidTr="00056EA1">
        <w:trPr>
          <w:trHeight w:val="5120"/>
        </w:trPr>
        <w:tc>
          <w:tcPr>
            <w:tcW w:w="5000" w:type="pct"/>
          </w:tcPr>
          <w:p w14:paraId="1B18B62C" w14:textId="77777777" w:rsidR="0075642C" w:rsidRPr="0033386B" w:rsidRDefault="0075642C" w:rsidP="0098372D"/>
        </w:tc>
      </w:tr>
    </w:tbl>
    <w:p w14:paraId="206BBE7C" w14:textId="77777777" w:rsidR="0075642C" w:rsidRDefault="0075642C" w:rsidP="0075642C"/>
    <w:p w14:paraId="60776380" w14:textId="13A6AD8D" w:rsidR="001F336F" w:rsidRPr="00DD6CFA" w:rsidRDefault="00833DD8" w:rsidP="00DD6CFA">
      <w:pPr>
        <w:pStyle w:val="Heading3"/>
      </w:pPr>
      <w:r w:rsidRPr="00DD6CFA">
        <w:lastRenderedPageBreak/>
        <w:t>Data Exchange via Secure Portal</w:t>
      </w:r>
    </w:p>
    <w:tbl>
      <w:tblPr>
        <w:tblStyle w:val="TableGrid"/>
        <w:tblW w:w="4995" w:type="pct"/>
        <w:tblLook w:val="04A0" w:firstRow="1" w:lastRow="0" w:firstColumn="1" w:lastColumn="0" w:noHBand="0" w:noVBand="1"/>
      </w:tblPr>
      <w:tblGrid>
        <w:gridCol w:w="9341"/>
      </w:tblGrid>
      <w:tr w:rsidR="0033386B" w:rsidRPr="0033386B" w14:paraId="45FEE36A" w14:textId="77777777" w:rsidTr="0033386B">
        <w:tc>
          <w:tcPr>
            <w:tcW w:w="5000" w:type="pct"/>
          </w:tcPr>
          <w:p w14:paraId="5F311824" w14:textId="77777777" w:rsidR="001E3181" w:rsidRDefault="0033386B" w:rsidP="002F0EDE">
            <w:r w:rsidRPr="0033386B">
              <w:t xml:space="preserve">Given the volume of data proposed to be exchanged under this modification, and to ensure sensitive data is communicated securely, a solution other than email exchange would likely be necessary. What suggestions do you have in order to meet this need e.g. a </w:t>
            </w:r>
            <w:proofErr w:type="gramStart"/>
            <w:r w:rsidRPr="0033386B">
              <w:t>particular software</w:t>
            </w:r>
            <w:proofErr w:type="gramEnd"/>
            <w:r w:rsidRPr="0033386B">
              <w:t xml:space="preserve"> solution, </w:t>
            </w:r>
            <w:r w:rsidR="00693B82">
              <w:t xml:space="preserve">a </w:t>
            </w:r>
            <w:r w:rsidRPr="0033386B">
              <w:t>dedicated transfer server hosted by a party to-be-confirmed</w:t>
            </w:r>
            <w:r w:rsidR="00693B82">
              <w:t xml:space="preserve">, </w:t>
            </w:r>
            <w:r w:rsidR="00851C9D">
              <w:t xml:space="preserve">or </w:t>
            </w:r>
            <w:r w:rsidR="00693B82">
              <w:t xml:space="preserve">a solution similar to the </w:t>
            </w:r>
            <w:r w:rsidR="00583F7A">
              <w:t>European</w:t>
            </w:r>
            <w:r w:rsidR="00693B82">
              <w:t xml:space="preserve"> </w:t>
            </w:r>
            <w:r w:rsidR="007A7122">
              <w:t>Common Grid Model Exchange Specification</w:t>
            </w:r>
            <w:r w:rsidR="004477C2">
              <w:t xml:space="preserve"> </w:t>
            </w:r>
            <w:r w:rsidR="00461B99">
              <w:t>OPDE</w:t>
            </w:r>
            <w:r w:rsidR="00687EF5">
              <w:t>*</w:t>
            </w:r>
            <w:r w:rsidR="00693B82">
              <w:t xml:space="preserve"> platform?</w:t>
            </w:r>
            <w:r w:rsidR="001E3181">
              <w:t xml:space="preserve"> </w:t>
            </w:r>
          </w:p>
          <w:p w14:paraId="7977F378" w14:textId="77777777" w:rsidR="001E3181" w:rsidRDefault="001E3181" w:rsidP="002F0EDE"/>
          <w:p w14:paraId="09C42CFF" w14:textId="77777777" w:rsidR="0033386B" w:rsidRPr="0033386B" w:rsidRDefault="001E3181" w:rsidP="002F0EDE">
            <w:r>
              <w:t xml:space="preserve">Note that Ofgem’s intention is that such data will be made publicly available (or to third parties on request) so this should be factored in to your consideration. </w:t>
            </w:r>
          </w:p>
        </w:tc>
      </w:tr>
      <w:tr w:rsidR="0033386B" w:rsidRPr="0033386B" w14:paraId="3996BE95" w14:textId="77777777" w:rsidTr="00056EA1">
        <w:trPr>
          <w:trHeight w:val="3753"/>
        </w:trPr>
        <w:tc>
          <w:tcPr>
            <w:tcW w:w="5000" w:type="pct"/>
          </w:tcPr>
          <w:p w14:paraId="5E673CDC" w14:textId="77777777" w:rsidR="0033386B" w:rsidRPr="0033386B" w:rsidRDefault="0033386B" w:rsidP="002F0EDE"/>
        </w:tc>
      </w:tr>
    </w:tbl>
    <w:p w14:paraId="6F858E16" w14:textId="77777777" w:rsidR="00687EF5" w:rsidRDefault="00687EF5" w:rsidP="00DE3739">
      <w:r>
        <w:t xml:space="preserve">*The </w:t>
      </w:r>
      <w:r w:rsidR="00461B99">
        <w:t>OPDE</w:t>
      </w:r>
      <w:r>
        <w:t xml:space="preserve"> platform is </w:t>
      </w:r>
      <w:r w:rsidR="00847609">
        <w:t xml:space="preserve">a digital platform connecting European TSOs </w:t>
      </w:r>
      <w:proofErr w:type="gramStart"/>
      <w:r w:rsidR="00847609">
        <w:t>centrally</w:t>
      </w:r>
      <w:r w:rsidR="00851C9D">
        <w:t>, and</w:t>
      </w:r>
      <w:proofErr w:type="gramEnd"/>
      <w:r w:rsidR="00851C9D">
        <w:t xml:space="preserve"> is based on the CIM standard.</w:t>
      </w:r>
      <w:r w:rsidR="00637099">
        <w:rPr>
          <w:rStyle w:val="FootnoteReference"/>
        </w:rPr>
        <w:footnoteReference w:id="6"/>
      </w:r>
      <w:r w:rsidR="00E07EAC">
        <w:t xml:space="preserve"> </w:t>
      </w:r>
    </w:p>
    <w:p w14:paraId="781657AA" w14:textId="77777777" w:rsidR="001F336F" w:rsidRDefault="00AC511F" w:rsidP="00AC511F">
      <w:pPr>
        <w:pStyle w:val="Heading3"/>
      </w:pPr>
      <w:r>
        <w:t>Other Comments</w:t>
      </w:r>
    </w:p>
    <w:tbl>
      <w:tblPr>
        <w:tblStyle w:val="TableGrid"/>
        <w:tblW w:w="0" w:type="auto"/>
        <w:tblLook w:val="04A0" w:firstRow="1" w:lastRow="0" w:firstColumn="1" w:lastColumn="0" w:noHBand="0" w:noVBand="1"/>
      </w:tblPr>
      <w:tblGrid>
        <w:gridCol w:w="9350"/>
      </w:tblGrid>
      <w:tr w:rsidR="003855D6" w:rsidRPr="003855D6" w14:paraId="5E71187D" w14:textId="77777777" w:rsidTr="003855D6">
        <w:tc>
          <w:tcPr>
            <w:tcW w:w="9350" w:type="dxa"/>
          </w:tcPr>
          <w:p w14:paraId="0C2E11E4" w14:textId="77777777" w:rsidR="003855D6" w:rsidRPr="003855D6" w:rsidRDefault="003855D6" w:rsidP="00AC5A31">
            <w:r w:rsidRPr="003855D6">
              <w:t>Please outline any other pertinent comments relating to this RFI.</w:t>
            </w:r>
          </w:p>
        </w:tc>
      </w:tr>
      <w:tr w:rsidR="003855D6" w:rsidRPr="003855D6" w14:paraId="3789CFE0" w14:textId="77777777" w:rsidTr="00056EA1">
        <w:trPr>
          <w:trHeight w:val="4733"/>
        </w:trPr>
        <w:tc>
          <w:tcPr>
            <w:tcW w:w="9350" w:type="dxa"/>
          </w:tcPr>
          <w:p w14:paraId="33C56A3F" w14:textId="77777777" w:rsidR="003855D6" w:rsidRPr="003855D6" w:rsidRDefault="003855D6" w:rsidP="00AC5A31"/>
        </w:tc>
      </w:tr>
    </w:tbl>
    <w:p w14:paraId="3CF887D0" w14:textId="77777777" w:rsidR="004C6A2D" w:rsidRDefault="004C6A2D" w:rsidP="00DD6CFA">
      <w:pPr>
        <w:pStyle w:val="Heading1"/>
      </w:pPr>
      <w:bookmarkStart w:id="7" w:name="_Toc47605621"/>
      <w:r>
        <w:lastRenderedPageBreak/>
        <w:t>Reference Materials</w:t>
      </w:r>
      <w:bookmarkEnd w:id="7"/>
    </w:p>
    <w:p w14:paraId="257EFC53" w14:textId="77777777" w:rsidR="004C6A2D" w:rsidRDefault="00025E2B" w:rsidP="004C6A2D">
      <w:pPr>
        <w:pStyle w:val="ListParagraph"/>
        <w:numPr>
          <w:ilvl w:val="0"/>
          <w:numId w:val="3"/>
        </w:numPr>
      </w:pPr>
      <w:hyperlink r:id="rId12" w:history="1">
        <w:r w:rsidR="004C6A2D">
          <w:rPr>
            <w:rStyle w:val="Hyperlink"/>
          </w:rPr>
          <w:t>Data Exchange in Planning Timescales; Data Scope - Final Report</w:t>
        </w:r>
      </w:hyperlink>
    </w:p>
    <w:p w14:paraId="13A2B3C1" w14:textId="77777777" w:rsidR="004C6A2D" w:rsidRDefault="00025E2B" w:rsidP="004C6A2D">
      <w:pPr>
        <w:pStyle w:val="ListParagraph"/>
        <w:numPr>
          <w:ilvl w:val="0"/>
          <w:numId w:val="3"/>
        </w:numPr>
      </w:pPr>
      <w:hyperlink r:id="rId13" w:history="1">
        <w:r w:rsidR="004C6A2D">
          <w:rPr>
            <w:rStyle w:val="Hyperlink"/>
          </w:rPr>
          <w:t>Proposals for Implementation of Electronic Exchange of Network Planning Data</w:t>
        </w:r>
      </w:hyperlink>
    </w:p>
    <w:p w14:paraId="63D69E0C" w14:textId="77777777" w:rsidR="004C6A2D" w:rsidRPr="008D75A0" w:rsidRDefault="00025E2B" w:rsidP="004C6A2D">
      <w:pPr>
        <w:pStyle w:val="ListParagraph"/>
        <w:numPr>
          <w:ilvl w:val="0"/>
          <w:numId w:val="3"/>
        </w:numPr>
        <w:rPr>
          <w:rStyle w:val="Hyperlink"/>
          <w:color w:val="auto"/>
          <w:u w:val="none"/>
        </w:rPr>
      </w:pPr>
      <w:hyperlink r:id="rId14" w:history="1">
        <w:r w:rsidR="004C6A2D">
          <w:rPr>
            <w:rStyle w:val="Hyperlink"/>
          </w:rPr>
          <w:t>GC0139: Enhanced Planning-Data Exchange to Facilitate Whole System Planning</w:t>
        </w:r>
      </w:hyperlink>
    </w:p>
    <w:p w14:paraId="3B7A0F45" w14:textId="77777777" w:rsidR="004C6A2D" w:rsidRDefault="00025E2B" w:rsidP="004C6A2D">
      <w:pPr>
        <w:pStyle w:val="ListParagraph"/>
        <w:numPr>
          <w:ilvl w:val="0"/>
          <w:numId w:val="3"/>
        </w:numPr>
      </w:pPr>
      <w:hyperlink r:id="rId15" w:history="1">
        <w:r w:rsidR="004C6A2D">
          <w:rPr>
            <w:rStyle w:val="Hyperlink"/>
          </w:rPr>
          <w:t>Data Registration Code</w:t>
        </w:r>
      </w:hyperlink>
      <w:r w:rsidR="004C6A2D">
        <w:t xml:space="preserve"> </w:t>
      </w:r>
    </w:p>
    <w:p w14:paraId="54A8ACE5" w14:textId="77777777" w:rsidR="004C6A2D" w:rsidRPr="004C6A2D" w:rsidRDefault="00025E2B" w:rsidP="004C6A2D">
      <w:pPr>
        <w:pStyle w:val="ListParagraph"/>
        <w:numPr>
          <w:ilvl w:val="0"/>
          <w:numId w:val="3"/>
        </w:numPr>
        <w:rPr>
          <w:rStyle w:val="Hyperlink"/>
          <w:color w:val="auto"/>
          <w:u w:val="none"/>
        </w:rPr>
      </w:pPr>
      <w:hyperlink r:id="rId16" w:history="1">
        <w:r w:rsidR="004C6A2D">
          <w:rPr>
            <w:rStyle w:val="Hyperlink"/>
          </w:rPr>
          <w:t>Schedule 5: Enhanced Node Data</w:t>
        </w:r>
      </w:hyperlink>
    </w:p>
    <w:p w14:paraId="65FDBD6F" w14:textId="77777777" w:rsidR="00894F34" w:rsidRDefault="00025E2B" w:rsidP="00521D19">
      <w:pPr>
        <w:pStyle w:val="ListParagraph"/>
        <w:numPr>
          <w:ilvl w:val="0"/>
          <w:numId w:val="3"/>
        </w:numPr>
        <w:rPr>
          <w:rStyle w:val="Hyperlink"/>
        </w:rPr>
        <w:sectPr w:rsidR="00894F34" w:rsidSect="00804057">
          <w:pgSz w:w="12240" w:h="15840"/>
          <w:pgMar w:top="1440" w:right="1440" w:bottom="1440" w:left="1440" w:header="426" w:footer="708" w:gutter="0"/>
          <w:cols w:space="708"/>
          <w:docGrid w:linePitch="360"/>
        </w:sectPr>
      </w:pPr>
      <w:hyperlink r:id="rId17" w:history="1">
        <w:r w:rsidR="004C6A2D">
          <w:rPr>
            <w:rStyle w:val="Hyperlink"/>
          </w:rPr>
          <w:t>Enhanced Schedule 11</w:t>
        </w:r>
      </w:hyperlink>
    </w:p>
    <w:p w14:paraId="525928E9" w14:textId="77777777" w:rsidR="00894F34" w:rsidRDefault="00894F34" w:rsidP="00DE1EAC">
      <w:pPr>
        <w:pStyle w:val="ListParagraph"/>
      </w:pPr>
    </w:p>
    <w:p w14:paraId="41834777" w14:textId="77777777" w:rsidR="00894F34" w:rsidRDefault="00894F34" w:rsidP="00DD6CFA">
      <w:pPr>
        <w:pStyle w:val="Heading1"/>
        <w:rPr>
          <w:rFonts w:eastAsia="Times New Roman"/>
          <w:lang w:val="en-GB" w:eastAsia="en-GB"/>
        </w:rPr>
      </w:pPr>
      <w:bookmarkStart w:id="8" w:name="_Toc47605622"/>
      <w:r>
        <w:rPr>
          <w:rFonts w:eastAsia="Times New Roman"/>
          <w:lang w:val="en-GB" w:eastAsia="en-GB"/>
        </w:rPr>
        <w:t>Appendix A</w:t>
      </w:r>
      <w:r w:rsidR="00CB3D1A">
        <w:rPr>
          <w:rFonts w:eastAsia="Times New Roman"/>
          <w:lang w:val="en-GB" w:eastAsia="en-GB"/>
        </w:rPr>
        <w:t xml:space="preserve"> – Cost Estimates</w:t>
      </w:r>
      <w:bookmarkEnd w:id="8"/>
    </w:p>
    <w:p w14:paraId="64596B62" w14:textId="77777777" w:rsidR="00CB3D1A" w:rsidRDefault="00CB3D1A" w:rsidP="00894F34">
      <w:pPr>
        <w:jc w:val="center"/>
        <w:rPr>
          <w:rFonts w:ascii="Calibri" w:eastAsia="Times New Roman" w:hAnsi="Calibri" w:cs="Calibri"/>
          <w:b/>
          <w:bCs/>
          <w:color w:val="000000"/>
          <w:sz w:val="32"/>
          <w:szCs w:val="24"/>
          <w:lang w:val="en-GB" w:eastAsia="en-GB"/>
        </w:rPr>
      </w:pPr>
    </w:p>
    <w:p w14:paraId="55796F8F" w14:textId="77777777" w:rsidR="00894F34" w:rsidRPr="00894F34" w:rsidRDefault="00894F34" w:rsidP="00894F34">
      <w:pPr>
        <w:jc w:val="center"/>
        <w:rPr>
          <w:sz w:val="28"/>
        </w:rPr>
      </w:pPr>
      <w:r w:rsidRPr="00894F34">
        <w:rPr>
          <w:rFonts w:ascii="Calibri" w:eastAsia="Times New Roman" w:hAnsi="Calibri" w:cs="Calibri"/>
          <w:b/>
          <w:bCs/>
          <w:color w:val="000000"/>
          <w:sz w:val="32"/>
          <w:szCs w:val="24"/>
          <w:lang w:val="en-GB" w:eastAsia="en-GB"/>
        </w:rPr>
        <w:t>Enhanced Data Exchange U</w:t>
      </w:r>
      <w:r>
        <w:rPr>
          <w:rFonts w:ascii="Calibri" w:eastAsia="Times New Roman" w:hAnsi="Calibri" w:cs="Calibri"/>
          <w:b/>
          <w:bCs/>
          <w:color w:val="000000"/>
          <w:sz w:val="32"/>
          <w:szCs w:val="24"/>
          <w:lang w:val="en-GB" w:eastAsia="en-GB"/>
        </w:rPr>
        <w:t>tilis</w:t>
      </w:r>
      <w:r w:rsidRPr="00894F34">
        <w:rPr>
          <w:rFonts w:ascii="Calibri" w:eastAsia="Times New Roman" w:hAnsi="Calibri" w:cs="Calibri"/>
          <w:b/>
          <w:bCs/>
          <w:color w:val="000000"/>
          <w:sz w:val="32"/>
          <w:szCs w:val="24"/>
          <w:lang w:val="en-GB" w:eastAsia="en-GB"/>
        </w:rPr>
        <w:t xml:space="preserve">ing </w:t>
      </w:r>
      <w:r>
        <w:rPr>
          <w:rFonts w:ascii="Calibri" w:eastAsia="Times New Roman" w:hAnsi="Calibri" w:cs="Calibri"/>
          <w:b/>
          <w:bCs/>
          <w:color w:val="000000"/>
          <w:sz w:val="32"/>
          <w:szCs w:val="24"/>
          <w:lang w:val="en-GB" w:eastAsia="en-GB"/>
        </w:rPr>
        <w:t>Current Format</w:t>
      </w:r>
    </w:p>
    <w:p w14:paraId="2EB99C70" w14:textId="77777777" w:rsidR="00894F34" w:rsidRDefault="00894F34"/>
    <w:tbl>
      <w:tblPr>
        <w:tblW w:w="12740" w:type="dxa"/>
        <w:tblInd w:w="-5" w:type="dxa"/>
        <w:tblLook w:val="04A0" w:firstRow="1" w:lastRow="0" w:firstColumn="1" w:lastColumn="0" w:noHBand="0" w:noVBand="1"/>
      </w:tblPr>
      <w:tblGrid>
        <w:gridCol w:w="6096"/>
        <w:gridCol w:w="2744"/>
        <w:gridCol w:w="3900"/>
      </w:tblGrid>
      <w:tr w:rsidR="00894F34" w:rsidRPr="00894F34" w14:paraId="333575E1" w14:textId="77777777" w:rsidTr="00090C7C">
        <w:trPr>
          <w:trHeight w:val="290"/>
        </w:trPr>
        <w:tc>
          <w:tcPr>
            <w:tcW w:w="6096" w:type="dxa"/>
            <w:tcBorders>
              <w:top w:val="single" w:sz="4" w:space="0" w:color="auto"/>
              <w:left w:val="single" w:sz="4" w:space="0" w:color="auto"/>
              <w:bottom w:val="single" w:sz="4" w:space="0" w:color="auto"/>
              <w:right w:val="single" w:sz="4" w:space="0" w:color="auto"/>
            </w:tcBorders>
            <w:shd w:val="clear" w:color="000000" w:fill="DDEBF7"/>
            <w:noWrap/>
            <w:vAlign w:val="center"/>
            <w:hideMark/>
          </w:tcPr>
          <w:p w14:paraId="21B34636" w14:textId="77777777" w:rsidR="00894F34" w:rsidRPr="00894F34" w:rsidRDefault="00894F34" w:rsidP="00894F34">
            <w:pPr>
              <w:spacing w:after="0" w:line="240" w:lineRule="auto"/>
              <w:jc w:val="center"/>
              <w:rPr>
                <w:rFonts w:ascii="Calibri" w:eastAsia="Times New Roman" w:hAnsi="Calibri" w:cs="Calibri"/>
                <w:b/>
                <w:bCs/>
                <w:color w:val="000000"/>
                <w:lang w:val="en-GB" w:eastAsia="en-GB"/>
              </w:rPr>
            </w:pPr>
            <w:r w:rsidRPr="00894F34">
              <w:rPr>
                <w:rFonts w:ascii="Calibri" w:eastAsia="Times New Roman" w:hAnsi="Calibri" w:cs="Calibri"/>
                <w:b/>
                <w:bCs/>
                <w:color w:val="000000"/>
                <w:lang w:val="en-GB" w:eastAsia="en-GB"/>
              </w:rPr>
              <w:t>Item</w:t>
            </w:r>
          </w:p>
        </w:tc>
        <w:tc>
          <w:tcPr>
            <w:tcW w:w="2744" w:type="dxa"/>
            <w:tcBorders>
              <w:top w:val="single" w:sz="4" w:space="0" w:color="auto"/>
              <w:left w:val="nil"/>
              <w:bottom w:val="single" w:sz="4" w:space="0" w:color="auto"/>
              <w:right w:val="single" w:sz="4" w:space="0" w:color="auto"/>
            </w:tcBorders>
            <w:shd w:val="clear" w:color="000000" w:fill="DDEBF7"/>
            <w:noWrap/>
            <w:vAlign w:val="bottom"/>
            <w:hideMark/>
          </w:tcPr>
          <w:p w14:paraId="75995111" w14:textId="77777777" w:rsidR="00894F34" w:rsidRPr="00894F34" w:rsidRDefault="00894F34" w:rsidP="00894F34">
            <w:pPr>
              <w:spacing w:after="0" w:line="240" w:lineRule="auto"/>
              <w:jc w:val="center"/>
              <w:rPr>
                <w:rFonts w:ascii="Calibri" w:eastAsia="Times New Roman" w:hAnsi="Calibri" w:cs="Calibri"/>
                <w:b/>
                <w:bCs/>
                <w:color w:val="000000"/>
                <w:lang w:val="en-GB" w:eastAsia="en-GB"/>
              </w:rPr>
            </w:pPr>
            <w:r w:rsidRPr="00894F34">
              <w:rPr>
                <w:rFonts w:ascii="Calibri" w:eastAsia="Times New Roman" w:hAnsi="Calibri" w:cs="Calibri"/>
                <w:b/>
                <w:bCs/>
                <w:color w:val="000000"/>
                <w:lang w:val="en-GB" w:eastAsia="en-GB"/>
              </w:rPr>
              <w:t>Cost Frequency</w:t>
            </w:r>
          </w:p>
        </w:tc>
        <w:tc>
          <w:tcPr>
            <w:tcW w:w="3900" w:type="dxa"/>
            <w:tcBorders>
              <w:top w:val="single" w:sz="4" w:space="0" w:color="auto"/>
              <w:left w:val="nil"/>
              <w:bottom w:val="single" w:sz="4" w:space="0" w:color="auto"/>
              <w:right w:val="single" w:sz="4" w:space="0" w:color="auto"/>
            </w:tcBorders>
            <w:shd w:val="clear" w:color="000000" w:fill="DDEBF7"/>
            <w:noWrap/>
            <w:vAlign w:val="center"/>
            <w:hideMark/>
          </w:tcPr>
          <w:p w14:paraId="15C7F602" w14:textId="77777777" w:rsidR="00894F34" w:rsidRPr="00894F34" w:rsidRDefault="00894F34" w:rsidP="00894F34">
            <w:pPr>
              <w:spacing w:after="0" w:line="240" w:lineRule="auto"/>
              <w:jc w:val="center"/>
              <w:rPr>
                <w:rFonts w:ascii="Calibri" w:eastAsia="Times New Roman" w:hAnsi="Calibri" w:cs="Calibri"/>
                <w:b/>
                <w:bCs/>
                <w:color w:val="000000"/>
                <w:lang w:val="en-GB" w:eastAsia="en-GB"/>
              </w:rPr>
            </w:pPr>
            <w:r w:rsidRPr="00894F34">
              <w:rPr>
                <w:rFonts w:ascii="Calibri" w:eastAsia="Times New Roman" w:hAnsi="Calibri" w:cs="Calibri"/>
                <w:b/>
                <w:bCs/>
                <w:color w:val="000000"/>
                <w:lang w:val="en-GB" w:eastAsia="en-GB"/>
              </w:rPr>
              <w:t>Cost</w:t>
            </w:r>
            <w:r w:rsidR="00CD068D">
              <w:rPr>
                <w:rFonts w:ascii="Calibri" w:eastAsia="Times New Roman" w:hAnsi="Calibri" w:cs="Calibri"/>
                <w:b/>
                <w:bCs/>
                <w:color w:val="000000"/>
                <w:lang w:val="en-GB" w:eastAsia="en-GB"/>
              </w:rPr>
              <w:t xml:space="preserve"> Estimate</w:t>
            </w:r>
          </w:p>
        </w:tc>
      </w:tr>
      <w:tr w:rsidR="00894F34" w:rsidRPr="00894F34" w14:paraId="56D6FBC1" w14:textId="77777777" w:rsidTr="00090C7C">
        <w:trPr>
          <w:trHeight w:val="780"/>
        </w:trPr>
        <w:tc>
          <w:tcPr>
            <w:tcW w:w="6096" w:type="dxa"/>
            <w:tcBorders>
              <w:top w:val="nil"/>
              <w:left w:val="single" w:sz="4" w:space="0" w:color="auto"/>
              <w:bottom w:val="single" w:sz="4" w:space="0" w:color="auto"/>
              <w:right w:val="single" w:sz="4" w:space="0" w:color="auto"/>
            </w:tcBorders>
            <w:shd w:val="clear" w:color="000000" w:fill="F2F2F2"/>
            <w:vAlign w:val="center"/>
            <w:hideMark/>
          </w:tcPr>
          <w:p w14:paraId="24F819B3" w14:textId="77777777" w:rsidR="00894F34" w:rsidRPr="00894F34" w:rsidRDefault="00894F34" w:rsidP="00894F34">
            <w:pPr>
              <w:spacing w:after="0" w:line="240" w:lineRule="auto"/>
              <w:jc w:val="center"/>
              <w:rPr>
                <w:rFonts w:ascii="Calibri" w:eastAsia="Times New Roman" w:hAnsi="Calibri" w:cs="Calibri"/>
                <w:color w:val="000000"/>
                <w:lang w:val="en-GB" w:eastAsia="en-GB"/>
              </w:rPr>
            </w:pPr>
            <w:r w:rsidRPr="00894F34">
              <w:rPr>
                <w:rFonts w:ascii="Calibri" w:eastAsia="Times New Roman" w:hAnsi="Calibri" w:cs="Calibri"/>
                <w:color w:val="000000"/>
                <w:lang w:val="en-GB" w:eastAsia="en-GB"/>
              </w:rPr>
              <w:t>Systems development for handling of enhanced data detail &amp; assimilation of switch-level models</w:t>
            </w:r>
          </w:p>
        </w:tc>
        <w:tc>
          <w:tcPr>
            <w:tcW w:w="2744" w:type="dxa"/>
            <w:tcBorders>
              <w:top w:val="nil"/>
              <w:left w:val="nil"/>
              <w:bottom w:val="single" w:sz="4" w:space="0" w:color="auto"/>
              <w:right w:val="single" w:sz="4" w:space="0" w:color="auto"/>
            </w:tcBorders>
            <w:shd w:val="clear" w:color="000000" w:fill="F2F2F2"/>
            <w:noWrap/>
            <w:vAlign w:val="center"/>
            <w:hideMark/>
          </w:tcPr>
          <w:p w14:paraId="5CFE9D26" w14:textId="77777777" w:rsidR="00894F34" w:rsidRPr="00894F34" w:rsidRDefault="00894F34" w:rsidP="00894F34">
            <w:pPr>
              <w:spacing w:after="0" w:line="240" w:lineRule="auto"/>
              <w:jc w:val="center"/>
              <w:rPr>
                <w:rFonts w:ascii="Calibri" w:eastAsia="Times New Roman" w:hAnsi="Calibri" w:cs="Calibri"/>
                <w:color w:val="000000"/>
                <w:lang w:val="en-GB" w:eastAsia="en-GB"/>
              </w:rPr>
            </w:pPr>
            <w:r w:rsidRPr="00894F34">
              <w:rPr>
                <w:rFonts w:ascii="Calibri" w:eastAsia="Times New Roman" w:hAnsi="Calibri" w:cs="Calibri"/>
                <w:color w:val="000000"/>
                <w:lang w:val="en-GB" w:eastAsia="en-GB"/>
              </w:rPr>
              <w:t>Once only</w:t>
            </w:r>
          </w:p>
        </w:tc>
        <w:tc>
          <w:tcPr>
            <w:tcW w:w="3900" w:type="dxa"/>
            <w:tcBorders>
              <w:top w:val="nil"/>
              <w:left w:val="nil"/>
              <w:bottom w:val="single" w:sz="4" w:space="0" w:color="auto"/>
              <w:right w:val="single" w:sz="4" w:space="0" w:color="auto"/>
            </w:tcBorders>
            <w:shd w:val="clear" w:color="auto" w:fill="auto"/>
            <w:noWrap/>
            <w:vAlign w:val="bottom"/>
            <w:hideMark/>
          </w:tcPr>
          <w:p w14:paraId="2EDFB2B1" w14:textId="77777777" w:rsidR="00894F34" w:rsidRPr="00894F34" w:rsidRDefault="00894F34" w:rsidP="00894F34">
            <w:pPr>
              <w:spacing w:after="0" w:line="240" w:lineRule="auto"/>
              <w:rPr>
                <w:rFonts w:ascii="Calibri" w:eastAsia="Times New Roman" w:hAnsi="Calibri" w:cs="Calibri"/>
                <w:b/>
                <w:bCs/>
                <w:color w:val="000000"/>
                <w:lang w:val="en-GB" w:eastAsia="en-GB"/>
              </w:rPr>
            </w:pPr>
            <w:r w:rsidRPr="00894F34">
              <w:rPr>
                <w:rFonts w:ascii="Calibri" w:eastAsia="Times New Roman" w:hAnsi="Calibri" w:cs="Calibri"/>
                <w:b/>
                <w:bCs/>
                <w:color w:val="000000"/>
                <w:lang w:val="en-GB" w:eastAsia="en-GB"/>
              </w:rPr>
              <w:t> </w:t>
            </w:r>
          </w:p>
        </w:tc>
      </w:tr>
      <w:tr w:rsidR="00894F34" w:rsidRPr="00894F34" w14:paraId="48D68B3E" w14:textId="77777777" w:rsidTr="00090C7C">
        <w:trPr>
          <w:trHeight w:val="720"/>
        </w:trPr>
        <w:tc>
          <w:tcPr>
            <w:tcW w:w="6096" w:type="dxa"/>
            <w:tcBorders>
              <w:top w:val="nil"/>
              <w:left w:val="single" w:sz="4" w:space="0" w:color="auto"/>
              <w:bottom w:val="single" w:sz="4" w:space="0" w:color="auto"/>
              <w:right w:val="single" w:sz="4" w:space="0" w:color="auto"/>
            </w:tcBorders>
            <w:shd w:val="clear" w:color="000000" w:fill="F2F2F2"/>
            <w:noWrap/>
            <w:vAlign w:val="center"/>
            <w:hideMark/>
          </w:tcPr>
          <w:p w14:paraId="1084F195" w14:textId="77777777" w:rsidR="00894F34" w:rsidRPr="00894F34" w:rsidRDefault="00894F34" w:rsidP="00894F34">
            <w:pPr>
              <w:spacing w:after="0" w:line="240" w:lineRule="auto"/>
              <w:jc w:val="center"/>
              <w:rPr>
                <w:rFonts w:ascii="Calibri" w:eastAsia="Times New Roman" w:hAnsi="Calibri" w:cs="Calibri"/>
                <w:color w:val="000000"/>
                <w:lang w:val="en-GB" w:eastAsia="en-GB"/>
              </w:rPr>
            </w:pPr>
            <w:r w:rsidRPr="00894F34">
              <w:rPr>
                <w:rFonts w:ascii="Calibri" w:eastAsia="Times New Roman" w:hAnsi="Calibri" w:cs="Calibri"/>
                <w:color w:val="000000"/>
                <w:lang w:val="en-GB" w:eastAsia="en-GB"/>
              </w:rPr>
              <w:t>Gathering, compiling &amp; submitting Week 24 Data</w:t>
            </w:r>
          </w:p>
        </w:tc>
        <w:tc>
          <w:tcPr>
            <w:tcW w:w="2744" w:type="dxa"/>
            <w:tcBorders>
              <w:top w:val="nil"/>
              <w:left w:val="nil"/>
              <w:bottom w:val="single" w:sz="4" w:space="0" w:color="auto"/>
              <w:right w:val="single" w:sz="4" w:space="0" w:color="auto"/>
            </w:tcBorders>
            <w:shd w:val="clear" w:color="000000" w:fill="F2F2F2"/>
            <w:noWrap/>
            <w:vAlign w:val="center"/>
            <w:hideMark/>
          </w:tcPr>
          <w:p w14:paraId="5734AC22" w14:textId="77777777" w:rsidR="00894F34" w:rsidRPr="00894F34" w:rsidRDefault="00894F34" w:rsidP="00894F34">
            <w:pPr>
              <w:spacing w:after="0" w:line="240" w:lineRule="auto"/>
              <w:jc w:val="center"/>
              <w:rPr>
                <w:rFonts w:ascii="Calibri" w:eastAsia="Times New Roman" w:hAnsi="Calibri" w:cs="Calibri"/>
                <w:color w:val="000000"/>
                <w:lang w:val="en-GB" w:eastAsia="en-GB"/>
              </w:rPr>
            </w:pPr>
            <w:r w:rsidRPr="00894F34">
              <w:rPr>
                <w:rFonts w:ascii="Calibri" w:eastAsia="Times New Roman" w:hAnsi="Calibri" w:cs="Calibri"/>
                <w:color w:val="000000"/>
                <w:lang w:val="en-GB" w:eastAsia="en-GB"/>
              </w:rPr>
              <w:t>Annual</w:t>
            </w:r>
          </w:p>
        </w:tc>
        <w:tc>
          <w:tcPr>
            <w:tcW w:w="3900" w:type="dxa"/>
            <w:tcBorders>
              <w:top w:val="nil"/>
              <w:left w:val="nil"/>
              <w:bottom w:val="single" w:sz="4" w:space="0" w:color="auto"/>
              <w:right w:val="single" w:sz="4" w:space="0" w:color="auto"/>
            </w:tcBorders>
            <w:shd w:val="clear" w:color="auto" w:fill="auto"/>
            <w:noWrap/>
            <w:vAlign w:val="bottom"/>
            <w:hideMark/>
          </w:tcPr>
          <w:p w14:paraId="1ABC6760" w14:textId="77777777" w:rsidR="00894F34" w:rsidRPr="00894F34" w:rsidRDefault="00894F34" w:rsidP="00894F34">
            <w:pPr>
              <w:spacing w:after="0" w:line="240" w:lineRule="auto"/>
              <w:rPr>
                <w:rFonts w:ascii="Calibri" w:eastAsia="Times New Roman" w:hAnsi="Calibri" w:cs="Calibri"/>
                <w:color w:val="000000"/>
                <w:lang w:val="en-GB" w:eastAsia="en-GB"/>
              </w:rPr>
            </w:pPr>
            <w:r w:rsidRPr="00894F34">
              <w:rPr>
                <w:rFonts w:ascii="Calibri" w:eastAsia="Times New Roman" w:hAnsi="Calibri" w:cs="Calibri"/>
                <w:color w:val="000000"/>
                <w:lang w:val="en-GB" w:eastAsia="en-GB"/>
              </w:rPr>
              <w:t> </w:t>
            </w:r>
          </w:p>
        </w:tc>
      </w:tr>
      <w:tr w:rsidR="00894F34" w:rsidRPr="00894F34" w14:paraId="18AE2BE2" w14:textId="77777777" w:rsidTr="00090C7C">
        <w:trPr>
          <w:trHeight w:val="730"/>
        </w:trPr>
        <w:tc>
          <w:tcPr>
            <w:tcW w:w="6096" w:type="dxa"/>
            <w:tcBorders>
              <w:top w:val="nil"/>
              <w:left w:val="single" w:sz="4" w:space="0" w:color="auto"/>
              <w:bottom w:val="single" w:sz="4" w:space="0" w:color="auto"/>
              <w:right w:val="single" w:sz="4" w:space="0" w:color="auto"/>
            </w:tcBorders>
            <w:shd w:val="clear" w:color="000000" w:fill="F2F2F2"/>
            <w:noWrap/>
            <w:vAlign w:val="center"/>
            <w:hideMark/>
          </w:tcPr>
          <w:p w14:paraId="69A89A4B" w14:textId="77777777" w:rsidR="00894F34" w:rsidRPr="00894F34" w:rsidRDefault="00894F34" w:rsidP="00894F34">
            <w:pPr>
              <w:spacing w:after="0" w:line="240" w:lineRule="auto"/>
              <w:jc w:val="center"/>
              <w:rPr>
                <w:rFonts w:ascii="Calibri" w:eastAsia="Times New Roman" w:hAnsi="Calibri" w:cs="Calibri"/>
                <w:color w:val="000000"/>
                <w:lang w:val="en-GB" w:eastAsia="en-GB"/>
              </w:rPr>
            </w:pPr>
            <w:r w:rsidRPr="00894F34">
              <w:rPr>
                <w:rFonts w:ascii="Calibri" w:eastAsia="Times New Roman" w:hAnsi="Calibri" w:cs="Calibri"/>
                <w:color w:val="000000"/>
                <w:lang w:val="en-GB" w:eastAsia="en-GB"/>
              </w:rPr>
              <w:t>Gathering, compiling &amp; submitting Week 50 Data</w:t>
            </w:r>
          </w:p>
        </w:tc>
        <w:tc>
          <w:tcPr>
            <w:tcW w:w="2744" w:type="dxa"/>
            <w:tcBorders>
              <w:top w:val="nil"/>
              <w:left w:val="nil"/>
              <w:bottom w:val="single" w:sz="4" w:space="0" w:color="auto"/>
              <w:right w:val="single" w:sz="4" w:space="0" w:color="auto"/>
            </w:tcBorders>
            <w:shd w:val="clear" w:color="000000" w:fill="F2F2F2"/>
            <w:noWrap/>
            <w:vAlign w:val="center"/>
            <w:hideMark/>
          </w:tcPr>
          <w:p w14:paraId="0434281C" w14:textId="77777777" w:rsidR="00894F34" w:rsidRPr="00894F34" w:rsidRDefault="00894F34" w:rsidP="00894F34">
            <w:pPr>
              <w:spacing w:after="0" w:line="240" w:lineRule="auto"/>
              <w:jc w:val="center"/>
              <w:rPr>
                <w:rFonts w:ascii="Calibri" w:eastAsia="Times New Roman" w:hAnsi="Calibri" w:cs="Calibri"/>
                <w:color w:val="000000"/>
                <w:lang w:val="en-GB" w:eastAsia="en-GB"/>
              </w:rPr>
            </w:pPr>
            <w:r w:rsidRPr="00894F34">
              <w:rPr>
                <w:rFonts w:ascii="Calibri" w:eastAsia="Times New Roman" w:hAnsi="Calibri" w:cs="Calibri"/>
                <w:color w:val="000000"/>
                <w:lang w:val="en-GB" w:eastAsia="en-GB"/>
              </w:rPr>
              <w:t>Annual</w:t>
            </w:r>
          </w:p>
        </w:tc>
        <w:tc>
          <w:tcPr>
            <w:tcW w:w="3900" w:type="dxa"/>
            <w:tcBorders>
              <w:top w:val="nil"/>
              <w:left w:val="nil"/>
              <w:bottom w:val="single" w:sz="4" w:space="0" w:color="auto"/>
              <w:right w:val="single" w:sz="4" w:space="0" w:color="auto"/>
            </w:tcBorders>
            <w:shd w:val="clear" w:color="auto" w:fill="auto"/>
            <w:noWrap/>
            <w:vAlign w:val="bottom"/>
            <w:hideMark/>
          </w:tcPr>
          <w:p w14:paraId="5FF36D1F" w14:textId="77777777" w:rsidR="00894F34" w:rsidRPr="00894F34" w:rsidRDefault="00894F34" w:rsidP="00894F34">
            <w:pPr>
              <w:spacing w:after="0" w:line="240" w:lineRule="auto"/>
              <w:rPr>
                <w:rFonts w:ascii="Calibri" w:eastAsia="Times New Roman" w:hAnsi="Calibri" w:cs="Calibri"/>
                <w:color w:val="000000"/>
                <w:lang w:val="en-GB" w:eastAsia="en-GB"/>
              </w:rPr>
            </w:pPr>
            <w:r w:rsidRPr="00894F34">
              <w:rPr>
                <w:rFonts w:ascii="Calibri" w:eastAsia="Times New Roman" w:hAnsi="Calibri" w:cs="Calibri"/>
                <w:color w:val="000000"/>
                <w:lang w:val="en-GB" w:eastAsia="en-GB"/>
              </w:rPr>
              <w:t> </w:t>
            </w:r>
          </w:p>
        </w:tc>
      </w:tr>
      <w:tr w:rsidR="00894F34" w:rsidRPr="00894F34" w14:paraId="28496B49" w14:textId="77777777" w:rsidTr="00090C7C">
        <w:trPr>
          <w:trHeight w:val="740"/>
        </w:trPr>
        <w:tc>
          <w:tcPr>
            <w:tcW w:w="6096" w:type="dxa"/>
            <w:tcBorders>
              <w:top w:val="nil"/>
              <w:left w:val="single" w:sz="4" w:space="0" w:color="auto"/>
              <w:bottom w:val="single" w:sz="4" w:space="0" w:color="auto"/>
              <w:right w:val="single" w:sz="4" w:space="0" w:color="auto"/>
            </w:tcBorders>
            <w:shd w:val="clear" w:color="000000" w:fill="F2F2F2"/>
            <w:noWrap/>
            <w:vAlign w:val="center"/>
            <w:hideMark/>
          </w:tcPr>
          <w:p w14:paraId="6CD64CF9" w14:textId="77777777" w:rsidR="00894F34" w:rsidRPr="00894F34" w:rsidRDefault="00894F34" w:rsidP="00894F34">
            <w:pPr>
              <w:spacing w:after="0" w:line="240" w:lineRule="auto"/>
              <w:jc w:val="center"/>
              <w:rPr>
                <w:rFonts w:ascii="Calibri" w:eastAsia="Times New Roman" w:hAnsi="Calibri" w:cs="Calibri"/>
                <w:color w:val="000000"/>
                <w:lang w:val="en-GB" w:eastAsia="en-GB"/>
              </w:rPr>
            </w:pPr>
            <w:r w:rsidRPr="00894F34">
              <w:rPr>
                <w:rFonts w:ascii="Calibri" w:eastAsia="Times New Roman" w:hAnsi="Calibri" w:cs="Calibri"/>
                <w:color w:val="000000"/>
                <w:lang w:val="en-GB" w:eastAsia="en-GB"/>
              </w:rPr>
              <w:t>Loading, processing and analysing Week 42 Data</w:t>
            </w:r>
          </w:p>
        </w:tc>
        <w:tc>
          <w:tcPr>
            <w:tcW w:w="2744" w:type="dxa"/>
            <w:tcBorders>
              <w:top w:val="nil"/>
              <w:left w:val="nil"/>
              <w:bottom w:val="single" w:sz="4" w:space="0" w:color="auto"/>
              <w:right w:val="single" w:sz="4" w:space="0" w:color="auto"/>
            </w:tcBorders>
            <w:shd w:val="clear" w:color="000000" w:fill="F2F2F2"/>
            <w:noWrap/>
            <w:vAlign w:val="center"/>
            <w:hideMark/>
          </w:tcPr>
          <w:p w14:paraId="7453DE6C" w14:textId="77777777" w:rsidR="00894F34" w:rsidRPr="00894F34" w:rsidRDefault="00894F34" w:rsidP="00894F34">
            <w:pPr>
              <w:spacing w:after="0" w:line="240" w:lineRule="auto"/>
              <w:jc w:val="center"/>
              <w:rPr>
                <w:rFonts w:ascii="Calibri" w:eastAsia="Times New Roman" w:hAnsi="Calibri" w:cs="Calibri"/>
                <w:color w:val="000000"/>
                <w:lang w:val="en-GB" w:eastAsia="en-GB"/>
              </w:rPr>
            </w:pPr>
            <w:r w:rsidRPr="00894F34">
              <w:rPr>
                <w:rFonts w:ascii="Calibri" w:eastAsia="Times New Roman" w:hAnsi="Calibri" w:cs="Calibri"/>
                <w:color w:val="000000"/>
                <w:lang w:val="en-GB" w:eastAsia="en-GB"/>
              </w:rPr>
              <w:t>Annual</w:t>
            </w:r>
          </w:p>
        </w:tc>
        <w:tc>
          <w:tcPr>
            <w:tcW w:w="3900" w:type="dxa"/>
            <w:tcBorders>
              <w:top w:val="nil"/>
              <w:left w:val="nil"/>
              <w:bottom w:val="single" w:sz="4" w:space="0" w:color="auto"/>
              <w:right w:val="single" w:sz="4" w:space="0" w:color="auto"/>
            </w:tcBorders>
            <w:shd w:val="clear" w:color="auto" w:fill="auto"/>
            <w:noWrap/>
            <w:vAlign w:val="bottom"/>
            <w:hideMark/>
          </w:tcPr>
          <w:p w14:paraId="5088B9B6" w14:textId="77777777" w:rsidR="00894F34" w:rsidRPr="00894F34" w:rsidRDefault="00894F34" w:rsidP="00894F34">
            <w:pPr>
              <w:spacing w:after="0" w:line="240" w:lineRule="auto"/>
              <w:rPr>
                <w:rFonts w:ascii="Calibri" w:eastAsia="Times New Roman" w:hAnsi="Calibri" w:cs="Calibri"/>
                <w:color w:val="000000"/>
                <w:lang w:val="en-GB" w:eastAsia="en-GB"/>
              </w:rPr>
            </w:pPr>
            <w:r w:rsidRPr="00894F34">
              <w:rPr>
                <w:rFonts w:ascii="Calibri" w:eastAsia="Times New Roman" w:hAnsi="Calibri" w:cs="Calibri"/>
                <w:color w:val="000000"/>
                <w:lang w:val="en-GB" w:eastAsia="en-GB"/>
              </w:rPr>
              <w:t> </w:t>
            </w:r>
          </w:p>
        </w:tc>
      </w:tr>
      <w:tr w:rsidR="00894F34" w:rsidRPr="00894F34" w14:paraId="4DBBF1AD" w14:textId="77777777" w:rsidTr="00090C7C">
        <w:trPr>
          <w:trHeight w:val="740"/>
        </w:trPr>
        <w:tc>
          <w:tcPr>
            <w:tcW w:w="6096" w:type="dxa"/>
            <w:tcBorders>
              <w:top w:val="nil"/>
              <w:left w:val="single" w:sz="4" w:space="0" w:color="auto"/>
              <w:bottom w:val="single" w:sz="4" w:space="0" w:color="auto"/>
              <w:right w:val="single" w:sz="4" w:space="0" w:color="auto"/>
            </w:tcBorders>
            <w:shd w:val="clear" w:color="000000" w:fill="F2F2F2"/>
            <w:noWrap/>
            <w:vAlign w:val="center"/>
            <w:hideMark/>
          </w:tcPr>
          <w:p w14:paraId="23A5A624" w14:textId="77777777" w:rsidR="00894F34" w:rsidRPr="00894F34" w:rsidRDefault="00894F34" w:rsidP="00894F34">
            <w:pPr>
              <w:spacing w:after="0" w:line="240" w:lineRule="auto"/>
              <w:jc w:val="center"/>
              <w:rPr>
                <w:rFonts w:ascii="Calibri" w:eastAsia="Times New Roman" w:hAnsi="Calibri" w:cs="Calibri"/>
                <w:color w:val="000000"/>
                <w:lang w:val="en-GB" w:eastAsia="en-GB"/>
              </w:rPr>
            </w:pPr>
            <w:r w:rsidRPr="00894F34">
              <w:rPr>
                <w:rFonts w:ascii="Calibri" w:eastAsia="Times New Roman" w:hAnsi="Calibri" w:cs="Calibri"/>
                <w:color w:val="000000"/>
                <w:lang w:val="en-GB" w:eastAsia="en-GB"/>
              </w:rPr>
              <w:t>Sense-checking</w:t>
            </w:r>
          </w:p>
        </w:tc>
        <w:tc>
          <w:tcPr>
            <w:tcW w:w="2744" w:type="dxa"/>
            <w:tcBorders>
              <w:top w:val="nil"/>
              <w:left w:val="nil"/>
              <w:bottom w:val="single" w:sz="4" w:space="0" w:color="auto"/>
              <w:right w:val="single" w:sz="4" w:space="0" w:color="auto"/>
            </w:tcBorders>
            <w:shd w:val="clear" w:color="000000" w:fill="F2F2F2"/>
            <w:noWrap/>
            <w:vAlign w:val="center"/>
            <w:hideMark/>
          </w:tcPr>
          <w:p w14:paraId="24E365A8" w14:textId="77777777" w:rsidR="00894F34" w:rsidRPr="00894F34" w:rsidRDefault="00894F34" w:rsidP="00894F34">
            <w:pPr>
              <w:spacing w:after="0" w:line="240" w:lineRule="auto"/>
              <w:jc w:val="center"/>
              <w:rPr>
                <w:rFonts w:ascii="Calibri" w:eastAsia="Times New Roman" w:hAnsi="Calibri" w:cs="Calibri"/>
                <w:color w:val="000000"/>
                <w:lang w:val="en-GB" w:eastAsia="en-GB"/>
              </w:rPr>
            </w:pPr>
            <w:r w:rsidRPr="00894F34">
              <w:rPr>
                <w:rFonts w:ascii="Calibri" w:eastAsia="Times New Roman" w:hAnsi="Calibri" w:cs="Calibri"/>
                <w:color w:val="000000"/>
                <w:lang w:val="en-GB" w:eastAsia="en-GB"/>
              </w:rPr>
              <w:t>Annual</w:t>
            </w:r>
          </w:p>
        </w:tc>
        <w:tc>
          <w:tcPr>
            <w:tcW w:w="3900" w:type="dxa"/>
            <w:tcBorders>
              <w:top w:val="nil"/>
              <w:left w:val="nil"/>
              <w:bottom w:val="single" w:sz="4" w:space="0" w:color="auto"/>
              <w:right w:val="single" w:sz="4" w:space="0" w:color="auto"/>
            </w:tcBorders>
            <w:shd w:val="clear" w:color="auto" w:fill="auto"/>
            <w:noWrap/>
            <w:vAlign w:val="bottom"/>
            <w:hideMark/>
          </w:tcPr>
          <w:p w14:paraId="42BFA8CF" w14:textId="77777777" w:rsidR="00894F34" w:rsidRPr="00894F34" w:rsidRDefault="00894F34" w:rsidP="00894F34">
            <w:pPr>
              <w:spacing w:after="0" w:line="240" w:lineRule="auto"/>
              <w:rPr>
                <w:rFonts w:ascii="Calibri" w:eastAsia="Times New Roman" w:hAnsi="Calibri" w:cs="Calibri"/>
                <w:color w:val="000000"/>
                <w:lang w:val="en-GB" w:eastAsia="en-GB"/>
              </w:rPr>
            </w:pPr>
            <w:r w:rsidRPr="00894F34">
              <w:rPr>
                <w:rFonts w:ascii="Calibri" w:eastAsia="Times New Roman" w:hAnsi="Calibri" w:cs="Calibri"/>
                <w:color w:val="000000"/>
                <w:lang w:val="en-GB" w:eastAsia="en-GB"/>
              </w:rPr>
              <w:t> </w:t>
            </w:r>
          </w:p>
        </w:tc>
      </w:tr>
      <w:tr w:rsidR="00894F34" w:rsidRPr="00894F34" w14:paraId="6828F901" w14:textId="77777777" w:rsidTr="00090C7C">
        <w:trPr>
          <w:trHeight w:val="290"/>
        </w:trPr>
        <w:tc>
          <w:tcPr>
            <w:tcW w:w="6096" w:type="dxa"/>
            <w:tcBorders>
              <w:top w:val="nil"/>
              <w:left w:val="nil"/>
              <w:bottom w:val="nil"/>
              <w:right w:val="nil"/>
            </w:tcBorders>
            <w:shd w:val="clear" w:color="auto" w:fill="auto"/>
            <w:noWrap/>
            <w:vAlign w:val="bottom"/>
            <w:hideMark/>
          </w:tcPr>
          <w:p w14:paraId="0D814DFB" w14:textId="77777777" w:rsidR="00894F34" w:rsidRPr="00894F34" w:rsidRDefault="00894F34" w:rsidP="00894F34">
            <w:pPr>
              <w:spacing w:after="0" w:line="240" w:lineRule="auto"/>
              <w:rPr>
                <w:rFonts w:ascii="Times New Roman" w:eastAsia="Times New Roman" w:hAnsi="Times New Roman" w:cs="Times New Roman"/>
                <w:sz w:val="20"/>
                <w:szCs w:val="20"/>
                <w:lang w:val="en-GB" w:eastAsia="en-GB"/>
              </w:rPr>
            </w:pPr>
          </w:p>
        </w:tc>
        <w:tc>
          <w:tcPr>
            <w:tcW w:w="2744" w:type="dxa"/>
            <w:tcBorders>
              <w:top w:val="nil"/>
              <w:left w:val="nil"/>
              <w:bottom w:val="nil"/>
              <w:right w:val="nil"/>
            </w:tcBorders>
            <w:shd w:val="clear" w:color="auto" w:fill="auto"/>
            <w:noWrap/>
            <w:vAlign w:val="bottom"/>
            <w:hideMark/>
          </w:tcPr>
          <w:p w14:paraId="34994E28" w14:textId="77777777" w:rsidR="00894F34" w:rsidRPr="00894F34" w:rsidRDefault="00894F34" w:rsidP="00894F34">
            <w:pPr>
              <w:spacing w:after="0" w:line="240" w:lineRule="auto"/>
              <w:rPr>
                <w:rFonts w:ascii="Times New Roman" w:eastAsia="Times New Roman" w:hAnsi="Times New Roman" w:cs="Times New Roman"/>
                <w:sz w:val="20"/>
                <w:szCs w:val="20"/>
                <w:lang w:val="en-GB" w:eastAsia="en-GB"/>
              </w:rPr>
            </w:pPr>
          </w:p>
        </w:tc>
        <w:tc>
          <w:tcPr>
            <w:tcW w:w="3900" w:type="dxa"/>
            <w:tcBorders>
              <w:top w:val="nil"/>
              <w:left w:val="nil"/>
              <w:bottom w:val="nil"/>
              <w:right w:val="nil"/>
            </w:tcBorders>
            <w:shd w:val="clear" w:color="auto" w:fill="auto"/>
            <w:noWrap/>
            <w:vAlign w:val="bottom"/>
            <w:hideMark/>
          </w:tcPr>
          <w:p w14:paraId="7858224E" w14:textId="77777777" w:rsidR="00894F34" w:rsidRPr="00894F34" w:rsidRDefault="00894F34" w:rsidP="00894F34">
            <w:pPr>
              <w:spacing w:after="0" w:line="240" w:lineRule="auto"/>
              <w:rPr>
                <w:rFonts w:ascii="Times New Roman" w:eastAsia="Times New Roman" w:hAnsi="Times New Roman" w:cs="Times New Roman"/>
                <w:sz w:val="20"/>
                <w:szCs w:val="20"/>
                <w:lang w:val="en-GB" w:eastAsia="en-GB"/>
              </w:rPr>
            </w:pPr>
          </w:p>
        </w:tc>
      </w:tr>
    </w:tbl>
    <w:p w14:paraId="06E58025" w14:textId="78735EB9" w:rsidR="00894F34" w:rsidRDefault="00894F34">
      <w:r>
        <w:br w:type="page"/>
      </w:r>
    </w:p>
    <w:p w14:paraId="2D71CAAF" w14:textId="77777777" w:rsidR="00894F34" w:rsidRPr="00894F34" w:rsidRDefault="00894F34" w:rsidP="00894F34">
      <w:pPr>
        <w:jc w:val="center"/>
        <w:rPr>
          <w:sz w:val="28"/>
        </w:rPr>
      </w:pPr>
      <w:r w:rsidRPr="00894F34">
        <w:rPr>
          <w:rFonts w:ascii="Calibri" w:eastAsia="Times New Roman" w:hAnsi="Calibri" w:cs="Calibri"/>
          <w:b/>
          <w:bCs/>
          <w:color w:val="000000"/>
          <w:sz w:val="32"/>
          <w:szCs w:val="24"/>
          <w:lang w:val="en-GB" w:eastAsia="en-GB"/>
        </w:rPr>
        <w:lastRenderedPageBreak/>
        <w:t>Enhanced Data Exchange U</w:t>
      </w:r>
      <w:r>
        <w:rPr>
          <w:rFonts w:ascii="Calibri" w:eastAsia="Times New Roman" w:hAnsi="Calibri" w:cs="Calibri"/>
          <w:b/>
          <w:bCs/>
          <w:color w:val="000000"/>
          <w:sz w:val="32"/>
          <w:szCs w:val="24"/>
          <w:lang w:val="en-GB" w:eastAsia="en-GB"/>
        </w:rPr>
        <w:t>tilis</w:t>
      </w:r>
      <w:r w:rsidRPr="00894F34">
        <w:rPr>
          <w:rFonts w:ascii="Calibri" w:eastAsia="Times New Roman" w:hAnsi="Calibri" w:cs="Calibri"/>
          <w:b/>
          <w:bCs/>
          <w:color w:val="000000"/>
          <w:sz w:val="32"/>
          <w:szCs w:val="24"/>
          <w:lang w:val="en-GB" w:eastAsia="en-GB"/>
        </w:rPr>
        <w:t>ing CIM</w:t>
      </w:r>
      <w:r>
        <w:rPr>
          <w:rFonts w:ascii="Calibri" w:eastAsia="Times New Roman" w:hAnsi="Calibri" w:cs="Calibri"/>
          <w:b/>
          <w:bCs/>
          <w:color w:val="000000"/>
          <w:sz w:val="32"/>
          <w:szCs w:val="24"/>
          <w:lang w:val="en-GB" w:eastAsia="en-GB"/>
        </w:rPr>
        <w:t xml:space="preserve"> Format</w:t>
      </w:r>
    </w:p>
    <w:tbl>
      <w:tblPr>
        <w:tblW w:w="12740" w:type="dxa"/>
        <w:jc w:val="center"/>
        <w:tblLook w:val="04A0" w:firstRow="1" w:lastRow="0" w:firstColumn="1" w:lastColumn="0" w:noHBand="0" w:noVBand="1"/>
      </w:tblPr>
      <w:tblGrid>
        <w:gridCol w:w="6320"/>
        <w:gridCol w:w="2520"/>
        <w:gridCol w:w="3900"/>
      </w:tblGrid>
      <w:tr w:rsidR="00894F34" w:rsidRPr="00894F34" w14:paraId="6985D9FC" w14:textId="77777777" w:rsidTr="00AD60D2">
        <w:trPr>
          <w:trHeight w:val="310"/>
          <w:jc w:val="center"/>
        </w:trPr>
        <w:tc>
          <w:tcPr>
            <w:tcW w:w="6320" w:type="dxa"/>
            <w:tcBorders>
              <w:top w:val="nil"/>
              <w:left w:val="nil"/>
              <w:bottom w:val="nil"/>
              <w:right w:val="nil"/>
            </w:tcBorders>
            <w:shd w:val="clear" w:color="auto" w:fill="auto"/>
            <w:noWrap/>
            <w:vAlign w:val="bottom"/>
            <w:hideMark/>
          </w:tcPr>
          <w:p w14:paraId="01795ABE" w14:textId="77777777" w:rsidR="00894F34" w:rsidRPr="00894F34" w:rsidRDefault="00894F34" w:rsidP="00894F34">
            <w:pPr>
              <w:spacing w:after="0" w:line="240" w:lineRule="auto"/>
              <w:rPr>
                <w:rFonts w:ascii="Calibri" w:eastAsia="Times New Roman" w:hAnsi="Calibri" w:cs="Calibri"/>
                <w:b/>
                <w:bCs/>
                <w:color w:val="000000"/>
                <w:sz w:val="24"/>
                <w:szCs w:val="24"/>
                <w:lang w:val="en-GB" w:eastAsia="en-GB"/>
              </w:rPr>
            </w:pPr>
          </w:p>
        </w:tc>
        <w:tc>
          <w:tcPr>
            <w:tcW w:w="2520" w:type="dxa"/>
            <w:tcBorders>
              <w:top w:val="nil"/>
              <w:left w:val="nil"/>
              <w:bottom w:val="nil"/>
              <w:right w:val="nil"/>
            </w:tcBorders>
            <w:shd w:val="clear" w:color="auto" w:fill="auto"/>
            <w:noWrap/>
            <w:vAlign w:val="bottom"/>
            <w:hideMark/>
          </w:tcPr>
          <w:p w14:paraId="279AE339" w14:textId="77777777" w:rsidR="00894F34" w:rsidRPr="00894F34" w:rsidRDefault="00894F34" w:rsidP="00894F34">
            <w:pPr>
              <w:spacing w:after="0" w:line="240" w:lineRule="auto"/>
              <w:rPr>
                <w:rFonts w:ascii="Calibri" w:eastAsia="Times New Roman" w:hAnsi="Calibri" w:cs="Calibri"/>
                <w:b/>
                <w:bCs/>
                <w:color w:val="000000"/>
                <w:sz w:val="24"/>
                <w:szCs w:val="24"/>
                <w:lang w:val="en-GB" w:eastAsia="en-GB"/>
              </w:rPr>
            </w:pPr>
          </w:p>
        </w:tc>
        <w:tc>
          <w:tcPr>
            <w:tcW w:w="3900" w:type="dxa"/>
            <w:tcBorders>
              <w:top w:val="nil"/>
              <w:left w:val="nil"/>
              <w:bottom w:val="nil"/>
              <w:right w:val="nil"/>
            </w:tcBorders>
            <w:shd w:val="clear" w:color="auto" w:fill="auto"/>
            <w:noWrap/>
            <w:vAlign w:val="bottom"/>
            <w:hideMark/>
          </w:tcPr>
          <w:p w14:paraId="7C0BBE06" w14:textId="77777777" w:rsidR="00894F34" w:rsidRPr="00894F34" w:rsidRDefault="00894F34" w:rsidP="00894F34">
            <w:pPr>
              <w:spacing w:after="0" w:line="240" w:lineRule="auto"/>
              <w:rPr>
                <w:rFonts w:ascii="Times New Roman" w:eastAsia="Times New Roman" w:hAnsi="Times New Roman" w:cs="Times New Roman"/>
                <w:sz w:val="20"/>
                <w:szCs w:val="20"/>
                <w:lang w:val="en-GB" w:eastAsia="en-GB"/>
              </w:rPr>
            </w:pPr>
          </w:p>
        </w:tc>
      </w:tr>
      <w:tr w:rsidR="00894F34" w:rsidRPr="00894F34" w14:paraId="7C6D57B7" w14:textId="77777777" w:rsidTr="00AD60D2">
        <w:trPr>
          <w:trHeight w:val="290"/>
          <w:jc w:val="center"/>
        </w:trPr>
        <w:tc>
          <w:tcPr>
            <w:tcW w:w="6320" w:type="dxa"/>
            <w:tcBorders>
              <w:top w:val="single" w:sz="4" w:space="0" w:color="auto"/>
              <w:left w:val="single" w:sz="4" w:space="0" w:color="auto"/>
              <w:bottom w:val="single" w:sz="4" w:space="0" w:color="auto"/>
              <w:right w:val="single" w:sz="4" w:space="0" w:color="auto"/>
            </w:tcBorders>
            <w:shd w:val="clear" w:color="000000" w:fill="DDEBF7"/>
            <w:noWrap/>
            <w:vAlign w:val="bottom"/>
            <w:hideMark/>
          </w:tcPr>
          <w:p w14:paraId="4F088D0F" w14:textId="77777777" w:rsidR="00894F34" w:rsidRPr="00894F34" w:rsidRDefault="00894F34" w:rsidP="00894F34">
            <w:pPr>
              <w:spacing w:after="0" w:line="240" w:lineRule="auto"/>
              <w:jc w:val="center"/>
              <w:rPr>
                <w:rFonts w:ascii="Calibri" w:eastAsia="Times New Roman" w:hAnsi="Calibri" w:cs="Calibri"/>
                <w:b/>
                <w:bCs/>
                <w:color w:val="000000"/>
                <w:lang w:val="en-GB" w:eastAsia="en-GB"/>
              </w:rPr>
            </w:pPr>
            <w:r w:rsidRPr="00894F34">
              <w:rPr>
                <w:rFonts w:ascii="Calibri" w:eastAsia="Times New Roman" w:hAnsi="Calibri" w:cs="Calibri"/>
                <w:b/>
                <w:bCs/>
                <w:color w:val="000000"/>
                <w:lang w:val="en-GB" w:eastAsia="en-GB"/>
              </w:rPr>
              <w:t>Item</w:t>
            </w:r>
          </w:p>
        </w:tc>
        <w:tc>
          <w:tcPr>
            <w:tcW w:w="2520" w:type="dxa"/>
            <w:tcBorders>
              <w:top w:val="single" w:sz="4" w:space="0" w:color="auto"/>
              <w:left w:val="nil"/>
              <w:bottom w:val="single" w:sz="4" w:space="0" w:color="auto"/>
              <w:right w:val="single" w:sz="4" w:space="0" w:color="auto"/>
            </w:tcBorders>
            <w:shd w:val="clear" w:color="000000" w:fill="DDEBF7"/>
            <w:noWrap/>
            <w:vAlign w:val="bottom"/>
            <w:hideMark/>
          </w:tcPr>
          <w:p w14:paraId="16186399" w14:textId="77777777" w:rsidR="00894F34" w:rsidRPr="00894F34" w:rsidRDefault="00894F34" w:rsidP="00894F34">
            <w:pPr>
              <w:spacing w:after="0" w:line="240" w:lineRule="auto"/>
              <w:jc w:val="center"/>
              <w:rPr>
                <w:rFonts w:ascii="Calibri" w:eastAsia="Times New Roman" w:hAnsi="Calibri" w:cs="Calibri"/>
                <w:b/>
                <w:bCs/>
                <w:color w:val="000000"/>
                <w:lang w:val="en-GB" w:eastAsia="en-GB"/>
              </w:rPr>
            </w:pPr>
            <w:r w:rsidRPr="00894F34">
              <w:rPr>
                <w:rFonts w:ascii="Calibri" w:eastAsia="Times New Roman" w:hAnsi="Calibri" w:cs="Calibri"/>
                <w:b/>
                <w:bCs/>
                <w:color w:val="000000"/>
                <w:lang w:val="en-GB" w:eastAsia="en-GB"/>
              </w:rPr>
              <w:t>Cost Frequency</w:t>
            </w:r>
          </w:p>
        </w:tc>
        <w:tc>
          <w:tcPr>
            <w:tcW w:w="3900" w:type="dxa"/>
            <w:tcBorders>
              <w:top w:val="single" w:sz="4" w:space="0" w:color="auto"/>
              <w:left w:val="nil"/>
              <w:bottom w:val="single" w:sz="4" w:space="0" w:color="auto"/>
              <w:right w:val="single" w:sz="4" w:space="0" w:color="auto"/>
            </w:tcBorders>
            <w:shd w:val="clear" w:color="000000" w:fill="DDEBF7"/>
            <w:noWrap/>
            <w:vAlign w:val="bottom"/>
            <w:hideMark/>
          </w:tcPr>
          <w:p w14:paraId="40B1B4AE" w14:textId="77777777" w:rsidR="00894F34" w:rsidRPr="00894F34" w:rsidRDefault="00CD068D" w:rsidP="00894F34">
            <w:pPr>
              <w:spacing w:after="0" w:line="240" w:lineRule="auto"/>
              <w:jc w:val="center"/>
              <w:rPr>
                <w:rFonts w:ascii="Calibri" w:eastAsia="Times New Roman" w:hAnsi="Calibri" w:cs="Calibri"/>
                <w:b/>
                <w:bCs/>
                <w:color w:val="000000"/>
                <w:lang w:val="en-GB" w:eastAsia="en-GB"/>
              </w:rPr>
            </w:pPr>
            <w:r>
              <w:rPr>
                <w:rFonts w:ascii="Calibri" w:eastAsia="Times New Roman" w:hAnsi="Calibri" w:cs="Calibri"/>
                <w:b/>
                <w:bCs/>
                <w:color w:val="000000"/>
                <w:lang w:val="en-GB" w:eastAsia="en-GB"/>
              </w:rPr>
              <w:t>Cost Estimate</w:t>
            </w:r>
          </w:p>
        </w:tc>
      </w:tr>
      <w:tr w:rsidR="007C7066" w:rsidRPr="00894F34" w14:paraId="4D80FF0B" w14:textId="77777777" w:rsidTr="00AD60D2">
        <w:trPr>
          <w:trHeight w:val="580"/>
          <w:jc w:val="center"/>
        </w:trPr>
        <w:tc>
          <w:tcPr>
            <w:tcW w:w="6320" w:type="dxa"/>
            <w:tcBorders>
              <w:top w:val="nil"/>
              <w:left w:val="single" w:sz="4" w:space="0" w:color="auto"/>
              <w:bottom w:val="single" w:sz="4" w:space="0" w:color="auto"/>
              <w:right w:val="single" w:sz="4" w:space="0" w:color="auto"/>
            </w:tcBorders>
            <w:shd w:val="clear" w:color="000000" w:fill="F2F2F2"/>
            <w:noWrap/>
            <w:vAlign w:val="center"/>
          </w:tcPr>
          <w:p w14:paraId="09CB05E3" w14:textId="77777777" w:rsidR="007C7066" w:rsidRPr="00894F34" w:rsidRDefault="007C7066" w:rsidP="00894F34">
            <w:pPr>
              <w:spacing w:after="0" w:line="240" w:lineRule="auto"/>
              <w:jc w:val="center"/>
              <w:rPr>
                <w:rFonts w:ascii="Calibri" w:eastAsia="Times New Roman" w:hAnsi="Calibri" w:cs="Calibri"/>
                <w:color w:val="000000"/>
                <w:lang w:val="en-GB" w:eastAsia="en-GB"/>
              </w:rPr>
            </w:pPr>
            <w:r>
              <w:rPr>
                <w:rFonts w:ascii="Calibri" w:eastAsia="Times New Roman" w:hAnsi="Calibri" w:cs="Calibri"/>
                <w:color w:val="000000"/>
                <w:lang w:val="en-GB" w:eastAsia="en-GB"/>
              </w:rPr>
              <w:t>Implementation of CIM</w:t>
            </w:r>
            <w:r w:rsidR="0040461C">
              <w:rPr>
                <w:rFonts w:ascii="Calibri" w:eastAsia="Times New Roman" w:hAnsi="Calibri" w:cs="Calibri"/>
                <w:color w:val="000000"/>
                <w:lang w:val="en-GB" w:eastAsia="en-GB"/>
              </w:rPr>
              <w:t xml:space="preserve"> Systems Capability</w:t>
            </w:r>
          </w:p>
        </w:tc>
        <w:tc>
          <w:tcPr>
            <w:tcW w:w="2520" w:type="dxa"/>
            <w:tcBorders>
              <w:top w:val="nil"/>
              <w:left w:val="nil"/>
              <w:bottom w:val="single" w:sz="4" w:space="0" w:color="auto"/>
              <w:right w:val="single" w:sz="4" w:space="0" w:color="auto"/>
            </w:tcBorders>
            <w:shd w:val="clear" w:color="000000" w:fill="F2F2F2"/>
            <w:noWrap/>
            <w:vAlign w:val="center"/>
          </w:tcPr>
          <w:p w14:paraId="4CAD996D" w14:textId="77777777" w:rsidR="007C7066" w:rsidRPr="00894F34" w:rsidRDefault="0040461C" w:rsidP="00894F34">
            <w:pPr>
              <w:spacing w:after="0" w:line="240" w:lineRule="auto"/>
              <w:jc w:val="center"/>
              <w:rPr>
                <w:rFonts w:ascii="Calibri" w:eastAsia="Times New Roman" w:hAnsi="Calibri" w:cs="Calibri"/>
                <w:color w:val="000000"/>
                <w:lang w:val="en-GB" w:eastAsia="en-GB"/>
              </w:rPr>
            </w:pPr>
            <w:r>
              <w:rPr>
                <w:rFonts w:ascii="Calibri" w:eastAsia="Times New Roman" w:hAnsi="Calibri" w:cs="Calibri"/>
                <w:color w:val="000000"/>
                <w:lang w:val="en-GB" w:eastAsia="en-GB"/>
              </w:rPr>
              <w:t>Once Only</w:t>
            </w:r>
          </w:p>
        </w:tc>
        <w:tc>
          <w:tcPr>
            <w:tcW w:w="3900" w:type="dxa"/>
            <w:tcBorders>
              <w:top w:val="nil"/>
              <w:left w:val="nil"/>
              <w:bottom w:val="single" w:sz="4" w:space="0" w:color="auto"/>
              <w:right w:val="single" w:sz="4" w:space="0" w:color="auto"/>
            </w:tcBorders>
            <w:shd w:val="clear" w:color="auto" w:fill="auto"/>
            <w:noWrap/>
            <w:vAlign w:val="center"/>
          </w:tcPr>
          <w:p w14:paraId="3AE3BAC6" w14:textId="77777777" w:rsidR="007C7066" w:rsidRPr="00894F34" w:rsidRDefault="00AD60D2" w:rsidP="00AD60D2">
            <w:pPr>
              <w:spacing w:after="0" w:line="240" w:lineRule="auto"/>
              <w:jc w:val="center"/>
              <w:rPr>
                <w:rFonts w:ascii="Calibri" w:eastAsia="Times New Roman" w:hAnsi="Calibri" w:cs="Calibri"/>
                <w:color w:val="000000"/>
                <w:lang w:val="en-GB" w:eastAsia="en-GB"/>
              </w:rPr>
            </w:pPr>
            <w:r>
              <w:rPr>
                <w:rFonts w:ascii="Calibri" w:eastAsia="Times New Roman" w:hAnsi="Calibri" w:cs="Calibri"/>
                <w:color w:val="000000"/>
                <w:lang w:val="en-GB" w:eastAsia="en-GB"/>
              </w:rPr>
              <w:t>£1.3m</w:t>
            </w:r>
            <w:r w:rsidR="00D23ABB">
              <w:rPr>
                <w:rFonts w:ascii="Calibri" w:eastAsia="Times New Roman" w:hAnsi="Calibri" w:cs="Calibri"/>
                <w:color w:val="000000"/>
                <w:lang w:val="en-GB" w:eastAsia="en-GB"/>
              </w:rPr>
              <w:t xml:space="preserve"> (per DNO)**</w:t>
            </w:r>
          </w:p>
        </w:tc>
      </w:tr>
      <w:tr w:rsidR="00894F34" w:rsidRPr="00894F34" w14:paraId="1F1359EA" w14:textId="77777777" w:rsidTr="00AD60D2">
        <w:trPr>
          <w:trHeight w:val="580"/>
          <w:jc w:val="center"/>
        </w:trPr>
        <w:tc>
          <w:tcPr>
            <w:tcW w:w="6320" w:type="dxa"/>
            <w:tcBorders>
              <w:top w:val="nil"/>
              <w:left w:val="single" w:sz="4" w:space="0" w:color="auto"/>
              <w:bottom w:val="single" w:sz="4" w:space="0" w:color="auto"/>
              <w:right w:val="single" w:sz="4" w:space="0" w:color="auto"/>
            </w:tcBorders>
            <w:shd w:val="clear" w:color="000000" w:fill="F2F2F2"/>
            <w:noWrap/>
            <w:vAlign w:val="center"/>
            <w:hideMark/>
          </w:tcPr>
          <w:p w14:paraId="68C51CEA" w14:textId="77777777" w:rsidR="00894F34" w:rsidRPr="00894F34" w:rsidRDefault="00894F34" w:rsidP="00894F34">
            <w:pPr>
              <w:spacing w:after="0" w:line="240" w:lineRule="auto"/>
              <w:jc w:val="center"/>
              <w:rPr>
                <w:rFonts w:ascii="Calibri" w:eastAsia="Times New Roman" w:hAnsi="Calibri" w:cs="Calibri"/>
                <w:color w:val="000000"/>
                <w:lang w:val="en-GB" w:eastAsia="en-GB"/>
              </w:rPr>
            </w:pPr>
            <w:r w:rsidRPr="00894F34">
              <w:rPr>
                <w:rFonts w:ascii="Calibri" w:eastAsia="Times New Roman" w:hAnsi="Calibri" w:cs="Calibri"/>
                <w:color w:val="000000"/>
                <w:lang w:val="en-GB" w:eastAsia="en-GB"/>
              </w:rPr>
              <w:t>Gathering, compiling &amp; submitting Week 24 Data</w:t>
            </w:r>
          </w:p>
        </w:tc>
        <w:tc>
          <w:tcPr>
            <w:tcW w:w="2520" w:type="dxa"/>
            <w:tcBorders>
              <w:top w:val="nil"/>
              <w:left w:val="nil"/>
              <w:bottom w:val="single" w:sz="4" w:space="0" w:color="auto"/>
              <w:right w:val="single" w:sz="4" w:space="0" w:color="auto"/>
            </w:tcBorders>
            <w:shd w:val="clear" w:color="000000" w:fill="F2F2F2"/>
            <w:noWrap/>
            <w:vAlign w:val="center"/>
            <w:hideMark/>
          </w:tcPr>
          <w:p w14:paraId="6CF327A1" w14:textId="77777777" w:rsidR="00894F34" w:rsidRPr="00894F34" w:rsidRDefault="00894F34" w:rsidP="00894F34">
            <w:pPr>
              <w:spacing w:after="0" w:line="240" w:lineRule="auto"/>
              <w:jc w:val="center"/>
              <w:rPr>
                <w:rFonts w:ascii="Calibri" w:eastAsia="Times New Roman" w:hAnsi="Calibri" w:cs="Calibri"/>
                <w:color w:val="000000"/>
                <w:lang w:val="en-GB" w:eastAsia="en-GB"/>
              </w:rPr>
            </w:pPr>
            <w:r w:rsidRPr="00894F34">
              <w:rPr>
                <w:rFonts w:ascii="Calibri" w:eastAsia="Times New Roman" w:hAnsi="Calibri" w:cs="Calibri"/>
                <w:color w:val="000000"/>
                <w:lang w:val="en-GB" w:eastAsia="en-GB"/>
              </w:rPr>
              <w:t>Annual</w:t>
            </w:r>
          </w:p>
        </w:tc>
        <w:tc>
          <w:tcPr>
            <w:tcW w:w="3900" w:type="dxa"/>
            <w:tcBorders>
              <w:top w:val="nil"/>
              <w:left w:val="nil"/>
              <w:bottom w:val="single" w:sz="4" w:space="0" w:color="auto"/>
              <w:right w:val="single" w:sz="4" w:space="0" w:color="auto"/>
            </w:tcBorders>
            <w:shd w:val="clear" w:color="auto" w:fill="auto"/>
            <w:noWrap/>
            <w:vAlign w:val="bottom"/>
            <w:hideMark/>
          </w:tcPr>
          <w:p w14:paraId="47443789" w14:textId="77777777" w:rsidR="00894F34" w:rsidRPr="00894F34" w:rsidRDefault="00894F34" w:rsidP="00894F34">
            <w:pPr>
              <w:spacing w:after="0" w:line="240" w:lineRule="auto"/>
              <w:rPr>
                <w:rFonts w:ascii="Calibri" w:eastAsia="Times New Roman" w:hAnsi="Calibri" w:cs="Calibri"/>
                <w:color w:val="000000"/>
                <w:lang w:val="en-GB" w:eastAsia="en-GB"/>
              </w:rPr>
            </w:pPr>
            <w:r w:rsidRPr="00894F34">
              <w:rPr>
                <w:rFonts w:ascii="Calibri" w:eastAsia="Times New Roman" w:hAnsi="Calibri" w:cs="Calibri"/>
                <w:color w:val="000000"/>
                <w:lang w:val="en-GB" w:eastAsia="en-GB"/>
              </w:rPr>
              <w:t> </w:t>
            </w:r>
          </w:p>
        </w:tc>
      </w:tr>
      <w:tr w:rsidR="00894F34" w:rsidRPr="00894F34" w14:paraId="5C4764C6" w14:textId="77777777" w:rsidTr="00AD60D2">
        <w:trPr>
          <w:trHeight w:val="700"/>
          <w:jc w:val="center"/>
        </w:trPr>
        <w:tc>
          <w:tcPr>
            <w:tcW w:w="6320" w:type="dxa"/>
            <w:tcBorders>
              <w:top w:val="nil"/>
              <w:left w:val="single" w:sz="4" w:space="0" w:color="auto"/>
              <w:bottom w:val="single" w:sz="4" w:space="0" w:color="auto"/>
              <w:right w:val="single" w:sz="4" w:space="0" w:color="auto"/>
            </w:tcBorders>
            <w:shd w:val="clear" w:color="000000" w:fill="F2F2F2"/>
            <w:noWrap/>
            <w:vAlign w:val="center"/>
            <w:hideMark/>
          </w:tcPr>
          <w:p w14:paraId="446D2300" w14:textId="77777777" w:rsidR="00894F34" w:rsidRPr="00894F34" w:rsidRDefault="00894F34" w:rsidP="00894F34">
            <w:pPr>
              <w:spacing w:after="0" w:line="240" w:lineRule="auto"/>
              <w:jc w:val="center"/>
              <w:rPr>
                <w:rFonts w:ascii="Calibri" w:eastAsia="Times New Roman" w:hAnsi="Calibri" w:cs="Calibri"/>
                <w:color w:val="000000"/>
                <w:lang w:val="en-GB" w:eastAsia="en-GB"/>
              </w:rPr>
            </w:pPr>
            <w:r w:rsidRPr="00894F34">
              <w:rPr>
                <w:rFonts w:ascii="Calibri" w:eastAsia="Times New Roman" w:hAnsi="Calibri" w:cs="Calibri"/>
                <w:color w:val="000000"/>
                <w:lang w:val="en-GB" w:eastAsia="en-GB"/>
              </w:rPr>
              <w:t>Gathering, compiling &amp; submitting Week 50 Data</w:t>
            </w:r>
          </w:p>
        </w:tc>
        <w:tc>
          <w:tcPr>
            <w:tcW w:w="2520" w:type="dxa"/>
            <w:tcBorders>
              <w:top w:val="nil"/>
              <w:left w:val="nil"/>
              <w:bottom w:val="single" w:sz="4" w:space="0" w:color="auto"/>
              <w:right w:val="single" w:sz="4" w:space="0" w:color="auto"/>
            </w:tcBorders>
            <w:shd w:val="clear" w:color="000000" w:fill="F2F2F2"/>
            <w:noWrap/>
            <w:vAlign w:val="center"/>
            <w:hideMark/>
          </w:tcPr>
          <w:p w14:paraId="29E48B4C" w14:textId="77777777" w:rsidR="00894F34" w:rsidRPr="00894F34" w:rsidRDefault="00894F34" w:rsidP="00894F34">
            <w:pPr>
              <w:spacing w:after="0" w:line="240" w:lineRule="auto"/>
              <w:jc w:val="center"/>
              <w:rPr>
                <w:rFonts w:ascii="Calibri" w:eastAsia="Times New Roman" w:hAnsi="Calibri" w:cs="Calibri"/>
                <w:color w:val="000000"/>
                <w:lang w:val="en-GB" w:eastAsia="en-GB"/>
              </w:rPr>
            </w:pPr>
            <w:r w:rsidRPr="00894F34">
              <w:rPr>
                <w:rFonts w:ascii="Calibri" w:eastAsia="Times New Roman" w:hAnsi="Calibri" w:cs="Calibri"/>
                <w:color w:val="000000"/>
                <w:lang w:val="en-GB" w:eastAsia="en-GB"/>
              </w:rPr>
              <w:t>Annual</w:t>
            </w:r>
          </w:p>
        </w:tc>
        <w:tc>
          <w:tcPr>
            <w:tcW w:w="3900" w:type="dxa"/>
            <w:tcBorders>
              <w:top w:val="nil"/>
              <w:left w:val="nil"/>
              <w:bottom w:val="single" w:sz="4" w:space="0" w:color="auto"/>
              <w:right w:val="single" w:sz="4" w:space="0" w:color="auto"/>
            </w:tcBorders>
            <w:shd w:val="clear" w:color="auto" w:fill="auto"/>
            <w:noWrap/>
            <w:vAlign w:val="bottom"/>
            <w:hideMark/>
          </w:tcPr>
          <w:p w14:paraId="3FC0A359" w14:textId="77777777" w:rsidR="00894F34" w:rsidRPr="00894F34" w:rsidRDefault="00894F34" w:rsidP="00894F34">
            <w:pPr>
              <w:spacing w:after="0" w:line="240" w:lineRule="auto"/>
              <w:rPr>
                <w:rFonts w:ascii="Calibri" w:eastAsia="Times New Roman" w:hAnsi="Calibri" w:cs="Calibri"/>
                <w:color w:val="000000"/>
                <w:lang w:val="en-GB" w:eastAsia="en-GB"/>
              </w:rPr>
            </w:pPr>
            <w:r w:rsidRPr="00894F34">
              <w:rPr>
                <w:rFonts w:ascii="Calibri" w:eastAsia="Times New Roman" w:hAnsi="Calibri" w:cs="Calibri"/>
                <w:color w:val="000000"/>
                <w:lang w:val="en-GB" w:eastAsia="en-GB"/>
              </w:rPr>
              <w:t> </w:t>
            </w:r>
          </w:p>
        </w:tc>
      </w:tr>
      <w:tr w:rsidR="00894F34" w:rsidRPr="00894F34" w14:paraId="788751CF" w14:textId="77777777" w:rsidTr="00AD60D2">
        <w:trPr>
          <w:trHeight w:val="730"/>
          <w:jc w:val="center"/>
        </w:trPr>
        <w:tc>
          <w:tcPr>
            <w:tcW w:w="6320" w:type="dxa"/>
            <w:tcBorders>
              <w:top w:val="nil"/>
              <w:left w:val="single" w:sz="4" w:space="0" w:color="auto"/>
              <w:bottom w:val="single" w:sz="4" w:space="0" w:color="auto"/>
              <w:right w:val="single" w:sz="4" w:space="0" w:color="auto"/>
            </w:tcBorders>
            <w:shd w:val="clear" w:color="000000" w:fill="F2F2F2"/>
            <w:noWrap/>
            <w:vAlign w:val="center"/>
            <w:hideMark/>
          </w:tcPr>
          <w:p w14:paraId="39F1D8CC" w14:textId="77777777" w:rsidR="00894F34" w:rsidRPr="00894F34" w:rsidRDefault="00894F34" w:rsidP="00894F34">
            <w:pPr>
              <w:spacing w:after="0" w:line="240" w:lineRule="auto"/>
              <w:jc w:val="center"/>
              <w:rPr>
                <w:rFonts w:ascii="Calibri" w:eastAsia="Times New Roman" w:hAnsi="Calibri" w:cs="Calibri"/>
                <w:color w:val="000000"/>
                <w:lang w:val="en-GB" w:eastAsia="en-GB"/>
              </w:rPr>
            </w:pPr>
            <w:r w:rsidRPr="00894F34">
              <w:rPr>
                <w:rFonts w:ascii="Calibri" w:eastAsia="Times New Roman" w:hAnsi="Calibri" w:cs="Calibri"/>
                <w:color w:val="000000"/>
                <w:lang w:val="en-GB" w:eastAsia="en-GB"/>
              </w:rPr>
              <w:t>Loading, processing and analysing Week 42 Data</w:t>
            </w:r>
          </w:p>
        </w:tc>
        <w:tc>
          <w:tcPr>
            <w:tcW w:w="2520" w:type="dxa"/>
            <w:tcBorders>
              <w:top w:val="nil"/>
              <w:left w:val="nil"/>
              <w:bottom w:val="single" w:sz="4" w:space="0" w:color="auto"/>
              <w:right w:val="single" w:sz="4" w:space="0" w:color="auto"/>
            </w:tcBorders>
            <w:shd w:val="clear" w:color="000000" w:fill="F2F2F2"/>
            <w:noWrap/>
            <w:vAlign w:val="center"/>
            <w:hideMark/>
          </w:tcPr>
          <w:p w14:paraId="0E16CDEC" w14:textId="77777777" w:rsidR="00894F34" w:rsidRPr="00894F34" w:rsidRDefault="00894F34" w:rsidP="00894F34">
            <w:pPr>
              <w:spacing w:after="0" w:line="240" w:lineRule="auto"/>
              <w:jc w:val="center"/>
              <w:rPr>
                <w:rFonts w:ascii="Calibri" w:eastAsia="Times New Roman" w:hAnsi="Calibri" w:cs="Calibri"/>
                <w:color w:val="000000"/>
                <w:lang w:val="en-GB" w:eastAsia="en-GB"/>
              </w:rPr>
            </w:pPr>
            <w:r w:rsidRPr="00894F34">
              <w:rPr>
                <w:rFonts w:ascii="Calibri" w:eastAsia="Times New Roman" w:hAnsi="Calibri" w:cs="Calibri"/>
                <w:color w:val="000000"/>
                <w:lang w:val="en-GB" w:eastAsia="en-GB"/>
              </w:rPr>
              <w:t>Annual</w:t>
            </w:r>
          </w:p>
        </w:tc>
        <w:tc>
          <w:tcPr>
            <w:tcW w:w="3900" w:type="dxa"/>
            <w:tcBorders>
              <w:top w:val="nil"/>
              <w:left w:val="nil"/>
              <w:bottom w:val="single" w:sz="4" w:space="0" w:color="auto"/>
              <w:right w:val="single" w:sz="4" w:space="0" w:color="auto"/>
            </w:tcBorders>
            <w:shd w:val="clear" w:color="auto" w:fill="auto"/>
            <w:noWrap/>
            <w:vAlign w:val="bottom"/>
            <w:hideMark/>
          </w:tcPr>
          <w:p w14:paraId="1BE698F9" w14:textId="77777777" w:rsidR="00894F34" w:rsidRPr="00894F34" w:rsidRDefault="00894F34" w:rsidP="00894F34">
            <w:pPr>
              <w:spacing w:after="0" w:line="240" w:lineRule="auto"/>
              <w:rPr>
                <w:rFonts w:ascii="Calibri" w:eastAsia="Times New Roman" w:hAnsi="Calibri" w:cs="Calibri"/>
                <w:color w:val="000000"/>
                <w:lang w:val="en-GB" w:eastAsia="en-GB"/>
              </w:rPr>
            </w:pPr>
            <w:r w:rsidRPr="00894F34">
              <w:rPr>
                <w:rFonts w:ascii="Calibri" w:eastAsia="Times New Roman" w:hAnsi="Calibri" w:cs="Calibri"/>
                <w:color w:val="000000"/>
                <w:lang w:val="en-GB" w:eastAsia="en-GB"/>
              </w:rPr>
              <w:t> </w:t>
            </w:r>
          </w:p>
        </w:tc>
      </w:tr>
      <w:tr w:rsidR="00894F34" w:rsidRPr="00894F34" w14:paraId="393EC14B" w14:textId="77777777" w:rsidTr="00AD60D2">
        <w:trPr>
          <w:trHeight w:val="710"/>
          <w:jc w:val="center"/>
        </w:trPr>
        <w:tc>
          <w:tcPr>
            <w:tcW w:w="6320" w:type="dxa"/>
            <w:tcBorders>
              <w:top w:val="nil"/>
              <w:left w:val="single" w:sz="4" w:space="0" w:color="auto"/>
              <w:bottom w:val="single" w:sz="4" w:space="0" w:color="auto"/>
              <w:right w:val="single" w:sz="4" w:space="0" w:color="auto"/>
            </w:tcBorders>
            <w:shd w:val="clear" w:color="000000" w:fill="F2F2F2"/>
            <w:noWrap/>
            <w:vAlign w:val="center"/>
            <w:hideMark/>
          </w:tcPr>
          <w:p w14:paraId="7A5A6BBB" w14:textId="77777777" w:rsidR="00894F34" w:rsidRPr="00894F34" w:rsidRDefault="00894F34" w:rsidP="00894F34">
            <w:pPr>
              <w:spacing w:after="0" w:line="240" w:lineRule="auto"/>
              <w:jc w:val="center"/>
              <w:rPr>
                <w:rFonts w:ascii="Calibri" w:eastAsia="Times New Roman" w:hAnsi="Calibri" w:cs="Calibri"/>
                <w:color w:val="000000"/>
                <w:lang w:val="en-GB" w:eastAsia="en-GB"/>
              </w:rPr>
            </w:pPr>
            <w:r w:rsidRPr="00894F34">
              <w:rPr>
                <w:rFonts w:ascii="Calibri" w:eastAsia="Times New Roman" w:hAnsi="Calibri" w:cs="Calibri"/>
                <w:color w:val="000000"/>
                <w:lang w:val="en-GB" w:eastAsia="en-GB"/>
              </w:rPr>
              <w:t>Management of CIM interface points</w:t>
            </w:r>
          </w:p>
        </w:tc>
        <w:tc>
          <w:tcPr>
            <w:tcW w:w="2520" w:type="dxa"/>
            <w:tcBorders>
              <w:top w:val="nil"/>
              <w:left w:val="nil"/>
              <w:bottom w:val="single" w:sz="4" w:space="0" w:color="auto"/>
              <w:right w:val="single" w:sz="4" w:space="0" w:color="auto"/>
            </w:tcBorders>
            <w:shd w:val="clear" w:color="000000" w:fill="F2F2F2"/>
            <w:noWrap/>
            <w:vAlign w:val="center"/>
            <w:hideMark/>
          </w:tcPr>
          <w:p w14:paraId="79E3D6BF" w14:textId="77777777" w:rsidR="00894F34" w:rsidRPr="00894F34" w:rsidRDefault="00894F34" w:rsidP="00894F34">
            <w:pPr>
              <w:spacing w:after="0" w:line="240" w:lineRule="auto"/>
              <w:jc w:val="center"/>
              <w:rPr>
                <w:rFonts w:ascii="Calibri" w:eastAsia="Times New Roman" w:hAnsi="Calibri" w:cs="Calibri"/>
                <w:color w:val="000000"/>
                <w:lang w:val="en-GB" w:eastAsia="en-GB"/>
              </w:rPr>
            </w:pPr>
            <w:r w:rsidRPr="00894F34">
              <w:rPr>
                <w:rFonts w:ascii="Calibri" w:eastAsia="Times New Roman" w:hAnsi="Calibri" w:cs="Calibri"/>
                <w:color w:val="000000"/>
                <w:lang w:val="en-GB" w:eastAsia="en-GB"/>
              </w:rPr>
              <w:t>Annual</w:t>
            </w:r>
          </w:p>
        </w:tc>
        <w:tc>
          <w:tcPr>
            <w:tcW w:w="3900" w:type="dxa"/>
            <w:tcBorders>
              <w:top w:val="nil"/>
              <w:left w:val="nil"/>
              <w:bottom w:val="single" w:sz="4" w:space="0" w:color="auto"/>
              <w:right w:val="single" w:sz="4" w:space="0" w:color="auto"/>
            </w:tcBorders>
            <w:shd w:val="clear" w:color="auto" w:fill="auto"/>
            <w:noWrap/>
            <w:vAlign w:val="bottom"/>
            <w:hideMark/>
          </w:tcPr>
          <w:p w14:paraId="34B25A4B" w14:textId="77777777" w:rsidR="00894F34" w:rsidRPr="00894F34" w:rsidRDefault="00894F34" w:rsidP="00894F34">
            <w:pPr>
              <w:spacing w:after="0" w:line="240" w:lineRule="auto"/>
              <w:rPr>
                <w:rFonts w:ascii="Calibri" w:eastAsia="Times New Roman" w:hAnsi="Calibri" w:cs="Calibri"/>
                <w:color w:val="000000"/>
                <w:lang w:val="en-GB" w:eastAsia="en-GB"/>
              </w:rPr>
            </w:pPr>
            <w:r w:rsidRPr="00894F34">
              <w:rPr>
                <w:rFonts w:ascii="Calibri" w:eastAsia="Times New Roman" w:hAnsi="Calibri" w:cs="Calibri"/>
                <w:color w:val="000000"/>
                <w:lang w:val="en-GB" w:eastAsia="en-GB"/>
              </w:rPr>
              <w:t> </w:t>
            </w:r>
          </w:p>
        </w:tc>
      </w:tr>
      <w:tr w:rsidR="00894F34" w:rsidRPr="00894F34" w14:paraId="2BE6D549" w14:textId="77777777" w:rsidTr="00AD60D2">
        <w:trPr>
          <w:trHeight w:val="730"/>
          <w:jc w:val="center"/>
        </w:trPr>
        <w:tc>
          <w:tcPr>
            <w:tcW w:w="6320" w:type="dxa"/>
            <w:tcBorders>
              <w:top w:val="nil"/>
              <w:left w:val="single" w:sz="4" w:space="0" w:color="auto"/>
              <w:bottom w:val="single" w:sz="4" w:space="0" w:color="auto"/>
              <w:right w:val="single" w:sz="4" w:space="0" w:color="auto"/>
            </w:tcBorders>
            <w:shd w:val="clear" w:color="000000" w:fill="F2F2F2"/>
            <w:noWrap/>
            <w:vAlign w:val="center"/>
            <w:hideMark/>
          </w:tcPr>
          <w:p w14:paraId="378A301D" w14:textId="77777777" w:rsidR="00894F34" w:rsidRPr="00894F34" w:rsidRDefault="00894F34" w:rsidP="00894F34">
            <w:pPr>
              <w:spacing w:after="0" w:line="240" w:lineRule="auto"/>
              <w:jc w:val="center"/>
              <w:rPr>
                <w:rFonts w:ascii="Calibri" w:eastAsia="Times New Roman" w:hAnsi="Calibri" w:cs="Calibri"/>
                <w:color w:val="000000"/>
                <w:lang w:val="en-GB" w:eastAsia="en-GB"/>
              </w:rPr>
            </w:pPr>
            <w:r w:rsidRPr="00894F34">
              <w:rPr>
                <w:rFonts w:ascii="Calibri" w:eastAsia="Times New Roman" w:hAnsi="Calibri" w:cs="Calibri"/>
                <w:color w:val="000000"/>
                <w:lang w:val="en-GB" w:eastAsia="en-GB"/>
              </w:rPr>
              <w:t>Management/awareness of CIM GB Governance</w:t>
            </w:r>
          </w:p>
        </w:tc>
        <w:tc>
          <w:tcPr>
            <w:tcW w:w="2520" w:type="dxa"/>
            <w:tcBorders>
              <w:top w:val="nil"/>
              <w:left w:val="nil"/>
              <w:bottom w:val="single" w:sz="4" w:space="0" w:color="auto"/>
              <w:right w:val="single" w:sz="4" w:space="0" w:color="auto"/>
            </w:tcBorders>
            <w:shd w:val="clear" w:color="000000" w:fill="F2F2F2"/>
            <w:noWrap/>
            <w:vAlign w:val="center"/>
            <w:hideMark/>
          </w:tcPr>
          <w:p w14:paraId="4B64A885" w14:textId="77777777" w:rsidR="00894F34" w:rsidRPr="00894F34" w:rsidRDefault="00894F34" w:rsidP="00894F34">
            <w:pPr>
              <w:spacing w:after="0" w:line="240" w:lineRule="auto"/>
              <w:jc w:val="center"/>
              <w:rPr>
                <w:rFonts w:ascii="Calibri" w:eastAsia="Times New Roman" w:hAnsi="Calibri" w:cs="Calibri"/>
                <w:color w:val="000000"/>
                <w:lang w:val="en-GB" w:eastAsia="en-GB"/>
              </w:rPr>
            </w:pPr>
            <w:r w:rsidRPr="00894F34">
              <w:rPr>
                <w:rFonts w:ascii="Calibri" w:eastAsia="Times New Roman" w:hAnsi="Calibri" w:cs="Calibri"/>
                <w:color w:val="000000"/>
                <w:lang w:val="en-GB" w:eastAsia="en-GB"/>
              </w:rPr>
              <w:t>Annual</w:t>
            </w:r>
          </w:p>
        </w:tc>
        <w:tc>
          <w:tcPr>
            <w:tcW w:w="3900" w:type="dxa"/>
            <w:tcBorders>
              <w:top w:val="nil"/>
              <w:left w:val="nil"/>
              <w:bottom w:val="single" w:sz="4" w:space="0" w:color="auto"/>
              <w:right w:val="single" w:sz="4" w:space="0" w:color="auto"/>
            </w:tcBorders>
            <w:shd w:val="clear" w:color="auto" w:fill="auto"/>
            <w:noWrap/>
            <w:vAlign w:val="bottom"/>
            <w:hideMark/>
          </w:tcPr>
          <w:p w14:paraId="6FA1C3F1" w14:textId="77777777" w:rsidR="00894F34" w:rsidRPr="00894F34" w:rsidRDefault="00894F34" w:rsidP="00894F34">
            <w:pPr>
              <w:spacing w:after="0" w:line="240" w:lineRule="auto"/>
              <w:rPr>
                <w:rFonts w:ascii="Calibri" w:eastAsia="Times New Roman" w:hAnsi="Calibri" w:cs="Calibri"/>
                <w:color w:val="000000"/>
                <w:lang w:val="en-GB" w:eastAsia="en-GB"/>
              </w:rPr>
            </w:pPr>
            <w:r w:rsidRPr="00894F34">
              <w:rPr>
                <w:rFonts w:ascii="Calibri" w:eastAsia="Times New Roman" w:hAnsi="Calibri" w:cs="Calibri"/>
                <w:color w:val="000000"/>
                <w:lang w:val="en-GB" w:eastAsia="en-GB"/>
              </w:rPr>
              <w:t> </w:t>
            </w:r>
          </w:p>
        </w:tc>
      </w:tr>
      <w:tr w:rsidR="003E3BF8" w:rsidRPr="00894F34" w14:paraId="1866C07E" w14:textId="77777777" w:rsidTr="00AD60D2">
        <w:trPr>
          <w:trHeight w:val="730"/>
          <w:jc w:val="center"/>
        </w:trPr>
        <w:tc>
          <w:tcPr>
            <w:tcW w:w="6320" w:type="dxa"/>
            <w:tcBorders>
              <w:top w:val="nil"/>
              <w:left w:val="single" w:sz="4" w:space="0" w:color="auto"/>
              <w:bottom w:val="single" w:sz="4" w:space="0" w:color="auto"/>
              <w:right w:val="single" w:sz="4" w:space="0" w:color="auto"/>
            </w:tcBorders>
            <w:shd w:val="clear" w:color="000000" w:fill="F2F2F2"/>
            <w:noWrap/>
            <w:vAlign w:val="center"/>
          </w:tcPr>
          <w:p w14:paraId="5191182D" w14:textId="77777777" w:rsidR="003E3BF8" w:rsidRPr="00894F34" w:rsidRDefault="003E3BF8" w:rsidP="00894F34">
            <w:pPr>
              <w:spacing w:after="0" w:line="240" w:lineRule="auto"/>
              <w:jc w:val="center"/>
              <w:rPr>
                <w:rFonts w:ascii="Calibri" w:eastAsia="Times New Roman" w:hAnsi="Calibri" w:cs="Calibri"/>
                <w:color w:val="000000"/>
                <w:lang w:val="en-GB" w:eastAsia="en-GB"/>
              </w:rPr>
            </w:pPr>
            <w:r>
              <w:rPr>
                <w:rFonts w:ascii="Calibri" w:eastAsia="Times New Roman" w:hAnsi="Calibri" w:cs="Calibri"/>
                <w:color w:val="000000"/>
                <w:lang w:val="en-GB" w:eastAsia="en-GB"/>
              </w:rPr>
              <w:t xml:space="preserve">Administration (e.g. </w:t>
            </w:r>
            <w:r w:rsidR="00385FCA">
              <w:rPr>
                <w:rFonts w:ascii="Calibri" w:eastAsia="Times New Roman" w:hAnsi="Calibri" w:cs="Calibri"/>
                <w:color w:val="000000"/>
                <w:lang w:val="en-GB" w:eastAsia="en-GB"/>
              </w:rPr>
              <w:t xml:space="preserve">of data portal, </w:t>
            </w:r>
            <w:r>
              <w:rPr>
                <w:rFonts w:ascii="Calibri" w:eastAsia="Times New Roman" w:hAnsi="Calibri" w:cs="Calibri"/>
                <w:color w:val="000000"/>
                <w:lang w:val="en-GB" w:eastAsia="en-GB"/>
              </w:rPr>
              <w:t>staffing changes, system maintenance</w:t>
            </w:r>
            <w:r w:rsidR="00606955">
              <w:rPr>
                <w:rFonts w:ascii="Calibri" w:eastAsia="Times New Roman" w:hAnsi="Calibri" w:cs="Calibri"/>
                <w:color w:val="000000"/>
                <w:lang w:val="en-GB" w:eastAsia="en-GB"/>
              </w:rPr>
              <w:t>, sense checking, rule control</w:t>
            </w:r>
            <w:r>
              <w:rPr>
                <w:rFonts w:ascii="Calibri" w:eastAsia="Times New Roman" w:hAnsi="Calibri" w:cs="Calibri"/>
                <w:color w:val="000000"/>
                <w:lang w:val="en-GB" w:eastAsia="en-GB"/>
              </w:rPr>
              <w:t>)</w:t>
            </w:r>
          </w:p>
        </w:tc>
        <w:tc>
          <w:tcPr>
            <w:tcW w:w="2520" w:type="dxa"/>
            <w:tcBorders>
              <w:top w:val="nil"/>
              <w:left w:val="nil"/>
              <w:bottom w:val="single" w:sz="4" w:space="0" w:color="auto"/>
              <w:right w:val="single" w:sz="4" w:space="0" w:color="auto"/>
            </w:tcBorders>
            <w:shd w:val="clear" w:color="000000" w:fill="F2F2F2"/>
            <w:noWrap/>
            <w:vAlign w:val="center"/>
          </w:tcPr>
          <w:p w14:paraId="46595B33" w14:textId="77777777" w:rsidR="003E3BF8" w:rsidRPr="00894F34" w:rsidRDefault="00385FCA" w:rsidP="00894F34">
            <w:pPr>
              <w:spacing w:after="0" w:line="240" w:lineRule="auto"/>
              <w:jc w:val="center"/>
              <w:rPr>
                <w:rFonts w:ascii="Calibri" w:eastAsia="Times New Roman" w:hAnsi="Calibri" w:cs="Calibri"/>
                <w:color w:val="000000"/>
                <w:lang w:val="en-GB" w:eastAsia="en-GB"/>
              </w:rPr>
            </w:pPr>
            <w:r>
              <w:rPr>
                <w:rFonts w:ascii="Calibri" w:eastAsia="Times New Roman" w:hAnsi="Calibri" w:cs="Calibri"/>
                <w:color w:val="000000"/>
                <w:lang w:val="en-GB" w:eastAsia="en-GB"/>
              </w:rPr>
              <w:t>Annual</w:t>
            </w:r>
          </w:p>
        </w:tc>
        <w:tc>
          <w:tcPr>
            <w:tcW w:w="3900" w:type="dxa"/>
            <w:tcBorders>
              <w:top w:val="nil"/>
              <w:left w:val="nil"/>
              <w:bottom w:val="single" w:sz="4" w:space="0" w:color="auto"/>
              <w:right w:val="single" w:sz="4" w:space="0" w:color="auto"/>
            </w:tcBorders>
            <w:shd w:val="clear" w:color="auto" w:fill="auto"/>
            <w:noWrap/>
            <w:vAlign w:val="bottom"/>
          </w:tcPr>
          <w:p w14:paraId="6D0CA019" w14:textId="77777777" w:rsidR="003E3BF8" w:rsidRPr="00894F34" w:rsidRDefault="003E3BF8" w:rsidP="00894F34">
            <w:pPr>
              <w:spacing w:after="0" w:line="240" w:lineRule="auto"/>
              <w:rPr>
                <w:rFonts w:ascii="Calibri" w:eastAsia="Times New Roman" w:hAnsi="Calibri" w:cs="Calibri"/>
                <w:color w:val="000000"/>
                <w:lang w:val="en-GB" w:eastAsia="en-GB"/>
              </w:rPr>
            </w:pPr>
          </w:p>
        </w:tc>
      </w:tr>
      <w:tr w:rsidR="00894F34" w:rsidRPr="00894F34" w14:paraId="318D33B7" w14:textId="77777777" w:rsidTr="00AD60D2">
        <w:trPr>
          <w:trHeight w:val="800"/>
          <w:jc w:val="center"/>
        </w:trPr>
        <w:tc>
          <w:tcPr>
            <w:tcW w:w="6320" w:type="dxa"/>
            <w:tcBorders>
              <w:top w:val="nil"/>
              <w:left w:val="single" w:sz="4" w:space="0" w:color="auto"/>
              <w:bottom w:val="single" w:sz="4" w:space="0" w:color="auto"/>
              <w:right w:val="single" w:sz="4" w:space="0" w:color="auto"/>
            </w:tcBorders>
            <w:shd w:val="clear" w:color="000000" w:fill="F2F2F2"/>
            <w:vAlign w:val="center"/>
            <w:hideMark/>
          </w:tcPr>
          <w:p w14:paraId="38F35A58" w14:textId="77777777" w:rsidR="00894F34" w:rsidRPr="00894F34" w:rsidRDefault="00894F34" w:rsidP="00894F34">
            <w:pPr>
              <w:spacing w:after="0" w:line="240" w:lineRule="auto"/>
              <w:jc w:val="center"/>
              <w:rPr>
                <w:rFonts w:ascii="Calibri" w:eastAsia="Times New Roman" w:hAnsi="Calibri" w:cs="Calibri"/>
                <w:color w:val="000000"/>
                <w:lang w:val="en-GB" w:eastAsia="en-GB"/>
              </w:rPr>
            </w:pPr>
            <w:r w:rsidRPr="00894F34">
              <w:rPr>
                <w:rFonts w:ascii="Calibri" w:eastAsia="Times New Roman" w:hAnsi="Calibri" w:cs="Calibri"/>
                <w:color w:val="000000"/>
                <w:lang w:val="en-GB" w:eastAsia="en-GB"/>
              </w:rPr>
              <w:t xml:space="preserve">Maintenance </w:t>
            </w:r>
            <w:r w:rsidR="00606955">
              <w:rPr>
                <w:rFonts w:ascii="Calibri" w:eastAsia="Times New Roman" w:hAnsi="Calibri" w:cs="Calibri"/>
                <w:color w:val="000000"/>
                <w:lang w:val="en-GB" w:eastAsia="en-GB"/>
              </w:rPr>
              <w:t xml:space="preserve">of </w:t>
            </w:r>
            <w:r w:rsidRPr="00894F34">
              <w:rPr>
                <w:rFonts w:ascii="Calibri" w:eastAsia="Times New Roman" w:hAnsi="Calibri" w:cs="Calibri"/>
                <w:color w:val="000000"/>
                <w:lang w:val="en-GB" w:eastAsia="en-GB"/>
              </w:rPr>
              <w:t>CIM platform updates</w:t>
            </w:r>
            <w:r w:rsidR="0040461C">
              <w:rPr>
                <w:rFonts w:ascii="Calibri" w:eastAsia="Times New Roman" w:hAnsi="Calibri" w:cs="Calibri"/>
                <w:color w:val="000000"/>
                <w:lang w:val="en-GB" w:eastAsia="en-GB"/>
              </w:rPr>
              <w:t>*</w:t>
            </w:r>
          </w:p>
        </w:tc>
        <w:tc>
          <w:tcPr>
            <w:tcW w:w="2520" w:type="dxa"/>
            <w:tcBorders>
              <w:top w:val="nil"/>
              <w:left w:val="nil"/>
              <w:bottom w:val="single" w:sz="4" w:space="0" w:color="auto"/>
              <w:right w:val="single" w:sz="4" w:space="0" w:color="auto"/>
            </w:tcBorders>
            <w:shd w:val="clear" w:color="000000" w:fill="F2F2F2"/>
            <w:noWrap/>
            <w:vAlign w:val="center"/>
            <w:hideMark/>
          </w:tcPr>
          <w:p w14:paraId="6ADDC120" w14:textId="77777777" w:rsidR="00894F34" w:rsidRPr="00894F34" w:rsidRDefault="00894F34" w:rsidP="00894F34">
            <w:pPr>
              <w:spacing w:after="0" w:line="240" w:lineRule="auto"/>
              <w:jc w:val="center"/>
              <w:rPr>
                <w:rFonts w:ascii="Calibri" w:eastAsia="Times New Roman" w:hAnsi="Calibri" w:cs="Calibri"/>
                <w:color w:val="000000"/>
                <w:lang w:val="en-GB" w:eastAsia="en-GB"/>
              </w:rPr>
            </w:pPr>
            <w:r w:rsidRPr="00894F34">
              <w:rPr>
                <w:rFonts w:ascii="Calibri" w:eastAsia="Times New Roman" w:hAnsi="Calibri" w:cs="Calibri"/>
                <w:color w:val="000000"/>
                <w:lang w:val="en-GB" w:eastAsia="en-GB"/>
              </w:rPr>
              <w:t>Bi-annual (per 24 months)</w:t>
            </w:r>
          </w:p>
        </w:tc>
        <w:tc>
          <w:tcPr>
            <w:tcW w:w="3900" w:type="dxa"/>
            <w:tcBorders>
              <w:top w:val="nil"/>
              <w:left w:val="nil"/>
              <w:bottom w:val="single" w:sz="4" w:space="0" w:color="auto"/>
              <w:right w:val="single" w:sz="4" w:space="0" w:color="auto"/>
            </w:tcBorders>
            <w:shd w:val="clear" w:color="auto" w:fill="auto"/>
            <w:noWrap/>
            <w:vAlign w:val="bottom"/>
            <w:hideMark/>
          </w:tcPr>
          <w:p w14:paraId="5846DCB0" w14:textId="77777777" w:rsidR="00894F34" w:rsidRPr="00894F34" w:rsidRDefault="00894F34" w:rsidP="00894F34">
            <w:pPr>
              <w:spacing w:after="0" w:line="240" w:lineRule="auto"/>
              <w:rPr>
                <w:rFonts w:ascii="Calibri" w:eastAsia="Times New Roman" w:hAnsi="Calibri" w:cs="Calibri"/>
                <w:color w:val="000000"/>
                <w:lang w:val="en-GB" w:eastAsia="en-GB"/>
              </w:rPr>
            </w:pPr>
            <w:r w:rsidRPr="00894F34">
              <w:rPr>
                <w:rFonts w:ascii="Calibri" w:eastAsia="Times New Roman" w:hAnsi="Calibri" w:cs="Calibri"/>
                <w:color w:val="000000"/>
                <w:lang w:val="en-GB" w:eastAsia="en-GB"/>
              </w:rPr>
              <w:t> </w:t>
            </w:r>
          </w:p>
        </w:tc>
      </w:tr>
    </w:tbl>
    <w:p w14:paraId="1105BCEA" w14:textId="77777777" w:rsidR="00F934E3" w:rsidRDefault="00F934E3" w:rsidP="00894F34"/>
    <w:p w14:paraId="242D10C9" w14:textId="77777777" w:rsidR="00A66F0F" w:rsidRDefault="00A66F0F" w:rsidP="00894F34">
      <w:r>
        <w:t>*Assumed cycle of 24 months for CIM software updates</w:t>
      </w:r>
    </w:p>
    <w:p w14:paraId="6FE9B633" w14:textId="77777777" w:rsidR="00D23ABB" w:rsidRDefault="00D23ABB" w:rsidP="00894F34">
      <w:pPr>
        <w:sectPr w:rsidR="00D23ABB" w:rsidSect="00894F34">
          <w:pgSz w:w="15840" w:h="12240" w:orient="landscape"/>
          <w:pgMar w:top="1440" w:right="1440" w:bottom="1440" w:left="1440" w:header="708" w:footer="708" w:gutter="0"/>
          <w:cols w:space="708"/>
          <w:docGrid w:linePitch="360"/>
        </w:sectPr>
      </w:pPr>
      <w:r>
        <w:t xml:space="preserve">** Inclusive of </w:t>
      </w:r>
      <w:r w:rsidR="00B718EB">
        <w:t>costs associated with development of Grid Code solution</w:t>
      </w:r>
      <w:r w:rsidR="00B37302">
        <w:t>,</w:t>
      </w:r>
      <w:r w:rsidR="000854A7">
        <w:t xml:space="preserve"> establishment of CIM profiles, CIM implication assessment, </w:t>
      </w:r>
      <w:r w:rsidR="001F3C41">
        <w:t>establishment and agreement of triggers for and method of data exchange</w:t>
      </w:r>
      <w:r w:rsidR="007E29DD">
        <w:t xml:space="preserve">. Total industry cost estimated at £10.5m </w:t>
      </w:r>
      <w:r w:rsidR="00EB3074">
        <w:t>as per calculations within “</w:t>
      </w:r>
      <w:r w:rsidR="00EB3074" w:rsidRPr="00EB3074">
        <w:t>Proposals for Implementation of Electronic Exchange of Network Planning Data</w:t>
      </w:r>
      <w:r w:rsidR="00EB3074">
        <w:t>”</w:t>
      </w:r>
      <w:r w:rsidR="003846CC">
        <w:t xml:space="preserve"> section 4,</w:t>
      </w:r>
      <w:r w:rsidR="00EB3074">
        <w:t xml:space="preserve"> ON</w:t>
      </w:r>
      <w:r w:rsidR="009A07D8">
        <w:t>P report (see Reference Materials section).</w:t>
      </w:r>
    </w:p>
    <w:p w14:paraId="73FFB1CB" w14:textId="77777777" w:rsidR="00F934E3" w:rsidRDefault="00F934E3" w:rsidP="00F934E3">
      <w:pPr>
        <w:pStyle w:val="Heading1"/>
      </w:pPr>
      <w:bookmarkStart w:id="9" w:name="_Toc47605623"/>
      <w:r w:rsidRPr="00EE279E">
        <w:lastRenderedPageBreak/>
        <w:t xml:space="preserve">Appendix B </w:t>
      </w:r>
      <w:r>
        <w:t>–</w:t>
      </w:r>
      <w:r w:rsidRPr="00EE279E">
        <w:t xml:space="preserve"> </w:t>
      </w:r>
      <w:r>
        <w:t xml:space="preserve">Challenges of </w:t>
      </w:r>
      <w:r w:rsidRPr="00EE279E">
        <w:t xml:space="preserve">Defining </w:t>
      </w:r>
      <w:r>
        <w:t>a</w:t>
      </w:r>
      <w:r w:rsidRPr="00EE279E">
        <w:t xml:space="preserve"> Switch Level Representation of The Transmission System Model </w:t>
      </w:r>
      <w:r>
        <w:t>Using</w:t>
      </w:r>
      <w:r w:rsidRPr="00EE279E">
        <w:t xml:space="preserve"> Spreadsheets</w:t>
      </w:r>
      <w:bookmarkEnd w:id="9"/>
    </w:p>
    <w:p w14:paraId="3354AEE9" w14:textId="77777777" w:rsidR="00F934E3" w:rsidRDefault="00F934E3" w:rsidP="00F934E3">
      <w:pPr>
        <w:rPr>
          <w:i/>
        </w:rPr>
      </w:pPr>
      <w:r w:rsidRPr="009B6E75">
        <w:rPr>
          <w:b/>
        </w:rPr>
        <w:t>Author</w:t>
      </w:r>
      <w:r>
        <w:t xml:space="preserve">: </w:t>
      </w:r>
      <w:r w:rsidRPr="009B6E75">
        <w:rPr>
          <w:i/>
        </w:rPr>
        <w:t>Paul J.S. Thomson, OLTA Technical Specialist, National Grid ESO</w:t>
      </w:r>
    </w:p>
    <w:p w14:paraId="52C6E55A" w14:textId="77777777" w:rsidR="00F934E3" w:rsidRPr="009B6E75" w:rsidRDefault="00F934E3" w:rsidP="00F934E3">
      <w:r>
        <w:t>Listed below are some considerations which are required when attempting to define switch-level representations of the transmission system using the current format of data exchange (spreadsheets). The considerations highlight the inherent challenges associated with this approach, as opposed to</w:t>
      </w:r>
      <w:r w:rsidRPr="00EB2291">
        <w:rPr>
          <w:lang w:val="en-GB"/>
        </w:rPr>
        <w:t xml:space="preserve"> utilising</w:t>
      </w:r>
      <w:r>
        <w:t xml:space="preserve"> a CIM format.</w:t>
      </w:r>
    </w:p>
    <w:p w14:paraId="33599D31" w14:textId="77777777" w:rsidR="00F934E3" w:rsidRDefault="00F934E3" w:rsidP="00F934E3">
      <w:pPr>
        <w:pStyle w:val="ListParagraph"/>
        <w:numPr>
          <w:ilvl w:val="0"/>
          <w:numId w:val="11"/>
        </w:numPr>
        <w:spacing w:after="200" w:line="276" w:lineRule="auto"/>
      </w:pPr>
      <w:r>
        <w:t>Trying to define enough detail of each plant item to make the model functional for any kind of analysis</w:t>
      </w:r>
    </w:p>
    <w:p w14:paraId="0FF01F12" w14:textId="77777777" w:rsidR="00F934E3" w:rsidRDefault="00F934E3" w:rsidP="00F934E3">
      <w:pPr>
        <w:pStyle w:val="ListParagraph"/>
        <w:numPr>
          <w:ilvl w:val="0"/>
          <w:numId w:val="11"/>
        </w:numPr>
        <w:spacing w:after="200" w:line="276" w:lineRule="auto"/>
      </w:pPr>
      <w:r>
        <w:t>For plant items, which have tap ranges an additional item is needed so that the tap position for the scenario being delivered can be provided (Transformers, QBs,</w:t>
      </w:r>
      <w:r w:rsidRPr="00F901CA">
        <w:rPr>
          <w:lang w:val="en-GB"/>
        </w:rPr>
        <w:t xml:space="preserve"> Reactors</w:t>
      </w:r>
      <w:r>
        <w:t xml:space="preserve"> &amp; Caps)</w:t>
      </w:r>
    </w:p>
    <w:p w14:paraId="09E4A6D8" w14:textId="77777777" w:rsidR="00F934E3" w:rsidRPr="00F901CA" w:rsidRDefault="00F934E3" w:rsidP="00F934E3">
      <w:pPr>
        <w:pStyle w:val="ListParagraph"/>
        <w:numPr>
          <w:ilvl w:val="0"/>
          <w:numId w:val="11"/>
        </w:numPr>
        <w:spacing w:after="200" w:line="276" w:lineRule="auto"/>
        <w:rPr>
          <w:lang w:val="en-GB"/>
        </w:rPr>
      </w:pPr>
      <w:r>
        <w:t>For switches to define the connectivity as well as capability need to be included, as well as a method to define the open/closed status of switches, to make it machine readable</w:t>
      </w:r>
    </w:p>
    <w:p w14:paraId="23E173E1" w14:textId="77777777" w:rsidR="00F934E3" w:rsidRDefault="00F934E3" w:rsidP="00F934E3">
      <w:pPr>
        <w:pStyle w:val="ListParagraph"/>
        <w:numPr>
          <w:ilvl w:val="0"/>
          <w:numId w:val="11"/>
        </w:numPr>
        <w:spacing w:after="200" w:line="276" w:lineRule="auto"/>
      </w:pPr>
      <w:r>
        <w:rPr>
          <w:lang w:val="en-GB"/>
        </w:rPr>
        <w:t>Thyristor</w:t>
      </w:r>
      <w:r>
        <w:t xml:space="preserve"> controlled devices - while there is no tap position to be provided, a method to define the relevant value as used in the scenario being provided (would this be machine readable?)</w:t>
      </w:r>
    </w:p>
    <w:p w14:paraId="1B273630" w14:textId="77777777" w:rsidR="00F934E3" w:rsidRDefault="00F934E3" w:rsidP="00F934E3">
      <w:pPr>
        <w:pStyle w:val="ListParagraph"/>
        <w:numPr>
          <w:ilvl w:val="0"/>
          <w:numId w:val="11"/>
        </w:numPr>
        <w:spacing w:after="200" w:line="276" w:lineRule="auto"/>
      </w:pPr>
      <w:r>
        <w:t>Devices like QBs which have tables as well as basic parameters would have to be read into the receiving machine. The tap position would have to be identified</w:t>
      </w:r>
    </w:p>
    <w:p w14:paraId="4A5692CC" w14:textId="77777777" w:rsidR="00F934E3" w:rsidRDefault="00F934E3" w:rsidP="00F934E3">
      <w:pPr>
        <w:pStyle w:val="ListParagraph"/>
        <w:numPr>
          <w:ilvl w:val="0"/>
          <w:numId w:val="11"/>
        </w:numPr>
        <w:spacing w:after="200" w:line="276" w:lineRule="auto"/>
      </w:pPr>
      <w:r>
        <w:t>Series Compensation devices like those at Hutton 400kV, which have bypass reactors but which are dependent on the pre-fault loading of the device - would this data be needed?</w:t>
      </w:r>
    </w:p>
    <w:p w14:paraId="764A8142" w14:textId="77777777" w:rsidR="00F934E3" w:rsidRDefault="00F934E3" w:rsidP="00F934E3">
      <w:pPr>
        <w:pStyle w:val="ListParagraph"/>
        <w:numPr>
          <w:ilvl w:val="0"/>
          <w:numId w:val="11"/>
        </w:numPr>
        <w:spacing w:after="200" w:line="276" w:lineRule="auto"/>
      </w:pPr>
      <w:r>
        <w:t>Generator MVar curves - these are multi co-ordinate values to develop the basic curve (a method to define the MVar set-point for the Generator in the scenario is needed)</w:t>
      </w:r>
    </w:p>
    <w:p w14:paraId="234DC96C" w14:textId="77777777" w:rsidR="00F934E3" w:rsidRDefault="00F934E3" w:rsidP="00F934E3">
      <w:pPr>
        <w:pStyle w:val="ListParagraph"/>
        <w:numPr>
          <w:ilvl w:val="0"/>
          <w:numId w:val="11"/>
        </w:numPr>
        <w:spacing w:after="200" w:line="276" w:lineRule="auto"/>
      </w:pPr>
      <w:r>
        <w:t>Definition of the Generator AVR, GOV or Frame – these are the controllers for Gens which depending on type would be needed. (If only doing load flow or Thermal studies these would not be needed, however if any stability analysis is to be done, they would be needed)</w:t>
      </w:r>
    </w:p>
    <w:p w14:paraId="7A35053B" w14:textId="77777777" w:rsidR="00F934E3" w:rsidRDefault="00F934E3" w:rsidP="00F934E3">
      <w:pPr>
        <w:pStyle w:val="ListParagraph"/>
        <w:numPr>
          <w:ilvl w:val="0"/>
          <w:numId w:val="11"/>
        </w:numPr>
        <w:spacing w:after="200" w:line="276" w:lineRule="auto"/>
      </w:pPr>
      <w:r>
        <w:t>Addition of new technology plant items in the future (development of spreadsheet and systems to populate and consume this data would be needed)</w:t>
      </w:r>
    </w:p>
    <w:p w14:paraId="5F168FD5" w14:textId="77777777" w:rsidR="00F934E3" w:rsidRDefault="00F934E3" w:rsidP="00F934E3">
      <w:pPr>
        <w:pStyle w:val="ListParagraph"/>
        <w:numPr>
          <w:ilvl w:val="0"/>
          <w:numId w:val="11"/>
        </w:numPr>
        <w:spacing w:after="200" w:line="276" w:lineRule="auto"/>
      </w:pPr>
      <w:r>
        <w:t>HVDC systems - would this data be needed by DNOs who are affected by their flows (ManWeb, SPD &amp; SHE-D) once Eastern Boot Strap is commissioned Northern?</w:t>
      </w:r>
    </w:p>
    <w:p w14:paraId="7F98D1B1" w14:textId="77777777" w:rsidR="00F934E3" w:rsidRDefault="00F934E3" w:rsidP="00F934E3">
      <w:pPr>
        <w:pStyle w:val="ListParagraph"/>
        <w:numPr>
          <w:ilvl w:val="0"/>
          <w:numId w:val="11"/>
        </w:numPr>
        <w:spacing w:after="200" w:line="276" w:lineRule="auto"/>
      </w:pPr>
      <w:r>
        <w:t>Would DNOs need to know what embedded Generation was dispatched in their network and/or</w:t>
      </w:r>
      <w:r w:rsidRPr="00A02151">
        <w:rPr>
          <w:lang w:val="en-GB"/>
        </w:rPr>
        <w:t xml:space="preserve"> neighbouring</w:t>
      </w:r>
      <w:r>
        <w:t xml:space="preserve"> networks?</w:t>
      </w:r>
    </w:p>
    <w:p w14:paraId="24B1620C" w14:textId="77777777" w:rsidR="00EB2291" w:rsidRDefault="00EB2291" w:rsidP="00F934E3">
      <w:pPr>
        <w:pStyle w:val="ListParagraph"/>
        <w:numPr>
          <w:ilvl w:val="0"/>
          <w:numId w:val="11"/>
        </w:numPr>
        <w:spacing w:after="200" w:line="276" w:lineRule="auto"/>
      </w:pPr>
      <w:r>
        <w:t>How to define the receiving DNO network configuration used by the ESO as part of the scenario when this network would have been reduced out of the model?</w:t>
      </w:r>
    </w:p>
    <w:p w14:paraId="440B2BD1" w14:textId="77777777" w:rsidR="00F934E3" w:rsidRDefault="00F934E3" w:rsidP="00F934E3">
      <w:pPr>
        <w:pStyle w:val="ListParagraph"/>
        <w:numPr>
          <w:ilvl w:val="0"/>
          <w:numId w:val="11"/>
        </w:numPr>
        <w:spacing w:after="200" w:line="276" w:lineRule="auto"/>
      </w:pPr>
      <w:r>
        <w:t>Transmission Constraints – would data on any of these be needed particularly if the constraint boundary crossed the DNO area?</w:t>
      </w:r>
    </w:p>
    <w:p w14:paraId="7B9CD95F" w14:textId="77777777" w:rsidR="00F934E3" w:rsidRDefault="00F934E3" w:rsidP="00F934E3">
      <w:pPr>
        <w:pStyle w:val="ListParagraph"/>
        <w:numPr>
          <w:ilvl w:val="0"/>
          <w:numId w:val="11"/>
        </w:numPr>
        <w:spacing w:after="200" w:line="276" w:lineRule="auto"/>
      </w:pPr>
      <w:r>
        <w:t>Energy Market participation – would DNOs need to know if embedded Generators were taking part in particular European generation markets?</w:t>
      </w:r>
    </w:p>
    <w:p w14:paraId="4B4C19A8" w14:textId="77777777" w:rsidR="00894F34" w:rsidRPr="00894F34" w:rsidRDefault="00894F34" w:rsidP="00894F34"/>
    <w:sectPr w:rsidR="00894F34" w:rsidRPr="00894F3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186AAB" w14:textId="77777777" w:rsidR="00025E2B" w:rsidRDefault="00025E2B" w:rsidP="00AA2805">
      <w:pPr>
        <w:spacing w:after="0" w:line="240" w:lineRule="auto"/>
      </w:pPr>
      <w:r>
        <w:separator/>
      </w:r>
    </w:p>
  </w:endnote>
  <w:endnote w:type="continuationSeparator" w:id="0">
    <w:p w14:paraId="2C38A1EC" w14:textId="77777777" w:rsidR="00025E2B" w:rsidRDefault="00025E2B" w:rsidP="00AA28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B5C615" w14:textId="77777777" w:rsidR="00025E2B" w:rsidRDefault="00025E2B" w:rsidP="00AA2805">
      <w:pPr>
        <w:spacing w:after="0" w:line="240" w:lineRule="auto"/>
      </w:pPr>
      <w:r>
        <w:separator/>
      </w:r>
    </w:p>
  </w:footnote>
  <w:footnote w:type="continuationSeparator" w:id="0">
    <w:p w14:paraId="65C50BAE" w14:textId="77777777" w:rsidR="00025E2B" w:rsidRDefault="00025E2B" w:rsidP="00AA2805">
      <w:pPr>
        <w:spacing w:after="0" w:line="240" w:lineRule="auto"/>
      </w:pPr>
      <w:r>
        <w:continuationSeparator/>
      </w:r>
    </w:p>
  </w:footnote>
  <w:footnote w:id="1">
    <w:p w14:paraId="470BBEE3" w14:textId="77777777" w:rsidR="00D77356" w:rsidRPr="00D77356" w:rsidRDefault="00D77356">
      <w:pPr>
        <w:pStyle w:val="FootnoteText"/>
        <w:rPr>
          <w:lang w:val="en-GB"/>
        </w:rPr>
      </w:pPr>
      <w:r>
        <w:rPr>
          <w:rStyle w:val="FootnoteReference"/>
        </w:rPr>
        <w:footnoteRef/>
      </w:r>
      <w:r>
        <w:t xml:space="preserve"> </w:t>
      </w:r>
      <w:hyperlink r:id="rId1" w:history="1">
        <w:r w:rsidRPr="005B22EF">
          <w:rPr>
            <w:rStyle w:val="Hyperlink"/>
          </w:rPr>
          <w:t>https://es.catapult.org.uk/impact/specialisms/energy-data-taskforce</w:t>
        </w:r>
      </w:hyperlink>
      <w:r>
        <w:t xml:space="preserve"> </w:t>
      </w:r>
    </w:p>
  </w:footnote>
  <w:footnote w:id="2">
    <w:p w14:paraId="28A6EF18" w14:textId="77777777" w:rsidR="009219BB" w:rsidRPr="009219BB" w:rsidRDefault="009219BB">
      <w:pPr>
        <w:pStyle w:val="FootnoteText"/>
        <w:rPr>
          <w:lang w:val="en-GB"/>
        </w:rPr>
      </w:pPr>
      <w:r>
        <w:rPr>
          <w:rStyle w:val="FootnoteReference"/>
        </w:rPr>
        <w:footnoteRef/>
      </w:r>
      <w:r>
        <w:t xml:space="preserve"> </w:t>
      </w:r>
      <w:hyperlink r:id="rId2" w:history="1">
        <w:r w:rsidRPr="005B22EF">
          <w:rPr>
            <w:rStyle w:val="Hyperlink"/>
          </w:rPr>
          <w:t>https://es.catapult.org.uk/reports/energy-data-taskforce-report/</w:t>
        </w:r>
      </w:hyperlink>
      <w:r>
        <w:t xml:space="preserve"> </w:t>
      </w:r>
    </w:p>
  </w:footnote>
  <w:footnote w:id="3">
    <w:p w14:paraId="272F4363" w14:textId="77777777" w:rsidR="009F1CCB" w:rsidRPr="009F1CCB" w:rsidRDefault="009F1CCB">
      <w:pPr>
        <w:pStyle w:val="FootnoteText"/>
        <w:rPr>
          <w:lang w:val="en-GB"/>
        </w:rPr>
      </w:pPr>
      <w:r>
        <w:rPr>
          <w:rStyle w:val="FootnoteReference"/>
        </w:rPr>
        <w:footnoteRef/>
      </w:r>
      <w:r>
        <w:t xml:space="preserve"> </w:t>
      </w:r>
      <w:hyperlink r:id="rId3" w:history="1">
        <w:r w:rsidR="008513AC">
          <w:rPr>
            <w:rStyle w:val="Hyperlink"/>
          </w:rPr>
          <w:t>https://webstore.iec.ch/publication/62698</w:t>
        </w:r>
      </w:hyperlink>
    </w:p>
  </w:footnote>
  <w:footnote w:id="4">
    <w:p w14:paraId="5B38F45F" w14:textId="77777777" w:rsidR="00AA2805" w:rsidRPr="00AA2805" w:rsidRDefault="00AA2805">
      <w:pPr>
        <w:pStyle w:val="FootnoteText"/>
        <w:rPr>
          <w:lang w:val="en-GB"/>
        </w:rPr>
      </w:pPr>
      <w:r>
        <w:rPr>
          <w:rStyle w:val="FootnoteReference"/>
        </w:rPr>
        <w:footnoteRef/>
      </w:r>
      <w:r>
        <w:t xml:space="preserve"> </w:t>
      </w:r>
      <w:hyperlink r:id="rId4" w:history="1">
        <w:r w:rsidRPr="001A7549">
          <w:rPr>
            <w:rStyle w:val="Hyperlink"/>
          </w:rPr>
          <w:t>https://www.energynetworks.org/assets/files/ONP-WS1B-P4%20Data%20Exchange%20Report-PUBLISHED.pdf</w:t>
        </w:r>
      </w:hyperlink>
      <w:r>
        <w:t xml:space="preserve"> </w:t>
      </w:r>
      <w:r w:rsidR="00E249C6">
        <w:t>(2.2)</w:t>
      </w:r>
    </w:p>
  </w:footnote>
  <w:footnote w:id="5">
    <w:p w14:paraId="3303BE53" w14:textId="77777777" w:rsidR="00832FDB" w:rsidRPr="00F925B9" w:rsidRDefault="00832FDB" w:rsidP="00832FDB">
      <w:pPr>
        <w:pStyle w:val="FootnoteText"/>
        <w:rPr>
          <w:lang w:val="en-GB"/>
        </w:rPr>
      </w:pPr>
      <w:r>
        <w:rPr>
          <w:rStyle w:val="FootnoteReference"/>
        </w:rPr>
        <w:footnoteRef/>
      </w:r>
      <w:r>
        <w:t xml:space="preserve"> </w:t>
      </w:r>
      <w:hyperlink r:id="rId5" w:history="1">
        <w:r>
          <w:rPr>
            <w:rStyle w:val="Hyperlink"/>
          </w:rPr>
          <w:t>https://www.entsoe.eu/digital/common-information-model/</w:t>
        </w:r>
      </w:hyperlink>
    </w:p>
  </w:footnote>
  <w:footnote w:id="6">
    <w:p w14:paraId="31A93984" w14:textId="77777777" w:rsidR="00637099" w:rsidRPr="00637099" w:rsidRDefault="00637099">
      <w:pPr>
        <w:pStyle w:val="FootnoteText"/>
        <w:rPr>
          <w:lang w:val="en-GB"/>
        </w:rPr>
      </w:pPr>
      <w:r>
        <w:rPr>
          <w:rStyle w:val="FootnoteReference"/>
        </w:rPr>
        <w:footnoteRef/>
      </w:r>
      <w:r>
        <w:t xml:space="preserve"> </w:t>
      </w:r>
      <w:hyperlink r:id="rId6" w:history="1">
        <w:r>
          <w:rPr>
            <w:rStyle w:val="Hyperlink"/>
          </w:rPr>
          <w:t>http://maplesotho.cb</w:t>
        </w:r>
        <w:r>
          <w:rPr>
            <w:rStyle w:val="Hyperlink"/>
          </w:rPr>
          <w:t>r</w:t>
        </w:r>
        <w:r>
          <w:rPr>
            <w:rStyle w:val="Hyperlink"/>
          </w:rPr>
          <w:t>oderick.me/it-and-data/</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8FF490" w14:textId="77777777" w:rsidR="00456AB2" w:rsidRPr="00804057" w:rsidRDefault="00456AB2" w:rsidP="00456AB2">
    <w:pPr>
      <w:pStyle w:val="Header"/>
      <w:ind w:left="-851"/>
      <w:rPr>
        <w:sz w:val="16"/>
      </w:rPr>
    </w:pPr>
    <w:r w:rsidRPr="00804057">
      <w:rPr>
        <w:sz w:val="16"/>
      </w:rPr>
      <w:t>Author: Matt Baller, National Grid ESO</w:t>
    </w:r>
  </w:p>
  <w:p w14:paraId="1DA603EB" w14:textId="77777777" w:rsidR="00456AB2" w:rsidRPr="00804057" w:rsidRDefault="00EF0211" w:rsidP="00456AB2">
    <w:pPr>
      <w:pStyle w:val="Header"/>
      <w:ind w:left="-851"/>
      <w:rPr>
        <w:sz w:val="16"/>
      </w:rPr>
    </w:pPr>
    <w:r>
      <w:rPr>
        <w:sz w:val="16"/>
      </w:rPr>
      <w:t xml:space="preserve">Discussion with and </w:t>
    </w:r>
    <w:r w:rsidR="00456AB2" w:rsidRPr="00804057">
      <w:rPr>
        <w:sz w:val="16"/>
      </w:rPr>
      <w:t>input from: Paul Thomson, National Grid ESO &amp; Ian Povey, Electricity North West</w:t>
    </w:r>
  </w:p>
  <w:p w14:paraId="04F10C6A" w14:textId="742315AB" w:rsidR="00456AB2" w:rsidRPr="00804057" w:rsidRDefault="00456AB2" w:rsidP="00456AB2">
    <w:pPr>
      <w:pStyle w:val="Header"/>
      <w:ind w:left="-851"/>
      <w:rPr>
        <w:sz w:val="16"/>
      </w:rPr>
    </w:pPr>
    <w:r w:rsidRPr="00804057">
      <w:rPr>
        <w:sz w:val="16"/>
      </w:rPr>
      <w:t>Date of authorship</w:t>
    </w:r>
    <w:r w:rsidR="002C0A03">
      <w:rPr>
        <w:sz w:val="16"/>
      </w:rPr>
      <w:t xml:space="preserve"> v1.3</w:t>
    </w:r>
    <w:r w:rsidRPr="00804057">
      <w:rPr>
        <w:sz w:val="16"/>
      </w:rPr>
      <w:t xml:space="preserve">: </w:t>
    </w:r>
    <w:r w:rsidR="00AD7F2A">
      <w:rPr>
        <w:sz w:val="16"/>
      </w:rPr>
      <w:t>06.08</w:t>
    </w:r>
    <w:r w:rsidRPr="00804057">
      <w:rPr>
        <w:sz w:val="16"/>
      </w:rPr>
      <w:t>.20</w:t>
    </w:r>
  </w:p>
  <w:p w14:paraId="2E760145" w14:textId="77777777" w:rsidR="00456AB2" w:rsidRDefault="00456AB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7E080F"/>
    <w:multiLevelType w:val="hybridMultilevel"/>
    <w:tmpl w:val="B8063926"/>
    <w:lvl w:ilvl="0" w:tplc="E3CCA48C">
      <w:numFmt w:val="bullet"/>
      <w:lvlText w:val="-"/>
      <w:lvlJc w:val="left"/>
      <w:pPr>
        <w:ind w:left="720" w:hanging="360"/>
      </w:pPr>
      <w:rPr>
        <w:rFonts w:ascii="Calibri" w:eastAsiaTheme="minorHAnsi" w:hAnsi="Calibri"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58226B1"/>
    <w:multiLevelType w:val="hybridMultilevel"/>
    <w:tmpl w:val="5546DE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16B0BEA"/>
    <w:multiLevelType w:val="hybridMultilevel"/>
    <w:tmpl w:val="75B078D8"/>
    <w:lvl w:ilvl="0" w:tplc="E3CCA48C">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5972B7B"/>
    <w:multiLevelType w:val="hybridMultilevel"/>
    <w:tmpl w:val="7AC0BEA4"/>
    <w:lvl w:ilvl="0" w:tplc="C58E8B7C">
      <w:start w:val="1"/>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3AF63241"/>
    <w:multiLevelType w:val="hybridMultilevel"/>
    <w:tmpl w:val="203CFE08"/>
    <w:lvl w:ilvl="0" w:tplc="E3CCA48C">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ED4590F"/>
    <w:multiLevelType w:val="multilevel"/>
    <w:tmpl w:val="C7D6F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D566A9B"/>
    <w:multiLevelType w:val="hybridMultilevel"/>
    <w:tmpl w:val="9F8A0BE2"/>
    <w:lvl w:ilvl="0" w:tplc="8C480B16">
      <w:start w:val="1"/>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6BB07AB7"/>
    <w:multiLevelType w:val="hybridMultilevel"/>
    <w:tmpl w:val="02F6E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EEA4AAF"/>
    <w:multiLevelType w:val="hybridMultilevel"/>
    <w:tmpl w:val="15501398"/>
    <w:lvl w:ilvl="0" w:tplc="B128C278">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59D5ADB"/>
    <w:multiLevelType w:val="hybridMultilevel"/>
    <w:tmpl w:val="34CA9F56"/>
    <w:lvl w:ilvl="0" w:tplc="A08CC7E6">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7F7E651A"/>
    <w:multiLevelType w:val="hybridMultilevel"/>
    <w:tmpl w:val="7738151A"/>
    <w:lvl w:ilvl="0" w:tplc="345AE47E">
      <w:start w:val="1"/>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0"/>
  </w:num>
  <w:num w:numId="4">
    <w:abstractNumId w:val="1"/>
  </w:num>
  <w:num w:numId="5">
    <w:abstractNumId w:val="5"/>
  </w:num>
  <w:num w:numId="6">
    <w:abstractNumId w:val="9"/>
  </w:num>
  <w:num w:numId="7">
    <w:abstractNumId w:val="10"/>
  </w:num>
  <w:num w:numId="8">
    <w:abstractNumId w:val="6"/>
  </w:num>
  <w:num w:numId="9">
    <w:abstractNumId w:val="3"/>
  </w:num>
  <w:num w:numId="10">
    <w:abstractNumId w:val="8"/>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trackRevisions/>
  <w:documentProtection w:edit="trackedChanges" w:enforcement="1" w:cryptProviderType="rsaAES" w:cryptAlgorithmClass="hash" w:cryptAlgorithmType="typeAny" w:cryptAlgorithmSid="14" w:cryptSpinCount="100000" w:hash="R+YALG6u/06OMCyaRevO6K1YZ/wdeAUnEB+ITndQhO+rIljhBPK4yJGJNA8aCjqgwJ5uSqk5anRUDfFCerFcAQ==" w:salt="Oa0vlFQjrYB7z4uZDkP9nA=="/>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6BFA"/>
    <w:rsid w:val="000059B7"/>
    <w:rsid w:val="000168C6"/>
    <w:rsid w:val="00021FC9"/>
    <w:rsid w:val="00025E2B"/>
    <w:rsid w:val="000317AC"/>
    <w:rsid w:val="0003390B"/>
    <w:rsid w:val="00035551"/>
    <w:rsid w:val="000358D6"/>
    <w:rsid w:val="0004493E"/>
    <w:rsid w:val="00045EC8"/>
    <w:rsid w:val="00051205"/>
    <w:rsid w:val="00053548"/>
    <w:rsid w:val="00056EA1"/>
    <w:rsid w:val="00073EDA"/>
    <w:rsid w:val="00077847"/>
    <w:rsid w:val="000854A7"/>
    <w:rsid w:val="00090C7C"/>
    <w:rsid w:val="00093D4D"/>
    <w:rsid w:val="000A304C"/>
    <w:rsid w:val="000B1451"/>
    <w:rsid w:val="000B6143"/>
    <w:rsid w:val="000E1D86"/>
    <w:rsid w:val="000F0D4C"/>
    <w:rsid w:val="000F2794"/>
    <w:rsid w:val="000F478E"/>
    <w:rsid w:val="001002D3"/>
    <w:rsid w:val="0010461B"/>
    <w:rsid w:val="00106777"/>
    <w:rsid w:val="00122727"/>
    <w:rsid w:val="00131DD7"/>
    <w:rsid w:val="00136926"/>
    <w:rsid w:val="00153AFB"/>
    <w:rsid w:val="0015593E"/>
    <w:rsid w:val="001705ED"/>
    <w:rsid w:val="00170E40"/>
    <w:rsid w:val="00180D8F"/>
    <w:rsid w:val="00180F3B"/>
    <w:rsid w:val="00181DC3"/>
    <w:rsid w:val="00192DB5"/>
    <w:rsid w:val="001A551A"/>
    <w:rsid w:val="001B3C57"/>
    <w:rsid w:val="001C3429"/>
    <w:rsid w:val="001C645E"/>
    <w:rsid w:val="001C64A9"/>
    <w:rsid w:val="001D3E03"/>
    <w:rsid w:val="001D5DB7"/>
    <w:rsid w:val="001E3181"/>
    <w:rsid w:val="001E36DE"/>
    <w:rsid w:val="001E50FF"/>
    <w:rsid w:val="001E5156"/>
    <w:rsid w:val="001F336F"/>
    <w:rsid w:val="001F3C41"/>
    <w:rsid w:val="001F4CA6"/>
    <w:rsid w:val="001F5D10"/>
    <w:rsid w:val="001F68D7"/>
    <w:rsid w:val="00214248"/>
    <w:rsid w:val="00242907"/>
    <w:rsid w:val="0024375E"/>
    <w:rsid w:val="00244EDD"/>
    <w:rsid w:val="0024784E"/>
    <w:rsid w:val="00267976"/>
    <w:rsid w:val="00272CC5"/>
    <w:rsid w:val="00280AFC"/>
    <w:rsid w:val="00284B49"/>
    <w:rsid w:val="00285135"/>
    <w:rsid w:val="00286191"/>
    <w:rsid w:val="00286704"/>
    <w:rsid w:val="002A37A1"/>
    <w:rsid w:val="002A725A"/>
    <w:rsid w:val="002A7373"/>
    <w:rsid w:val="002B482A"/>
    <w:rsid w:val="002C0A03"/>
    <w:rsid w:val="002C4852"/>
    <w:rsid w:val="002C790D"/>
    <w:rsid w:val="002D56DD"/>
    <w:rsid w:val="002D61E9"/>
    <w:rsid w:val="002E3AA8"/>
    <w:rsid w:val="002E3D21"/>
    <w:rsid w:val="002F53F1"/>
    <w:rsid w:val="002F6BFA"/>
    <w:rsid w:val="00313C0A"/>
    <w:rsid w:val="0031663E"/>
    <w:rsid w:val="00331C37"/>
    <w:rsid w:val="0033353E"/>
    <w:rsid w:val="0033386B"/>
    <w:rsid w:val="00333FC1"/>
    <w:rsid w:val="003376C4"/>
    <w:rsid w:val="00337C2E"/>
    <w:rsid w:val="0034461B"/>
    <w:rsid w:val="00361988"/>
    <w:rsid w:val="00373C74"/>
    <w:rsid w:val="003846CC"/>
    <w:rsid w:val="003855D6"/>
    <w:rsid w:val="00385FCA"/>
    <w:rsid w:val="00390348"/>
    <w:rsid w:val="003B2CF9"/>
    <w:rsid w:val="003B78CC"/>
    <w:rsid w:val="003C236B"/>
    <w:rsid w:val="003E3BF8"/>
    <w:rsid w:val="0040461C"/>
    <w:rsid w:val="004102AE"/>
    <w:rsid w:val="00412385"/>
    <w:rsid w:val="00421469"/>
    <w:rsid w:val="004221AE"/>
    <w:rsid w:val="00441A8F"/>
    <w:rsid w:val="0044298F"/>
    <w:rsid w:val="00445A7B"/>
    <w:rsid w:val="0044735D"/>
    <w:rsid w:val="004477C2"/>
    <w:rsid w:val="004508A8"/>
    <w:rsid w:val="004526A9"/>
    <w:rsid w:val="004540F5"/>
    <w:rsid w:val="00456AB2"/>
    <w:rsid w:val="004574FD"/>
    <w:rsid w:val="00461B99"/>
    <w:rsid w:val="00465C42"/>
    <w:rsid w:val="00471719"/>
    <w:rsid w:val="0048217E"/>
    <w:rsid w:val="00484677"/>
    <w:rsid w:val="00486238"/>
    <w:rsid w:val="00486A8A"/>
    <w:rsid w:val="004A176C"/>
    <w:rsid w:val="004C370E"/>
    <w:rsid w:val="004C5447"/>
    <w:rsid w:val="004C6A2D"/>
    <w:rsid w:val="004E06CC"/>
    <w:rsid w:val="004E155F"/>
    <w:rsid w:val="004E24AC"/>
    <w:rsid w:val="004F57BA"/>
    <w:rsid w:val="00503E75"/>
    <w:rsid w:val="00512D98"/>
    <w:rsid w:val="00513EC8"/>
    <w:rsid w:val="0051471A"/>
    <w:rsid w:val="00515E91"/>
    <w:rsid w:val="0053249A"/>
    <w:rsid w:val="005366E7"/>
    <w:rsid w:val="00540C88"/>
    <w:rsid w:val="00541A48"/>
    <w:rsid w:val="00546DC2"/>
    <w:rsid w:val="00546F0A"/>
    <w:rsid w:val="0056167F"/>
    <w:rsid w:val="0056307B"/>
    <w:rsid w:val="005737A2"/>
    <w:rsid w:val="00573AE3"/>
    <w:rsid w:val="00582B3A"/>
    <w:rsid w:val="00583F7A"/>
    <w:rsid w:val="005A6B02"/>
    <w:rsid w:val="005B5325"/>
    <w:rsid w:val="005C35E3"/>
    <w:rsid w:val="005C50EA"/>
    <w:rsid w:val="005C643D"/>
    <w:rsid w:val="005D2DAD"/>
    <w:rsid w:val="005D57BB"/>
    <w:rsid w:val="005D5DB4"/>
    <w:rsid w:val="005D7052"/>
    <w:rsid w:val="005F05B5"/>
    <w:rsid w:val="005F0638"/>
    <w:rsid w:val="005F7E26"/>
    <w:rsid w:val="005F7EDE"/>
    <w:rsid w:val="00600FFB"/>
    <w:rsid w:val="006056BD"/>
    <w:rsid w:val="00605F88"/>
    <w:rsid w:val="00606955"/>
    <w:rsid w:val="00612F1F"/>
    <w:rsid w:val="00617B9E"/>
    <w:rsid w:val="00617E5A"/>
    <w:rsid w:val="00620D29"/>
    <w:rsid w:val="00635260"/>
    <w:rsid w:val="00635DEF"/>
    <w:rsid w:val="006365E8"/>
    <w:rsid w:val="00637099"/>
    <w:rsid w:val="006426FD"/>
    <w:rsid w:val="006478F3"/>
    <w:rsid w:val="00652D73"/>
    <w:rsid w:val="0065666F"/>
    <w:rsid w:val="00656C60"/>
    <w:rsid w:val="006615CF"/>
    <w:rsid w:val="00664655"/>
    <w:rsid w:val="006807E0"/>
    <w:rsid w:val="00687EF5"/>
    <w:rsid w:val="00691285"/>
    <w:rsid w:val="00693B82"/>
    <w:rsid w:val="00694661"/>
    <w:rsid w:val="006A0543"/>
    <w:rsid w:val="006B0867"/>
    <w:rsid w:val="006B5A35"/>
    <w:rsid w:val="006E5328"/>
    <w:rsid w:val="007123B3"/>
    <w:rsid w:val="00712FDE"/>
    <w:rsid w:val="00727DBF"/>
    <w:rsid w:val="00752EC0"/>
    <w:rsid w:val="0075642C"/>
    <w:rsid w:val="00767C65"/>
    <w:rsid w:val="007A0F66"/>
    <w:rsid w:val="007A1D2E"/>
    <w:rsid w:val="007A6CB3"/>
    <w:rsid w:val="007A7122"/>
    <w:rsid w:val="007B0852"/>
    <w:rsid w:val="007B236D"/>
    <w:rsid w:val="007B4144"/>
    <w:rsid w:val="007B60AD"/>
    <w:rsid w:val="007C7066"/>
    <w:rsid w:val="007D0579"/>
    <w:rsid w:val="007D0A19"/>
    <w:rsid w:val="007D3301"/>
    <w:rsid w:val="007E0797"/>
    <w:rsid w:val="007E2798"/>
    <w:rsid w:val="007E29DD"/>
    <w:rsid w:val="007E6474"/>
    <w:rsid w:val="007F3121"/>
    <w:rsid w:val="00804057"/>
    <w:rsid w:val="00810660"/>
    <w:rsid w:val="00810AF4"/>
    <w:rsid w:val="00813F97"/>
    <w:rsid w:val="00827703"/>
    <w:rsid w:val="00832FDB"/>
    <w:rsid w:val="00833DD8"/>
    <w:rsid w:val="008378A5"/>
    <w:rsid w:val="008452F1"/>
    <w:rsid w:val="00847006"/>
    <w:rsid w:val="00847609"/>
    <w:rsid w:val="0085054B"/>
    <w:rsid w:val="008513AC"/>
    <w:rsid w:val="00851C9D"/>
    <w:rsid w:val="008522C5"/>
    <w:rsid w:val="0085352F"/>
    <w:rsid w:val="00855D01"/>
    <w:rsid w:val="0085634B"/>
    <w:rsid w:val="00861601"/>
    <w:rsid w:val="00864097"/>
    <w:rsid w:val="00864FB3"/>
    <w:rsid w:val="00871C6D"/>
    <w:rsid w:val="0087284A"/>
    <w:rsid w:val="00876881"/>
    <w:rsid w:val="00883FFA"/>
    <w:rsid w:val="00894F34"/>
    <w:rsid w:val="00895E7A"/>
    <w:rsid w:val="0089633C"/>
    <w:rsid w:val="00896D5A"/>
    <w:rsid w:val="008A4427"/>
    <w:rsid w:val="008A64D9"/>
    <w:rsid w:val="008A6800"/>
    <w:rsid w:val="008B20CF"/>
    <w:rsid w:val="008C1890"/>
    <w:rsid w:val="008D0DBE"/>
    <w:rsid w:val="008D54BD"/>
    <w:rsid w:val="008D75A0"/>
    <w:rsid w:val="008E0036"/>
    <w:rsid w:val="008F0302"/>
    <w:rsid w:val="008F4BBC"/>
    <w:rsid w:val="008F7F00"/>
    <w:rsid w:val="00912E9E"/>
    <w:rsid w:val="00913E57"/>
    <w:rsid w:val="009154D8"/>
    <w:rsid w:val="00916463"/>
    <w:rsid w:val="009219BB"/>
    <w:rsid w:val="009450E5"/>
    <w:rsid w:val="009455D0"/>
    <w:rsid w:val="009644C6"/>
    <w:rsid w:val="00967A50"/>
    <w:rsid w:val="00970E58"/>
    <w:rsid w:val="00972AE4"/>
    <w:rsid w:val="00996BA8"/>
    <w:rsid w:val="00997A4B"/>
    <w:rsid w:val="009A07D8"/>
    <w:rsid w:val="009B0C49"/>
    <w:rsid w:val="009B2087"/>
    <w:rsid w:val="009B5D78"/>
    <w:rsid w:val="009D7143"/>
    <w:rsid w:val="009F1CCB"/>
    <w:rsid w:val="009F7E97"/>
    <w:rsid w:val="00A0608B"/>
    <w:rsid w:val="00A10CF5"/>
    <w:rsid w:val="00A263B4"/>
    <w:rsid w:val="00A355A2"/>
    <w:rsid w:val="00A47212"/>
    <w:rsid w:val="00A6226D"/>
    <w:rsid w:val="00A62D3F"/>
    <w:rsid w:val="00A65944"/>
    <w:rsid w:val="00A66F0F"/>
    <w:rsid w:val="00A76730"/>
    <w:rsid w:val="00A77879"/>
    <w:rsid w:val="00A83293"/>
    <w:rsid w:val="00A8457D"/>
    <w:rsid w:val="00A85465"/>
    <w:rsid w:val="00AA0465"/>
    <w:rsid w:val="00AA2805"/>
    <w:rsid w:val="00AA2F44"/>
    <w:rsid w:val="00AA5F90"/>
    <w:rsid w:val="00AB3C27"/>
    <w:rsid w:val="00AC1EA0"/>
    <w:rsid w:val="00AC511F"/>
    <w:rsid w:val="00AC5EED"/>
    <w:rsid w:val="00AD5C76"/>
    <w:rsid w:val="00AD5D2B"/>
    <w:rsid w:val="00AD60D2"/>
    <w:rsid w:val="00AD7F2A"/>
    <w:rsid w:val="00AE40DE"/>
    <w:rsid w:val="00AF1835"/>
    <w:rsid w:val="00AF3CA9"/>
    <w:rsid w:val="00AF6FF2"/>
    <w:rsid w:val="00B0594E"/>
    <w:rsid w:val="00B05DBC"/>
    <w:rsid w:val="00B068BE"/>
    <w:rsid w:val="00B13295"/>
    <w:rsid w:val="00B13544"/>
    <w:rsid w:val="00B14E87"/>
    <w:rsid w:val="00B17656"/>
    <w:rsid w:val="00B37302"/>
    <w:rsid w:val="00B4283E"/>
    <w:rsid w:val="00B55E64"/>
    <w:rsid w:val="00B61391"/>
    <w:rsid w:val="00B624F8"/>
    <w:rsid w:val="00B631E6"/>
    <w:rsid w:val="00B7018C"/>
    <w:rsid w:val="00B718EB"/>
    <w:rsid w:val="00B729C2"/>
    <w:rsid w:val="00B75E2C"/>
    <w:rsid w:val="00B864AB"/>
    <w:rsid w:val="00B8797F"/>
    <w:rsid w:val="00B921B3"/>
    <w:rsid w:val="00B96DFB"/>
    <w:rsid w:val="00BA5562"/>
    <w:rsid w:val="00BA56FC"/>
    <w:rsid w:val="00BB5F1A"/>
    <w:rsid w:val="00BC3B3E"/>
    <w:rsid w:val="00BC3D94"/>
    <w:rsid w:val="00BC57F1"/>
    <w:rsid w:val="00C061E7"/>
    <w:rsid w:val="00C13FDE"/>
    <w:rsid w:val="00C1489D"/>
    <w:rsid w:val="00C22142"/>
    <w:rsid w:val="00C24F67"/>
    <w:rsid w:val="00C26365"/>
    <w:rsid w:val="00C3082A"/>
    <w:rsid w:val="00C37477"/>
    <w:rsid w:val="00C46359"/>
    <w:rsid w:val="00C4777F"/>
    <w:rsid w:val="00C47862"/>
    <w:rsid w:val="00C505CE"/>
    <w:rsid w:val="00C52936"/>
    <w:rsid w:val="00C53BE3"/>
    <w:rsid w:val="00C61346"/>
    <w:rsid w:val="00C628BC"/>
    <w:rsid w:val="00C670F6"/>
    <w:rsid w:val="00C74547"/>
    <w:rsid w:val="00C74F70"/>
    <w:rsid w:val="00C9107C"/>
    <w:rsid w:val="00CA1556"/>
    <w:rsid w:val="00CA3ACF"/>
    <w:rsid w:val="00CA5290"/>
    <w:rsid w:val="00CA580B"/>
    <w:rsid w:val="00CB3D1A"/>
    <w:rsid w:val="00CB52C1"/>
    <w:rsid w:val="00CC033B"/>
    <w:rsid w:val="00CC1656"/>
    <w:rsid w:val="00CC3500"/>
    <w:rsid w:val="00CD068D"/>
    <w:rsid w:val="00CD5907"/>
    <w:rsid w:val="00CD742F"/>
    <w:rsid w:val="00CF0DF8"/>
    <w:rsid w:val="00CF1DB3"/>
    <w:rsid w:val="00CF3528"/>
    <w:rsid w:val="00D00A25"/>
    <w:rsid w:val="00D00EB7"/>
    <w:rsid w:val="00D02B99"/>
    <w:rsid w:val="00D070F0"/>
    <w:rsid w:val="00D12CFA"/>
    <w:rsid w:val="00D14AC5"/>
    <w:rsid w:val="00D151B5"/>
    <w:rsid w:val="00D2392E"/>
    <w:rsid w:val="00D23ABB"/>
    <w:rsid w:val="00D24B4D"/>
    <w:rsid w:val="00D27D3B"/>
    <w:rsid w:val="00D32FDC"/>
    <w:rsid w:val="00D532FE"/>
    <w:rsid w:val="00D673E3"/>
    <w:rsid w:val="00D73427"/>
    <w:rsid w:val="00D77356"/>
    <w:rsid w:val="00D80A60"/>
    <w:rsid w:val="00D92CC0"/>
    <w:rsid w:val="00DB116A"/>
    <w:rsid w:val="00DB42CF"/>
    <w:rsid w:val="00DB4D3E"/>
    <w:rsid w:val="00DC6E08"/>
    <w:rsid w:val="00DD0BA7"/>
    <w:rsid w:val="00DD6CFA"/>
    <w:rsid w:val="00DE1AC4"/>
    <w:rsid w:val="00DE1EAC"/>
    <w:rsid w:val="00DE3739"/>
    <w:rsid w:val="00DF5320"/>
    <w:rsid w:val="00E063C4"/>
    <w:rsid w:val="00E07EAC"/>
    <w:rsid w:val="00E10AAE"/>
    <w:rsid w:val="00E148DA"/>
    <w:rsid w:val="00E249C6"/>
    <w:rsid w:val="00E24E1D"/>
    <w:rsid w:val="00E335CF"/>
    <w:rsid w:val="00E3599D"/>
    <w:rsid w:val="00E43701"/>
    <w:rsid w:val="00E560D5"/>
    <w:rsid w:val="00E57629"/>
    <w:rsid w:val="00E703D7"/>
    <w:rsid w:val="00E7615E"/>
    <w:rsid w:val="00E9692B"/>
    <w:rsid w:val="00EB2291"/>
    <w:rsid w:val="00EB3074"/>
    <w:rsid w:val="00EB4FE0"/>
    <w:rsid w:val="00EB72EB"/>
    <w:rsid w:val="00EC17D2"/>
    <w:rsid w:val="00EE0A7D"/>
    <w:rsid w:val="00EE2EA1"/>
    <w:rsid w:val="00EE4125"/>
    <w:rsid w:val="00EE6812"/>
    <w:rsid w:val="00EF0211"/>
    <w:rsid w:val="00EF04FA"/>
    <w:rsid w:val="00EF1C31"/>
    <w:rsid w:val="00EF7964"/>
    <w:rsid w:val="00F17657"/>
    <w:rsid w:val="00F222C6"/>
    <w:rsid w:val="00F2510B"/>
    <w:rsid w:val="00F37E28"/>
    <w:rsid w:val="00F4769F"/>
    <w:rsid w:val="00F53ED4"/>
    <w:rsid w:val="00F55D1A"/>
    <w:rsid w:val="00F5651D"/>
    <w:rsid w:val="00F57E2A"/>
    <w:rsid w:val="00F64525"/>
    <w:rsid w:val="00F925B9"/>
    <w:rsid w:val="00F934E3"/>
    <w:rsid w:val="00FA0F2A"/>
    <w:rsid w:val="00FA44FE"/>
    <w:rsid w:val="00FA55B5"/>
    <w:rsid w:val="00FA56CC"/>
    <w:rsid w:val="00FB4B3D"/>
    <w:rsid w:val="00FB4BF0"/>
    <w:rsid w:val="00FD6869"/>
    <w:rsid w:val="00FE1369"/>
    <w:rsid w:val="00FE3F45"/>
    <w:rsid w:val="00FF2BBD"/>
    <w:rsid w:val="00FF40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92B407"/>
  <w15:chartTrackingRefBased/>
  <w15:docId w15:val="{CE9059DD-2B4B-445C-AEF8-E12B4F0C5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autoRedefine/>
    <w:uiPriority w:val="9"/>
    <w:qFormat/>
    <w:rsid w:val="00DD6CFA"/>
    <w:pPr>
      <w:keepNext/>
      <w:keepLines/>
      <w:spacing w:before="240" w:after="120"/>
      <w:outlineLvl w:val="0"/>
    </w:pPr>
    <w:rPr>
      <w:rFonts w:asciiTheme="majorHAnsi" w:eastAsiaTheme="majorEastAsia" w:hAnsiTheme="majorHAnsi" w:cstheme="majorBidi"/>
      <w:b/>
      <w:bCs/>
      <w:color w:val="44546A" w:themeColor="text2"/>
      <w:sz w:val="32"/>
      <w:szCs w:val="32"/>
      <w:u w:val="single"/>
    </w:rPr>
  </w:style>
  <w:style w:type="paragraph" w:styleId="Heading2">
    <w:name w:val="heading 2"/>
    <w:basedOn w:val="Normal"/>
    <w:next w:val="Normal"/>
    <w:link w:val="Heading2Char"/>
    <w:autoRedefine/>
    <w:uiPriority w:val="9"/>
    <w:unhideWhenUsed/>
    <w:qFormat/>
    <w:rsid w:val="00AA2F44"/>
    <w:pPr>
      <w:keepNext/>
      <w:keepLines/>
      <w:spacing w:before="240" w:after="120"/>
      <w:outlineLvl w:val="1"/>
    </w:pPr>
    <w:rPr>
      <w:rFonts w:asciiTheme="majorHAnsi" w:eastAsiaTheme="majorEastAsia" w:hAnsiTheme="majorHAnsi" w:cstheme="majorBidi"/>
      <w:b/>
      <w:color w:val="2F5496" w:themeColor="accent1" w:themeShade="BF"/>
      <w:sz w:val="26"/>
      <w:szCs w:val="26"/>
    </w:rPr>
  </w:style>
  <w:style w:type="paragraph" w:styleId="Heading3">
    <w:name w:val="heading 3"/>
    <w:basedOn w:val="Normal"/>
    <w:next w:val="Normal"/>
    <w:link w:val="Heading3Char"/>
    <w:uiPriority w:val="9"/>
    <w:unhideWhenUsed/>
    <w:qFormat/>
    <w:rsid w:val="002F6BF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D6CFA"/>
    <w:rPr>
      <w:rFonts w:asciiTheme="majorHAnsi" w:eastAsiaTheme="majorEastAsia" w:hAnsiTheme="majorHAnsi" w:cstheme="majorBidi"/>
      <w:b/>
      <w:bCs/>
      <w:color w:val="44546A" w:themeColor="text2"/>
      <w:sz w:val="32"/>
      <w:szCs w:val="32"/>
      <w:u w:val="single"/>
    </w:rPr>
  </w:style>
  <w:style w:type="character" w:customStyle="1" w:styleId="Heading2Char">
    <w:name w:val="Heading 2 Char"/>
    <w:basedOn w:val="DefaultParagraphFont"/>
    <w:link w:val="Heading2"/>
    <w:uiPriority w:val="9"/>
    <w:rsid w:val="00AA2F44"/>
    <w:rPr>
      <w:rFonts w:asciiTheme="majorHAnsi" w:eastAsiaTheme="majorEastAsia" w:hAnsiTheme="majorHAnsi" w:cstheme="majorBidi"/>
      <w:b/>
      <w:color w:val="2F5496" w:themeColor="accent1" w:themeShade="BF"/>
      <w:sz w:val="26"/>
      <w:szCs w:val="26"/>
    </w:rPr>
  </w:style>
  <w:style w:type="paragraph" w:styleId="Title">
    <w:name w:val="Title"/>
    <w:basedOn w:val="Normal"/>
    <w:next w:val="Normal"/>
    <w:link w:val="TitleChar"/>
    <w:autoRedefine/>
    <w:uiPriority w:val="10"/>
    <w:qFormat/>
    <w:rsid w:val="002D61E9"/>
    <w:pPr>
      <w:spacing w:after="0" w:line="240" w:lineRule="auto"/>
      <w:contextualSpacing/>
      <w:jc w:val="center"/>
    </w:pPr>
    <w:rPr>
      <w:rFonts w:asciiTheme="majorHAnsi" w:eastAsiaTheme="majorEastAsia" w:hAnsiTheme="majorHAnsi" w:cstheme="majorBidi"/>
      <w:spacing w:val="-10"/>
      <w:kern w:val="28"/>
      <w:sz w:val="48"/>
      <w:szCs w:val="56"/>
      <w:u w:val="single"/>
    </w:rPr>
  </w:style>
  <w:style w:type="character" w:customStyle="1" w:styleId="TitleChar">
    <w:name w:val="Title Char"/>
    <w:basedOn w:val="DefaultParagraphFont"/>
    <w:link w:val="Title"/>
    <w:uiPriority w:val="10"/>
    <w:rsid w:val="002D61E9"/>
    <w:rPr>
      <w:rFonts w:asciiTheme="majorHAnsi" w:eastAsiaTheme="majorEastAsia" w:hAnsiTheme="majorHAnsi" w:cstheme="majorBidi"/>
      <w:spacing w:val="-10"/>
      <w:kern w:val="28"/>
      <w:sz w:val="48"/>
      <w:szCs w:val="56"/>
      <w:u w:val="single"/>
    </w:rPr>
  </w:style>
  <w:style w:type="paragraph" w:styleId="ListParagraph">
    <w:name w:val="List Paragraph"/>
    <w:basedOn w:val="Normal"/>
    <w:uiPriority w:val="34"/>
    <w:qFormat/>
    <w:rsid w:val="002F6BFA"/>
    <w:pPr>
      <w:ind w:left="720"/>
      <w:contextualSpacing/>
    </w:pPr>
  </w:style>
  <w:style w:type="character" w:customStyle="1" w:styleId="Heading3Char">
    <w:name w:val="Heading 3 Char"/>
    <w:basedOn w:val="DefaultParagraphFont"/>
    <w:link w:val="Heading3"/>
    <w:uiPriority w:val="9"/>
    <w:rsid w:val="002F6BFA"/>
    <w:rPr>
      <w:rFonts w:asciiTheme="majorHAnsi" w:eastAsiaTheme="majorEastAsia" w:hAnsiTheme="majorHAnsi" w:cstheme="majorBidi"/>
      <w:color w:val="1F3763" w:themeColor="accent1" w:themeShade="7F"/>
      <w:sz w:val="24"/>
      <w:szCs w:val="24"/>
    </w:rPr>
  </w:style>
  <w:style w:type="character" w:styleId="CommentReference">
    <w:name w:val="annotation reference"/>
    <w:basedOn w:val="DefaultParagraphFont"/>
    <w:uiPriority w:val="99"/>
    <w:semiHidden/>
    <w:unhideWhenUsed/>
    <w:rsid w:val="00EE6812"/>
    <w:rPr>
      <w:sz w:val="16"/>
      <w:szCs w:val="16"/>
    </w:rPr>
  </w:style>
  <w:style w:type="paragraph" w:styleId="CommentText">
    <w:name w:val="annotation text"/>
    <w:basedOn w:val="Normal"/>
    <w:link w:val="CommentTextChar"/>
    <w:uiPriority w:val="99"/>
    <w:unhideWhenUsed/>
    <w:rsid w:val="00EE6812"/>
    <w:pPr>
      <w:spacing w:line="240" w:lineRule="auto"/>
    </w:pPr>
    <w:rPr>
      <w:sz w:val="20"/>
      <w:szCs w:val="20"/>
    </w:rPr>
  </w:style>
  <w:style w:type="character" w:customStyle="1" w:styleId="CommentTextChar">
    <w:name w:val="Comment Text Char"/>
    <w:basedOn w:val="DefaultParagraphFont"/>
    <w:link w:val="CommentText"/>
    <w:uiPriority w:val="99"/>
    <w:rsid w:val="00EE6812"/>
    <w:rPr>
      <w:sz w:val="20"/>
      <w:szCs w:val="20"/>
    </w:rPr>
  </w:style>
  <w:style w:type="paragraph" w:styleId="CommentSubject">
    <w:name w:val="annotation subject"/>
    <w:basedOn w:val="CommentText"/>
    <w:next w:val="CommentText"/>
    <w:link w:val="CommentSubjectChar"/>
    <w:uiPriority w:val="99"/>
    <w:semiHidden/>
    <w:unhideWhenUsed/>
    <w:rsid w:val="00EE6812"/>
    <w:rPr>
      <w:b/>
      <w:bCs/>
    </w:rPr>
  </w:style>
  <w:style w:type="character" w:customStyle="1" w:styleId="CommentSubjectChar">
    <w:name w:val="Comment Subject Char"/>
    <w:basedOn w:val="CommentTextChar"/>
    <w:link w:val="CommentSubject"/>
    <w:uiPriority w:val="99"/>
    <w:semiHidden/>
    <w:rsid w:val="00EE6812"/>
    <w:rPr>
      <w:b/>
      <w:bCs/>
      <w:sz w:val="20"/>
      <w:szCs w:val="20"/>
    </w:rPr>
  </w:style>
  <w:style w:type="paragraph" w:styleId="BalloonText">
    <w:name w:val="Balloon Text"/>
    <w:basedOn w:val="Normal"/>
    <w:link w:val="BalloonTextChar"/>
    <w:uiPriority w:val="99"/>
    <w:semiHidden/>
    <w:unhideWhenUsed/>
    <w:rsid w:val="00EE681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6812"/>
    <w:rPr>
      <w:rFonts w:ascii="Segoe UI" w:hAnsi="Segoe UI" w:cs="Segoe UI"/>
      <w:sz w:val="18"/>
      <w:szCs w:val="18"/>
    </w:rPr>
  </w:style>
  <w:style w:type="character" w:styleId="Hyperlink">
    <w:name w:val="Hyperlink"/>
    <w:basedOn w:val="DefaultParagraphFont"/>
    <w:uiPriority w:val="99"/>
    <w:unhideWhenUsed/>
    <w:rsid w:val="00465C42"/>
    <w:rPr>
      <w:color w:val="0000FF"/>
      <w:u w:val="single"/>
    </w:rPr>
  </w:style>
  <w:style w:type="character" w:styleId="FollowedHyperlink">
    <w:name w:val="FollowedHyperlink"/>
    <w:basedOn w:val="DefaultParagraphFont"/>
    <w:uiPriority w:val="99"/>
    <w:semiHidden/>
    <w:unhideWhenUsed/>
    <w:rsid w:val="00465C42"/>
    <w:rPr>
      <w:color w:val="954F72" w:themeColor="followedHyperlink"/>
      <w:u w:val="single"/>
    </w:rPr>
  </w:style>
  <w:style w:type="character" w:customStyle="1" w:styleId="UnresolvedMention1">
    <w:name w:val="Unresolved Mention1"/>
    <w:basedOn w:val="DefaultParagraphFont"/>
    <w:uiPriority w:val="99"/>
    <w:semiHidden/>
    <w:unhideWhenUsed/>
    <w:rsid w:val="00465C42"/>
    <w:rPr>
      <w:color w:val="605E5C"/>
      <w:shd w:val="clear" w:color="auto" w:fill="E1DFDD"/>
    </w:rPr>
  </w:style>
  <w:style w:type="paragraph" w:styleId="FootnoteText">
    <w:name w:val="footnote text"/>
    <w:basedOn w:val="Normal"/>
    <w:link w:val="FootnoteTextChar"/>
    <w:uiPriority w:val="99"/>
    <w:semiHidden/>
    <w:unhideWhenUsed/>
    <w:rsid w:val="00AA280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A2805"/>
    <w:rPr>
      <w:sz w:val="20"/>
      <w:szCs w:val="20"/>
    </w:rPr>
  </w:style>
  <w:style w:type="character" w:styleId="FootnoteReference">
    <w:name w:val="footnote reference"/>
    <w:basedOn w:val="DefaultParagraphFont"/>
    <w:uiPriority w:val="99"/>
    <w:semiHidden/>
    <w:unhideWhenUsed/>
    <w:rsid w:val="00AA2805"/>
    <w:rPr>
      <w:vertAlign w:val="superscript"/>
    </w:rPr>
  </w:style>
  <w:style w:type="paragraph" w:styleId="NoSpacing">
    <w:name w:val="No Spacing"/>
    <w:uiPriority w:val="1"/>
    <w:qFormat/>
    <w:rsid w:val="001E5156"/>
    <w:pPr>
      <w:spacing w:after="0" w:line="240" w:lineRule="auto"/>
    </w:pPr>
  </w:style>
  <w:style w:type="paragraph" w:styleId="TOC1">
    <w:name w:val="toc 1"/>
    <w:basedOn w:val="Normal"/>
    <w:next w:val="Normal"/>
    <w:autoRedefine/>
    <w:uiPriority w:val="39"/>
    <w:unhideWhenUsed/>
    <w:rsid w:val="005A6B02"/>
    <w:pPr>
      <w:spacing w:after="100"/>
    </w:pPr>
  </w:style>
  <w:style w:type="paragraph" w:styleId="TOC2">
    <w:name w:val="toc 2"/>
    <w:basedOn w:val="Normal"/>
    <w:next w:val="Normal"/>
    <w:autoRedefine/>
    <w:uiPriority w:val="39"/>
    <w:unhideWhenUsed/>
    <w:rsid w:val="005A6B02"/>
    <w:pPr>
      <w:spacing w:after="100"/>
      <w:ind w:left="220"/>
    </w:pPr>
  </w:style>
  <w:style w:type="table" w:styleId="TableGrid">
    <w:name w:val="Table Grid"/>
    <w:basedOn w:val="TableNormal"/>
    <w:uiPriority w:val="39"/>
    <w:rsid w:val="00DE3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D0BA7"/>
    <w:pPr>
      <w:tabs>
        <w:tab w:val="center" w:pos="4513"/>
        <w:tab w:val="right" w:pos="9026"/>
      </w:tabs>
      <w:spacing w:after="0" w:line="240" w:lineRule="auto"/>
    </w:pPr>
  </w:style>
  <w:style w:type="character" w:customStyle="1" w:styleId="HeaderChar">
    <w:name w:val="Header Char"/>
    <w:basedOn w:val="DefaultParagraphFont"/>
    <w:link w:val="Header"/>
    <w:uiPriority w:val="99"/>
    <w:rsid w:val="00DD0BA7"/>
  </w:style>
  <w:style w:type="paragraph" w:styleId="Footer">
    <w:name w:val="footer"/>
    <w:basedOn w:val="Normal"/>
    <w:link w:val="FooterChar"/>
    <w:uiPriority w:val="99"/>
    <w:unhideWhenUsed/>
    <w:rsid w:val="00DD0BA7"/>
    <w:pPr>
      <w:tabs>
        <w:tab w:val="center" w:pos="4513"/>
        <w:tab w:val="right" w:pos="9026"/>
      </w:tabs>
      <w:spacing w:after="0" w:line="240" w:lineRule="auto"/>
    </w:pPr>
  </w:style>
  <w:style w:type="character" w:customStyle="1" w:styleId="FooterChar">
    <w:name w:val="Footer Char"/>
    <w:basedOn w:val="DefaultParagraphFont"/>
    <w:link w:val="Footer"/>
    <w:uiPriority w:val="99"/>
    <w:rsid w:val="00DD0B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667286">
      <w:bodyDiv w:val="1"/>
      <w:marLeft w:val="0"/>
      <w:marRight w:val="0"/>
      <w:marTop w:val="0"/>
      <w:marBottom w:val="0"/>
      <w:divBdr>
        <w:top w:val="none" w:sz="0" w:space="0" w:color="auto"/>
        <w:left w:val="none" w:sz="0" w:space="0" w:color="auto"/>
        <w:bottom w:val="none" w:sz="0" w:space="0" w:color="auto"/>
        <w:right w:val="none" w:sz="0" w:space="0" w:color="auto"/>
      </w:divBdr>
    </w:div>
    <w:div w:id="207767864">
      <w:bodyDiv w:val="1"/>
      <w:marLeft w:val="0"/>
      <w:marRight w:val="0"/>
      <w:marTop w:val="0"/>
      <w:marBottom w:val="0"/>
      <w:divBdr>
        <w:top w:val="none" w:sz="0" w:space="0" w:color="auto"/>
        <w:left w:val="none" w:sz="0" w:space="0" w:color="auto"/>
        <w:bottom w:val="none" w:sz="0" w:space="0" w:color="auto"/>
        <w:right w:val="none" w:sz="0" w:space="0" w:color="auto"/>
      </w:divBdr>
    </w:div>
    <w:div w:id="1112869924">
      <w:bodyDiv w:val="1"/>
      <w:marLeft w:val="0"/>
      <w:marRight w:val="0"/>
      <w:marTop w:val="0"/>
      <w:marBottom w:val="0"/>
      <w:divBdr>
        <w:top w:val="none" w:sz="0" w:space="0" w:color="auto"/>
        <w:left w:val="none" w:sz="0" w:space="0" w:color="auto"/>
        <w:bottom w:val="none" w:sz="0" w:space="0" w:color="auto"/>
        <w:right w:val="none" w:sz="0" w:space="0" w:color="auto"/>
      </w:divBdr>
    </w:div>
    <w:div w:id="1171069087">
      <w:bodyDiv w:val="1"/>
      <w:marLeft w:val="0"/>
      <w:marRight w:val="0"/>
      <w:marTop w:val="0"/>
      <w:marBottom w:val="0"/>
      <w:divBdr>
        <w:top w:val="none" w:sz="0" w:space="0" w:color="auto"/>
        <w:left w:val="none" w:sz="0" w:space="0" w:color="auto"/>
        <w:bottom w:val="none" w:sz="0" w:space="0" w:color="auto"/>
        <w:right w:val="none" w:sz="0" w:space="0" w:color="auto"/>
      </w:divBdr>
    </w:div>
    <w:div w:id="1289816793">
      <w:bodyDiv w:val="1"/>
      <w:marLeft w:val="0"/>
      <w:marRight w:val="0"/>
      <w:marTop w:val="0"/>
      <w:marBottom w:val="0"/>
      <w:divBdr>
        <w:top w:val="none" w:sz="0" w:space="0" w:color="auto"/>
        <w:left w:val="none" w:sz="0" w:space="0" w:color="auto"/>
        <w:bottom w:val="none" w:sz="0" w:space="0" w:color="auto"/>
        <w:right w:val="none" w:sz="0" w:space="0" w:color="auto"/>
      </w:divBdr>
    </w:div>
    <w:div w:id="1513565670">
      <w:bodyDiv w:val="1"/>
      <w:marLeft w:val="0"/>
      <w:marRight w:val="0"/>
      <w:marTop w:val="0"/>
      <w:marBottom w:val="0"/>
      <w:divBdr>
        <w:top w:val="none" w:sz="0" w:space="0" w:color="auto"/>
        <w:left w:val="none" w:sz="0" w:space="0" w:color="auto"/>
        <w:bottom w:val="none" w:sz="0" w:space="0" w:color="auto"/>
        <w:right w:val="none" w:sz="0" w:space="0" w:color="auto"/>
      </w:divBdr>
    </w:div>
    <w:div w:id="1779909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nergynetworks.org/assets/files/ONP-WS1B-P4%20Data%20Exchange%20Report-PUBLISHED.pd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nergynetworks.org/assets/files/ONP-WS1B-P4%20Data%20Scope%20-%20Final%20Report-PUBLISHED.pdf" TargetMode="External"/><Relationship Id="rId17" Type="http://schemas.openxmlformats.org/officeDocument/2006/relationships/hyperlink" Target="https://www.nationalgrideso.com/document/164056/download" TargetMode="External"/><Relationship Id="rId2" Type="http://schemas.openxmlformats.org/officeDocument/2006/relationships/customXml" Target="../customXml/item2.xml"/><Relationship Id="rId16" Type="http://schemas.openxmlformats.org/officeDocument/2006/relationships/hyperlink" Target="https://www.nationalgrideso.com/document/164066/download"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nationalgrideso.com/document/33861/download"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GC0139:%20Enhanced%20Planning-Data%20Exchange%20to%20Facilitate%20Whole%20System%20Planning"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ebstore.iec.ch/publication/62698" TargetMode="External"/><Relationship Id="rId2" Type="http://schemas.openxmlformats.org/officeDocument/2006/relationships/hyperlink" Target="https://es.catapult.org.uk/reports/energy-data-taskforce-report/" TargetMode="External"/><Relationship Id="rId1" Type="http://schemas.openxmlformats.org/officeDocument/2006/relationships/hyperlink" Target="https://es.catapult.org.uk/impact/specialisms/energy-data-taskforce" TargetMode="External"/><Relationship Id="rId6" Type="http://schemas.openxmlformats.org/officeDocument/2006/relationships/hyperlink" Target="http://maplesotho.cbroderick.me/it-and-data/" TargetMode="External"/><Relationship Id="rId5" Type="http://schemas.openxmlformats.org/officeDocument/2006/relationships/hyperlink" Target="https://www.entsoe.eu/digital/common-information-model/" TargetMode="External"/><Relationship Id="rId4" Type="http://schemas.openxmlformats.org/officeDocument/2006/relationships/hyperlink" Target="https://www.energynetworks.org/assets/files/ONP-WS1B-P4%20Data%20Exchange%20Report-PUBLISHED.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0" ma:contentTypeDescription="Create a new document." ma:contentTypeScope="" ma:versionID="c038e62add74b458bfdab949f0c5f3f0">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212e96972f49da2ac2c872aec2b1ba83"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D0F8E8-393B-4032-AD13-069CFCA15979}"/>
</file>

<file path=customXml/itemProps2.xml><?xml version="1.0" encoding="utf-8"?>
<ds:datastoreItem xmlns:ds="http://schemas.openxmlformats.org/officeDocument/2006/customXml" ds:itemID="{8AB634ED-0D7E-4E0D-AB9D-060B11B71C0B}">
  <ds:schemaRefs>
    <ds:schemaRef ds:uri="http://schemas.microsoft.com/sharepoint/v3/contenttype/forms"/>
  </ds:schemaRefs>
</ds:datastoreItem>
</file>

<file path=customXml/itemProps3.xml><?xml version="1.0" encoding="utf-8"?>
<ds:datastoreItem xmlns:ds="http://schemas.openxmlformats.org/officeDocument/2006/customXml" ds:itemID="{1B73D9B5-1C20-4F70-B4A8-9659397BF91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2653834-7E1E-459B-A941-EC027D56B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11</Pages>
  <Words>2275</Words>
  <Characters>12969</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Baller(ESO), Matt</dc:creator>
  <cp:keywords/>
  <dc:description/>
  <cp:lastModifiedBy>Baller(ESO), Matt</cp:lastModifiedBy>
  <cp:revision>15</cp:revision>
  <cp:lastPrinted>2020-08-06T10:22:00Z</cp:lastPrinted>
  <dcterms:created xsi:type="dcterms:W3CDTF">2020-08-06T09:01:00Z</dcterms:created>
  <dcterms:modified xsi:type="dcterms:W3CDTF">2020-08-06T10:27:00Z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ies>
</file>