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9C29" w14:textId="77777777" w:rsidR="00BA5709" w:rsidRDefault="00BA5709" w:rsidP="00B21B28">
      <w:pPr>
        <w:pStyle w:val="Cover"/>
        <w:framePr w:h="2051" w:hRule="exact" w:wrap="notBeside" w:y="1921"/>
        <w:rPr>
          <w:color w:val="auto"/>
        </w:rPr>
      </w:pPr>
    </w:p>
    <w:p w14:paraId="20728CE9" w14:textId="417CB707" w:rsidR="006B69AD" w:rsidRPr="0008449E" w:rsidRDefault="00E356EC" w:rsidP="00B21B28">
      <w:pPr>
        <w:pStyle w:val="Cover"/>
        <w:framePr w:h="2051" w:hRule="exact" w:wrap="notBeside" w:y="1921"/>
        <w:rPr>
          <w:color w:val="auto"/>
          <w:szCs w:val="44"/>
        </w:rPr>
      </w:pPr>
      <w:r w:rsidRPr="0008449E">
        <w:rPr>
          <w:color w:val="auto"/>
          <w:szCs w:val="44"/>
        </w:rPr>
        <w:t>National</w:t>
      </w:r>
      <w:r w:rsidR="0008449E" w:rsidRPr="0008449E">
        <w:rPr>
          <w:color w:val="auto"/>
          <w:szCs w:val="44"/>
        </w:rPr>
        <w:t xml:space="preserve"> Energy </w:t>
      </w:r>
      <w:r w:rsidRPr="0008449E">
        <w:rPr>
          <w:color w:val="auto"/>
          <w:szCs w:val="44"/>
        </w:rPr>
        <w:t>S</w:t>
      </w:r>
      <w:r w:rsidR="0008449E" w:rsidRPr="0008449E">
        <w:rPr>
          <w:color w:val="auto"/>
          <w:szCs w:val="44"/>
        </w:rPr>
        <w:t xml:space="preserve">ystem </w:t>
      </w:r>
      <w:r w:rsidRPr="0008449E">
        <w:rPr>
          <w:color w:val="auto"/>
          <w:szCs w:val="44"/>
        </w:rPr>
        <w:t>O</w:t>
      </w:r>
      <w:r w:rsidR="0008449E" w:rsidRPr="0008449E">
        <w:rPr>
          <w:color w:val="auto"/>
          <w:szCs w:val="44"/>
        </w:rPr>
        <w:t>perator</w:t>
      </w:r>
    </w:p>
    <w:p w14:paraId="659484AF" w14:textId="77777777" w:rsidR="006B69AD" w:rsidRPr="0008449E" w:rsidRDefault="00E356EC" w:rsidP="00B21B28">
      <w:pPr>
        <w:pStyle w:val="CoverSubtitle"/>
        <w:framePr w:h="2051" w:hRule="exact" w:wrap="notBeside" w:y="1921"/>
        <w:rPr>
          <w:color w:val="auto"/>
          <w:szCs w:val="44"/>
        </w:rPr>
      </w:pPr>
      <w:r w:rsidRPr="0008449E">
        <w:rPr>
          <w:color w:val="auto"/>
          <w:szCs w:val="44"/>
        </w:rPr>
        <w:t xml:space="preserve">Connection Charges – </w:t>
      </w:r>
      <w:r w:rsidR="009D6886" w:rsidRPr="0008449E">
        <w:rPr>
          <w:color w:val="auto"/>
          <w:szCs w:val="44"/>
        </w:rPr>
        <w:t>Summary</w:t>
      </w:r>
    </w:p>
    <w:p w14:paraId="0DB316B4" w14:textId="7F3983FB" w:rsidR="006B69AD" w:rsidRPr="0008449E" w:rsidRDefault="00E356EC" w:rsidP="00B21B28">
      <w:pPr>
        <w:pStyle w:val="CoverDate"/>
        <w:framePr w:h="2051" w:hRule="exact" w:wrap="notBeside" w:y="1921"/>
        <w:rPr>
          <w:color w:val="auto"/>
          <w:sz w:val="44"/>
          <w:szCs w:val="44"/>
        </w:rPr>
      </w:pPr>
      <w:r w:rsidRPr="0008449E">
        <w:rPr>
          <w:color w:val="auto"/>
          <w:sz w:val="44"/>
          <w:szCs w:val="44"/>
        </w:rPr>
        <w:t>Effective 1 April 20</w:t>
      </w:r>
      <w:r w:rsidR="00706FC2" w:rsidRPr="0008449E">
        <w:rPr>
          <w:color w:val="auto"/>
          <w:sz w:val="44"/>
          <w:szCs w:val="44"/>
        </w:rPr>
        <w:t>24</w:t>
      </w:r>
    </w:p>
    <w:p w14:paraId="203B8C51" w14:textId="77777777" w:rsidR="006B69AD" w:rsidRPr="0008449E" w:rsidRDefault="006B69AD" w:rsidP="00BC1612">
      <w:pPr>
        <w:pStyle w:val="BodyText"/>
        <w:rPr>
          <w:sz w:val="44"/>
          <w:szCs w:val="44"/>
        </w:rPr>
      </w:pPr>
    </w:p>
    <w:p w14:paraId="610F804C" w14:textId="77777777" w:rsidR="00497F4C" w:rsidRPr="00497F4C" w:rsidRDefault="00497F4C" w:rsidP="00497F4C"/>
    <w:p w14:paraId="34F2FBF0" w14:textId="77777777" w:rsidR="00497F4C" w:rsidRPr="00497F4C" w:rsidRDefault="00497F4C" w:rsidP="00497F4C"/>
    <w:p w14:paraId="437E604A" w14:textId="77777777" w:rsidR="00497F4C" w:rsidRPr="00497F4C" w:rsidRDefault="00497F4C" w:rsidP="00497F4C"/>
    <w:p w14:paraId="6CB0AE13" w14:textId="77777777" w:rsidR="00497F4C" w:rsidRPr="00497F4C" w:rsidRDefault="00497F4C" w:rsidP="00497F4C"/>
    <w:p w14:paraId="5F7FDB49" w14:textId="77777777" w:rsidR="00497F4C" w:rsidRPr="00497F4C" w:rsidRDefault="00497F4C" w:rsidP="00497F4C"/>
    <w:p w14:paraId="42EEEC03" w14:textId="77777777" w:rsidR="00497F4C" w:rsidRPr="00497F4C" w:rsidRDefault="00497F4C" w:rsidP="00497F4C"/>
    <w:p w14:paraId="6E3A42F7" w14:textId="77777777" w:rsidR="00497F4C" w:rsidRPr="00497F4C" w:rsidRDefault="00497F4C" w:rsidP="00497F4C"/>
    <w:p w14:paraId="35652A39" w14:textId="77777777" w:rsidR="00497F4C" w:rsidRPr="00497F4C" w:rsidRDefault="00497F4C" w:rsidP="00497F4C"/>
    <w:p w14:paraId="12292F48" w14:textId="77777777" w:rsidR="00497F4C" w:rsidRPr="00497F4C" w:rsidRDefault="00497F4C" w:rsidP="00497F4C"/>
    <w:p w14:paraId="2DF61DFA" w14:textId="77777777" w:rsidR="00497F4C" w:rsidRPr="00497F4C" w:rsidRDefault="00497F4C" w:rsidP="00497F4C"/>
    <w:p w14:paraId="5EEAB179" w14:textId="77777777" w:rsidR="00497F4C" w:rsidRPr="00497F4C" w:rsidRDefault="00497F4C" w:rsidP="00497F4C"/>
    <w:p w14:paraId="6B1BCF33" w14:textId="77777777" w:rsidR="00497F4C" w:rsidRPr="00497F4C" w:rsidRDefault="00497F4C" w:rsidP="00497F4C"/>
    <w:p w14:paraId="0F592458" w14:textId="77777777" w:rsidR="00497F4C" w:rsidRPr="00497F4C" w:rsidRDefault="00497F4C" w:rsidP="00497F4C"/>
    <w:p w14:paraId="0632A649" w14:textId="77777777" w:rsidR="00497F4C" w:rsidRPr="00497F4C" w:rsidRDefault="00497F4C" w:rsidP="00497F4C"/>
    <w:p w14:paraId="10AF7C6D" w14:textId="77777777" w:rsidR="00497F4C" w:rsidRPr="00497F4C" w:rsidRDefault="00497F4C" w:rsidP="00497F4C"/>
    <w:p w14:paraId="6FADF26D" w14:textId="77777777" w:rsidR="00497F4C" w:rsidRPr="00497F4C" w:rsidRDefault="00497F4C" w:rsidP="00497F4C"/>
    <w:p w14:paraId="76D9E239" w14:textId="77777777" w:rsidR="00497F4C" w:rsidRPr="00497F4C" w:rsidRDefault="00497F4C" w:rsidP="00497F4C"/>
    <w:p w14:paraId="6C8B717F" w14:textId="77777777" w:rsidR="00497F4C" w:rsidRPr="00497F4C" w:rsidRDefault="00497F4C" w:rsidP="00497F4C"/>
    <w:p w14:paraId="2FEFB249" w14:textId="77777777" w:rsidR="00497F4C" w:rsidRPr="00497F4C" w:rsidRDefault="00497F4C" w:rsidP="00497F4C"/>
    <w:p w14:paraId="5F807FD0" w14:textId="77777777" w:rsidR="00497F4C" w:rsidRPr="00497F4C" w:rsidRDefault="00497F4C" w:rsidP="00497F4C"/>
    <w:p w14:paraId="1E731E19" w14:textId="77777777" w:rsidR="00497F4C" w:rsidRPr="00497F4C" w:rsidRDefault="00497F4C" w:rsidP="00497F4C"/>
    <w:p w14:paraId="2D7E1ED9" w14:textId="77777777" w:rsidR="00497F4C" w:rsidRPr="00497F4C" w:rsidRDefault="00497F4C" w:rsidP="00497F4C"/>
    <w:p w14:paraId="6BC73768" w14:textId="77777777" w:rsidR="00497F4C" w:rsidRPr="00497F4C" w:rsidRDefault="00497F4C" w:rsidP="00497F4C"/>
    <w:p w14:paraId="6AE3B177" w14:textId="77777777" w:rsidR="00497F4C" w:rsidRPr="00497F4C" w:rsidRDefault="00497F4C" w:rsidP="00497F4C"/>
    <w:p w14:paraId="1E47EF50" w14:textId="77777777" w:rsidR="00497F4C" w:rsidRPr="00497F4C" w:rsidRDefault="00497F4C" w:rsidP="00497F4C"/>
    <w:p w14:paraId="51FBA1B9" w14:textId="77777777" w:rsidR="00497F4C" w:rsidRPr="00497F4C" w:rsidRDefault="00497F4C" w:rsidP="00497F4C"/>
    <w:p w14:paraId="44CCAE59" w14:textId="77777777" w:rsidR="00497F4C" w:rsidRPr="00497F4C" w:rsidRDefault="00497F4C" w:rsidP="00497F4C"/>
    <w:p w14:paraId="47FBAD83" w14:textId="77777777" w:rsidR="00497F4C" w:rsidRPr="00497F4C" w:rsidRDefault="00497F4C" w:rsidP="00497F4C"/>
    <w:p w14:paraId="2F548810" w14:textId="77777777" w:rsidR="00497F4C" w:rsidRPr="00497F4C" w:rsidRDefault="00497F4C" w:rsidP="00497F4C"/>
    <w:p w14:paraId="3D0A00C1" w14:textId="77777777" w:rsidR="00497F4C" w:rsidRPr="00497F4C" w:rsidRDefault="00497F4C" w:rsidP="00497F4C"/>
    <w:p w14:paraId="7A8A3DEA" w14:textId="77777777" w:rsidR="00497F4C" w:rsidRDefault="00497F4C" w:rsidP="00497F4C">
      <w:pPr>
        <w:jc w:val="right"/>
      </w:pPr>
    </w:p>
    <w:p w14:paraId="2A7AA4CC" w14:textId="77777777" w:rsidR="00497F4C" w:rsidRPr="00497F4C" w:rsidRDefault="00497F4C" w:rsidP="00497F4C">
      <w:pPr>
        <w:sectPr w:rsidR="00497F4C" w:rsidRPr="00497F4C" w:rsidSect="004F53BF">
          <w:headerReference w:type="default" r:id="rId11"/>
          <w:footerReference w:type="default" r:id="rId12"/>
          <w:headerReference w:type="first" r:id="rId13"/>
          <w:footerReference w:type="first" r:id="rId14"/>
          <w:pgSz w:w="11906" w:h="16838" w:code="9"/>
          <w:pgMar w:top="2608" w:right="1588" w:bottom="1134" w:left="1588" w:header="567" w:footer="567" w:gutter="0"/>
          <w:pgNumType w:start="0"/>
          <w:cols w:space="708"/>
          <w:titlePg/>
          <w:docGrid w:linePitch="360"/>
        </w:sectPr>
      </w:pPr>
    </w:p>
    <w:p w14:paraId="39169B0B" w14:textId="77777777" w:rsidR="006261AA" w:rsidRDefault="006261AA" w:rsidP="007D33CF">
      <w:pPr>
        <w:pStyle w:val="SectionTitle"/>
        <w:framePr w:w="8732" w:wrap="notBeside" w:vAnchor="page" w:hAnchor="page" w:x="1589" w:y="772" w:anchorLock="1"/>
        <w:rPr>
          <w:color w:val="auto"/>
          <w:sz w:val="32"/>
          <w:szCs w:val="48"/>
        </w:rPr>
      </w:pPr>
    </w:p>
    <w:p w14:paraId="3D462741" w14:textId="77777777" w:rsidR="006261AA" w:rsidRDefault="006261AA" w:rsidP="007D33CF">
      <w:pPr>
        <w:pStyle w:val="SectionTitle"/>
        <w:framePr w:w="8732" w:wrap="notBeside" w:vAnchor="page" w:hAnchor="page" w:x="1589" w:y="772" w:anchorLock="1"/>
        <w:rPr>
          <w:color w:val="auto"/>
          <w:sz w:val="32"/>
          <w:szCs w:val="48"/>
        </w:rPr>
      </w:pPr>
    </w:p>
    <w:p w14:paraId="49A2F015" w14:textId="77777777" w:rsidR="006261AA" w:rsidRDefault="006261AA" w:rsidP="007D33CF">
      <w:pPr>
        <w:pStyle w:val="SectionTitle"/>
        <w:framePr w:w="8732" w:wrap="notBeside" w:vAnchor="page" w:hAnchor="page" w:x="1589" w:y="772" w:anchorLock="1"/>
        <w:rPr>
          <w:color w:val="auto"/>
          <w:sz w:val="32"/>
          <w:szCs w:val="48"/>
        </w:rPr>
      </w:pPr>
    </w:p>
    <w:p w14:paraId="31E4A183" w14:textId="475CAE99" w:rsidR="007D33CF" w:rsidRPr="0047219F" w:rsidRDefault="00E356EC" w:rsidP="007D33CF">
      <w:pPr>
        <w:pStyle w:val="SectionTitle"/>
        <w:framePr w:w="8732" w:wrap="notBeside" w:vAnchor="page" w:hAnchor="page" w:x="1589" w:y="772" w:anchorLock="1"/>
        <w:rPr>
          <w:color w:val="auto"/>
          <w:sz w:val="32"/>
          <w:szCs w:val="48"/>
        </w:rPr>
      </w:pPr>
      <w:r w:rsidRPr="0047219F">
        <w:rPr>
          <w:color w:val="auto"/>
          <w:sz w:val="32"/>
          <w:szCs w:val="48"/>
        </w:rPr>
        <w:t>Overview</w:t>
      </w:r>
    </w:p>
    <w:p w14:paraId="2B14FB0E" w14:textId="77777777" w:rsidR="00F6081D" w:rsidRPr="004178E0" w:rsidRDefault="00E356EC" w:rsidP="00E356EC">
      <w:pPr>
        <w:pStyle w:val="ListParagraph"/>
        <w:numPr>
          <w:ilvl w:val="0"/>
          <w:numId w:val="24"/>
        </w:numPr>
        <w:tabs>
          <w:tab w:val="left" w:pos="810"/>
          <w:tab w:val="left" w:pos="1620"/>
          <w:tab w:val="left" w:pos="4680"/>
        </w:tabs>
        <w:jc w:val="both"/>
        <w:rPr>
          <w:color w:val="auto"/>
        </w:rPr>
      </w:pPr>
      <w:r w:rsidRPr="004178E0">
        <w:rPr>
          <w:color w:val="auto"/>
        </w:rPr>
        <w:t>Application</w:t>
      </w:r>
      <w:r w:rsidR="004178E0">
        <w:rPr>
          <w:color w:val="auto"/>
        </w:rPr>
        <w:t>s</w:t>
      </w:r>
      <w:r w:rsidRPr="004178E0">
        <w:rPr>
          <w:color w:val="auto"/>
        </w:rPr>
        <w:t xml:space="preserve"> …………………………………………………………………………………</w:t>
      </w:r>
      <w:proofErr w:type="gramStart"/>
      <w:r w:rsidRPr="004178E0">
        <w:rPr>
          <w:color w:val="auto"/>
        </w:rPr>
        <w:t>.....</w:t>
      </w:r>
      <w:proofErr w:type="gramEnd"/>
    </w:p>
    <w:p w14:paraId="5EF0011B" w14:textId="77777777" w:rsidR="00E356EC" w:rsidRPr="004178E0" w:rsidRDefault="00E356EC" w:rsidP="00E356EC">
      <w:pPr>
        <w:pStyle w:val="ListParagraph"/>
        <w:numPr>
          <w:ilvl w:val="0"/>
          <w:numId w:val="24"/>
        </w:numPr>
        <w:tabs>
          <w:tab w:val="left" w:pos="810"/>
          <w:tab w:val="left" w:pos="1620"/>
          <w:tab w:val="left" w:pos="4680"/>
        </w:tabs>
        <w:jc w:val="both"/>
        <w:rPr>
          <w:color w:val="auto"/>
        </w:rPr>
      </w:pPr>
      <w:r w:rsidRPr="004178E0">
        <w:rPr>
          <w:color w:val="auto"/>
        </w:rPr>
        <w:t>Connection Charges ………………………………………………………………………………</w:t>
      </w:r>
      <w:r w:rsidR="003D2C2E" w:rsidRPr="004178E0">
        <w:rPr>
          <w:color w:val="auto"/>
        </w:rPr>
        <w:t xml:space="preserve"> </w:t>
      </w:r>
    </w:p>
    <w:p w14:paraId="38674B6A" w14:textId="77777777" w:rsidR="00E356EC" w:rsidRPr="004178E0" w:rsidRDefault="00E356EC" w:rsidP="00E356EC">
      <w:pPr>
        <w:pStyle w:val="ListParagraph"/>
        <w:numPr>
          <w:ilvl w:val="0"/>
          <w:numId w:val="24"/>
        </w:numPr>
        <w:tabs>
          <w:tab w:val="left" w:pos="810"/>
          <w:tab w:val="left" w:pos="1620"/>
          <w:tab w:val="left" w:pos="4680"/>
        </w:tabs>
        <w:jc w:val="both"/>
        <w:rPr>
          <w:color w:val="auto"/>
        </w:rPr>
      </w:pPr>
      <w:r w:rsidRPr="004178E0">
        <w:rPr>
          <w:color w:val="auto"/>
        </w:rPr>
        <w:t>Annual Charge Setting ……………………………………………………………………………...</w:t>
      </w:r>
    </w:p>
    <w:p w14:paraId="6DC4FCD8" w14:textId="77777777" w:rsidR="00E356EC" w:rsidRPr="004178E0" w:rsidRDefault="00E356EC" w:rsidP="00E356EC">
      <w:pPr>
        <w:pStyle w:val="ListParagraph"/>
        <w:numPr>
          <w:ilvl w:val="0"/>
          <w:numId w:val="24"/>
        </w:numPr>
        <w:tabs>
          <w:tab w:val="left" w:pos="810"/>
          <w:tab w:val="left" w:pos="1620"/>
          <w:tab w:val="left" w:pos="4680"/>
        </w:tabs>
        <w:jc w:val="both"/>
        <w:rPr>
          <w:color w:val="auto"/>
        </w:rPr>
      </w:pPr>
      <w:r w:rsidRPr="004178E0">
        <w:rPr>
          <w:color w:val="auto"/>
        </w:rPr>
        <w:t>Post Commissioning Securities (Termination Amounts) ………………………………………...</w:t>
      </w:r>
    </w:p>
    <w:p w14:paraId="3924D46B" w14:textId="77777777" w:rsidR="004178E0" w:rsidRDefault="004178E0" w:rsidP="004178E0">
      <w:pPr>
        <w:pStyle w:val="BodyText"/>
      </w:pPr>
    </w:p>
    <w:p w14:paraId="54F5E0B7" w14:textId="77777777" w:rsidR="004178E0" w:rsidRPr="0047219F" w:rsidRDefault="004178E0" w:rsidP="0088326A">
      <w:pPr>
        <w:pStyle w:val="SectionTitle"/>
        <w:rPr>
          <w:color w:val="auto"/>
        </w:rPr>
      </w:pPr>
      <w:r w:rsidRPr="0047219F">
        <w:rPr>
          <w:color w:val="auto"/>
          <w:sz w:val="32"/>
          <w:szCs w:val="48"/>
        </w:rPr>
        <w:t>Applications</w:t>
      </w:r>
    </w:p>
    <w:p w14:paraId="1AE99C68" w14:textId="39B55BF7" w:rsidR="00653D6E" w:rsidRDefault="004178E0" w:rsidP="004178E0">
      <w:pPr>
        <w:pStyle w:val="BodyText"/>
        <w:rPr>
          <w:rFonts w:ascii="Arial" w:hAnsi="Arial" w:cs="Arial"/>
          <w:color w:val="auto"/>
        </w:rPr>
      </w:pPr>
      <w:r w:rsidRPr="009D6886">
        <w:rPr>
          <w:rFonts w:ascii="Arial" w:hAnsi="Arial" w:cs="Arial"/>
          <w:color w:val="auto"/>
        </w:rPr>
        <w:t>Application fees are payable in respect of applications for new connection agreements</w:t>
      </w:r>
      <w:r w:rsidR="00B97995">
        <w:rPr>
          <w:rFonts w:ascii="Arial" w:hAnsi="Arial" w:cs="Arial"/>
          <w:color w:val="auto"/>
        </w:rPr>
        <w:t xml:space="preserve">, certain use of </w:t>
      </w:r>
      <w:r w:rsidR="006F5CB0">
        <w:rPr>
          <w:rFonts w:ascii="Arial" w:hAnsi="Arial" w:cs="Arial"/>
          <w:color w:val="auto"/>
        </w:rPr>
        <w:t>system agreements</w:t>
      </w:r>
      <w:r w:rsidRPr="009D6886">
        <w:rPr>
          <w:rFonts w:ascii="Arial" w:hAnsi="Arial" w:cs="Arial"/>
          <w:color w:val="auto"/>
        </w:rPr>
        <w:t xml:space="preserve"> and </w:t>
      </w:r>
      <w:r w:rsidR="00E721BA">
        <w:rPr>
          <w:rFonts w:ascii="Arial" w:hAnsi="Arial" w:cs="Arial"/>
          <w:color w:val="auto"/>
        </w:rPr>
        <w:t xml:space="preserve">for </w:t>
      </w:r>
      <w:r w:rsidRPr="009D6886">
        <w:rPr>
          <w:rFonts w:ascii="Arial" w:hAnsi="Arial" w:cs="Arial"/>
          <w:color w:val="auto"/>
        </w:rPr>
        <w:t>modifications to existing agreements</w:t>
      </w:r>
      <w:r w:rsidR="00B65FAC">
        <w:rPr>
          <w:rFonts w:ascii="Arial" w:hAnsi="Arial" w:cs="Arial"/>
          <w:color w:val="auto"/>
        </w:rPr>
        <w:t xml:space="preserve">. The fees are </w:t>
      </w:r>
      <w:r w:rsidRPr="009D6886">
        <w:rPr>
          <w:rFonts w:ascii="Arial" w:hAnsi="Arial" w:cs="Arial"/>
          <w:color w:val="auto"/>
        </w:rPr>
        <w:t xml:space="preserve">based on the reasonable costs </w:t>
      </w:r>
      <w:r w:rsidR="00C35355">
        <w:rPr>
          <w:rFonts w:ascii="Arial" w:hAnsi="Arial" w:cs="Arial"/>
          <w:color w:val="auto"/>
        </w:rPr>
        <w:t xml:space="preserve">incurred by National </w:t>
      </w:r>
      <w:r w:rsidR="00137524">
        <w:rPr>
          <w:rFonts w:ascii="Arial" w:hAnsi="Arial" w:cs="Arial"/>
          <w:color w:val="auto"/>
        </w:rPr>
        <w:t>Energy</w:t>
      </w:r>
      <w:r w:rsidR="00C35355">
        <w:rPr>
          <w:rFonts w:ascii="Arial" w:hAnsi="Arial" w:cs="Arial"/>
          <w:color w:val="auto"/>
        </w:rPr>
        <w:t xml:space="preserve"> System Operator</w:t>
      </w:r>
      <w:r w:rsidR="00BB2ABE">
        <w:rPr>
          <w:rFonts w:ascii="Arial" w:hAnsi="Arial" w:cs="Arial"/>
          <w:color w:val="auto"/>
        </w:rPr>
        <w:t xml:space="preserve"> including where appropriate, charges from the Transmission Owners </w:t>
      </w:r>
      <w:r w:rsidR="00AB16A0">
        <w:rPr>
          <w:rFonts w:ascii="Arial" w:hAnsi="Arial" w:cs="Arial"/>
          <w:color w:val="auto"/>
        </w:rPr>
        <w:t xml:space="preserve">(TO’s) in accordance with their charging </w:t>
      </w:r>
      <w:r w:rsidR="00584467">
        <w:rPr>
          <w:rFonts w:ascii="Arial" w:hAnsi="Arial" w:cs="Arial"/>
          <w:color w:val="auto"/>
        </w:rPr>
        <w:t xml:space="preserve">statements. </w:t>
      </w:r>
      <w:r w:rsidR="0099324B">
        <w:rPr>
          <w:rFonts w:ascii="Arial" w:hAnsi="Arial" w:cs="Arial"/>
          <w:color w:val="auto"/>
        </w:rPr>
        <w:t>The application process</w:t>
      </w:r>
      <w:r w:rsidR="007775DF">
        <w:rPr>
          <w:rFonts w:ascii="Arial" w:hAnsi="Arial" w:cs="Arial"/>
          <w:color w:val="auto"/>
        </w:rPr>
        <w:t xml:space="preserve"> and options available are detailed in the Statement of Use </w:t>
      </w:r>
      <w:r w:rsidR="001F5D85">
        <w:rPr>
          <w:rFonts w:ascii="Arial" w:hAnsi="Arial" w:cs="Arial"/>
          <w:color w:val="auto"/>
        </w:rPr>
        <w:t xml:space="preserve">of </w:t>
      </w:r>
      <w:r w:rsidR="00E65740">
        <w:rPr>
          <w:rFonts w:ascii="Arial" w:hAnsi="Arial" w:cs="Arial"/>
          <w:color w:val="auto"/>
        </w:rPr>
        <w:t>System</w:t>
      </w:r>
      <w:r w:rsidR="001F5D85">
        <w:rPr>
          <w:rFonts w:ascii="Arial" w:hAnsi="Arial" w:cs="Arial"/>
          <w:color w:val="auto"/>
        </w:rPr>
        <w:t xml:space="preserve"> Charging Methodology which is included in Section 14</w:t>
      </w:r>
      <w:r w:rsidR="00D3319E">
        <w:rPr>
          <w:rFonts w:ascii="Arial" w:hAnsi="Arial" w:cs="Arial"/>
          <w:color w:val="auto"/>
        </w:rPr>
        <w:t xml:space="preserve"> of the Connection and Use of System Code (CUSC). </w:t>
      </w:r>
    </w:p>
    <w:p w14:paraId="1F7535B7" w14:textId="7D57BB5E" w:rsidR="00653D6E" w:rsidRDefault="00653D6E" w:rsidP="004178E0">
      <w:pPr>
        <w:pStyle w:val="BodyText"/>
        <w:rPr>
          <w:rFonts w:ascii="Arial" w:hAnsi="Arial" w:cs="Arial"/>
          <w:color w:val="auto"/>
        </w:rPr>
      </w:pPr>
      <w:r>
        <w:rPr>
          <w:rFonts w:ascii="Arial" w:hAnsi="Arial" w:cs="Arial"/>
          <w:color w:val="auto"/>
        </w:rPr>
        <w:t xml:space="preserve">The application fee is </w:t>
      </w:r>
      <w:r w:rsidR="00BF6CE6">
        <w:rPr>
          <w:rFonts w:ascii="Arial" w:hAnsi="Arial" w:cs="Arial"/>
          <w:color w:val="auto"/>
        </w:rPr>
        <w:t>dependent</w:t>
      </w:r>
      <w:r>
        <w:rPr>
          <w:rFonts w:ascii="Arial" w:hAnsi="Arial" w:cs="Arial"/>
          <w:color w:val="auto"/>
        </w:rPr>
        <w:t xml:space="preserve"> upon </w:t>
      </w:r>
      <w:r w:rsidR="00BF6CE6">
        <w:rPr>
          <w:rFonts w:ascii="Arial" w:hAnsi="Arial" w:cs="Arial"/>
          <w:color w:val="auto"/>
        </w:rPr>
        <w:t xml:space="preserve">size, </w:t>
      </w:r>
      <w:proofErr w:type="gramStart"/>
      <w:r w:rsidR="00BF6CE6">
        <w:rPr>
          <w:rFonts w:ascii="Arial" w:hAnsi="Arial" w:cs="Arial"/>
          <w:color w:val="auto"/>
        </w:rPr>
        <w:t>type</w:t>
      </w:r>
      <w:proofErr w:type="gramEnd"/>
      <w:r w:rsidR="00BF6CE6">
        <w:rPr>
          <w:rFonts w:ascii="Arial" w:hAnsi="Arial" w:cs="Arial"/>
          <w:color w:val="auto"/>
        </w:rPr>
        <w:t xml:space="preserve"> and location of the applica</w:t>
      </w:r>
      <w:r w:rsidR="00E65740">
        <w:rPr>
          <w:rFonts w:ascii="Arial" w:hAnsi="Arial" w:cs="Arial"/>
          <w:color w:val="auto"/>
        </w:rPr>
        <w:t xml:space="preserve">nt’s scheme. </w:t>
      </w:r>
    </w:p>
    <w:p w14:paraId="3F671226" w14:textId="33DD25E7" w:rsidR="00D57C7F" w:rsidRDefault="00F040AE" w:rsidP="004178E0">
      <w:pPr>
        <w:pStyle w:val="BodyText"/>
        <w:rPr>
          <w:rFonts w:ascii="Arial" w:hAnsi="Arial" w:cs="Arial"/>
          <w:color w:val="auto"/>
        </w:rPr>
      </w:pPr>
      <w:r>
        <w:rPr>
          <w:rFonts w:ascii="Arial" w:hAnsi="Arial" w:cs="Arial"/>
          <w:color w:val="auto"/>
        </w:rPr>
        <w:t>Users can opt for a variable price application and pay an advance</w:t>
      </w:r>
      <w:r w:rsidR="000A282E">
        <w:rPr>
          <w:rFonts w:ascii="Arial" w:hAnsi="Arial" w:cs="Arial"/>
          <w:color w:val="auto"/>
        </w:rPr>
        <w:t xml:space="preserve"> of the Engineering Charges based on the fixed prices, which will be reconciled</w:t>
      </w:r>
      <w:r w:rsidR="00580D45">
        <w:rPr>
          <w:rFonts w:ascii="Arial" w:hAnsi="Arial" w:cs="Arial"/>
          <w:color w:val="auto"/>
        </w:rPr>
        <w:t xml:space="preserve"> once the actual costs have been calculated using the charge out rates</w:t>
      </w:r>
      <w:r w:rsidR="00CB5A14">
        <w:rPr>
          <w:rFonts w:ascii="Arial" w:hAnsi="Arial" w:cs="Arial"/>
          <w:color w:val="auto"/>
        </w:rPr>
        <w:t xml:space="preserve">. </w:t>
      </w:r>
    </w:p>
    <w:p w14:paraId="61F2E485" w14:textId="2B7EBDE9" w:rsidR="00781632" w:rsidRDefault="00D57C7F" w:rsidP="004178E0">
      <w:pPr>
        <w:pStyle w:val="BodyText"/>
        <w:rPr>
          <w:rFonts w:ascii="Arial" w:hAnsi="Arial" w:cs="Arial"/>
          <w:color w:val="auto"/>
        </w:rPr>
      </w:pPr>
      <w:r>
        <w:rPr>
          <w:rFonts w:ascii="Arial" w:hAnsi="Arial" w:cs="Arial"/>
          <w:color w:val="auto"/>
        </w:rPr>
        <w:t>Alternatively, onshore u</w:t>
      </w:r>
      <w:r w:rsidR="004178E0" w:rsidRPr="009D6886">
        <w:rPr>
          <w:rFonts w:ascii="Arial" w:hAnsi="Arial" w:cs="Arial"/>
          <w:color w:val="auto"/>
        </w:rPr>
        <w:t xml:space="preserve">sers can opt to pay a fixed price application fee in respect of </w:t>
      </w:r>
      <w:r w:rsidR="00275285">
        <w:rPr>
          <w:rFonts w:ascii="Arial" w:hAnsi="Arial" w:cs="Arial"/>
          <w:color w:val="auto"/>
        </w:rPr>
        <w:t xml:space="preserve">New </w:t>
      </w:r>
      <w:r w:rsidR="004A36F2">
        <w:rPr>
          <w:rFonts w:ascii="Arial" w:hAnsi="Arial" w:cs="Arial"/>
          <w:color w:val="auto"/>
        </w:rPr>
        <w:t xml:space="preserve">and Modified Bilateral Agreement. </w:t>
      </w:r>
      <w:r w:rsidR="00521BB4">
        <w:rPr>
          <w:rFonts w:ascii="Arial" w:hAnsi="Arial" w:cs="Arial"/>
          <w:color w:val="auto"/>
        </w:rPr>
        <w:t xml:space="preserve">In some </w:t>
      </w:r>
      <w:r w:rsidR="00F406A0">
        <w:rPr>
          <w:rFonts w:ascii="Arial" w:hAnsi="Arial" w:cs="Arial"/>
          <w:color w:val="auto"/>
        </w:rPr>
        <w:t>circumstances, where a given application is expected to involve</w:t>
      </w:r>
      <w:r w:rsidR="003E591F">
        <w:rPr>
          <w:rFonts w:ascii="Arial" w:hAnsi="Arial" w:cs="Arial"/>
          <w:color w:val="auto"/>
        </w:rPr>
        <w:t xml:space="preserve"> significant costs over and above those normally expected</w:t>
      </w:r>
      <w:r w:rsidR="00AF1BE0">
        <w:rPr>
          <w:rFonts w:ascii="Arial" w:hAnsi="Arial" w:cs="Arial"/>
          <w:color w:val="auto"/>
        </w:rPr>
        <w:t xml:space="preserve"> to process an offer</w:t>
      </w:r>
      <w:r w:rsidR="007E36F9">
        <w:rPr>
          <w:rFonts w:ascii="Arial" w:hAnsi="Arial" w:cs="Arial"/>
          <w:color w:val="auto"/>
        </w:rPr>
        <w:t xml:space="preserve"> of terms, NESO reserves the right to remove the option for a fixed pri</w:t>
      </w:r>
      <w:r w:rsidR="00F239B4">
        <w:rPr>
          <w:rFonts w:ascii="Arial" w:hAnsi="Arial" w:cs="Arial"/>
          <w:color w:val="auto"/>
        </w:rPr>
        <w:t xml:space="preserve">ce application fee. </w:t>
      </w:r>
    </w:p>
    <w:p w14:paraId="45F6960A" w14:textId="6E92FE61" w:rsidR="00787B1C" w:rsidRDefault="00787B1C" w:rsidP="004178E0">
      <w:pPr>
        <w:pStyle w:val="BodyText"/>
        <w:rPr>
          <w:rFonts w:ascii="Arial" w:hAnsi="Arial" w:cs="Arial"/>
          <w:color w:val="auto"/>
        </w:rPr>
      </w:pPr>
      <w:r>
        <w:rPr>
          <w:rFonts w:ascii="Arial" w:hAnsi="Arial" w:cs="Arial"/>
          <w:color w:val="auto"/>
        </w:rPr>
        <w:t xml:space="preserve">The application fees indicated </w:t>
      </w:r>
      <w:r w:rsidR="00E744D1">
        <w:rPr>
          <w:rFonts w:ascii="Arial" w:hAnsi="Arial" w:cs="Arial"/>
          <w:color w:val="auto"/>
        </w:rPr>
        <w:t xml:space="preserve">will be reviewed on an annual basis and reflect any changes to the Boundaries </w:t>
      </w:r>
      <w:r w:rsidR="00B20E80">
        <w:rPr>
          <w:rFonts w:ascii="Arial" w:hAnsi="Arial" w:cs="Arial"/>
          <w:color w:val="auto"/>
        </w:rPr>
        <w:t xml:space="preserve">of Influence. It should be noted </w:t>
      </w:r>
      <w:r w:rsidR="00A737DC">
        <w:rPr>
          <w:rFonts w:ascii="Arial" w:hAnsi="Arial" w:cs="Arial"/>
          <w:color w:val="auto"/>
        </w:rPr>
        <w:t xml:space="preserve">that the zone to which a particular user is applying is determined by location of the connection to the </w:t>
      </w:r>
      <w:r w:rsidR="00737E7A">
        <w:rPr>
          <w:rFonts w:ascii="Arial" w:hAnsi="Arial" w:cs="Arial"/>
          <w:color w:val="auto"/>
        </w:rPr>
        <w:t xml:space="preserve">National </w:t>
      </w:r>
      <w:r w:rsidR="00DF63C5">
        <w:rPr>
          <w:rFonts w:ascii="Arial" w:hAnsi="Arial" w:cs="Arial"/>
          <w:color w:val="auto"/>
        </w:rPr>
        <w:t>Electricity Transmission System</w:t>
      </w:r>
      <w:r w:rsidR="00712094">
        <w:rPr>
          <w:rFonts w:ascii="Arial" w:hAnsi="Arial" w:cs="Arial"/>
          <w:color w:val="auto"/>
        </w:rPr>
        <w:t xml:space="preserve"> and not by the geographical location of the User’s plant </w:t>
      </w:r>
      <w:r w:rsidR="001F1FD2">
        <w:rPr>
          <w:rFonts w:ascii="Arial" w:hAnsi="Arial" w:cs="Arial"/>
          <w:color w:val="auto"/>
        </w:rPr>
        <w:t xml:space="preserve">and equipment. </w:t>
      </w:r>
    </w:p>
    <w:p w14:paraId="3D1D4AC0" w14:textId="13EBBB9F" w:rsidR="00431F99" w:rsidRDefault="00431F99" w:rsidP="004178E0">
      <w:pPr>
        <w:pStyle w:val="BodyText"/>
        <w:rPr>
          <w:rFonts w:ascii="Arial" w:hAnsi="Arial" w:cs="Arial"/>
          <w:color w:val="auto"/>
        </w:rPr>
      </w:pPr>
      <w:r>
        <w:rPr>
          <w:rFonts w:ascii="Arial" w:hAnsi="Arial" w:cs="Arial"/>
          <w:color w:val="auto"/>
        </w:rPr>
        <w:t xml:space="preserve">All application fees are subject to VAT. </w:t>
      </w:r>
    </w:p>
    <w:p w14:paraId="6E75B4DF" w14:textId="07EB3AC6" w:rsidR="004178E0" w:rsidRDefault="00F35478" w:rsidP="004178E0">
      <w:pPr>
        <w:pStyle w:val="BodyText"/>
        <w:rPr>
          <w:color w:val="auto"/>
        </w:rPr>
      </w:pPr>
      <w:r>
        <w:rPr>
          <w:rFonts w:ascii="Arial" w:hAnsi="Arial" w:cs="Arial"/>
          <w:color w:val="auto"/>
        </w:rPr>
        <w:t>Application Fees will be reconciled and/or refunded in accordance with Section 14 of the Connection and Use of System Code (CUSC)</w:t>
      </w:r>
    </w:p>
    <w:p w14:paraId="34A8B3DE" w14:textId="77777777" w:rsidR="004178E0" w:rsidRDefault="004178E0" w:rsidP="004178E0">
      <w:pPr>
        <w:pStyle w:val="BodyText"/>
        <w:rPr>
          <w:color w:val="auto"/>
        </w:rPr>
      </w:pPr>
    </w:p>
    <w:p w14:paraId="47091202" w14:textId="77777777" w:rsidR="004178E0" w:rsidRPr="0047219F" w:rsidRDefault="004178E0" w:rsidP="004178E0">
      <w:pPr>
        <w:pStyle w:val="SectionTitle"/>
        <w:rPr>
          <w:color w:val="auto"/>
          <w:sz w:val="32"/>
          <w:szCs w:val="48"/>
        </w:rPr>
      </w:pPr>
      <w:r w:rsidRPr="0047219F">
        <w:rPr>
          <w:color w:val="auto"/>
          <w:sz w:val="32"/>
          <w:szCs w:val="48"/>
        </w:rPr>
        <w:t>Connection Charges</w:t>
      </w:r>
    </w:p>
    <w:p w14:paraId="42049FB5" w14:textId="1C33B190" w:rsidR="004178E0" w:rsidRPr="009D6886" w:rsidRDefault="004178E0" w:rsidP="004178E0">
      <w:pPr>
        <w:pStyle w:val="BodyText"/>
        <w:rPr>
          <w:rFonts w:ascii="Arial" w:hAnsi="Arial" w:cs="Arial"/>
          <w:color w:val="auto"/>
        </w:rPr>
      </w:pPr>
      <w:r w:rsidRPr="009D6886">
        <w:rPr>
          <w:rFonts w:ascii="Arial" w:hAnsi="Arial" w:cs="Arial"/>
          <w:color w:val="auto"/>
        </w:rPr>
        <w:t>The Connection Charges are set to recover costs associated with Pre-Vesting and Post Vesting connection assets specified in the connection offer. NESO will invoice one twelfth of the Connection Charge monthly (which may be subject to amendment).</w:t>
      </w:r>
    </w:p>
    <w:p w14:paraId="466FB972" w14:textId="77777777" w:rsidR="004178E0" w:rsidRPr="009D6886" w:rsidRDefault="004178E0" w:rsidP="004178E0">
      <w:pPr>
        <w:pStyle w:val="BodyText"/>
        <w:rPr>
          <w:rFonts w:ascii="Arial" w:hAnsi="Arial" w:cs="Arial"/>
          <w:color w:val="auto"/>
        </w:rPr>
      </w:pPr>
      <w:r w:rsidRPr="009D6886">
        <w:rPr>
          <w:rFonts w:ascii="Arial" w:hAnsi="Arial" w:cs="Arial"/>
          <w:color w:val="auto"/>
        </w:rPr>
        <w:t>Connection Charges consist of: (1) Capital Charges and (2) Transmission Operation and Maintenance Charges. These are explained further below.</w:t>
      </w:r>
    </w:p>
    <w:p w14:paraId="472A2A52" w14:textId="77777777" w:rsidR="004178E0" w:rsidRDefault="004178E0" w:rsidP="004178E0">
      <w:pPr>
        <w:pStyle w:val="BodyText"/>
        <w:rPr>
          <w:color w:val="auto"/>
        </w:rPr>
      </w:pPr>
    </w:p>
    <w:p w14:paraId="37A678D0" w14:textId="77777777" w:rsidR="004178E0" w:rsidRPr="0047219F" w:rsidRDefault="004178E0" w:rsidP="004E6B22">
      <w:pPr>
        <w:pStyle w:val="SectionTitle"/>
        <w:rPr>
          <w:color w:val="auto"/>
          <w:sz w:val="24"/>
          <w:szCs w:val="48"/>
        </w:rPr>
      </w:pPr>
      <w:r w:rsidRPr="0047219F">
        <w:rPr>
          <w:color w:val="auto"/>
          <w:sz w:val="24"/>
          <w:szCs w:val="48"/>
        </w:rPr>
        <w:t>Capital Charges</w:t>
      </w:r>
    </w:p>
    <w:p w14:paraId="0875820E" w14:textId="14AAF3FA" w:rsidR="0088326A" w:rsidRPr="009D6886" w:rsidRDefault="004E6B22" w:rsidP="004E6B22">
      <w:pPr>
        <w:pStyle w:val="BodyText"/>
        <w:rPr>
          <w:rFonts w:ascii="Arial" w:hAnsi="Arial" w:cs="Arial"/>
          <w:color w:val="auto"/>
        </w:rPr>
      </w:pPr>
      <w:r w:rsidRPr="009D6886">
        <w:rPr>
          <w:rFonts w:ascii="Arial" w:hAnsi="Arial" w:cs="Arial"/>
          <w:color w:val="auto"/>
        </w:rPr>
        <w:t xml:space="preserve">For </w:t>
      </w:r>
      <w:r w:rsidR="002D1C14">
        <w:rPr>
          <w:rFonts w:ascii="Arial" w:hAnsi="Arial" w:cs="Arial"/>
          <w:color w:val="auto"/>
        </w:rPr>
        <w:t>a</w:t>
      </w:r>
      <w:r w:rsidRPr="009D6886">
        <w:rPr>
          <w:rFonts w:ascii="Arial" w:hAnsi="Arial" w:cs="Arial"/>
          <w:color w:val="auto"/>
        </w:rPr>
        <w:t xml:space="preserve">ssets where the capital costs are recovered through annual connection charges, these charges are based on a rate of return on the Net Asset Value (NAV) plus a depreciation charge based on an expected </w:t>
      </w:r>
      <w:r w:rsidR="008F2100" w:rsidRPr="009D6886">
        <w:rPr>
          <w:rFonts w:ascii="Arial" w:hAnsi="Arial" w:cs="Arial"/>
          <w:color w:val="auto"/>
        </w:rPr>
        <w:t>40-year</w:t>
      </w:r>
      <w:r w:rsidRPr="009D6886">
        <w:rPr>
          <w:rFonts w:ascii="Arial" w:hAnsi="Arial" w:cs="Arial"/>
          <w:color w:val="auto"/>
        </w:rPr>
        <w:t xml:space="preserve"> life. The rate of return that will be applied to the NAV is 6%. For connection assets where the User has paid 100% (full) capital contribution towards the purchase and installation of the assets, there are no annual capital charges. </w:t>
      </w:r>
      <w:r w:rsidR="0088326A" w:rsidRPr="009D6886">
        <w:rPr>
          <w:rFonts w:ascii="Arial" w:hAnsi="Arial" w:cs="Arial"/>
          <w:color w:val="auto"/>
        </w:rPr>
        <w:t xml:space="preserve"> NESO will recover the cost of connection from the user by means of either:</w:t>
      </w:r>
    </w:p>
    <w:p w14:paraId="1F0B194C" w14:textId="77777777" w:rsidR="0088326A" w:rsidRPr="009D6886" w:rsidRDefault="0088326A" w:rsidP="009D6886">
      <w:pPr>
        <w:pStyle w:val="BodyText"/>
        <w:numPr>
          <w:ilvl w:val="0"/>
          <w:numId w:val="34"/>
        </w:numPr>
        <w:rPr>
          <w:rFonts w:ascii="Arial" w:hAnsi="Arial" w:cs="Arial"/>
          <w:color w:val="auto"/>
        </w:rPr>
      </w:pPr>
      <w:r w:rsidRPr="009D6886">
        <w:rPr>
          <w:rFonts w:ascii="Arial" w:hAnsi="Arial" w:cs="Arial"/>
          <w:color w:val="auto"/>
        </w:rPr>
        <w:t>A full capital contribution charge</w:t>
      </w:r>
    </w:p>
    <w:p w14:paraId="07D633A8" w14:textId="77777777" w:rsidR="0088326A" w:rsidRPr="009D6886" w:rsidRDefault="0088326A" w:rsidP="009D6886">
      <w:pPr>
        <w:pStyle w:val="BodyText"/>
        <w:numPr>
          <w:ilvl w:val="0"/>
          <w:numId w:val="34"/>
        </w:numPr>
        <w:rPr>
          <w:rFonts w:ascii="Arial" w:hAnsi="Arial" w:cs="Arial"/>
          <w:color w:val="auto"/>
        </w:rPr>
      </w:pPr>
      <w:r w:rsidRPr="009D6886">
        <w:rPr>
          <w:rFonts w:ascii="Arial" w:hAnsi="Arial" w:cs="Arial"/>
          <w:color w:val="auto"/>
        </w:rPr>
        <w:t>Annual capital charge, over the lifetime of the asset</w:t>
      </w:r>
    </w:p>
    <w:p w14:paraId="3F886C9A" w14:textId="77777777" w:rsidR="0088326A" w:rsidRPr="009D6886" w:rsidRDefault="0088326A" w:rsidP="009D6886">
      <w:pPr>
        <w:pStyle w:val="BodyText"/>
        <w:numPr>
          <w:ilvl w:val="0"/>
          <w:numId w:val="34"/>
        </w:numPr>
        <w:rPr>
          <w:rFonts w:ascii="Arial" w:hAnsi="Arial" w:cs="Arial"/>
          <w:color w:val="auto"/>
        </w:rPr>
      </w:pPr>
      <w:r w:rsidRPr="009D6886">
        <w:rPr>
          <w:rFonts w:ascii="Arial" w:hAnsi="Arial" w:cs="Arial"/>
          <w:color w:val="auto"/>
        </w:rPr>
        <w:lastRenderedPageBreak/>
        <w:t>A partial capital contribution charge with reduced annual charges.</w:t>
      </w:r>
    </w:p>
    <w:p w14:paraId="6FBB2F1A" w14:textId="77777777" w:rsidR="009D6886" w:rsidRDefault="009D6886" w:rsidP="0088326A">
      <w:pPr>
        <w:pStyle w:val="BodyText"/>
        <w:rPr>
          <w:rFonts w:ascii="Arial" w:hAnsi="Arial" w:cs="Arial"/>
          <w:color w:val="auto"/>
        </w:rPr>
      </w:pPr>
    </w:p>
    <w:p w14:paraId="7B0AEC82" w14:textId="77777777" w:rsidR="0088326A" w:rsidRPr="009D6886" w:rsidRDefault="0088326A" w:rsidP="0088326A">
      <w:pPr>
        <w:pStyle w:val="BodyText"/>
        <w:rPr>
          <w:rFonts w:ascii="Arial" w:hAnsi="Arial" w:cs="Arial"/>
          <w:color w:val="auto"/>
        </w:rPr>
      </w:pPr>
      <w:r w:rsidRPr="009D6886">
        <w:rPr>
          <w:rFonts w:ascii="Arial" w:hAnsi="Arial" w:cs="Arial"/>
          <w:color w:val="auto"/>
        </w:rPr>
        <w:t>For Option (a) where the user has requested and paid full capital contribution there will be no annual capital connection charges (</w:t>
      </w:r>
      <w:proofErr w:type="gramStart"/>
      <w:r w:rsidRPr="009D6886">
        <w:rPr>
          <w:rFonts w:ascii="Arial" w:hAnsi="Arial" w:cs="Arial"/>
          <w:color w:val="auto"/>
        </w:rPr>
        <w:t>i.e.</w:t>
      </w:r>
      <w:proofErr w:type="gramEnd"/>
      <w:r w:rsidRPr="009D6886">
        <w:rPr>
          <w:rFonts w:ascii="Arial" w:hAnsi="Arial" w:cs="Arial"/>
          <w:color w:val="auto"/>
        </w:rPr>
        <w:t xml:space="preserve"> no depreciation and rate of return charges)</w:t>
      </w:r>
    </w:p>
    <w:p w14:paraId="6D201F00" w14:textId="77777777" w:rsidR="007D3397" w:rsidRPr="009D6886" w:rsidRDefault="0088326A" w:rsidP="0088326A">
      <w:pPr>
        <w:pStyle w:val="BodyText"/>
        <w:rPr>
          <w:rFonts w:ascii="Arial" w:hAnsi="Arial" w:cs="Arial"/>
          <w:color w:val="auto"/>
        </w:rPr>
      </w:pPr>
      <w:r w:rsidRPr="009D6886">
        <w:rPr>
          <w:rFonts w:ascii="Arial" w:hAnsi="Arial" w:cs="Arial"/>
          <w:color w:val="auto"/>
        </w:rPr>
        <w:t>For Option (a) the sum quoted in the construction agreement for the connection assets at the relevant site will become the Gross Asset Value (GAV) of the connection assets for the purposes of</w:t>
      </w:r>
      <w:r w:rsidR="007D3397" w:rsidRPr="009D6886">
        <w:rPr>
          <w:rFonts w:ascii="Arial" w:hAnsi="Arial" w:cs="Arial"/>
          <w:color w:val="auto"/>
        </w:rPr>
        <w:t xml:space="preserve"> </w:t>
      </w:r>
      <w:r w:rsidRPr="009D6886">
        <w:rPr>
          <w:rFonts w:ascii="Arial" w:hAnsi="Arial" w:cs="Arial"/>
          <w:color w:val="auto"/>
        </w:rPr>
        <w:t>calculating the annual Transmission Operation and Maintenance Charges for the site.</w:t>
      </w:r>
    </w:p>
    <w:p w14:paraId="045232DF" w14:textId="77777777" w:rsidR="0088326A" w:rsidRPr="009D6886" w:rsidRDefault="0088326A" w:rsidP="0088326A">
      <w:pPr>
        <w:pStyle w:val="BodyText"/>
        <w:rPr>
          <w:rFonts w:ascii="Arial" w:hAnsi="Arial" w:cs="Arial"/>
          <w:color w:val="auto"/>
        </w:rPr>
      </w:pPr>
      <w:r w:rsidRPr="009D6886">
        <w:rPr>
          <w:rFonts w:ascii="Arial" w:hAnsi="Arial" w:cs="Arial"/>
          <w:color w:val="auto"/>
        </w:rPr>
        <w:t xml:space="preserve">For Option (c) where </w:t>
      </w:r>
      <w:r w:rsidR="007D3397" w:rsidRPr="009D6886">
        <w:rPr>
          <w:rFonts w:ascii="Arial" w:hAnsi="Arial" w:cs="Arial"/>
          <w:color w:val="auto"/>
        </w:rPr>
        <w:t>the user</w:t>
      </w:r>
      <w:r w:rsidRPr="009D6886">
        <w:rPr>
          <w:rFonts w:ascii="Arial" w:hAnsi="Arial" w:cs="Arial"/>
          <w:color w:val="auto"/>
        </w:rPr>
        <w:t xml:space="preserve"> has requested and paid partial capital contribution, either pre or post</w:t>
      </w:r>
      <w:r w:rsidR="007D3397" w:rsidRPr="009D6886">
        <w:rPr>
          <w:rFonts w:ascii="Arial" w:hAnsi="Arial" w:cs="Arial"/>
          <w:color w:val="auto"/>
        </w:rPr>
        <w:t xml:space="preserve"> </w:t>
      </w:r>
      <w:r w:rsidRPr="009D6886">
        <w:rPr>
          <w:rFonts w:ascii="Arial" w:hAnsi="Arial" w:cs="Arial"/>
          <w:color w:val="auto"/>
        </w:rPr>
        <w:t>asset commissioning, the annual capital connection charge will recover the remaining capital cost.</w:t>
      </w:r>
      <w:r w:rsidR="007D3397" w:rsidRPr="009D6886">
        <w:rPr>
          <w:rFonts w:ascii="Arial" w:hAnsi="Arial" w:cs="Arial"/>
          <w:color w:val="auto"/>
        </w:rPr>
        <w:t xml:space="preserve"> </w:t>
      </w:r>
      <w:r w:rsidRPr="009D6886">
        <w:rPr>
          <w:rFonts w:ascii="Arial" w:hAnsi="Arial" w:cs="Arial"/>
          <w:color w:val="auto"/>
        </w:rPr>
        <w:t>The annual capital connection charge will become payable the day after commissioning of the</w:t>
      </w:r>
      <w:r w:rsidR="007D3397" w:rsidRPr="009D6886">
        <w:rPr>
          <w:rFonts w:ascii="Arial" w:hAnsi="Arial" w:cs="Arial"/>
          <w:color w:val="auto"/>
        </w:rPr>
        <w:t xml:space="preserve"> </w:t>
      </w:r>
      <w:r w:rsidRPr="009D6886">
        <w:rPr>
          <w:rFonts w:ascii="Arial" w:hAnsi="Arial" w:cs="Arial"/>
          <w:color w:val="auto"/>
        </w:rPr>
        <w:t>connection assets or from the day the connection assets become available for use.</w:t>
      </w:r>
    </w:p>
    <w:p w14:paraId="60764FD4" w14:textId="09D4F57B" w:rsidR="004E6B22" w:rsidRPr="009D6886" w:rsidRDefault="007D3397" w:rsidP="0088326A">
      <w:pPr>
        <w:pStyle w:val="BodyText"/>
        <w:rPr>
          <w:rFonts w:ascii="Arial" w:hAnsi="Arial" w:cs="Arial"/>
          <w:color w:val="auto"/>
        </w:rPr>
      </w:pPr>
      <w:r w:rsidRPr="009D6886">
        <w:rPr>
          <w:rFonts w:ascii="Arial" w:hAnsi="Arial" w:cs="Arial"/>
          <w:color w:val="auto"/>
        </w:rPr>
        <w:t>Where the user</w:t>
      </w:r>
      <w:r w:rsidR="0088326A" w:rsidRPr="009D6886">
        <w:rPr>
          <w:rFonts w:ascii="Arial" w:hAnsi="Arial" w:cs="Arial"/>
          <w:color w:val="auto"/>
        </w:rPr>
        <w:t xml:space="preserve"> has elected Option (b) or (c) the capital costs recovered through annual charges are</w:t>
      </w:r>
      <w:r w:rsidRPr="009D6886">
        <w:rPr>
          <w:rFonts w:ascii="Arial" w:hAnsi="Arial" w:cs="Arial"/>
          <w:color w:val="auto"/>
        </w:rPr>
        <w:t xml:space="preserve"> </w:t>
      </w:r>
      <w:r w:rsidR="0088326A" w:rsidRPr="009D6886">
        <w:rPr>
          <w:rFonts w:ascii="Arial" w:hAnsi="Arial" w:cs="Arial"/>
          <w:color w:val="auto"/>
        </w:rPr>
        <w:t xml:space="preserve">based on a rate of return on the Net Asset Value (NAV) plus a depreciation charge based on a </w:t>
      </w:r>
      <w:proofErr w:type="gramStart"/>
      <w:r w:rsidR="0088326A" w:rsidRPr="009D6886">
        <w:rPr>
          <w:rFonts w:ascii="Arial" w:hAnsi="Arial" w:cs="Arial"/>
          <w:color w:val="auto"/>
        </w:rPr>
        <w:t>40</w:t>
      </w:r>
      <w:r w:rsidRPr="009D6886">
        <w:rPr>
          <w:rFonts w:ascii="Arial" w:hAnsi="Arial" w:cs="Arial"/>
          <w:color w:val="auto"/>
        </w:rPr>
        <w:t xml:space="preserve"> </w:t>
      </w:r>
      <w:r w:rsidR="0088326A" w:rsidRPr="009D6886">
        <w:rPr>
          <w:rFonts w:ascii="Arial" w:hAnsi="Arial" w:cs="Arial"/>
          <w:color w:val="auto"/>
        </w:rPr>
        <w:t>year</w:t>
      </w:r>
      <w:proofErr w:type="gramEnd"/>
      <w:r w:rsidR="0088326A" w:rsidRPr="009D6886">
        <w:rPr>
          <w:rFonts w:ascii="Arial" w:hAnsi="Arial" w:cs="Arial"/>
          <w:color w:val="auto"/>
        </w:rPr>
        <w:t xml:space="preserve"> life. The rate of return that w</w:t>
      </w:r>
      <w:r w:rsidRPr="009D6886">
        <w:rPr>
          <w:rFonts w:ascii="Arial" w:hAnsi="Arial" w:cs="Arial"/>
          <w:color w:val="auto"/>
        </w:rPr>
        <w:t>ill be applied to the NAV is 6</w:t>
      </w:r>
      <w:r w:rsidR="0088326A" w:rsidRPr="009D6886">
        <w:rPr>
          <w:rFonts w:ascii="Arial" w:hAnsi="Arial" w:cs="Arial"/>
          <w:color w:val="auto"/>
        </w:rPr>
        <w:t xml:space="preserve">%. The depreciation period for </w:t>
      </w:r>
      <w:r w:rsidRPr="009D6886">
        <w:rPr>
          <w:rFonts w:ascii="Arial" w:hAnsi="Arial" w:cs="Arial"/>
          <w:color w:val="auto"/>
        </w:rPr>
        <w:t xml:space="preserve">Post vesting </w:t>
      </w:r>
      <w:r w:rsidR="0088326A" w:rsidRPr="009D6886">
        <w:rPr>
          <w:rFonts w:ascii="Arial" w:hAnsi="Arial" w:cs="Arial"/>
          <w:color w:val="auto"/>
        </w:rPr>
        <w:t xml:space="preserve">connection </w:t>
      </w:r>
      <w:r w:rsidRPr="009D6886">
        <w:rPr>
          <w:rFonts w:ascii="Arial" w:hAnsi="Arial" w:cs="Arial"/>
          <w:color w:val="auto"/>
        </w:rPr>
        <w:t>assets may, by mutual agreement with NESO and the Transmission Owners</w:t>
      </w:r>
      <w:r w:rsidR="0088326A" w:rsidRPr="009D6886">
        <w:rPr>
          <w:rFonts w:ascii="Arial" w:hAnsi="Arial" w:cs="Arial"/>
          <w:color w:val="auto"/>
        </w:rPr>
        <w:t xml:space="preserve"> be less than 40 years but never more than 40</w:t>
      </w:r>
      <w:r w:rsidRPr="009D6886">
        <w:rPr>
          <w:rFonts w:ascii="Arial" w:hAnsi="Arial" w:cs="Arial"/>
          <w:color w:val="auto"/>
        </w:rPr>
        <w:t>.</w:t>
      </w:r>
    </w:p>
    <w:p w14:paraId="35E16869" w14:textId="77777777" w:rsidR="00FE7637" w:rsidRDefault="00FE7637" w:rsidP="0088326A">
      <w:pPr>
        <w:pStyle w:val="BodyText"/>
        <w:rPr>
          <w:color w:val="auto"/>
        </w:rPr>
      </w:pPr>
    </w:p>
    <w:p w14:paraId="236F494E" w14:textId="77777777" w:rsidR="00FE7637" w:rsidRPr="00B1655E" w:rsidRDefault="00FE7637" w:rsidP="00FE7637">
      <w:pPr>
        <w:pStyle w:val="SectionTitle"/>
        <w:rPr>
          <w:rFonts w:asciiTheme="minorHAnsi" w:hAnsiTheme="minorHAnsi"/>
          <w:color w:val="auto"/>
          <w:sz w:val="20"/>
          <w:szCs w:val="20"/>
        </w:rPr>
      </w:pPr>
      <w:r w:rsidRPr="00B1655E">
        <w:rPr>
          <w:rFonts w:asciiTheme="minorHAnsi" w:hAnsiTheme="minorHAnsi"/>
          <w:color w:val="auto"/>
          <w:sz w:val="20"/>
          <w:szCs w:val="20"/>
        </w:rPr>
        <w:t>Calculation of Gross Asset Value (GAV) and Net Asset Value (NAV)</w:t>
      </w:r>
    </w:p>
    <w:p w14:paraId="7F5C01E9" w14:textId="77777777" w:rsidR="00FE7637" w:rsidRPr="009D6886" w:rsidRDefault="00FE7637" w:rsidP="00FE7637">
      <w:pPr>
        <w:pStyle w:val="BodyText"/>
        <w:rPr>
          <w:rFonts w:ascii="Arial" w:hAnsi="Arial" w:cs="Arial"/>
          <w:color w:val="auto"/>
        </w:rPr>
      </w:pPr>
      <w:r w:rsidRPr="009D6886">
        <w:rPr>
          <w:rFonts w:ascii="Arial" w:hAnsi="Arial" w:cs="Arial"/>
          <w:color w:val="auto"/>
        </w:rPr>
        <w:t>The GAV represents the initial total cost of a connection asset to the Transmission Owner. Typically, the GAV is made up of the following components:</w:t>
      </w:r>
    </w:p>
    <w:p w14:paraId="07C239EA" w14:textId="77777777" w:rsidR="00FE7637" w:rsidRPr="009D6886" w:rsidRDefault="00FE7637" w:rsidP="00FE7637">
      <w:pPr>
        <w:pStyle w:val="BodyText"/>
        <w:numPr>
          <w:ilvl w:val="0"/>
          <w:numId w:val="29"/>
        </w:numPr>
        <w:rPr>
          <w:rFonts w:ascii="Arial" w:hAnsi="Arial" w:cs="Arial"/>
          <w:color w:val="auto"/>
        </w:rPr>
      </w:pPr>
      <w:r w:rsidRPr="009D6886">
        <w:rPr>
          <w:rFonts w:ascii="Arial" w:hAnsi="Arial" w:cs="Arial"/>
          <w:color w:val="auto"/>
        </w:rPr>
        <w:t xml:space="preserve">Construction costs – costs of materials and bought in </w:t>
      </w:r>
      <w:proofErr w:type="gramStart"/>
      <w:r w:rsidRPr="009D6886">
        <w:rPr>
          <w:rFonts w:ascii="Arial" w:hAnsi="Arial" w:cs="Arial"/>
          <w:color w:val="auto"/>
        </w:rPr>
        <w:t>services;</w:t>
      </w:r>
      <w:proofErr w:type="gramEnd"/>
    </w:p>
    <w:p w14:paraId="413479A2" w14:textId="77777777" w:rsidR="00FE7637" w:rsidRPr="009D6886" w:rsidRDefault="00FE7637" w:rsidP="00FE7637">
      <w:pPr>
        <w:pStyle w:val="BodyText"/>
        <w:numPr>
          <w:ilvl w:val="0"/>
          <w:numId w:val="29"/>
        </w:numPr>
        <w:rPr>
          <w:rFonts w:ascii="Arial" w:hAnsi="Arial" w:cs="Arial"/>
          <w:color w:val="auto"/>
        </w:rPr>
      </w:pPr>
      <w:r w:rsidRPr="009D6886">
        <w:rPr>
          <w:rFonts w:ascii="Arial" w:hAnsi="Arial" w:cs="Arial"/>
          <w:color w:val="auto"/>
        </w:rPr>
        <w:t xml:space="preserve">Transmission Owner engineering – allocated equipment and engineering costs including </w:t>
      </w:r>
      <w:proofErr w:type="gramStart"/>
      <w:r w:rsidRPr="009D6886">
        <w:rPr>
          <w:rFonts w:ascii="Arial" w:hAnsi="Arial" w:cs="Arial"/>
          <w:color w:val="auto"/>
        </w:rPr>
        <w:t>overheads;</w:t>
      </w:r>
      <w:proofErr w:type="gramEnd"/>
    </w:p>
    <w:p w14:paraId="152B1B77" w14:textId="77777777" w:rsidR="00FE7637" w:rsidRPr="009D6886" w:rsidRDefault="00FE7637" w:rsidP="00FE7637">
      <w:pPr>
        <w:pStyle w:val="BodyText"/>
        <w:numPr>
          <w:ilvl w:val="0"/>
          <w:numId w:val="29"/>
        </w:numPr>
        <w:rPr>
          <w:rFonts w:ascii="Arial" w:hAnsi="Arial" w:cs="Arial"/>
          <w:color w:val="auto"/>
        </w:rPr>
      </w:pPr>
      <w:r w:rsidRPr="009D6886">
        <w:rPr>
          <w:rFonts w:ascii="Arial" w:hAnsi="Arial" w:cs="Arial"/>
          <w:color w:val="auto"/>
        </w:rPr>
        <w:t>Interest during construction – financing cost; and</w:t>
      </w:r>
    </w:p>
    <w:p w14:paraId="31C94F04" w14:textId="77777777" w:rsidR="00FE7637" w:rsidRPr="009D6886" w:rsidRDefault="00FE7637" w:rsidP="00FE7637">
      <w:pPr>
        <w:pStyle w:val="BodyText"/>
        <w:numPr>
          <w:ilvl w:val="0"/>
          <w:numId w:val="29"/>
        </w:numPr>
        <w:rPr>
          <w:rFonts w:ascii="Arial" w:hAnsi="Arial" w:cs="Arial"/>
          <w:color w:val="auto"/>
        </w:rPr>
      </w:pPr>
      <w:r w:rsidRPr="009D6886">
        <w:rPr>
          <w:rFonts w:ascii="Arial" w:hAnsi="Arial" w:cs="Arial"/>
          <w:color w:val="auto"/>
        </w:rPr>
        <w:t>Liquidated damages premiums – premiums required to cover Liquidated Damages, if applicable.</w:t>
      </w:r>
    </w:p>
    <w:p w14:paraId="12E91B6E" w14:textId="77777777" w:rsidR="00FE7637" w:rsidRPr="009D6886" w:rsidRDefault="00FE7637" w:rsidP="00FE7637">
      <w:pPr>
        <w:pStyle w:val="BodyText"/>
        <w:rPr>
          <w:rFonts w:ascii="Arial" w:hAnsi="Arial" w:cs="Arial"/>
          <w:color w:val="auto"/>
        </w:rPr>
      </w:pPr>
      <w:r w:rsidRPr="009D6886">
        <w:rPr>
          <w:rFonts w:ascii="Arial" w:hAnsi="Arial" w:cs="Arial"/>
          <w:color w:val="auto"/>
        </w:rPr>
        <w:t>The GAV of an asset is re-valued each year usi</w:t>
      </w:r>
      <w:r w:rsidR="004A49C5" w:rsidRPr="009D6886">
        <w:rPr>
          <w:rFonts w:ascii="Arial" w:hAnsi="Arial" w:cs="Arial"/>
          <w:color w:val="auto"/>
        </w:rPr>
        <w:t xml:space="preserve">ng the Retail Price Index (RPI). </w:t>
      </w:r>
      <w:r w:rsidRPr="009D6886">
        <w:rPr>
          <w:rFonts w:ascii="Arial" w:hAnsi="Arial" w:cs="Arial"/>
          <w:color w:val="auto"/>
        </w:rPr>
        <w:t>The formula for this revaluation is therefore as</w:t>
      </w:r>
    </w:p>
    <w:p w14:paraId="13CE0FAC" w14:textId="77777777" w:rsidR="004A49C5" w:rsidRPr="009D6886" w:rsidRDefault="00FE7637" w:rsidP="00FE7637">
      <w:pPr>
        <w:pStyle w:val="BodyText"/>
        <w:rPr>
          <w:rFonts w:ascii="Arial" w:hAnsi="Arial" w:cs="Arial"/>
          <w:color w:val="auto"/>
        </w:rPr>
      </w:pPr>
      <w:r w:rsidRPr="009D6886">
        <w:rPr>
          <w:rFonts w:ascii="Arial" w:hAnsi="Arial" w:cs="Arial"/>
          <w:color w:val="auto"/>
        </w:rPr>
        <w:t>follows:</w:t>
      </w:r>
    </w:p>
    <w:p w14:paraId="633C029D" w14:textId="77777777" w:rsidR="004A49C5" w:rsidRPr="0047219F" w:rsidRDefault="004A49C5" w:rsidP="004A49C5">
      <w:pPr>
        <w:pStyle w:val="BodyText"/>
        <w:jc w:val="center"/>
        <w:rPr>
          <w:rFonts w:asciiTheme="majorHAnsi" w:hAnsiTheme="majorHAnsi"/>
          <w:b/>
          <w:color w:val="auto"/>
          <w:sz w:val="24"/>
          <w:szCs w:val="48"/>
          <w:vertAlign w:val="subscript"/>
        </w:rPr>
      </w:pPr>
      <w:proofErr w:type="spellStart"/>
      <w:r w:rsidRPr="0047219F">
        <w:rPr>
          <w:rFonts w:asciiTheme="majorHAnsi" w:hAnsiTheme="majorHAnsi"/>
          <w:b/>
          <w:color w:val="auto"/>
          <w:sz w:val="24"/>
          <w:szCs w:val="48"/>
        </w:rPr>
        <w:t>GAV</w:t>
      </w:r>
      <w:r w:rsidRPr="0047219F">
        <w:rPr>
          <w:rFonts w:asciiTheme="majorHAnsi" w:hAnsiTheme="majorHAnsi"/>
          <w:b/>
          <w:color w:val="auto"/>
          <w:sz w:val="24"/>
          <w:szCs w:val="48"/>
          <w:vertAlign w:val="subscript"/>
        </w:rPr>
        <w:t>n</w:t>
      </w:r>
      <w:proofErr w:type="spellEnd"/>
      <w:r w:rsidRPr="0047219F">
        <w:rPr>
          <w:rFonts w:asciiTheme="majorHAnsi" w:hAnsiTheme="majorHAnsi"/>
          <w:b/>
          <w:color w:val="auto"/>
          <w:sz w:val="24"/>
          <w:szCs w:val="48"/>
          <w:vertAlign w:val="subscript"/>
        </w:rPr>
        <w:t xml:space="preserve"> </w:t>
      </w:r>
      <w:r w:rsidRPr="0047219F">
        <w:rPr>
          <w:rFonts w:asciiTheme="majorHAnsi" w:hAnsiTheme="majorHAnsi"/>
          <w:b/>
          <w:color w:val="auto"/>
          <w:sz w:val="24"/>
          <w:szCs w:val="48"/>
        </w:rPr>
        <w:t>= GAV</w:t>
      </w:r>
      <w:r w:rsidRPr="0047219F">
        <w:rPr>
          <w:rFonts w:asciiTheme="majorHAnsi" w:hAnsiTheme="majorHAnsi"/>
          <w:b/>
          <w:color w:val="auto"/>
          <w:sz w:val="22"/>
          <w:szCs w:val="48"/>
          <w:vertAlign w:val="subscript"/>
        </w:rPr>
        <w:t xml:space="preserve">n-1 </w:t>
      </w:r>
      <w:r w:rsidRPr="0047219F">
        <w:rPr>
          <w:rFonts w:asciiTheme="majorHAnsi" w:hAnsiTheme="majorHAnsi"/>
          <w:b/>
          <w:color w:val="auto"/>
          <w:sz w:val="24"/>
          <w:szCs w:val="48"/>
        </w:rPr>
        <w:t xml:space="preserve">* </w:t>
      </w:r>
      <w:proofErr w:type="spellStart"/>
      <w:r w:rsidRPr="0047219F">
        <w:rPr>
          <w:rFonts w:asciiTheme="majorHAnsi" w:hAnsiTheme="majorHAnsi"/>
          <w:b/>
          <w:color w:val="auto"/>
          <w:sz w:val="24"/>
          <w:szCs w:val="48"/>
        </w:rPr>
        <w:t>RPI</w:t>
      </w:r>
      <w:r w:rsidRPr="0047219F">
        <w:rPr>
          <w:rFonts w:asciiTheme="majorHAnsi" w:hAnsiTheme="majorHAnsi"/>
          <w:b/>
          <w:color w:val="auto"/>
          <w:sz w:val="24"/>
          <w:szCs w:val="48"/>
          <w:vertAlign w:val="subscript"/>
        </w:rPr>
        <w:t>n</w:t>
      </w:r>
      <w:proofErr w:type="spellEnd"/>
    </w:p>
    <w:p w14:paraId="103D25AB" w14:textId="77777777" w:rsidR="004A49C5" w:rsidRDefault="004A49C5" w:rsidP="004A49C5">
      <w:pPr>
        <w:pStyle w:val="BodyText"/>
        <w:rPr>
          <w:color w:val="auto"/>
        </w:rPr>
      </w:pPr>
    </w:p>
    <w:p w14:paraId="14DAC26D" w14:textId="77777777" w:rsidR="004A49C5" w:rsidRPr="009D6886" w:rsidRDefault="004A49C5" w:rsidP="004A49C5">
      <w:pPr>
        <w:pStyle w:val="BodyText"/>
        <w:rPr>
          <w:rFonts w:cstheme="minorHAnsi"/>
          <w:color w:val="auto"/>
        </w:rPr>
      </w:pPr>
      <w:r w:rsidRPr="009D6886">
        <w:rPr>
          <w:rFonts w:cstheme="minorHAnsi"/>
          <w:color w:val="auto"/>
        </w:rPr>
        <w:t xml:space="preserve">RPI will be adjusted in accordance </w:t>
      </w:r>
      <w:proofErr w:type="gramStart"/>
      <w:r w:rsidRPr="009D6886">
        <w:rPr>
          <w:rFonts w:cstheme="minorHAnsi"/>
          <w:color w:val="auto"/>
        </w:rPr>
        <w:t>of</w:t>
      </w:r>
      <w:proofErr w:type="gramEnd"/>
      <w:r w:rsidRPr="009D6886">
        <w:rPr>
          <w:rFonts w:cstheme="minorHAnsi"/>
          <w:color w:val="auto"/>
        </w:rPr>
        <w:t xml:space="preserve"> CUSC Section 14.3.6</w:t>
      </w:r>
    </w:p>
    <w:p w14:paraId="27619702" w14:textId="77777777" w:rsidR="004A49C5" w:rsidRDefault="004A49C5" w:rsidP="004A49C5">
      <w:pPr>
        <w:pStyle w:val="BodyText"/>
        <w:rPr>
          <w:color w:val="auto"/>
        </w:rPr>
      </w:pPr>
    </w:p>
    <w:p w14:paraId="65EADF2C" w14:textId="3B456E9A" w:rsidR="004A49C5" w:rsidRPr="004A49C5" w:rsidRDefault="004A49C5" w:rsidP="004A49C5">
      <w:pPr>
        <w:pStyle w:val="BodyText"/>
        <w:rPr>
          <w:color w:val="auto"/>
        </w:rPr>
      </w:pPr>
      <w:r w:rsidRPr="004A49C5">
        <w:rPr>
          <w:color w:val="auto"/>
        </w:rPr>
        <w:t>The NAV of each asset for year n, used for charge calculation, is the</w:t>
      </w:r>
      <w:r>
        <w:rPr>
          <w:color w:val="auto"/>
        </w:rPr>
        <w:t xml:space="preserve"> average (</w:t>
      </w:r>
      <w:r w:rsidR="00F81569">
        <w:rPr>
          <w:color w:val="auto"/>
        </w:rPr>
        <w:t>mid-year</w:t>
      </w:r>
      <w:r>
        <w:rPr>
          <w:color w:val="auto"/>
        </w:rPr>
        <w:t xml:space="preserve">) depreciated </w:t>
      </w:r>
      <w:r w:rsidRPr="004A49C5">
        <w:rPr>
          <w:color w:val="auto"/>
        </w:rPr>
        <w:t xml:space="preserve">GAV of the asset. The following formula calculates the NAV of an asset with a </w:t>
      </w:r>
      <w:r w:rsidR="00F81569" w:rsidRPr="004A49C5">
        <w:rPr>
          <w:color w:val="auto"/>
        </w:rPr>
        <w:t>40-year</w:t>
      </w:r>
      <w:r w:rsidRPr="004A49C5">
        <w:rPr>
          <w:color w:val="auto"/>
        </w:rPr>
        <w:t xml:space="preserve"> life, where </w:t>
      </w:r>
      <w:proofErr w:type="gramStart"/>
      <w:r w:rsidRPr="004A49C5">
        <w:rPr>
          <w:color w:val="auto"/>
        </w:rPr>
        <w:t>An</w:t>
      </w:r>
      <w:proofErr w:type="gramEnd"/>
      <w:r>
        <w:rPr>
          <w:color w:val="auto"/>
        </w:rPr>
        <w:t xml:space="preserve"> </w:t>
      </w:r>
      <w:r w:rsidRPr="004A49C5">
        <w:rPr>
          <w:color w:val="auto"/>
        </w:rPr>
        <w:t>is the age of the asset (number of completed charging years old) in year n:</w:t>
      </w:r>
    </w:p>
    <w:p w14:paraId="7E8084B4" w14:textId="77777777" w:rsidR="004A49C5" w:rsidRPr="0047219F" w:rsidRDefault="004A49C5" w:rsidP="004A49C5">
      <w:pPr>
        <w:pStyle w:val="BodyText"/>
        <w:jc w:val="center"/>
        <w:rPr>
          <w:rFonts w:asciiTheme="majorHAnsi" w:hAnsiTheme="majorHAnsi"/>
          <w:b/>
          <w:color w:val="auto"/>
          <w:sz w:val="24"/>
          <w:szCs w:val="48"/>
        </w:rPr>
      </w:pPr>
      <w:proofErr w:type="spellStart"/>
      <w:r w:rsidRPr="0047219F">
        <w:rPr>
          <w:rFonts w:asciiTheme="majorHAnsi" w:hAnsiTheme="majorHAnsi"/>
          <w:b/>
          <w:color w:val="auto"/>
          <w:sz w:val="24"/>
          <w:szCs w:val="48"/>
        </w:rPr>
        <w:t>NAV</w:t>
      </w:r>
      <w:r w:rsidRPr="0047219F">
        <w:rPr>
          <w:rFonts w:asciiTheme="majorHAnsi" w:hAnsiTheme="majorHAnsi"/>
          <w:b/>
          <w:color w:val="auto"/>
          <w:sz w:val="24"/>
          <w:szCs w:val="48"/>
          <w:vertAlign w:val="subscript"/>
        </w:rPr>
        <w:t>n</w:t>
      </w:r>
      <w:proofErr w:type="spellEnd"/>
      <w:r w:rsidRPr="0047219F">
        <w:rPr>
          <w:rFonts w:asciiTheme="majorHAnsi" w:hAnsiTheme="majorHAnsi"/>
          <w:b/>
          <w:color w:val="auto"/>
          <w:sz w:val="24"/>
          <w:szCs w:val="48"/>
        </w:rPr>
        <w:t xml:space="preserve"> = </w:t>
      </w:r>
      <w:proofErr w:type="spellStart"/>
      <w:r w:rsidRPr="0047219F">
        <w:rPr>
          <w:rFonts w:asciiTheme="majorHAnsi" w:hAnsiTheme="majorHAnsi"/>
          <w:b/>
          <w:color w:val="auto"/>
          <w:sz w:val="24"/>
          <w:szCs w:val="48"/>
        </w:rPr>
        <w:t>GAV</w:t>
      </w:r>
      <w:r w:rsidRPr="0047219F">
        <w:rPr>
          <w:rFonts w:asciiTheme="majorHAnsi" w:hAnsiTheme="majorHAnsi"/>
          <w:b/>
          <w:color w:val="auto"/>
          <w:sz w:val="24"/>
          <w:szCs w:val="48"/>
          <w:vertAlign w:val="subscript"/>
        </w:rPr>
        <w:t>n</w:t>
      </w:r>
      <w:proofErr w:type="spellEnd"/>
      <w:r w:rsidRPr="0047219F">
        <w:rPr>
          <w:rFonts w:asciiTheme="majorHAnsi" w:hAnsiTheme="majorHAnsi"/>
          <w:b/>
          <w:color w:val="auto"/>
          <w:sz w:val="24"/>
          <w:szCs w:val="48"/>
        </w:rPr>
        <w:t xml:space="preserve"> * (40 - (A</w:t>
      </w:r>
      <w:r w:rsidRPr="0047219F">
        <w:rPr>
          <w:rFonts w:asciiTheme="majorHAnsi" w:hAnsiTheme="majorHAnsi"/>
          <w:b/>
          <w:color w:val="auto"/>
          <w:sz w:val="24"/>
          <w:szCs w:val="48"/>
          <w:vertAlign w:val="subscript"/>
        </w:rPr>
        <w:t>n</w:t>
      </w:r>
      <w:r w:rsidRPr="0047219F">
        <w:rPr>
          <w:rFonts w:asciiTheme="majorHAnsi" w:hAnsiTheme="majorHAnsi"/>
          <w:b/>
          <w:color w:val="auto"/>
          <w:sz w:val="24"/>
          <w:szCs w:val="48"/>
        </w:rPr>
        <w:t xml:space="preserve"> + 0.5) / 40)</w:t>
      </w:r>
    </w:p>
    <w:p w14:paraId="236FF8E9" w14:textId="77777777" w:rsidR="00B71115" w:rsidRDefault="00B71115" w:rsidP="004A49C5">
      <w:pPr>
        <w:pStyle w:val="BodyText"/>
        <w:rPr>
          <w:color w:val="auto"/>
        </w:rPr>
      </w:pPr>
    </w:p>
    <w:p w14:paraId="19ACBE84" w14:textId="77777777" w:rsidR="004A49C5" w:rsidRPr="0047219F" w:rsidRDefault="00B71115" w:rsidP="00B71115">
      <w:pPr>
        <w:pStyle w:val="SectionTitle"/>
        <w:rPr>
          <w:color w:val="auto"/>
          <w:sz w:val="24"/>
          <w:szCs w:val="48"/>
        </w:rPr>
      </w:pPr>
      <w:r w:rsidRPr="0047219F">
        <w:rPr>
          <w:color w:val="auto"/>
          <w:sz w:val="24"/>
          <w:szCs w:val="48"/>
        </w:rPr>
        <w:t>Transmission Operation and Maintenance Charges</w:t>
      </w:r>
    </w:p>
    <w:p w14:paraId="13158674" w14:textId="77777777" w:rsidR="00B71115" w:rsidRDefault="00B71115" w:rsidP="00B71115">
      <w:pPr>
        <w:pStyle w:val="SectionSubheading"/>
        <w:rPr>
          <w:noProof w:val="0"/>
          <w:color w:val="auto"/>
          <w:sz w:val="20"/>
        </w:rPr>
      </w:pPr>
      <w:r w:rsidRPr="00B71115">
        <w:rPr>
          <w:noProof w:val="0"/>
          <w:color w:val="auto"/>
          <w:sz w:val="20"/>
        </w:rPr>
        <w:t xml:space="preserve">The non-capital component of the connection charge is divided into two parts, as set out below. </w:t>
      </w:r>
      <w:r w:rsidR="00B1655E" w:rsidRPr="00B71115">
        <w:rPr>
          <w:noProof w:val="0"/>
          <w:color w:val="auto"/>
          <w:sz w:val="20"/>
        </w:rPr>
        <w:t>Both</w:t>
      </w:r>
      <w:r w:rsidRPr="00B71115">
        <w:rPr>
          <w:noProof w:val="0"/>
          <w:color w:val="auto"/>
          <w:sz w:val="20"/>
        </w:rPr>
        <w:t xml:space="preserve"> non-capital elements will normally be identified in the charging appendices of relevant Bilateral Agreements</w:t>
      </w:r>
      <w:r w:rsidR="00B1655E">
        <w:rPr>
          <w:noProof w:val="0"/>
          <w:color w:val="auto"/>
          <w:sz w:val="20"/>
        </w:rPr>
        <w:t>.</w:t>
      </w:r>
    </w:p>
    <w:p w14:paraId="3BD3C1F8" w14:textId="77777777" w:rsidR="00B1655E" w:rsidRDefault="00B1655E" w:rsidP="00B71115">
      <w:pPr>
        <w:pStyle w:val="SectionSubheading"/>
        <w:rPr>
          <w:noProof w:val="0"/>
          <w:color w:val="auto"/>
          <w:sz w:val="20"/>
        </w:rPr>
      </w:pPr>
    </w:p>
    <w:p w14:paraId="45C518EA" w14:textId="77777777" w:rsidR="00B1655E" w:rsidRPr="00B1655E" w:rsidRDefault="00B1655E" w:rsidP="00B1655E">
      <w:pPr>
        <w:pStyle w:val="SectionSubheading"/>
        <w:rPr>
          <w:b/>
          <w:noProof w:val="0"/>
          <w:color w:val="auto"/>
          <w:sz w:val="20"/>
        </w:rPr>
      </w:pPr>
      <w:r w:rsidRPr="00B1655E">
        <w:rPr>
          <w:b/>
          <w:noProof w:val="0"/>
          <w:color w:val="auto"/>
          <w:sz w:val="20"/>
        </w:rPr>
        <w:t>Part A: Site Specific Maintenance Charges</w:t>
      </w:r>
    </w:p>
    <w:p w14:paraId="3559B056" w14:textId="77777777" w:rsidR="00B1655E" w:rsidRPr="00B1655E" w:rsidRDefault="00B1655E" w:rsidP="00B1655E">
      <w:pPr>
        <w:pStyle w:val="SectionSubheading"/>
        <w:rPr>
          <w:noProof w:val="0"/>
          <w:color w:val="auto"/>
          <w:sz w:val="20"/>
        </w:rPr>
      </w:pPr>
      <w:r w:rsidRPr="00B1655E">
        <w:rPr>
          <w:noProof w:val="0"/>
          <w:color w:val="auto"/>
          <w:sz w:val="20"/>
        </w:rPr>
        <w:lastRenderedPageBreak/>
        <w:t>This is a maintenance only component that recovers a proportion of the costs and overheads associated with the maintenance activities conducted on a site-specific basis for connection assets of the transmission licensees.</w:t>
      </w:r>
    </w:p>
    <w:p w14:paraId="4CCE993A" w14:textId="24C0B877" w:rsidR="00B1655E" w:rsidRDefault="00B1655E" w:rsidP="00B1655E">
      <w:pPr>
        <w:pStyle w:val="SectionSubheading"/>
        <w:rPr>
          <w:noProof w:val="0"/>
          <w:color w:val="auto"/>
          <w:sz w:val="20"/>
        </w:rPr>
      </w:pPr>
      <w:r w:rsidRPr="00B1655E">
        <w:rPr>
          <w:noProof w:val="0"/>
          <w:color w:val="auto"/>
          <w:sz w:val="20"/>
        </w:rPr>
        <w:t xml:space="preserve">Site-specific maintenance charges will be calculated each year based on the forecast total </w:t>
      </w:r>
      <w:r w:rsidR="00322CC9" w:rsidRPr="00B1655E">
        <w:rPr>
          <w:noProof w:val="0"/>
          <w:color w:val="auto"/>
          <w:sz w:val="20"/>
        </w:rPr>
        <w:t>site-specific</w:t>
      </w:r>
      <w:r w:rsidRPr="00B1655E">
        <w:rPr>
          <w:noProof w:val="0"/>
          <w:color w:val="auto"/>
          <w:sz w:val="20"/>
        </w:rPr>
        <w:t xml:space="preserve"> maintenance for </w:t>
      </w:r>
      <w:r w:rsidR="00926E8D">
        <w:rPr>
          <w:noProof w:val="0"/>
          <w:color w:val="auto"/>
          <w:sz w:val="20"/>
        </w:rPr>
        <w:t xml:space="preserve">GB </w:t>
      </w:r>
      <w:r w:rsidRPr="00B1655E">
        <w:rPr>
          <w:noProof w:val="0"/>
          <w:color w:val="auto"/>
          <w:sz w:val="20"/>
        </w:rPr>
        <w:t xml:space="preserve">divided by the total </w:t>
      </w:r>
      <w:r w:rsidR="00AA485D">
        <w:rPr>
          <w:noProof w:val="0"/>
          <w:color w:val="auto"/>
          <w:sz w:val="20"/>
        </w:rPr>
        <w:t>Gross Asse</w:t>
      </w:r>
      <w:r w:rsidR="00FB3303">
        <w:rPr>
          <w:noProof w:val="0"/>
          <w:color w:val="auto"/>
          <w:sz w:val="20"/>
        </w:rPr>
        <w:t>t Value (</w:t>
      </w:r>
      <w:r w:rsidRPr="00B1655E">
        <w:rPr>
          <w:noProof w:val="0"/>
          <w:color w:val="auto"/>
          <w:sz w:val="20"/>
        </w:rPr>
        <w:t>GAV</w:t>
      </w:r>
      <w:r w:rsidR="00FB3303">
        <w:rPr>
          <w:noProof w:val="0"/>
          <w:color w:val="auto"/>
          <w:sz w:val="20"/>
        </w:rPr>
        <w:t>)</w:t>
      </w:r>
      <w:r w:rsidRPr="00B1655E">
        <w:rPr>
          <w:noProof w:val="0"/>
          <w:color w:val="auto"/>
          <w:sz w:val="20"/>
        </w:rPr>
        <w:t xml:space="preserve"> of the transmission licensees </w:t>
      </w:r>
      <w:r w:rsidR="002F4B9A">
        <w:rPr>
          <w:noProof w:val="0"/>
          <w:color w:val="auto"/>
          <w:sz w:val="20"/>
        </w:rPr>
        <w:t>GB</w:t>
      </w:r>
      <w:r w:rsidRPr="00B1655E">
        <w:rPr>
          <w:noProof w:val="0"/>
          <w:color w:val="auto"/>
          <w:sz w:val="20"/>
        </w:rPr>
        <w:t xml:space="preserve"> connection assets, to arrive at a percentage of t</w:t>
      </w:r>
      <w:r>
        <w:rPr>
          <w:noProof w:val="0"/>
          <w:color w:val="auto"/>
          <w:sz w:val="20"/>
        </w:rPr>
        <w:t>otal GAV. For 20</w:t>
      </w:r>
      <w:r w:rsidR="00281855">
        <w:rPr>
          <w:noProof w:val="0"/>
          <w:color w:val="auto"/>
          <w:sz w:val="20"/>
        </w:rPr>
        <w:t>24</w:t>
      </w:r>
      <w:r>
        <w:rPr>
          <w:noProof w:val="0"/>
          <w:color w:val="auto"/>
          <w:sz w:val="20"/>
        </w:rPr>
        <w:t>/2</w:t>
      </w:r>
      <w:r w:rsidR="00281855">
        <w:rPr>
          <w:noProof w:val="0"/>
          <w:color w:val="auto"/>
          <w:sz w:val="20"/>
        </w:rPr>
        <w:t>5</w:t>
      </w:r>
      <w:r>
        <w:rPr>
          <w:noProof w:val="0"/>
          <w:color w:val="auto"/>
          <w:sz w:val="20"/>
        </w:rPr>
        <w:t xml:space="preserve"> this will be 0.</w:t>
      </w:r>
      <w:r w:rsidR="00281855">
        <w:rPr>
          <w:noProof w:val="0"/>
          <w:color w:val="auto"/>
          <w:sz w:val="20"/>
        </w:rPr>
        <w:t>38</w:t>
      </w:r>
      <w:r w:rsidRPr="00B1655E">
        <w:rPr>
          <w:noProof w:val="0"/>
          <w:color w:val="auto"/>
          <w:sz w:val="20"/>
        </w:rPr>
        <w:t xml:space="preserve">%. </w:t>
      </w:r>
    </w:p>
    <w:p w14:paraId="2CD91293" w14:textId="77777777" w:rsidR="00B1655E" w:rsidRPr="00B1655E" w:rsidRDefault="00B1655E" w:rsidP="00B1655E">
      <w:pPr>
        <w:pStyle w:val="SectionSubheading"/>
        <w:rPr>
          <w:b/>
          <w:noProof w:val="0"/>
          <w:color w:val="auto"/>
          <w:sz w:val="20"/>
        </w:rPr>
      </w:pPr>
      <w:r w:rsidRPr="00B1655E">
        <w:rPr>
          <w:b/>
          <w:noProof w:val="0"/>
          <w:color w:val="auto"/>
          <w:sz w:val="20"/>
        </w:rPr>
        <w:t>Part B: Transmission Running Costs</w:t>
      </w:r>
    </w:p>
    <w:p w14:paraId="1EAA5657" w14:textId="77777777" w:rsidR="00B1655E" w:rsidRPr="00B1655E" w:rsidRDefault="00B1655E" w:rsidP="00B1655E">
      <w:pPr>
        <w:pStyle w:val="SectionSubheading"/>
        <w:rPr>
          <w:noProof w:val="0"/>
          <w:color w:val="auto"/>
          <w:sz w:val="20"/>
        </w:rPr>
      </w:pPr>
      <w:r w:rsidRPr="00B1655E">
        <w:rPr>
          <w:noProof w:val="0"/>
          <w:color w:val="auto"/>
          <w:sz w:val="20"/>
        </w:rPr>
        <w:t>The Transmission Running Cost (TRC) factor is calculated at the beginning of each price control to reflect the appropriate amount of other Transmission Running Costs (rates, operation, indirect overheads) incurred by the transmission licensees that should be attributed to connection assets.</w:t>
      </w:r>
    </w:p>
    <w:p w14:paraId="07BEFF48" w14:textId="496430D5" w:rsidR="00B1655E" w:rsidRPr="00B1655E" w:rsidRDefault="00B1655E" w:rsidP="00B1655E">
      <w:pPr>
        <w:pStyle w:val="SectionSubheading"/>
        <w:rPr>
          <w:noProof w:val="0"/>
          <w:color w:val="auto"/>
          <w:sz w:val="20"/>
        </w:rPr>
      </w:pPr>
      <w:r w:rsidRPr="00B1655E">
        <w:rPr>
          <w:noProof w:val="0"/>
          <w:color w:val="auto"/>
          <w:sz w:val="20"/>
        </w:rPr>
        <w:t>The TRC factor is calculated by taking a proportion of the forecast Transmission Running Costs for the transmission licensees (based on operational expenditure figures from the latest price control) that corresponds with the proportion of the transmission licensees’ total connection assets as a function of their total business GAV. This cost factor is therefore expressed as a percentage of an asset's GAV and will be fixed for the entirety of the price control period. For 20</w:t>
      </w:r>
      <w:r w:rsidR="006C3285">
        <w:rPr>
          <w:noProof w:val="0"/>
          <w:color w:val="auto"/>
          <w:sz w:val="20"/>
        </w:rPr>
        <w:t>21</w:t>
      </w:r>
      <w:r>
        <w:rPr>
          <w:noProof w:val="0"/>
          <w:color w:val="auto"/>
          <w:sz w:val="20"/>
        </w:rPr>
        <w:t>/2</w:t>
      </w:r>
      <w:r w:rsidR="00712346">
        <w:rPr>
          <w:noProof w:val="0"/>
          <w:color w:val="auto"/>
          <w:sz w:val="20"/>
        </w:rPr>
        <w:t>2 to 2025/26</w:t>
      </w:r>
      <w:r>
        <w:rPr>
          <w:noProof w:val="0"/>
          <w:color w:val="auto"/>
          <w:sz w:val="20"/>
        </w:rPr>
        <w:t xml:space="preserve"> this will be 1.</w:t>
      </w:r>
      <w:r w:rsidR="008C3F87">
        <w:rPr>
          <w:noProof w:val="0"/>
          <w:color w:val="auto"/>
          <w:sz w:val="20"/>
        </w:rPr>
        <w:t>06</w:t>
      </w:r>
      <w:r w:rsidRPr="00B1655E">
        <w:rPr>
          <w:noProof w:val="0"/>
          <w:color w:val="auto"/>
          <w:sz w:val="20"/>
        </w:rPr>
        <w:t>%.</w:t>
      </w:r>
    </w:p>
    <w:p w14:paraId="45541F0F" w14:textId="77777777" w:rsidR="00B1655E" w:rsidRDefault="00B1655E" w:rsidP="00B1655E">
      <w:pPr>
        <w:pStyle w:val="SectionSubheading"/>
        <w:rPr>
          <w:noProof w:val="0"/>
          <w:color w:val="auto"/>
          <w:sz w:val="20"/>
        </w:rPr>
      </w:pPr>
    </w:p>
    <w:p w14:paraId="5811165D" w14:textId="1833615B" w:rsidR="0002180E" w:rsidRPr="0047219F" w:rsidRDefault="0002180E" w:rsidP="00322FCE">
      <w:pPr>
        <w:pStyle w:val="SectionTitle"/>
        <w:rPr>
          <w:color w:val="auto"/>
        </w:rPr>
      </w:pPr>
      <w:r w:rsidRPr="0047219F">
        <w:rPr>
          <w:color w:val="auto"/>
          <w:sz w:val="32"/>
          <w:szCs w:val="48"/>
        </w:rPr>
        <w:t>Annual Charge Setting</w:t>
      </w:r>
    </w:p>
    <w:p w14:paraId="2293DA82" w14:textId="5D881E78" w:rsidR="0002180E" w:rsidRDefault="0002180E" w:rsidP="00B1655E">
      <w:pPr>
        <w:pStyle w:val="SectionSubheading"/>
        <w:rPr>
          <w:noProof w:val="0"/>
          <w:color w:val="auto"/>
          <w:sz w:val="20"/>
        </w:rPr>
      </w:pPr>
      <w:r w:rsidRPr="0002180E">
        <w:rPr>
          <w:noProof w:val="0"/>
          <w:color w:val="auto"/>
          <w:sz w:val="20"/>
        </w:rPr>
        <w:t>Under the terms of the Connection and Use of Syste</w:t>
      </w:r>
      <w:r w:rsidR="00AA4190">
        <w:rPr>
          <w:noProof w:val="0"/>
          <w:color w:val="auto"/>
          <w:sz w:val="20"/>
        </w:rPr>
        <w:t xml:space="preserve">m Code (CUSC), </w:t>
      </w:r>
      <w:r w:rsidR="00300C61">
        <w:rPr>
          <w:noProof w:val="0"/>
          <w:color w:val="auto"/>
          <w:sz w:val="20"/>
        </w:rPr>
        <w:t>N</w:t>
      </w:r>
      <w:r w:rsidR="00AA4190">
        <w:rPr>
          <w:noProof w:val="0"/>
          <w:color w:val="auto"/>
          <w:sz w:val="20"/>
        </w:rPr>
        <w:t xml:space="preserve">ESO is </w:t>
      </w:r>
      <w:r w:rsidRPr="0002180E">
        <w:rPr>
          <w:noProof w:val="0"/>
          <w:color w:val="auto"/>
          <w:sz w:val="20"/>
        </w:rPr>
        <w:t xml:space="preserve">required to give at least 2 </w:t>
      </w:r>
      <w:r w:rsidR="00AA4190" w:rsidRPr="0002180E">
        <w:rPr>
          <w:noProof w:val="0"/>
          <w:color w:val="auto"/>
          <w:sz w:val="20"/>
        </w:rPr>
        <w:t>months’</w:t>
      </w:r>
      <w:r w:rsidRPr="0002180E">
        <w:rPr>
          <w:noProof w:val="0"/>
          <w:color w:val="auto"/>
          <w:sz w:val="20"/>
        </w:rPr>
        <w:t xml:space="preserve"> prior written notice</w:t>
      </w:r>
      <w:r w:rsidR="00AA4190">
        <w:rPr>
          <w:noProof w:val="0"/>
          <w:color w:val="auto"/>
          <w:sz w:val="20"/>
        </w:rPr>
        <w:t xml:space="preserve"> of any revisions to Connection </w:t>
      </w:r>
      <w:r w:rsidRPr="0002180E">
        <w:rPr>
          <w:noProof w:val="0"/>
          <w:color w:val="auto"/>
          <w:sz w:val="20"/>
        </w:rPr>
        <w:t>Charges</w:t>
      </w:r>
      <w:r w:rsidR="00AA4190">
        <w:rPr>
          <w:noProof w:val="0"/>
          <w:color w:val="auto"/>
          <w:sz w:val="20"/>
        </w:rPr>
        <w:t>.</w:t>
      </w:r>
      <w:r>
        <w:rPr>
          <w:noProof w:val="0"/>
          <w:color w:val="auto"/>
          <w:sz w:val="20"/>
        </w:rPr>
        <w:t xml:space="preserve"> </w:t>
      </w:r>
      <w:r w:rsidRPr="0002180E">
        <w:rPr>
          <w:noProof w:val="0"/>
          <w:color w:val="auto"/>
          <w:sz w:val="20"/>
        </w:rPr>
        <w:t xml:space="preserve">In previous </w:t>
      </w:r>
      <w:r w:rsidR="00AA4190" w:rsidRPr="0002180E">
        <w:rPr>
          <w:noProof w:val="0"/>
          <w:color w:val="auto"/>
          <w:sz w:val="20"/>
        </w:rPr>
        <w:t>years,</w:t>
      </w:r>
      <w:r w:rsidRPr="0002180E">
        <w:rPr>
          <w:noProof w:val="0"/>
          <w:color w:val="auto"/>
          <w:sz w:val="20"/>
        </w:rPr>
        <w:t xml:space="preserve"> we have published draft indicat</w:t>
      </w:r>
      <w:r w:rsidR="00AA4190">
        <w:rPr>
          <w:noProof w:val="0"/>
          <w:color w:val="auto"/>
          <w:sz w:val="20"/>
        </w:rPr>
        <w:t xml:space="preserve">ive connection charges prior to </w:t>
      </w:r>
      <w:r w:rsidRPr="0002180E">
        <w:rPr>
          <w:noProof w:val="0"/>
          <w:color w:val="auto"/>
          <w:sz w:val="20"/>
        </w:rPr>
        <w:t>31 January to provide customers with an early indication of the level of their charges.</w:t>
      </w:r>
      <w:r w:rsidR="00AA4190">
        <w:rPr>
          <w:noProof w:val="0"/>
          <w:color w:val="auto"/>
          <w:sz w:val="20"/>
        </w:rPr>
        <w:t xml:space="preserve"> </w:t>
      </w:r>
      <w:r w:rsidR="00E301B3">
        <w:rPr>
          <w:noProof w:val="0"/>
          <w:color w:val="auto"/>
          <w:sz w:val="20"/>
        </w:rPr>
        <w:t>Each year the following areas are reviewed:</w:t>
      </w:r>
    </w:p>
    <w:p w14:paraId="1D327636" w14:textId="77777777" w:rsidR="00E301B3" w:rsidRPr="00E301B3" w:rsidRDefault="00E301B3" w:rsidP="00E301B3">
      <w:pPr>
        <w:pStyle w:val="SectionSubheading"/>
        <w:numPr>
          <w:ilvl w:val="0"/>
          <w:numId w:val="33"/>
        </w:numPr>
        <w:rPr>
          <w:noProof w:val="0"/>
          <w:color w:val="auto"/>
          <w:sz w:val="20"/>
        </w:rPr>
      </w:pPr>
      <w:r w:rsidRPr="00E301B3">
        <w:rPr>
          <w:noProof w:val="0"/>
          <w:color w:val="auto"/>
          <w:sz w:val="20"/>
        </w:rPr>
        <w:t>The Gross Asset Values (GAV) of Pre-Vesting Connection assets (</w:t>
      </w:r>
      <w:proofErr w:type="gramStart"/>
      <w:r w:rsidRPr="00E301B3">
        <w:rPr>
          <w:noProof w:val="0"/>
          <w:color w:val="auto"/>
          <w:sz w:val="20"/>
        </w:rPr>
        <w:t>i.e.</w:t>
      </w:r>
      <w:proofErr w:type="gramEnd"/>
      <w:r w:rsidRPr="00E301B3">
        <w:rPr>
          <w:noProof w:val="0"/>
          <w:color w:val="auto"/>
          <w:sz w:val="20"/>
        </w:rPr>
        <w:t xml:space="preserve"> those Connections made prior to 30 March 1990), </w:t>
      </w:r>
      <w:r>
        <w:rPr>
          <w:noProof w:val="0"/>
          <w:color w:val="auto"/>
          <w:sz w:val="20"/>
        </w:rPr>
        <w:t>are</w:t>
      </w:r>
      <w:r w:rsidRPr="00E301B3">
        <w:rPr>
          <w:noProof w:val="0"/>
          <w:color w:val="auto"/>
          <w:sz w:val="20"/>
        </w:rPr>
        <w:t xml:space="preserve"> amended in line with the Retail Price Index (RPI).</w:t>
      </w:r>
    </w:p>
    <w:p w14:paraId="33EDA5F2" w14:textId="77777777" w:rsidR="00E301B3" w:rsidRPr="00E301B3" w:rsidRDefault="00E301B3" w:rsidP="00E301B3">
      <w:pPr>
        <w:pStyle w:val="SectionSubheading"/>
        <w:numPr>
          <w:ilvl w:val="0"/>
          <w:numId w:val="33"/>
        </w:numPr>
        <w:rPr>
          <w:noProof w:val="0"/>
          <w:color w:val="auto"/>
          <w:sz w:val="20"/>
        </w:rPr>
      </w:pPr>
      <w:r w:rsidRPr="00E301B3">
        <w:rPr>
          <w:noProof w:val="0"/>
          <w:color w:val="auto"/>
          <w:sz w:val="20"/>
        </w:rPr>
        <w:t>The Gross Asset Values of Post-Vesting Connection assets (</w:t>
      </w:r>
      <w:proofErr w:type="gramStart"/>
      <w:r w:rsidRPr="00E301B3">
        <w:rPr>
          <w:noProof w:val="0"/>
          <w:color w:val="auto"/>
          <w:sz w:val="20"/>
        </w:rPr>
        <w:t>i.e.</w:t>
      </w:r>
      <w:proofErr w:type="gramEnd"/>
      <w:r w:rsidRPr="00E301B3">
        <w:rPr>
          <w:noProof w:val="0"/>
          <w:color w:val="auto"/>
          <w:sz w:val="20"/>
        </w:rPr>
        <w:t xml:space="preserve"> those Connections made post 30 March 1990), </w:t>
      </w:r>
      <w:r>
        <w:rPr>
          <w:noProof w:val="0"/>
          <w:color w:val="auto"/>
          <w:sz w:val="20"/>
        </w:rPr>
        <w:t xml:space="preserve">are </w:t>
      </w:r>
      <w:r w:rsidRPr="00E301B3">
        <w:rPr>
          <w:noProof w:val="0"/>
          <w:color w:val="auto"/>
          <w:sz w:val="20"/>
        </w:rPr>
        <w:t>re-valued using your chosen revaluation methodology (RPI method or Modern Equivalent Asset (MEA) method).</w:t>
      </w:r>
    </w:p>
    <w:p w14:paraId="3F0414D3" w14:textId="251F6904" w:rsidR="00E301B3" w:rsidRPr="00E301B3" w:rsidRDefault="00E301B3" w:rsidP="00E301B3">
      <w:pPr>
        <w:pStyle w:val="SectionSubheading"/>
        <w:numPr>
          <w:ilvl w:val="0"/>
          <w:numId w:val="33"/>
        </w:numPr>
        <w:rPr>
          <w:noProof w:val="0"/>
          <w:color w:val="auto"/>
          <w:sz w:val="20"/>
        </w:rPr>
      </w:pPr>
      <w:r w:rsidRPr="00E301B3">
        <w:rPr>
          <w:noProof w:val="0"/>
          <w:color w:val="auto"/>
          <w:sz w:val="20"/>
        </w:rPr>
        <w:t>The indicative net GB Transmission Running Cost factor will be 1.</w:t>
      </w:r>
      <w:r w:rsidR="00433657">
        <w:rPr>
          <w:noProof w:val="0"/>
          <w:color w:val="auto"/>
          <w:sz w:val="20"/>
        </w:rPr>
        <w:t>06</w:t>
      </w:r>
      <w:r w:rsidRPr="00E301B3">
        <w:rPr>
          <w:noProof w:val="0"/>
          <w:color w:val="auto"/>
          <w:sz w:val="20"/>
        </w:rPr>
        <w:t xml:space="preserve">% derived from the final price control proposals for the period </w:t>
      </w:r>
      <w:r w:rsidR="00080085" w:rsidRPr="00B1655E">
        <w:rPr>
          <w:noProof w:val="0"/>
          <w:color w:val="auto"/>
          <w:sz w:val="20"/>
        </w:rPr>
        <w:t>20</w:t>
      </w:r>
      <w:r w:rsidR="00080085">
        <w:rPr>
          <w:noProof w:val="0"/>
          <w:color w:val="auto"/>
          <w:sz w:val="20"/>
        </w:rPr>
        <w:t>21/22 to 2025/26</w:t>
      </w:r>
    </w:p>
    <w:p w14:paraId="1A9FA950" w14:textId="77777777" w:rsidR="00E301B3" w:rsidRDefault="00E301B3" w:rsidP="00E301B3">
      <w:pPr>
        <w:pStyle w:val="SectionSubheading"/>
        <w:numPr>
          <w:ilvl w:val="0"/>
          <w:numId w:val="33"/>
        </w:numPr>
        <w:rPr>
          <w:noProof w:val="0"/>
          <w:color w:val="auto"/>
          <w:sz w:val="20"/>
        </w:rPr>
      </w:pPr>
      <w:r w:rsidRPr="00E301B3">
        <w:rPr>
          <w:noProof w:val="0"/>
          <w:color w:val="auto"/>
          <w:sz w:val="20"/>
        </w:rPr>
        <w:t xml:space="preserve">Indicative GB Site Specific Maintenance charges will be </w:t>
      </w:r>
      <w:r>
        <w:rPr>
          <w:noProof w:val="0"/>
          <w:color w:val="auto"/>
          <w:sz w:val="20"/>
        </w:rPr>
        <w:t>recalculated</w:t>
      </w:r>
      <w:r w:rsidRPr="00E301B3">
        <w:rPr>
          <w:noProof w:val="0"/>
          <w:color w:val="auto"/>
          <w:sz w:val="20"/>
        </w:rPr>
        <w:t xml:space="preserve">. This factor is calculated using data from all three Transmission </w:t>
      </w:r>
      <w:r>
        <w:rPr>
          <w:noProof w:val="0"/>
          <w:color w:val="auto"/>
          <w:sz w:val="20"/>
        </w:rPr>
        <w:t>Owners</w:t>
      </w:r>
      <w:r w:rsidRPr="00E301B3">
        <w:rPr>
          <w:noProof w:val="0"/>
          <w:color w:val="auto"/>
          <w:sz w:val="20"/>
        </w:rPr>
        <w:t>.</w:t>
      </w:r>
    </w:p>
    <w:p w14:paraId="7A2F208D" w14:textId="77777777" w:rsidR="00E301B3" w:rsidRDefault="00E301B3" w:rsidP="00E301B3">
      <w:pPr>
        <w:pStyle w:val="SectionSubheading"/>
        <w:rPr>
          <w:noProof w:val="0"/>
          <w:color w:val="auto"/>
          <w:sz w:val="20"/>
        </w:rPr>
      </w:pPr>
    </w:p>
    <w:p w14:paraId="7D00ADCA" w14:textId="77777777" w:rsidR="00E301B3" w:rsidRDefault="00E301B3" w:rsidP="00E301B3">
      <w:pPr>
        <w:pStyle w:val="SectionSubheading"/>
        <w:rPr>
          <w:noProof w:val="0"/>
          <w:color w:val="auto"/>
          <w:sz w:val="20"/>
        </w:rPr>
      </w:pPr>
      <w:r>
        <w:rPr>
          <w:noProof w:val="0"/>
          <w:color w:val="auto"/>
          <w:sz w:val="20"/>
        </w:rPr>
        <w:t>We will write out to you confirming your indicative charges for the following financial year and your actual charges. This will include a new Appendix A and B with a copy of your charge book showing the before and after charges.</w:t>
      </w:r>
    </w:p>
    <w:p w14:paraId="415CFDAD" w14:textId="77777777" w:rsidR="00AC239D" w:rsidRDefault="00AC239D" w:rsidP="00E301B3">
      <w:pPr>
        <w:pStyle w:val="SectionSubheading"/>
        <w:rPr>
          <w:noProof w:val="0"/>
          <w:color w:val="auto"/>
          <w:sz w:val="20"/>
        </w:rPr>
      </w:pPr>
    </w:p>
    <w:p w14:paraId="32441563" w14:textId="76240520" w:rsidR="00AC239D" w:rsidRPr="0047219F" w:rsidRDefault="00AC239D" w:rsidP="00AC239D">
      <w:pPr>
        <w:pStyle w:val="SectionTitle"/>
        <w:rPr>
          <w:color w:val="auto"/>
          <w:sz w:val="32"/>
          <w:szCs w:val="48"/>
        </w:rPr>
      </w:pPr>
      <w:r w:rsidRPr="0047219F">
        <w:rPr>
          <w:color w:val="auto"/>
          <w:sz w:val="32"/>
          <w:szCs w:val="48"/>
        </w:rPr>
        <w:t>Post Commissioning Securities</w:t>
      </w:r>
    </w:p>
    <w:p w14:paraId="3FF6D275" w14:textId="77777777" w:rsidR="00CE5122" w:rsidRDefault="00AF00E1" w:rsidP="00AC239D">
      <w:pPr>
        <w:pStyle w:val="SectionSubheading"/>
        <w:rPr>
          <w:color w:val="auto"/>
          <w:sz w:val="20"/>
        </w:rPr>
      </w:pPr>
      <w:r w:rsidRPr="00CE5122">
        <w:rPr>
          <w:color w:val="auto"/>
          <w:sz w:val="20"/>
        </w:rPr>
        <w:t>Customers are required under existing User Commitment Arrangements to financially secure NG’s spend in relation to their connection.</w:t>
      </w:r>
    </w:p>
    <w:p w14:paraId="0B47F1A7" w14:textId="78CBF155" w:rsidR="0080400B" w:rsidRDefault="00AF00E1" w:rsidP="00AC239D">
      <w:pPr>
        <w:pStyle w:val="SectionSubheading"/>
        <w:rPr>
          <w:color w:val="auto"/>
          <w:sz w:val="20"/>
        </w:rPr>
      </w:pPr>
      <w:r w:rsidRPr="00CE5122">
        <w:rPr>
          <w:color w:val="auto"/>
          <w:sz w:val="20"/>
        </w:rPr>
        <w:t>Pre-Connection customers will receive a security statement from NESO through the bi-annual process in January and July. There are two security methodologies currently in use</w:t>
      </w:r>
    </w:p>
    <w:p w14:paraId="469C303C" w14:textId="77777777" w:rsidR="0080400B" w:rsidRDefault="00AF00E1" w:rsidP="00AC239D">
      <w:pPr>
        <w:pStyle w:val="SectionSubheading"/>
        <w:rPr>
          <w:color w:val="auto"/>
          <w:sz w:val="20"/>
        </w:rPr>
      </w:pPr>
      <w:r w:rsidRPr="00CE5122">
        <w:rPr>
          <w:color w:val="auto"/>
          <w:sz w:val="20"/>
        </w:rPr>
        <w:t xml:space="preserve">• CMP192 – applicable to all generation projects including embedded generators </w:t>
      </w:r>
    </w:p>
    <w:p w14:paraId="0E8F7D19" w14:textId="20F3DE19" w:rsidR="00AC239D" w:rsidRDefault="00AF00E1" w:rsidP="00AC239D">
      <w:pPr>
        <w:pStyle w:val="SectionSubheading"/>
        <w:rPr>
          <w:color w:val="auto"/>
          <w:sz w:val="20"/>
        </w:rPr>
      </w:pPr>
      <w:r w:rsidRPr="00CE5122">
        <w:rPr>
          <w:color w:val="auto"/>
          <w:sz w:val="20"/>
        </w:rPr>
        <w:lastRenderedPageBreak/>
        <w:t>• Final Sums – applicable to DNOs and directly connected demand</w:t>
      </w:r>
    </w:p>
    <w:p w14:paraId="6C503FD3" w14:textId="77777777" w:rsidR="004D57BD" w:rsidRDefault="004D57BD" w:rsidP="00AC239D">
      <w:pPr>
        <w:pStyle w:val="SectionSubheading"/>
        <w:rPr>
          <w:color w:val="auto"/>
          <w:sz w:val="20"/>
        </w:rPr>
      </w:pPr>
    </w:p>
    <w:p w14:paraId="2AEEA9F8" w14:textId="15D14352" w:rsidR="004D57BD" w:rsidRDefault="004D57BD" w:rsidP="00AC239D">
      <w:pPr>
        <w:pStyle w:val="SectionSubheading"/>
        <w:rPr>
          <w:color w:val="auto"/>
          <w:sz w:val="20"/>
        </w:rPr>
      </w:pPr>
      <w:r w:rsidRPr="004D57BD">
        <w:rPr>
          <w:color w:val="auto"/>
          <w:sz w:val="20"/>
        </w:rPr>
        <w:t>Security is codified in the Connection Use of System Code (CUSC) section 15</w:t>
      </w:r>
      <w:r>
        <w:rPr>
          <w:color w:val="auto"/>
          <w:sz w:val="20"/>
        </w:rPr>
        <w:t xml:space="preserve">. </w:t>
      </w:r>
    </w:p>
    <w:p w14:paraId="59F374C2" w14:textId="196894A8" w:rsidR="004276AC" w:rsidRPr="004276AC" w:rsidRDefault="004276AC" w:rsidP="004276AC">
      <w:pPr>
        <w:pStyle w:val="SectionSubheading"/>
        <w:rPr>
          <w:color w:val="auto"/>
          <w:sz w:val="20"/>
        </w:rPr>
      </w:pPr>
      <w:r w:rsidRPr="004276AC">
        <w:rPr>
          <w:color w:val="auto"/>
          <w:sz w:val="20"/>
        </w:rPr>
        <w:t>Security is placed by customers and is a proportion of the liability incurred in relation to the</w:t>
      </w:r>
      <w:r>
        <w:rPr>
          <w:color w:val="auto"/>
          <w:sz w:val="20"/>
        </w:rPr>
        <w:t xml:space="preserve"> </w:t>
      </w:r>
      <w:r w:rsidRPr="004276AC">
        <w:rPr>
          <w:color w:val="auto"/>
          <w:sz w:val="20"/>
        </w:rPr>
        <w:t>works required to facilitate a particular project. Security is returned upon connection of aproject.</w:t>
      </w:r>
    </w:p>
    <w:p w14:paraId="12E80C71" w14:textId="787475A4" w:rsidR="004276AC" w:rsidRPr="004276AC" w:rsidRDefault="004276AC" w:rsidP="004276AC">
      <w:pPr>
        <w:pStyle w:val="SectionSubheading"/>
        <w:rPr>
          <w:color w:val="auto"/>
          <w:sz w:val="20"/>
        </w:rPr>
      </w:pPr>
      <w:r w:rsidRPr="004276AC">
        <w:rPr>
          <w:color w:val="auto"/>
          <w:sz w:val="20"/>
        </w:rPr>
        <w:t>Through the bi-annual security process the required security must be placed 45 days before</w:t>
      </w:r>
      <w:r>
        <w:rPr>
          <w:color w:val="auto"/>
          <w:sz w:val="20"/>
        </w:rPr>
        <w:t xml:space="preserve"> </w:t>
      </w:r>
      <w:r w:rsidRPr="004276AC">
        <w:rPr>
          <w:color w:val="auto"/>
          <w:sz w:val="20"/>
        </w:rPr>
        <w:t>the start of the next security period (with the exception of cash securities – please see</w:t>
      </w:r>
      <w:r>
        <w:rPr>
          <w:color w:val="auto"/>
          <w:sz w:val="20"/>
        </w:rPr>
        <w:t xml:space="preserve"> (</w:t>
      </w:r>
      <w:r w:rsidRPr="004276AC">
        <w:rPr>
          <w:color w:val="auto"/>
          <w:sz w:val="20"/>
        </w:rPr>
        <w:t>CMP351).</w:t>
      </w:r>
    </w:p>
    <w:p w14:paraId="440DC3F2" w14:textId="2CAEC42F" w:rsidR="004462B0" w:rsidRPr="00CE5122" w:rsidRDefault="004276AC" w:rsidP="004276AC">
      <w:pPr>
        <w:pStyle w:val="SectionSubheading"/>
        <w:rPr>
          <w:color w:val="auto"/>
          <w:sz w:val="20"/>
        </w:rPr>
      </w:pPr>
      <w:r w:rsidRPr="004276AC">
        <w:rPr>
          <w:color w:val="auto"/>
          <w:sz w:val="20"/>
        </w:rPr>
        <w:t>As well as receiving a security statement through the bi-annual process in January and July</w:t>
      </w:r>
      <w:r>
        <w:rPr>
          <w:color w:val="auto"/>
          <w:sz w:val="20"/>
        </w:rPr>
        <w:t xml:space="preserve"> </w:t>
      </w:r>
      <w:r w:rsidRPr="004276AC">
        <w:rPr>
          <w:color w:val="auto"/>
          <w:sz w:val="20"/>
        </w:rPr>
        <w:t>customers will also receive an updated security with mod offer or new contract offer. Upon</w:t>
      </w:r>
      <w:r>
        <w:rPr>
          <w:color w:val="auto"/>
          <w:sz w:val="20"/>
        </w:rPr>
        <w:t xml:space="preserve"> </w:t>
      </w:r>
      <w:r w:rsidRPr="004276AC">
        <w:rPr>
          <w:color w:val="auto"/>
          <w:sz w:val="20"/>
        </w:rPr>
        <w:t>the signing of a contract or contract variation the customer has 30 days to placed the</w:t>
      </w:r>
      <w:r>
        <w:rPr>
          <w:color w:val="auto"/>
          <w:sz w:val="20"/>
        </w:rPr>
        <w:t xml:space="preserve"> </w:t>
      </w:r>
      <w:r w:rsidRPr="004276AC">
        <w:rPr>
          <w:color w:val="auto"/>
          <w:sz w:val="20"/>
        </w:rPr>
        <w:t>required security.</w:t>
      </w:r>
    </w:p>
    <w:p w14:paraId="3D0714BE" w14:textId="77777777" w:rsidR="00AC239D" w:rsidRPr="00B71115" w:rsidRDefault="00AC239D" w:rsidP="00E301B3">
      <w:pPr>
        <w:pStyle w:val="SectionSubheading"/>
        <w:rPr>
          <w:noProof w:val="0"/>
          <w:color w:val="auto"/>
          <w:sz w:val="20"/>
        </w:rPr>
      </w:pPr>
    </w:p>
    <w:sectPr w:rsidR="00AC239D" w:rsidRPr="00B71115" w:rsidSect="00566553">
      <w:headerReference w:type="default" r:id="rId15"/>
      <w:pgSz w:w="11906" w:h="16838" w:code="9"/>
      <w:pgMar w:top="1588" w:right="1588" w:bottom="1134" w:left="1588" w:header="567"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236F" w14:textId="77777777" w:rsidR="006D46C8" w:rsidRDefault="006D46C8" w:rsidP="00A62BFF">
      <w:pPr>
        <w:spacing w:after="0"/>
      </w:pPr>
      <w:r>
        <w:separator/>
      </w:r>
    </w:p>
  </w:endnote>
  <w:endnote w:type="continuationSeparator" w:id="0">
    <w:p w14:paraId="64E45245" w14:textId="77777777" w:rsidR="006D46C8" w:rsidRDefault="006D46C8"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81875055"/>
      <w:docPartObj>
        <w:docPartGallery w:val="Page Numbers (Bottom of Page)"/>
        <w:docPartUnique/>
      </w:docPartObj>
    </w:sdtPr>
    <w:sdtEndPr>
      <w:rPr>
        <w:noProof/>
      </w:rPr>
    </w:sdtEndPr>
    <w:sdtContent>
      <w:p w14:paraId="0731C4CF" w14:textId="3A0480C2" w:rsidR="009001EE" w:rsidRDefault="009001EE">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99A9EA6" w14:textId="5D2A3348" w:rsidR="00566553" w:rsidRDefault="00566553" w:rsidP="00CA0088">
    <w:pPr>
      <w:pStyle w:val="Footer"/>
      <w:ind w:left="7200"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17309777"/>
      <w:docPartObj>
        <w:docPartGallery w:val="Page Numbers (Bottom of Page)"/>
        <w:docPartUnique/>
      </w:docPartObj>
    </w:sdtPr>
    <w:sdtEndPr>
      <w:rPr>
        <w:noProof/>
      </w:rPr>
    </w:sdtEndPr>
    <w:sdtContent>
      <w:p w14:paraId="01B6796C" w14:textId="60A45880" w:rsidR="00BB7D88" w:rsidRDefault="00BB7D88">
        <w:pPr>
          <w:pStyle w:val="Footer"/>
          <w:jc w:val="right"/>
        </w:pPr>
        <w:r>
          <w:rPr>
            <w:noProof w:val="0"/>
          </w:rPr>
          <w:t>1</w:t>
        </w:r>
      </w:p>
    </w:sdtContent>
  </w:sdt>
  <w:p w14:paraId="12CE936D" w14:textId="315962A2" w:rsidR="00B10E47" w:rsidRDefault="00B10E47" w:rsidP="00A0314E">
    <w:pPr>
      <w:pStyle w:val="Footer"/>
      <w:tabs>
        <w:tab w:val="right" w:pos="8730"/>
      </w:tabs>
      <w:ind w:left="87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FF0B" w14:textId="77777777" w:rsidR="006D46C8" w:rsidRDefault="006D46C8" w:rsidP="00A62BFF">
      <w:pPr>
        <w:spacing w:after="0"/>
      </w:pPr>
      <w:r>
        <w:separator/>
      </w:r>
    </w:p>
  </w:footnote>
  <w:footnote w:type="continuationSeparator" w:id="0">
    <w:p w14:paraId="541FE013" w14:textId="77777777" w:rsidR="006D46C8" w:rsidRDefault="006D46C8"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7019"/>
      <w:docPartObj>
        <w:docPartGallery w:val="Page Numbers (Margins)"/>
        <w:docPartUnique/>
      </w:docPartObj>
    </w:sdtPr>
    <w:sdtContent>
      <w:p w14:paraId="68936348" w14:textId="462E9914" w:rsidR="00004963" w:rsidRDefault="00004963">
        <w:pPr>
          <w:pStyle w:val="Header"/>
        </w:pPr>
        <w:r>
          <w:rPr>
            <w:noProof/>
          </w:rPr>
          <mc:AlternateContent>
            <mc:Choice Requires="wps">
              <w:drawing>
                <wp:anchor distT="0" distB="0" distL="114300" distR="114300" simplePos="0" relativeHeight="251661312" behindDoc="0" locked="0" layoutInCell="0" allowOverlap="1" wp14:anchorId="4EA90DE4" wp14:editId="10CD4748">
                  <wp:simplePos x="0" y="0"/>
                  <wp:positionH relativeFrom="righ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B533" w14:textId="77777777" w:rsidR="00004963" w:rsidRDefault="0000496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noProof w:val="0"/>
                                  <w:sz w:val="22"/>
                                  <w:szCs w:val="22"/>
                                </w:rPr>
                                <w:fldChar w:fldCharType="begin"/>
                              </w:r>
                              <w:r>
                                <w:instrText xml:space="preserve"> PAGE    \* MERGEFORMAT </w:instrText>
                              </w:r>
                              <w:r>
                                <w:rPr>
                                  <w:rFonts w:eastAsiaTheme="minorEastAsia" w:cs="Times New Roman"/>
                                  <w:noProof w:val="0"/>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A90DE4" id="Rectangle 4"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86B533" w14:textId="77777777" w:rsidR="00004963" w:rsidRDefault="0000496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noProof w:val="0"/>
                            <w:sz w:val="22"/>
                            <w:szCs w:val="22"/>
                          </w:rPr>
                          <w:fldChar w:fldCharType="begin"/>
                        </w:r>
                        <w:r>
                          <w:instrText xml:space="preserve"> PAGE    \* MERGEFORMAT </w:instrText>
                        </w:r>
                        <w:r>
                          <w:rPr>
                            <w:rFonts w:eastAsiaTheme="minorEastAsia" w:cs="Times New Roman"/>
                            <w:noProof w:val="0"/>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6CA4" w14:textId="77777777" w:rsidR="00F85E54" w:rsidRDefault="00F85E54" w:rsidP="00587C50">
    <w:pPr>
      <w:tabs>
        <w:tab w:val="left" w:pos="2330"/>
      </w:tabs>
      <w:rPr>
        <w:rFonts w:asciiTheme="majorHAnsi" w:hAnsiTheme="majorHAnsi" w:cstheme="majorHAnsi"/>
        <w:b/>
        <w:bCs/>
        <w:noProof/>
      </w:rPr>
    </w:pPr>
  </w:p>
  <w:p w14:paraId="417D4BF5" w14:textId="77777777" w:rsidR="00F85E54" w:rsidRDefault="00F85E54" w:rsidP="00587C50">
    <w:pPr>
      <w:tabs>
        <w:tab w:val="left" w:pos="2330"/>
      </w:tabs>
      <w:rPr>
        <w:rFonts w:asciiTheme="majorHAnsi" w:hAnsiTheme="majorHAnsi" w:cstheme="majorHAnsi"/>
        <w:b/>
        <w:bCs/>
        <w:noProof/>
      </w:rPr>
    </w:pPr>
  </w:p>
  <w:p w14:paraId="3A08263A" w14:textId="77777777" w:rsidR="00F85E54" w:rsidRDefault="00F85E54" w:rsidP="00587C50">
    <w:pPr>
      <w:tabs>
        <w:tab w:val="left" w:pos="2330"/>
      </w:tabs>
      <w:rPr>
        <w:rFonts w:asciiTheme="majorHAnsi" w:hAnsiTheme="majorHAnsi" w:cstheme="majorHAnsi"/>
        <w:b/>
        <w:bCs/>
        <w:noProof/>
      </w:rPr>
    </w:pPr>
  </w:p>
  <w:p w14:paraId="1429265A" w14:textId="77777777" w:rsidR="00F85E54" w:rsidRDefault="00F85E54" w:rsidP="00587C50">
    <w:pPr>
      <w:tabs>
        <w:tab w:val="left" w:pos="2330"/>
      </w:tabs>
      <w:rPr>
        <w:rFonts w:asciiTheme="majorHAnsi" w:hAnsiTheme="majorHAnsi" w:cstheme="majorHAnsi"/>
        <w:b/>
        <w:bCs/>
        <w:noProof/>
      </w:rPr>
    </w:pPr>
  </w:p>
  <w:p w14:paraId="3A091B7D" w14:textId="65AF6100" w:rsidR="00AF6740" w:rsidRPr="00A6517C" w:rsidRDefault="00BD0BAF" w:rsidP="00587C50">
    <w:pPr>
      <w:tabs>
        <w:tab w:val="left" w:pos="2330"/>
      </w:tabs>
    </w:pPr>
    <w:r w:rsidRPr="00FE7A0E">
      <w:rPr>
        <w:rFonts w:asciiTheme="majorHAnsi" w:hAnsiTheme="majorHAnsi" w:cstheme="majorHAnsi"/>
        <w:b/>
        <w:bCs/>
        <w:noProof/>
      </w:rPr>
      <w:drawing>
        <wp:anchor distT="0" distB="0" distL="114300" distR="114300" simplePos="0" relativeHeight="251667456" behindDoc="1" locked="1" layoutInCell="1" allowOverlap="0" wp14:anchorId="6E529C63" wp14:editId="5AC5F80C">
          <wp:simplePos x="0" y="0"/>
          <wp:positionH relativeFrom="page">
            <wp:align>left</wp:align>
          </wp:positionH>
          <wp:positionV relativeFrom="page">
            <wp:posOffset>17145</wp:posOffset>
          </wp:positionV>
          <wp:extent cx="7559675" cy="1068451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r w:rsidR="00F85E54">
      <w:rPr>
        <w:rFonts w:asciiTheme="majorHAnsi" w:hAnsiTheme="majorHAnsi" w:cstheme="majorHAnsi"/>
        <w:b/>
        <w:bCs/>
        <w:noProof/>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9E09" w14:textId="62DC2863" w:rsidR="00AF6740" w:rsidRPr="00980623" w:rsidRDefault="009001EE" w:rsidP="00980623">
    <w:pPr>
      <w:pStyle w:val="Header"/>
    </w:pPr>
    <w:r w:rsidRPr="00FE7A0E">
      <w:rPr>
        <w:rFonts w:asciiTheme="majorHAnsi" w:hAnsiTheme="majorHAnsi" w:cstheme="majorHAnsi"/>
        <w:b/>
        <w:bCs/>
        <w:noProof/>
      </w:rPr>
      <w:drawing>
        <wp:anchor distT="0" distB="0" distL="114300" distR="114300" simplePos="0" relativeHeight="251669504" behindDoc="1" locked="1" layoutInCell="1" allowOverlap="0" wp14:anchorId="330637F4" wp14:editId="59FBC671">
          <wp:simplePos x="0" y="0"/>
          <wp:positionH relativeFrom="page">
            <wp:align>right</wp:align>
          </wp:positionH>
          <wp:positionV relativeFrom="page">
            <wp:align>top</wp:align>
          </wp:positionV>
          <wp:extent cx="7559675" cy="106845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058164E5"/>
    <w:multiLevelType w:val="hybridMultilevel"/>
    <w:tmpl w:val="F3CA18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9674420"/>
    <w:multiLevelType w:val="multilevel"/>
    <w:tmpl w:val="63EE2864"/>
    <w:lvl w:ilvl="0">
      <w:start w:val="1"/>
      <w:numFmt w:val="upperLetter"/>
      <w:pStyle w:val="AppendixSectionNumber"/>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F8136BE"/>
    <w:multiLevelType w:val="hybridMultilevel"/>
    <w:tmpl w:val="A18ABFE0"/>
    <w:lvl w:ilvl="0" w:tplc="0BF637A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31BEA"/>
    <w:multiLevelType w:val="hybridMultilevel"/>
    <w:tmpl w:val="331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27806"/>
    <w:multiLevelType w:val="hybridMultilevel"/>
    <w:tmpl w:val="846461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863C31"/>
    <w:multiLevelType w:val="hybridMultilevel"/>
    <w:tmpl w:val="AE76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0708E"/>
    <w:multiLevelType w:val="hybridMultilevel"/>
    <w:tmpl w:val="70FAA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838C1"/>
    <w:multiLevelType w:val="hybridMultilevel"/>
    <w:tmpl w:val="32AAE9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C6692"/>
    <w:multiLevelType w:val="hybridMultilevel"/>
    <w:tmpl w:val="976E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7033F"/>
    <w:multiLevelType w:val="hybridMultilevel"/>
    <w:tmpl w:val="6C9AB4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7580B"/>
    <w:multiLevelType w:val="hybridMultilevel"/>
    <w:tmpl w:val="AD6808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6743DE"/>
    <w:multiLevelType w:val="hybridMultilevel"/>
    <w:tmpl w:val="9EE8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B7225"/>
    <w:multiLevelType w:val="hybridMultilevel"/>
    <w:tmpl w:val="8098CE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52450"/>
    <w:multiLevelType w:val="hybridMultilevel"/>
    <w:tmpl w:val="ABE2A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008C"/>
    <w:multiLevelType w:val="hybridMultilevel"/>
    <w:tmpl w:val="32E0197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517EA3"/>
    <w:multiLevelType w:val="hybridMultilevel"/>
    <w:tmpl w:val="197ACE5E"/>
    <w:lvl w:ilvl="0" w:tplc="0BF637A8">
      <w:start w:val="4"/>
      <w:numFmt w:val="bullet"/>
      <w:lvlText w:val="•"/>
      <w:lvlJc w:val="left"/>
      <w:pPr>
        <w:ind w:left="1080" w:hanging="360"/>
      </w:pPr>
      <w:rPr>
        <w:rFonts w:ascii="Arial" w:eastAsiaTheme="minorHAns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0" w15:restartNumberingAfterBreak="0">
    <w:nsid w:val="6AD3657F"/>
    <w:multiLevelType w:val="multilevel"/>
    <w:tmpl w:val="F8461CFE"/>
    <w:numStyleLink w:val="Bullets"/>
  </w:abstractNum>
  <w:abstractNum w:abstractNumId="31" w15:restartNumberingAfterBreak="0">
    <w:nsid w:val="778E4D1C"/>
    <w:multiLevelType w:val="multilevel"/>
    <w:tmpl w:val="7D7CA560"/>
    <w:numStyleLink w:val="NumberedBulletsList"/>
  </w:abstractNum>
  <w:abstractNum w:abstractNumId="32" w15:restartNumberingAfterBreak="0">
    <w:nsid w:val="7C814088"/>
    <w:multiLevelType w:val="multilevel"/>
    <w:tmpl w:val="4F7EE70A"/>
    <w:lvl w:ilvl="0">
      <w:start w:val="1"/>
      <w:numFmt w:val="bullet"/>
      <w:lvlText w:val=""/>
      <w:lvlJc w:val="left"/>
      <w:pPr>
        <w:ind w:left="284" w:hanging="284"/>
      </w:pPr>
      <w:rPr>
        <w:rFonts w:ascii="Symbol" w:hAnsi="Symbol" w:hint="default"/>
        <w:color w:val="F26522" w:themeColor="accent1"/>
      </w:rPr>
    </w:lvl>
    <w:lvl w:ilvl="1">
      <w:start w:val="1"/>
      <w:numFmt w:val="bullet"/>
      <w:lvlRestart w:val="0"/>
      <w:lvlText w:val="–"/>
      <w:lvlJc w:val="left"/>
      <w:pPr>
        <w:ind w:left="568" w:hanging="284"/>
      </w:pPr>
      <w:rPr>
        <w:rFonts w:ascii="Arial" w:hAnsi="Arial" w:hint="default"/>
        <w:color w:val="F26522" w:themeColor="accent1"/>
      </w:rPr>
    </w:lvl>
    <w:lvl w:ilvl="2">
      <w:start w:val="1"/>
      <w:numFmt w:val="bullet"/>
      <w:lvlRestart w:val="0"/>
      <w:lvlText w:val="○"/>
      <w:lvlJc w:val="left"/>
      <w:pPr>
        <w:ind w:left="852" w:hanging="284"/>
      </w:pPr>
      <w:rPr>
        <w:rFonts w:ascii="Arial" w:hAnsi="Aria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3" w15:restartNumberingAfterBreak="0">
    <w:nsid w:val="7D7B1A5F"/>
    <w:multiLevelType w:val="hybridMultilevel"/>
    <w:tmpl w:val="2BE08D24"/>
    <w:lvl w:ilvl="0" w:tplc="B8368462">
      <w:start w:val="1"/>
      <w:numFmt w:val="decimal"/>
      <w:pStyle w:val="SectionNumber"/>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140382">
    <w:abstractNumId w:val="9"/>
  </w:num>
  <w:num w:numId="2" w16cid:durableId="1349216485">
    <w:abstractNumId w:val="7"/>
  </w:num>
  <w:num w:numId="3" w16cid:durableId="1920747748">
    <w:abstractNumId w:val="6"/>
  </w:num>
  <w:num w:numId="4" w16cid:durableId="1632634787">
    <w:abstractNumId w:val="5"/>
  </w:num>
  <w:num w:numId="5" w16cid:durableId="1677684686">
    <w:abstractNumId w:val="4"/>
  </w:num>
  <w:num w:numId="6" w16cid:durableId="1261916882">
    <w:abstractNumId w:val="8"/>
  </w:num>
  <w:num w:numId="7" w16cid:durableId="2011785126">
    <w:abstractNumId w:val="3"/>
  </w:num>
  <w:num w:numId="8" w16cid:durableId="1122528697">
    <w:abstractNumId w:val="2"/>
  </w:num>
  <w:num w:numId="9" w16cid:durableId="168568191">
    <w:abstractNumId w:val="1"/>
  </w:num>
  <w:num w:numId="10" w16cid:durableId="1632318949">
    <w:abstractNumId w:val="0"/>
  </w:num>
  <w:num w:numId="11" w16cid:durableId="829100636">
    <w:abstractNumId w:val="29"/>
  </w:num>
  <w:num w:numId="12" w16cid:durableId="2027056002">
    <w:abstractNumId w:val="15"/>
  </w:num>
  <w:num w:numId="13" w16cid:durableId="1663200537">
    <w:abstractNumId w:val="33"/>
  </w:num>
  <w:num w:numId="14" w16cid:durableId="1573080231">
    <w:abstractNumId w:val="10"/>
  </w:num>
  <w:num w:numId="15" w16cid:durableId="494036458">
    <w:abstractNumId w:val="30"/>
  </w:num>
  <w:num w:numId="16" w16cid:durableId="1800605019">
    <w:abstractNumId w:val="31"/>
  </w:num>
  <w:num w:numId="17" w16cid:durableId="364212064">
    <w:abstractNumId w:val="12"/>
  </w:num>
  <w:num w:numId="18" w16cid:durableId="678894016">
    <w:abstractNumId w:val="28"/>
  </w:num>
  <w:num w:numId="19" w16cid:durableId="1734813950">
    <w:abstractNumId w:val="32"/>
  </w:num>
  <w:num w:numId="20" w16cid:durableId="2002612775">
    <w:abstractNumId w:val="14"/>
  </w:num>
  <w:num w:numId="21" w16cid:durableId="191461838">
    <w:abstractNumId w:val="18"/>
  </w:num>
  <w:num w:numId="22" w16cid:durableId="803545791">
    <w:abstractNumId w:val="17"/>
  </w:num>
  <w:num w:numId="23" w16cid:durableId="525095171">
    <w:abstractNumId w:val="20"/>
  </w:num>
  <w:num w:numId="24" w16cid:durableId="1307397908">
    <w:abstractNumId w:val="25"/>
  </w:num>
  <w:num w:numId="25" w16cid:durableId="1798983698">
    <w:abstractNumId w:val="19"/>
  </w:num>
  <w:num w:numId="26" w16cid:durableId="797837147">
    <w:abstractNumId w:val="23"/>
  </w:num>
  <w:num w:numId="27" w16cid:durableId="1169641498">
    <w:abstractNumId w:val="13"/>
  </w:num>
  <w:num w:numId="28" w16cid:durableId="1895506453">
    <w:abstractNumId w:val="22"/>
  </w:num>
  <w:num w:numId="29" w16cid:durableId="590360896">
    <w:abstractNumId w:val="27"/>
  </w:num>
  <w:num w:numId="30" w16cid:durableId="1759133565">
    <w:abstractNumId w:val="21"/>
  </w:num>
  <w:num w:numId="31" w16cid:durableId="533428318">
    <w:abstractNumId w:val="16"/>
  </w:num>
  <w:num w:numId="32" w16cid:durableId="1489437295">
    <w:abstractNumId w:val="11"/>
  </w:num>
  <w:num w:numId="33" w16cid:durableId="76483937">
    <w:abstractNumId w:val="26"/>
  </w:num>
  <w:num w:numId="34" w16cid:durableId="83985609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CF"/>
    <w:rsid w:val="0000092C"/>
    <w:rsid w:val="000017C7"/>
    <w:rsid w:val="00004963"/>
    <w:rsid w:val="00007028"/>
    <w:rsid w:val="00011992"/>
    <w:rsid w:val="00013752"/>
    <w:rsid w:val="00015A2A"/>
    <w:rsid w:val="00021319"/>
    <w:rsid w:val="000213BA"/>
    <w:rsid w:val="0002180E"/>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822"/>
    <w:rsid w:val="0004185A"/>
    <w:rsid w:val="00041BFC"/>
    <w:rsid w:val="000421C8"/>
    <w:rsid w:val="0004277D"/>
    <w:rsid w:val="00044DA4"/>
    <w:rsid w:val="0004599D"/>
    <w:rsid w:val="000501BC"/>
    <w:rsid w:val="00053545"/>
    <w:rsid w:val="00055072"/>
    <w:rsid w:val="000556E6"/>
    <w:rsid w:val="00060FB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085"/>
    <w:rsid w:val="00081106"/>
    <w:rsid w:val="000816B3"/>
    <w:rsid w:val="00081F84"/>
    <w:rsid w:val="00081FD6"/>
    <w:rsid w:val="000821BE"/>
    <w:rsid w:val="00083974"/>
    <w:rsid w:val="00083E12"/>
    <w:rsid w:val="0008449E"/>
    <w:rsid w:val="000847DC"/>
    <w:rsid w:val="00084C5F"/>
    <w:rsid w:val="00087020"/>
    <w:rsid w:val="0009211E"/>
    <w:rsid w:val="0009276B"/>
    <w:rsid w:val="00092C02"/>
    <w:rsid w:val="00092D2F"/>
    <w:rsid w:val="00093369"/>
    <w:rsid w:val="000946F1"/>
    <w:rsid w:val="00094E5F"/>
    <w:rsid w:val="0009609C"/>
    <w:rsid w:val="000966D4"/>
    <w:rsid w:val="00097FED"/>
    <w:rsid w:val="000A1C65"/>
    <w:rsid w:val="000A282E"/>
    <w:rsid w:val="000A2C20"/>
    <w:rsid w:val="000A4598"/>
    <w:rsid w:val="000A4F99"/>
    <w:rsid w:val="000A6478"/>
    <w:rsid w:val="000B0860"/>
    <w:rsid w:val="000B0F9C"/>
    <w:rsid w:val="000B19B2"/>
    <w:rsid w:val="000B296B"/>
    <w:rsid w:val="000B304C"/>
    <w:rsid w:val="000B3F97"/>
    <w:rsid w:val="000B475E"/>
    <w:rsid w:val="000B5338"/>
    <w:rsid w:val="000B6756"/>
    <w:rsid w:val="000B6A4C"/>
    <w:rsid w:val="000B7E99"/>
    <w:rsid w:val="000C0366"/>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2331"/>
    <w:rsid w:val="000E3824"/>
    <w:rsid w:val="000E43B5"/>
    <w:rsid w:val="000E496F"/>
    <w:rsid w:val="000E4C7B"/>
    <w:rsid w:val="000E5122"/>
    <w:rsid w:val="000E6380"/>
    <w:rsid w:val="000E6C6B"/>
    <w:rsid w:val="000E74B9"/>
    <w:rsid w:val="000F033D"/>
    <w:rsid w:val="000F0452"/>
    <w:rsid w:val="000F120C"/>
    <w:rsid w:val="000F224C"/>
    <w:rsid w:val="000F3E38"/>
    <w:rsid w:val="000F5DF1"/>
    <w:rsid w:val="000F65D6"/>
    <w:rsid w:val="000F67B8"/>
    <w:rsid w:val="001007CC"/>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4E29"/>
    <w:rsid w:val="001258BB"/>
    <w:rsid w:val="001262D3"/>
    <w:rsid w:val="00127759"/>
    <w:rsid w:val="00130F65"/>
    <w:rsid w:val="00132C86"/>
    <w:rsid w:val="001340C9"/>
    <w:rsid w:val="001349FB"/>
    <w:rsid w:val="00134AC2"/>
    <w:rsid w:val="00134AF9"/>
    <w:rsid w:val="00134F82"/>
    <w:rsid w:val="0013659A"/>
    <w:rsid w:val="00136B6F"/>
    <w:rsid w:val="00137524"/>
    <w:rsid w:val="00137D1B"/>
    <w:rsid w:val="0014185A"/>
    <w:rsid w:val="001426CA"/>
    <w:rsid w:val="0014293F"/>
    <w:rsid w:val="001446CA"/>
    <w:rsid w:val="00144C22"/>
    <w:rsid w:val="00144D31"/>
    <w:rsid w:val="00146DE3"/>
    <w:rsid w:val="00146EC7"/>
    <w:rsid w:val="00147154"/>
    <w:rsid w:val="00147BF4"/>
    <w:rsid w:val="001510CA"/>
    <w:rsid w:val="0015164E"/>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67F6A"/>
    <w:rsid w:val="00170B39"/>
    <w:rsid w:val="0017122F"/>
    <w:rsid w:val="001722A3"/>
    <w:rsid w:val="00172340"/>
    <w:rsid w:val="0017274A"/>
    <w:rsid w:val="00172FD4"/>
    <w:rsid w:val="00173215"/>
    <w:rsid w:val="0017346A"/>
    <w:rsid w:val="00173FC9"/>
    <w:rsid w:val="00174406"/>
    <w:rsid w:val="0017581D"/>
    <w:rsid w:val="00176FB8"/>
    <w:rsid w:val="00177CCF"/>
    <w:rsid w:val="00181B49"/>
    <w:rsid w:val="00182168"/>
    <w:rsid w:val="00186A6D"/>
    <w:rsid w:val="00186DF4"/>
    <w:rsid w:val="00186FE8"/>
    <w:rsid w:val="001917FE"/>
    <w:rsid w:val="001920B4"/>
    <w:rsid w:val="001935DE"/>
    <w:rsid w:val="001938FD"/>
    <w:rsid w:val="00193E2E"/>
    <w:rsid w:val="00193F3F"/>
    <w:rsid w:val="0019567E"/>
    <w:rsid w:val="00195C2B"/>
    <w:rsid w:val="00196281"/>
    <w:rsid w:val="0019677B"/>
    <w:rsid w:val="001A0E5B"/>
    <w:rsid w:val="001A170B"/>
    <w:rsid w:val="001A24B0"/>
    <w:rsid w:val="001A3BE2"/>
    <w:rsid w:val="001A466F"/>
    <w:rsid w:val="001A4EB3"/>
    <w:rsid w:val="001A574A"/>
    <w:rsid w:val="001A5AE4"/>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682C"/>
    <w:rsid w:val="001E2110"/>
    <w:rsid w:val="001E2E4F"/>
    <w:rsid w:val="001E372F"/>
    <w:rsid w:val="001E4924"/>
    <w:rsid w:val="001E54FC"/>
    <w:rsid w:val="001E5836"/>
    <w:rsid w:val="001E6636"/>
    <w:rsid w:val="001E74F3"/>
    <w:rsid w:val="001E7752"/>
    <w:rsid w:val="001F04C9"/>
    <w:rsid w:val="001F101E"/>
    <w:rsid w:val="001F1748"/>
    <w:rsid w:val="001F1FD2"/>
    <w:rsid w:val="001F494B"/>
    <w:rsid w:val="001F59CD"/>
    <w:rsid w:val="001F5D85"/>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36F2D"/>
    <w:rsid w:val="0024092B"/>
    <w:rsid w:val="00240BBA"/>
    <w:rsid w:val="0024129E"/>
    <w:rsid w:val="00241AA1"/>
    <w:rsid w:val="00241B4F"/>
    <w:rsid w:val="00246FF1"/>
    <w:rsid w:val="00251245"/>
    <w:rsid w:val="00251AC7"/>
    <w:rsid w:val="00251EF1"/>
    <w:rsid w:val="0025377E"/>
    <w:rsid w:val="00253FF0"/>
    <w:rsid w:val="00254702"/>
    <w:rsid w:val="00254ACB"/>
    <w:rsid w:val="00254EB1"/>
    <w:rsid w:val="0025501B"/>
    <w:rsid w:val="0025509C"/>
    <w:rsid w:val="00261382"/>
    <w:rsid w:val="00261FDF"/>
    <w:rsid w:val="00270DDA"/>
    <w:rsid w:val="00271135"/>
    <w:rsid w:val="00272013"/>
    <w:rsid w:val="00273931"/>
    <w:rsid w:val="00274FB1"/>
    <w:rsid w:val="00275285"/>
    <w:rsid w:val="0027568B"/>
    <w:rsid w:val="00275D22"/>
    <w:rsid w:val="00275E09"/>
    <w:rsid w:val="00276BA1"/>
    <w:rsid w:val="00277702"/>
    <w:rsid w:val="002778F6"/>
    <w:rsid w:val="00277B32"/>
    <w:rsid w:val="00280106"/>
    <w:rsid w:val="00281809"/>
    <w:rsid w:val="00281855"/>
    <w:rsid w:val="00281AB6"/>
    <w:rsid w:val="00281CDF"/>
    <w:rsid w:val="002827FE"/>
    <w:rsid w:val="00282A6B"/>
    <w:rsid w:val="00284A52"/>
    <w:rsid w:val="00285D15"/>
    <w:rsid w:val="00286477"/>
    <w:rsid w:val="002872AD"/>
    <w:rsid w:val="002874BE"/>
    <w:rsid w:val="002876A7"/>
    <w:rsid w:val="00290262"/>
    <w:rsid w:val="00290786"/>
    <w:rsid w:val="00291B33"/>
    <w:rsid w:val="00291E2C"/>
    <w:rsid w:val="00293344"/>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7E81"/>
    <w:rsid w:val="002C112B"/>
    <w:rsid w:val="002C1211"/>
    <w:rsid w:val="002C1261"/>
    <w:rsid w:val="002C2938"/>
    <w:rsid w:val="002C3A7C"/>
    <w:rsid w:val="002C3C01"/>
    <w:rsid w:val="002C4AC0"/>
    <w:rsid w:val="002C4BAB"/>
    <w:rsid w:val="002C67B0"/>
    <w:rsid w:val="002C7A80"/>
    <w:rsid w:val="002D02A7"/>
    <w:rsid w:val="002D02FA"/>
    <w:rsid w:val="002D1C14"/>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4B9A"/>
    <w:rsid w:val="002F592C"/>
    <w:rsid w:val="002F6F4F"/>
    <w:rsid w:val="002F7DB8"/>
    <w:rsid w:val="003003BD"/>
    <w:rsid w:val="00300C61"/>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2CC9"/>
    <w:rsid w:val="00322FCE"/>
    <w:rsid w:val="00323E4E"/>
    <w:rsid w:val="00323F41"/>
    <w:rsid w:val="00325261"/>
    <w:rsid w:val="0032644E"/>
    <w:rsid w:val="0032666D"/>
    <w:rsid w:val="00330652"/>
    <w:rsid w:val="0033065A"/>
    <w:rsid w:val="00331CB7"/>
    <w:rsid w:val="00331EC9"/>
    <w:rsid w:val="0033243A"/>
    <w:rsid w:val="00332474"/>
    <w:rsid w:val="00332A06"/>
    <w:rsid w:val="0033397E"/>
    <w:rsid w:val="00333BB8"/>
    <w:rsid w:val="00333D82"/>
    <w:rsid w:val="00334B2B"/>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30E1"/>
    <w:rsid w:val="003550C3"/>
    <w:rsid w:val="0035561E"/>
    <w:rsid w:val="00357149"/>
    <w:rsid w:val="0036093F"/>
    <w:rsid w:val="00360E0D"/>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2874"/>
    <w:rsid w:val="003B3803"/>
    <w:rsid w:val="003B5C8F"/>
    <w:rsid w:val="003B6831"/>
    <w:rsid w:val="003B6A3F"/>
    <w:rsid w:val="003B6D10"/>
    <w:rsid w:val="003B79DF"/>
    <w:rsid w:val="003C53ED"/>
    <w:rsid w:val="003D01FA"/>
    <w:rsid w:val="003D2C2E"/>
    <w:rsid w:val="003D4151"/>
    <w:rsid w:val="003D634B"/>
    <w:rsid w:val="003D6B83"/>
    <w:rsid w:val="003E0A82"/>
    <w:rsid w:val="003E245C"/>
    <w:rsid w:val="003E2DA4"/>
    <w:rsid w:val="003E300B"/>
    <w:rsid w:val="003E591F"/>
    <w:rsid w:val="003E59AF"/>
    <w:rsid w:val="003E780E"/>
    <w:rsid w:val="003F3C92"/>
    <w:rsid w:val="003F4485"/>
    <w:rsid w:val="003F699C"/>
    <w:rsid w:val="00400625"/>
    <w:rsid w:val="00400E68"/>
    <w:rsid w:val="004011DE"/>
    <w:rsid w:val="00401532"/>
    <w:rsid w:val="00401DC8"/>
    <w:rsid w:val="00402213"/>
    <w:rsid w:val="00402C56"/>
    <w:rsid w:val="00403161"/>
    <w:rsid w:val="00404065"/>
    <w:rsid w:val="0040422E"/>
    <w:rsid w:val="00405212"/>
    <w:rsid w:val="004053E3"/>
    <w:rsid w:val="004132D1"/>
    <w:rsid w:val="00413956"/>
    <w:rsid w:val="00413CEE"/>
    <w:rsid w:val="004140D9"/>
    <w:rsid w:val="0041583A"/>
    <w:rsid w:val="00415A85"/>
    <w:rsid w:val="00416E60"/>
    <w:rsid w:val="004178E0"/>
    <w:rsid w:val="004207C1"/>
    <w:rsid w:val="00420DE8"/>
    <w:rsid w:val="00423DA3"/>
    <w:rsid w:val="00424A7D"/>
    <w:rsid w:val="00424DDB"/>
    <w:rsid w:val="00424FCC"/>
    <w:rsid w:val="00425059"/>
    <w:rsid w:val="00426B39"/>
    <w:rsid w:val="00426F5C"/>
    <w:rsid w:val="004276AC"/>
    <w:rsid w:val="00427EE0"/>
    <w:rsid w:val="00431F99"/>
    <w:rsid w:val="004335BD"/>
    <w:rsid w:val="00433657"/>
    <w:rsid w:val="00435512"/>
    <w:rsid w:val="00436720"/>
    <w:rsid w:val="0043703E"/>
    <w:rsid w:val="00440B3A"/>
    <w:rsid w:val="004418A1"/>
    <w:rsid w:val="00443555"/>
    <w:rsid w:val="004435E6"/>
    <w:rsid w:val="00443681"/>
    <w:rsid w:val="004436DC"/>
    <w:rsid w:val="00444AE6"/>
    <w:rsid w:val="004462B0"/>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19F"/>
    <w:rsid w:val="00473562"/>
    <w:rsid w:val="00473C1A"/>
    <w:rsid w:val="00474271"/>
    <w:rsid w:val="00474678"/>
    <w:rsid w:val="00477C68"/>
    <w:rsid w:val="00480421"/>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4C"/>
    <w:rsid w:val="004A07FA"/>
    <w:rsid w:val="004A338B"/>
    <w:rsid w:val="004A36F2"/>
    <w:rsid w:val="004A43DA"/>
    <w:rsid w:val="004A461F"/>
    <w:rsid w:val="004A49C5"/>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57BD"/>
    <w:rsid w:val="004D7FE4"/>
    <w:rsid w:val="004E0492"/>
    <w:rsid w:val="004E076E"/>
    <w:rsid w:val="004E0C02"/>
    <w:rsid w:val="004E30DC"/>
    <w:rsid w:val="004E34A5"/>
    <w:rsid w:val="004E436B"/>
    <w:rsid w:val="004E4B89"/>
    <w:rsid w:val="004E5EDA"/>
    <w:rsid w:val="004E6B22"/>
    <w:rsid w:val="004E6F2B"/>
    <w:rsid w:val="004E71AE"/>
    <w:rsid w:val="004F0137"/>
    <w:rsid w:val="004F0551"/>
    <w:rsid w:val="004F0640"/>
    <w:rsid w:val="004F0AF4"/>
    <w:rsid w:val="004F23EF"/>
    <w:rsid w:val="004F2BE0"/>
    <w:rsid w:val="004F3A56"/>
    <w:rsid w:val="004F488A"/>
    <w:rsid w:val="004F53BF"/>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1BB4"/>
    <w:rsid w:val="00522096"/>
    <w:rsid w:val="005220C6"/>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56F2E"/>
    <w:rsid w:val="005607CA"/>
    <w:rsid w:val="00561290"/>
    <w:rsid w:val="00561432"/>
    <w:rsid w:val="0056170E"/>
    <w:rsid w:val="00563FC7"/>
    <w:rsid w:val="0056490B"/>
    <w:rsid w:val="00564A4C"/>
    <w:rsid w:val="00566553"/>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A69"/>
    <w:rsid w:val="00580D45"/>
    <w:rsid w:val="00580E46"/>
    <w:rsid w:val="00583222"/>
    <w:rsid w:val="00583DE4"/>
    <w:rsid w:val="00584467"/>
    <w:rsid w:val="005851CE"/>
    <w:rsid w:val="005852D7"/>
    <w:rsid w:val="00587057"/>
    <w:rsid w:val="005879FD"/>
    <w:rsid w:val="00587C4F"/>
    <w:rsid w:val="00587C50"/>
    <w:rsid w:val="00590493"/>
    <w:rsid w:val="00590A20"/>
    <w:rsid w:val="00591F83"/>
    <w:rsid w:val="005946B9"/>
    <w:rsid w:val="0059487D"/>
    <w:rsid w:val="00595AA9"/>
    <w:rsid w:val="00596E08"/>
    <w:rsid w:val="00597513"/>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2ED6"/>
    <w:rsid w:val="005C3952"/>
    <w:rsid w:val="005C3C21"/>
    <w:rsid w:val="005C5728"/>
    <w:rsid w:val="005C57DB"/>
    <w:rsid w:val="005C7EE5"/>
    <w:rsid w:val="005D0442"/>
    <w:rsid w:val="005D0750"/>
    <w:rsid w:val="005D11B0"/>
    <w:rsid w:val="005D27E5"/>
    <w:rsid w:val="005D2C9F"/>
    <w:rsid w:val="005D32C5"/>
    <w:rsid w:val="005D5098"/>
    <w:rsid w:val="005D57C5"/>
    <w:rsid w:val="005E0309"/>
    <w:rsid w:val="005E29AC"/>
    <w:rsid w:val="005E2EF0"/>
    <w:rsid w:val="005E384E"/>
    <w:rsid w:val="005E40EB"/>
    <w:rsid w:val="005E4507"/>
    <w:rsid w:val="005E4B17"/>
    <w:rsid w:val="005E6A6B"/>
    <w:rsid w:val="005E6BA2"/>
    <w:rsid w:val="005F0BF9"/>
    <w:rsid w:val="005F14E3"/>
    <w:rsid w:val="005F2B4D"/>
    <w:rsid w:val="005F3AEF"/>
    <w:rsid w:val="005F52B5"/>
    <w:rsid w:val="005F6973"/>
    <w:rsid w:val="005F77A8"/>
    <w:rsid w:val="005F7A55"/>
    <w:rsid w:val="00600005"/>
    <w:rsid w:val="006010CC"/>
    <w:rsid w:val="006020EF"/>
    <w:rsid w:val="00603EC7"/>
    <w:rsid w:val="0060429F"/>
    <w:rsid w:val="00604369"/>
    <w:rsid w:val="006047E2"/>
    <w:rsid w:val="006062FA"/>
    <w:rsid w:val="0061022B"/>
    <w:rsid w:val="00610A63"/>
    <w:rsid w:val="006114A6"/>
    <w:rsid w:val="00611B4B"/>
    <w:rsid w:val="00613156"/>
    <w:rsid w:val="00616976"/>
    <w:rsid w:val="00616D69"/>
    <w:rsid w:val="00621DC9"/>
    <w:rsid w:val="00622179"/>
    <w:rsid w:val="00624624"/>
    <w:rsid w:val="00624B10"/>
    <w:rsid w:val="0062521E"/>
    <w:rsid w:val="00625C5D"/>
    <w:rsid w:val="006261AA"/>
    <w:rsid w:val="006264D8"/>
    <w:rsid w:val="00627095"/>
    <w:rsid w:val="0063061C"/>
    <w:rsid w:val="00631F40"/>
    <w:rsid w:val="00632488"/>
    <w:rsid w:val="006324E6"/>
    <w:rsid w:val="00632545"/>
    <w:rsid w:val="006325D5"/>
    <w:rsid w:val="00637248"/>
    <w:rsid w:val="006405DF"/>
    <w:rsid w:val="00642453"/>
    <w:rsid w:val="00643F1F"/>
    <w:rsid w:val="00647811"/>
    <w:rsid w:val="00651070"/>
    <w:rsid w:val="00651BA4"/>
    <w:rsid w:val="00652665"/>
    <w:rsid w:val="0065295B"/>
    <w:rsid w:val="0065318E"/>
    <w:rsid w:val="00653D6E"/>
    <w:rsid w:val="0065406D"/>
    <w:rsid w:val="0065429A"/>
    <w:rsid w:val="006631E3"/>
    <w:rsid w:val="00663C49"/>
    <w:rsid w:val="006664D4"/>
    <w:rsid w:val="00666664"/>
    <w:rsid w:val="00666D61"/>
    <w:rsid w:val="006701E2"/>
    <w:rsid w:val="00670338"/>
    <w:rsid w:val="0067076C"/>
    <w:rsid w:val="00670BD9"/>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A15"/>
    <w:rsid w:val="00684038"/>
    <w:rsid w:val="006901B3"/>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854"/>
    <w:rsid w:val="006B53A9"/>
    <w:rsid w:val="006B573D"/>
    <w:rsid w:val="006B675C"/>
    <w:rsid w:val="006B69AD"/>
    <w:rsid w:val="006B74A5"/>
    <w:rsid w:val="006B7567"/>
    <w:rsid w:val="006C0325"/>
    <w:rsid w:val="006C1CD5"/>
    <w:rsid w:val="006C2B51"/>
    <w:rsid w:val="006C3285"/>
    <w:rsid w:val="006C347F"/>
    <w:rsid w:val="006C34E5"/>
    <w:rsid w:val="006C365B"/>
    <w:rsid w:val="006C42A1"/>
    <w:rsid w:val="006C4CF8"/>
    <w:rsid w:val="006D46C8"/>
    <w:rsid w:val="006D4919"/>
    <w:rsid w:val="006D6073"/>
    <w:rsid w:val="006D6266"/>
    <w:rsid w:val="006E055E"/>
    <w:rsid w:val="006E0E6C"/>
    <w:rsid w:val="006E1030"/>
    <w:rsid w:val="006E5041"/>
    <w:rsid w:val="006E6687"/>
    <w:rsid w:val="006E7597"/>
    <w:rsid w:val="006F1BB7"/>
    <w:rsid w:val="006F2FDC"/>
    <w:rsid w:val="006F3204"/>
    <w:rsid w:val="006F3637"/>
    <w:rsid w:val="006F37D9"/>
    <w:rsid w:val="006F4409"/>
    <w:rsid w:val="006F4CCF"/>
    <w:rsid w:val="006F4F97"/>
    <w:rsid w:val="006F5364"/>
    <w:rsid w:val="006F59DC"/>
    <w:rsid w:val="006F5CB0"/>
    <w:rsid w:val="006F6119"/>
    <w:rsid w:val="006F6E18"/>
    <w:rsid w:val="00702959"/>
    <w:rsid w:val="00702D7C"/>
    <w:rsid w:val="00703BB1"/>
    <w:rsid w:val="0070404B"/>
    <w:rsid w:val="007042D7"/>
    <w:rsid w:val="00704D31"/>
    <w:rsid w:val="0070569C"/>
    <w:rsid w:val="00706660"/>
    <w:rsid w:val="00706725"/>
    <w:rsid w:val="00706FC2"/>
    <w:rsid w:val="00707599"/>
    <w:rsid w:val="00707BD7"/>
    <w:rsid w:val="00712094"/>
    <w:rsid w:val="00712346"/>
    <w:rsid w:val="00713F7A"/>
    <w:rsid w:val="00714246"/>
    <w:rsid w:val="00714FD2"/>
    <w:rsid w:val="007155D1"/>
    <w:rsid w:val="00716462"/>
    <w:rsid w:val="00717C5D"/>
    <w:rsid w:val="00722224"/>
    <w:rsid w:val="007246A2"/>
    <w:rsid w:val="00725C76"/>
    <w:rsid w:val="007304EE"/>
    <w:rsid w:val="00732965"/>
    <w:rsid w:val="007340C2"/>
    <w:rsid w:val="0073539A"/>
    <w:rsid w:val="0073597D"/>
    <w:rsid w:val="00735F6C"/>
    <w:rsid w:val="00736A48"/>
    <w:rsid w:val="00736CFD"/>
    <w:rsid w:val="00736D72"/>
    <w:rsid w:val="00737164"/>
    <w:rsid w:val="00737AFE"/>
    <w:rsid w:val="00737E7A"/>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75DF"/>
    <w:rsid w:val="00780BC3"/>
    <w:rsid w:val="00780EEC"/>
    <w:rsid w:val="00781067"/>
    <w:rsid w:val="00781632"/>
    <w:rsid w:val="007820C9"/>
    <w:rsid w:val="00782244"/>
    <w:rsid w:val="00783E9A"/>
    <w:rsid w:val="007848A7"/>
    <w:rsid w:val="0078549F"/>
    <w:rsid w:val="0078636B"/>
    <w:rsid w:val="00787652"/>
    <w:rsid w:val="00787B1C"/>
    <w:rsid w:val="00790BEF"/>
    <w:rsid w:val="00791919"/>
    <w:rsid w:val="00791ACE"/>
    <w:rsid w:val="00791BFC"/>
    <w:rsid w:val="00792077"/>
    <w:rsid w:val="0079312B"/>
    <w:rsid w:val="0079416A"/>
    <w:rsid w:val="00794C2B"/>
    <w:rsid w:val="00795852"/>
    <w:rsid w:val="00797132"/>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1E0F"/>
    <w:rsid w:val="007B516D"/>
    <w:rsid w:val="007B6414"/>
    <w:rsid w:val="007B7D81"/>
    <w:rsid w:val="007C021A"/>
    <w:rsid w:val="007C07F2"/>
    <w:rsid w:val="007C2500"/>
    <w:rsid w:val="007C4D8A"/>
    <w:rsid w:val="007C51CD"/>
    <w:rsid w:val="007D025A"/>
    <w:rsid w:val="007D0F6C"/>
    <w:rsid w:val="007D2B50"/>
    <w:rsid w:val="007D31DF"/>
    <w:rsid w:val="007D3397"/>
    <w:rsid w:val="007D33CF"/>
    <w:rsid w:val="007D706B"/>
    <w:rsid w:val="007E09AC"/>
    <w:rsid w:val="007E24ED"/>
    <w:rsid w:val="007E36F9"/>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7F7B7C"/>
    <w:rsid w:val="00801E7C"/>
    <w:rsid w:val="0080400B"/>
    <w:rsid w:val="008040A5"/>
    <w:rsid w:val="00804C27"/>
    <w:rsid w:val="00804F2C"/>
    <w:rsid w:val="00805FAF"/>
    <w:rsid w:val="008060A0"/>
    <w:rsid w:val="00806C71"/>
    <w:rsid w:val="0081032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2B0B"/>
    <w:rsid w:val="00833EA4"/>
    <w:rsid w:val="00833FBE"/>
    <w:rsid w:val="00836765"/>
    <w:rsid w:val="00836A7E"/>
    <w:rsid w:val="008378DD"/>
    <w:rsid w:val="00837CFF"/>
    <w:rsid w:val="00841C4C"/>
    <w:rsid w:val="00842B54"/>
    <w:rsid w:val="00843002"/>
    <w:rsid w:val="00843B5F"/>
    <w:rsid w:val="00844A48"/>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2895"/>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6A"/>
    <w:rsid w:val="0088329E"/>
    <w:rsid w:val="008848AA"/>
    <w:rsid w:val="00885439"/>
    <w:rsid w:val="00885573"/>
    <w:rsid w:val="00887A9E"/>
    <w:rsid w:val="00887B6D"/>
    <w:rsid w:val="008916ED"/>
    <w:rsid w:val="00891F1B"/>
    <w:rsid w:val="008956B9"/>
    <w:rsid w:val="008964B9"/>
    <w:rsid w:val="008A0AAC"/>
    <w:rsid w:val="008A190E"/>
    <w:rsid w:val="008A19A2"/>
    <w:rsid w:val="008A1C18"/>
    <w:rsid w:val="008A2F69"/>
    <w:rsid w:val="008A39A9"/>
    <w:rsid w:val="008A4B98"/>
    <w:rsid w:val="008A5D16"/>
    <w:rsid w:val="008A5E0D"/>
    <w:rsid w:val="008A6459"/>
    <w:rsid w:val="008A6D3E"/>
    <w:rsid w:val="008A72C9"/>
    <w:rsid w:val="008A78A8"/>
    <w:rsid w:val="008B2E0E"/>
    <w:rsid w:val="008B31F0"/>
    <w:rsid w:val="008B35B7"/>
    <w:rsid w:val="008B3A4F"/>
    <w:rsid w:val="008B5293"/>
    <w:rsid w:val="008B5414"/>
    <w:rsid w:val="008B6096"/>
    <w:rsid w:val="008B62C8"/>
    <w:rsid w:val="008B645C"/>
    <w:rsid w:val="008B76E8"/>
    <w:rsid w:val="008B7714"/>
    <w:rsid w:val="008C046A"/>
    <w:rsid w:val="008C06B9"/>
    <w:rsid w:val="008C0821"/>
    <w:rsid w:val="008C21DA"/>
    <w:rsid w:val="008C3AFC"/>
    <w:rsid w:val="008C3F87"/>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1748"/>
    <w:rsid w:val="008E277F"/>
    <w:rsid w:val="008E307B"/>
    <w:rsid w:val="008E3E97"/>
    <w:rsid w:val="008E5E96"/>
    <w:rsid w:val="008E6168"/>
    <w:rsid w:val="008E65FA"/>
    <w:rsid w:val="008E7DBA"/>
    <w:rsid w:val="008F0AD9"/>
    <w:rsid w:val="008F2100"/>
    <w:rsid w:val="008F2B43"/>
    <w:rsid w:val="008F2B74"/>
    <w:rsid w:val="008F3498"/>
    <w:rsid w:val="008F3878"/>
    <w:rsid w:val="008F51CE"/>
    <w:rsid w:val="008F5845"/>
    <w:rsid w:val="008F5879"/>
    <w:rsid w:val="008F684D"/>
    <w:rsid w:val="008F73C6"/>
    <w:rsid w:val="008F766D"/>
    <w:rsid w:val="008F77DF"/>
    <w:rsid w:val="008F7E26"/>
    <w:rsid w:val="009001EE"/>
    <w:rsid w:val="00900693"/>
    <w:rsid w:val="009013FF"/>
    <w:rsid w:val="00905129"/>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26A5B"/>
    <w:rsid w:val="00926E8D"/>
    <w:rsid w:val="00931300"/>
    <w:rsid w:val="00934D6B"/>
    <w:rsid w:val="00936933"/>
    <w:rsid w:val="00937B12"/>
    <w:rsid w:val="00940B39"/>
    <w:rsid w:val="00941922"/>
    <w:rsid w:val="009420D8"/>
    <w:rsid w:val="009427FA"/>
    <w:rsid w:val="0094430D"/>
    <w:rsid w:val="00945D30"/>
    <w:rsid w:val="009470F9"/>
    <w:rsid w:val="00947B08"/>
    <w:rsid w:val="00951338"/>
    <w:rsid w:val="0095157D"/>
    <w:rsid w:val="00951A9F"/>
    <w:rsid w:val="00951CDE"/>
    <w:rsid w:val="0095324B"/>
    <w:rsid w:val="009547C9"/>
    <w:rsid w:val="00960CC3"/>
    <w:rsid w:val="00961302"/>
    <w:rsid w:val="00961C27"/>
    <w:rsid w:val="00961FD5"/>
    <w:rsid w:val="00962A4A"/>
    <w:rsid w:val="00962E0D"/>
    <w:rsid w:val="00964581"/>
    <w:rsid w:val="00967C5E"/>
    <w:rsid w:val="00970643"/>
    <w:rsid w:val="0097070A"/>
    <w:rsid w:val="009717C1"/>
    <w:rsid w:val="00972507"/>
    <w:rsid w:val="009727BF"/>
    <w:rsid w:val="009743E2"/>
    <w:rsid w:val="00974625"/>
    <w:rsid w:val="009753C9"/>
    <w:rsid w:val="00975CFE"/>
    <w:rsid w:val="00976660"/>
    <w:rsid w:val="009772B7"/>
    <w:rsid w:val="00977EC0"/>
    <w:rsid w:val="009800BC"/>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24B"/>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FA1"/>
    <w:rsid w:val="009D6762"/>
    <w:rsid w:val="009D6886"/>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14E"/>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5211"/>
    <w:rsid w:val="00A35D24"/>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7DC"/>
    <w:rsid w:val="00A747CE"/>
    <w:rsid w:val="00A74C1D"/>
    <w:rsid w:val="00A7636B"/>
    <w:rsid w:val="00A77D5B"/>
    <w:rsid w:val="00A85844"/>
    <w:rsid w:val="00A86291"/>
    <w:rsid w:val="00A87456"/>
    <w:rsid w:val="00A87471"/>
    <w:rsid w:val="00A8770E"/>
    <w:rsid w:val="00A907DE"/>
    <w:rsid w:val="00A90FC5"/>
    <w:rsid w:val="00A938C7"/>
    <w:rsid w:val="00A940EF"/>
    <w:rsid w:val="00A95EB0"/>
    <w:rsid w:val="00A967FD"/>
    <w:rsid w:val="00A97281"/>
    <w:rsid w:val="00AA0280"/>
    <w:rsid w:val="00AA4190"/>
    <w:rsid w:val="00AA485D"/>
    <w:rsid w:val="00AA640B"/>
    <w:rsid w:val="00AA7BEB"/>
    <w:rsid w:val="00AB05A1"/>
    <w:rsid w:val="00AB081E"/>
    <w:rsid w:val="00AB0A4D"/>
    <w:rsid w:val="00AB0CB2"/>
    <w:rsid w:val="00AB16A0"/>
    <w:rsid w:val="00AB4A75"/>
    <w:rsid w:val="00AB5A67"/>
    <w:rsid w:val="00AB6717"/>
    <w:rsid w:val="00AC0A59"/>
    <w:rsid w:val="00AC2267"/>
    <w:rsid w:val="00AC239D"/>
    <w:rsid w:val="00AC613B"/>
    <w:rsid w:val="00AC721F"/>
    <w:rsid w:val="00AC78CA"/>
    <w:rsid w:val="00AC7ABD"/>
    <w:rsid w:val="00AD24CC"/>
    <w:rsid w:val="00AD2BDC"/>
    <w:rsid w:val="00AD3CA9"/>
    <w:rsid w:val="00AD43E2"/>
    <w:rsid w:val="00AD5D5A"/>
    <w:rsid w:val="00AE087D"/>
    <w:rsid w:val="00AE387D"/>
    <w:rsid w:val="00AE4A2C"/>
    <w:rsid w:val="00AE4A93"/>
    <w:rsid w:val="00AE5606"/>
    <w:rsid w:val="00AE6B76"/>
    <w:rsid w:val="00AF00E1"/>
    <w:rsid w:val="00AF1890"/>
    <w:rsid w:val="00AF1BE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5CAC"/>
    <w:rsid w:val="00B071E3"/>
    <w:rsid w:val="00B07CBE"/>
    <w:rsid w:val="00B07D0F"/>
    <w:rsid w:val="00B07F0B"/>
    <w:rsid w:val="00B1046F"/>
    <w:rsid w:val="00B10E47"/>
    <w:rsid w:val="00B11129"/>
    <w:rsid w:val="00B11557"/>
    <w:rsid w:val="00B123DD"/>
    <w:rsid w:val="00B127D9"/>
    <w:rsid w:val="00B12CFD"/>
    <w:rsid w:val="00B132B7"/>
    <w:rsid w:val="00B1452D"/>
    <w:rsid w:val="00B1499F"/>
    <w:rsid w:val="00B150A1"/>
    <w:rsid w:val="00B1655E"/>
    <w:rsid w:val="00B16FC9"/>
    <w:rsid w:val="00B2013F"/>
    <w:rsid w:val="00B20E80"/>
    <w:rsid w:val="00B2187B"/>
    <w:rsid w:val="00B21B28"/>
    <w:rsid w:val="00B22EE9"/>
    <w:rsid w:val="00B236EE"/>
    <w:rsid w:val="00B237E4"/>
    <w:rsid w:val="00B24CD3"/>
    <w:rsid w:val="00B2625A"/>
    <w:rsid w:val="00B2661E"/>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60E8B"/>
    <w:rsid w:val="00B6242E"/>
    <w:rsid w:val="00B64D66"/>
    <w:rsid w:val="00B65FAC"/>
    <w:rsid w:val="00B71115"/>
    <w:rsid w:val="00B71156"/>
    <w:rsid w:val="00B73DF8"/>
    <w:rsid w:val="00B7445D"/>
    <w:rsid w:val="00B74EB4"/>
    <w:rsid w:val="00B763EA"/>
    <w:rsid w:val="00B81592"/>
    <w:rsid w:val="00B81B6D"/>
    <w:rsid w:val="00B87308"/>
    <w:rsid w:val="00B915C1"/>
    <w:rsid w:val="00B91B8A"/>
    <w:rsid w:val="00B936C7"/>
    <w:rsid w:val="00B93772"/>
    <w:rsid w:val="00B937ED"/>
    <w:rsid w:val="00B938C1"/>
    <w:rsid w:val="00B93F1B"/>
    <w:rsid w:val="00B95292"/>
    <w:rsid w:val="00B96EBA"/>
    <w:rsid w:val="00B9781B"/>
    <w:rsid w:val="00B97995"/>
    <w:rsid w:val="00BA30ED"/>
    <w:rsid w:val="00BA3F94"/>
    <w:rsid w:val="00BA4DF3"/>
    <w:rsid w:val="00BA5709"/>
    <w:rsid w:val="00BA5EB2"/>
    <w:rsid w:val="00BA6AF9"/>
    <w:rsid w:val="00BA6E9B"/>
    <w:rsid w:val="00BA6F24"/>
    <w:rsid w:val="00BA76D8"/>
    <w:rsid w:val="00BB2ABE"/>
    <w:rsid w:val="00BB2DB1"/>
    <w:rsid w:val="00BB4553"/>
    <w:rsid w:val="00BB4E49"/>
    <w:rsid w:val="00BB55E9"/>
    <w:rsid w:val="00BB755E"/>
    <w:rsid w:val="00BB7D88"/>
    <w:rsid w:val="00BC099D"/>
    <w:rsid w:val="00BC0E63"/>
    <w:rsid w:val="00BC1019"/>
    <w:rsid w:val="00BC1612"/>
    <w:rsid w:val="00BC249A"/>
    <w:rsid w:val="00BC38BC"/>
    <w:rsid w:val="00BC4850"/>
    <w:rsid w:val="00BC5671"/>
    <w:rsid w:val="00BC5898"/>
    <w:rsid w:val="00BC61C9"/>
    <w:rsid w:val="00BC65EE"/>
    <w:rsid w:val="00BC6C37"/>
    <w:rsid w:val="00BC7C9B"/>
    <w:rsid w:val="00BD0BAF"/>
    <w:rsid w:val="00BD0C0B"/>
    <w:rsid w:val="00BD1074"/>
    <w:rsid w:val="00BD13AB"/>
    <w:rsid w:val="00BD41E7"/>
    <w:rsid w:val="00BD48DD"/>
    <w:rsid w:val="00BD65FB"/>
    <w:rsid w:val="00BD6C40"/>
    <w:rsid w:val="00BE0163"/>
    <w:rsid w:val="00BE07E5"/>
    <w:rsid w:val="00BE1E7E"/>
    <w:rsid w:val="00BE355B"/>
    <w:rsid w:val="00BE3D3C"/>
    <w:rsid w:val="00BE4B48"/>
    <w:rsid w:val="00BE4EF2"/>
    <w:rsid w:val="00BE50E9"/>
    <w:rsid w:val="00BE7B24"/>
    <w:rsid w:val="00BF201A"/>
    <w:rsid w:val="00BF25FB"/>
    <w:rsid w:val="00BF4453"/>
    <w:rsid w:val="00BF51CF"/>
    <w:rsid w:val="00BF58E4"/>
    <w:rsid w:val="00BF5BDE"/>
    <w:rsid w:val="00BF5D7C"/>
    <w:rsid w:val="00BF6C0C"/>
    <w:rsid w:val="00BF6CE6"/>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48CA"/>
    <w:rsid w:val="00C25268"/>
    <w:rsid w:val="00C256AC"/>
    <w:rsid w:val="00C26718"/>
    <w:rsid w:val="00C30026"/>
    <w:rsid w:val="00C30037"/>
    <w:rsid w:val="00C305E9"/>
    <w:rsid w:val="00C30988"/>
    <w:rsid w:val="00C3342A"/>
    <w:rsid w:val="00C3350E"/>
    <w:rsid w:val="00C35355"/>
    <w:rsid w:val="00C36AB6"/>
    <w:rsid w:val="00C4113C"/>
    <w:rsid w:val="00C41B0D"/>
    <w:rsid w:val="00C42311"/>
    <w:rsid w:val="00C42371"/>
    <w:rsid w:val="00C4380F"/>
    <w:rsid w:val="00C439AA"/>
    <w:rsid w:val="00C44916"/>
    <w:rsid w:val="00C44F0F"/>
    <w:rsid w:val="00C4690E"/>
    <w:rsid w:val="00C46A57"/>
    <w:rsid w:val="00C5016C"/>
    <w:rsid w:val="00C51235"/>
    <w:rsid w:val="00C531AF"/>
    <w:rsid w:val="00C54A40"/>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8CC"/>
    <w:rsid w:val="00C82966"/>
    <w:rsid w:val="00C847C0"/>
    <w:rsid w:val="00C85CB1"/>
    <w:rsid w:val="00C91224"/>
    <w:rsid w:val="00C9452E"/>
    <w:rsid w:val="00C950D4"/>
    <w:rsid w:val="00C952D5"/>
    <w:rsid w:val="00CA0088"/>
    <w:rsid w:val="00CA01C4"/>
    <w:rsid w:val="00CA16A2"/>
    <w:rsid w:val="00CA207B"/>
    <w:rsid w:val="00CA24CB"/>
    <w:rsid w:val="00CA3D0D"/>
    <w:rsid w:val="00CA54AA"/>
    <w:rsid w:val="00CA5B46"/>
    <w:rsid w:val="00CA5CFF"/>
    <w:rsid w:val="00CA6B5E"/>
    <w:rsid w:val="00CA6CAE"/>
    <w:rsid w:val="00CB1005"/>
    <w:rsid w:val="00CB13B8"/>
    <w:rsid w:val="00CB1A2B"/>
    <w:rsid w:val="00CB5A14"/>
    <w:rsid w:val="00CB5F37"/>
    <w:rsid w:val="00CC089A"/>
    <w:rsid w:val="00CC20BD"/>
    <w:rsid w:val="00CC395E"/>
    <w:rsid w:val="00CC4463"/>
    <w:rsid w:val="00CC5851"/>
    <w:rsid w:val="00CC6CF9"/>
    <w:rsid w:val="00CC79FC"/>
    <w:rsid w:val="00CD2FF6"/>
    <w:rsid w:val="00CD7050"/>
    <w:rsid w:val="00CD70A9"/>
    <w:rsid w:val="00CE13FA"/>
    <w:rsid w:val="00CE2694"/>
    <w:rsid w:val="00CE411E"/>
    <w:rsid w:val="00CE4789"/>
    <w:rsid w:val="00CE5122"/>
    <w:rsid w:val="00CE520B"/>
    <w:rsid w:val="00CE6C61"/>
    <w:rsid w:val="00CE77F6"/>
    <w:rsid w:val="00CE7C68"/>
    <w:rsid w:val="00CF1114"/>
    <w:rsid w:val="00CF248A"/>
    <w:rsid w:val="00CF337F"/>
    <w:rsid w:val="00CF3FAF"/>
    <w:rsid w:val="00CF4CF0"/>
    <w:rsid w:val="00CF5105"/>
    <w:rsid w:val="00CF6CB7"/>
    <w:rsid w:val="00CF7312"/>
    <w:rsid w:val="00D02DDA"/>
    <w:rsid w:val="00D02E54"/>
    <w:rsid w:val="00D03C6C"/>
    <w:rsid w:val="00D05ADA"/>
    <w:rsid w:val="00D073E5"/>
    <w:rsid w:val="00D07B89"/>
    <w:rsid w:val="00D10912"/>
    <w:rsid w:val="00D10DE5"/>
    <w:rsid w:val="00D11249"/>
    <w:rsid w:val="00D1126A"/>
    <w:rsid w:val="00D12418"/>
    <w:rsid w:val="00D12548"/>
    <w:rsid w:val="00D126C6"/>
    <w:rsid w:val="00D12956"/>
    <w:rsid w:val="00D12F44"/>
    <w:rsid w:val="00D16096"/>
    <w:rsid w:val="00D163C8"/>
    <w:rsid w:val="00D1706F"/>
    <w:rsid w:val="00D2040D"/>
    <w:rsid w:val="00D216E6"/>
    <w:rsid w:val="00D2182C"/>
    <w:rsid w:val="00D235B6"/>
    <w:rsid w:val="00D2454F"/>
    <w:rsid w:val="00D247C0"/>
    <w:rsid w:val="00D25A92"/>
    <w:rsid w:val="00D263AC"/>
    <w:rsid w:val="00D26403"/>
    <w:rsid w:val="00D26DFC"/>
    <w:rsid w:val="00D27710"/>
    <w:rsid w:val="00D31290"/>
    <w:rsid w:val="00D32701"/>
    <w:rsid w:val="00D3319E"/>
    <w:rsid w:val="00D33B05"/>
    <w:rsid w:val="00D34518"/>
    <w:rsid w:val="00D35562"/>
    <w:rsid w:val="00D36137"/>
    <w:rsid w:val="00D36ADA"/>
    <w:rsid w:val="00D40CF5"/>
    <w:rsid w:val="00D42846"/>
    <w:rsid w:val="00D43277"/>
    <w:rsid w:val="00D434A8"/>
    <w:rsid w:val="00D43EAB"/>
    <w:rsid w:val="00D45F83"/>
    <w:rsid w:val="00D4627A"/>
    <w:rsid w:val="00D4680A"/>
    <w:rsid w:val="00D479C1"/>
    <w:rsid w:val="00D50BDF"/>
    <w:rsid w:val="00D5135F"/>
    <w:rsid w:val="00D52C83"/>
    <w:rsid w:val="00D53510"/>
    <w:rsid w:val="00D5478A"/>
    <w:rsid w:val="00D5488D"/>
    <w:rsid w:val="00D57C7F"/>
    <w:rsid w:val="00D60341"/>
    <w:rsid w:val="00D6377A"/>
    <w:rsid w:val="00D638FD"/>
    <w:rsid w:val="00D6534C"/>
    <w:rsid w:val="00D65D93"/>
    <w:rsid w:val="00D66F67"/>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80"/>
    <w:rsid w:val="00D856B2"/>
    <w:rsid w:val="00D856EB"/>
    <w:rsid w:val="00D857EE"/>
    <w:rsid w:val="00D90712"/>
    <w:rsid w:val="00D94027"/>
    <w:rsid w:val="00D95190"/>
    <w:rsid w:val="00D96571"/>
    <w:rsid w:val="00D96C6E"/>
    <w:rsid w:val="00D977E3"/>
    <w:rsid w:val="00DA0444"/>
    <w:rsid w:val="00DA2A5D"/>
    <w:rsid w:val="00DA2B44"/>
    <w:rsid w:val="00DA2D2A"/>
    <w:rsid w:val="00DA303C"/>
    <w:rsid w:val="00DA304F"/>
    <w:rsid w:val="00DA37BC"/>
    <w:rsid w:val="00DA3E19"/>
    <w:rsid w:val="00DA454B"/>
    <w:rsid w:val="00DA4F32"/>
    <w:rsid w:val="00DA5EE8"/>
    <w:rsid w:val="00DA6CFF"/>
    <w:rsid w:val="00DA753F"/>
    <w:rsid w:val="00DA7625"/>
    <w:rsid w:val="00DA7793"/>
    <w:rsid w:val="00DA79A9"/>
    <w:rsid w:val="00DB04E5"/>
    <w:rsid w:val="00DB304A"/>
    <w:rsid w:val="00DB4920"/>
    <w:rsid w:val="00DB4A0A"/>
    <w:rsid w:val="00DB6DAB"/>
    <w:rsid w:val="00DB7E60"/>
    <w:rsid w:val="00DC2EC5"/>
    <w:rsid w:val="00DC6012"/>
    <w:rsid w:val="00DC7822"/>
    <w:rsid w:val="00DD248B"/>
    <w:rsid w:val="00DD3320"/>
    <w:rsid w:val="00DD3D94"/>
    <w:rsid w:val="00DD488A"/>
    <w:rsid w:val="00DD7DC6"/>
    <w:rsid w:val="00DE2149"/>
    <w:rsid w:val="00DE2854"/>
    <w:rsid w:val="00DE29C2"/>
    <w:rsid w:val="00DE326A"/>
    <w:rsid w:val="00DE52BF"/>
    <w:rsid w:val="00DE7D00"/>
    <w:rsid w:val="00DF09E2"/>
    <w:rsid w:val="00DF3165"/>
    <w:rsid w:val="00DF371E"/>
    <w:rsid w:val="00DF5427"/>
    <w:rsid w:val="00DF63C5"/>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3458"/>
    <w:rsid w:val="00E26A3B"/>
    <w:rsid w:val="00E301B3"/>
    <w:rsid w:val="00E305BA"/>
    <w:rsid w:val="00E30654"/>
    <w:rsid w:val="00E30E61"/>
    <w:rsid w:val="00E31C05"/>
    <w:rsid w:val="00E33F7B"/>
    <w:rsid w:val="00E3415C"/>
    <w:rsid w:val="00E3428C"/>
    <w:rsid w:val="00E356EC"/>
    <w:rsid w:val="00E37226"/>
    <w:rsid w:val="00E3735D"/>
    <w:rsid w:val="00E41301"/>
    <w:rsid w:val="00E419B8"/>
    <w:rsid w:val="00E421FB"/>
    <w:rsid w:val="00E425A2"/>
    <w:rsid w:val="00E43BC9"/>
    <w:rsid w:val="00E43FF6"/>
    <w:rsid w:val="00E44CE1"/>
    <w:rsid w:val="00E44D7D"/>
    <w:rsid w:val="00E46DD1"/>
    <w:rsid w:val="00E46E94"/>
    <w:rsid w:val="00E506BB"/>
    <w:rsid w:val="00E5247D"/>
    <w:rsid w:val="00E52D70"/>
    <w:rsid w:val="00E53B66"/>
    <w:rsid w:val="00E54064"/>
    <w:rsid w:val="00E541AE"/>
    <w:rsid w:val="00E5437D"/>
    <w:rsid w:val="00E54CB2"/>
    <w:rsid w:val="00E55284"/>
    <w:rsid w:val="00E57BB4"/>
    <w:rsid w:val="00E6062E"/>
    <w:rsid w:val="00E612F7"/>
    <w:rsid w:val="00E65740"/>
    <w:rsid w:val="00E65F49"/>
    <w:rsid w:val="00E66396"/>
    <w:rsid w:val="00E6655E"/>
    <w:rsid w:val="00E66D6D"/>
    <w:rsid w:val="00E70392"/>
    <w:rsid w:val="00E7159A"/>
    <w:rsid w:val="00E71846"/>
    <w:rsid w:val="00E71EF9"/>
    <w:rsid w:val="00E721BA"/>
    <w:rsid w:val="00E726B3"/>
    <w:rsid w:val="00E727BF"/>
    <w:rsid w:val="00E73B90"/>
    <w:rsid w:val="00E744D1"/>
    <w:rsid w:val="00E8003A"/>
    <w:rsid w:val="00E825C1"/>
    <w:rsid w:val="00E82641"/>
    <w:rsid w:val="00E842B3"/>
    <w:rsid w:val="00E844CE"/>
    <w:rsid w:val="00E86BD9"/>
    <w:rsid w:val="00E9031E"/>
    <w:rsid w:val="00E90E29"/>
    <w:rsid w:val="00E92718"/>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5163"/>
    <w:rsid w:val="00EC01C7"/>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40AE"/>
    <w:rsid w:val="00F05BBE"/>
    <w:rsid w:val="00F061E5"/>
    <w:rsid w:val="00F06D0B"/>
    <w:rsid w:val="00F0728A"/>
    <w:rsid w:val="00F07413"/>
    <w:rsid w:val="00F07551"/>
    <w:rsid w:val="00F10D1D"/>
    <w:rsid w:val="00F10FD5"/>
    <w:rsid w:val="00F13BA3"/>
    <w:rsid w:val="00F13CC8"/>
    <w:rsid w:val="00F141CD"/>
    <w:rsid w:val="00F2185C"/>
    <w:rsid w:val="00F21C55"/>
    <w:rsid w:val="00F22A4D"/>
    <w:rsid w:val="00F239B4"/>
    <w:rsid w:val="00F23C75"/>
    <w:rsid w:val="00F24374"/>
    <w:rsid w:val="00F24E57"/>
    <w:rsid w:val="00F2715F"/>
    <w:rsid w:val="00F30232"/>
    <w:rsid w:val="00F31071"/>
    <w:rsid w:val="00F32903"/>
    <w:rsid w:val="00F333B3"/>
    <w:rsid w:val="00F33637"/>
    <w:rsid w:val="00F33DC6"/>
    <w:rsid w:val="00F346B9"/>
    <w:rsid w:val="00F34C81"/>
    <w:rsid w:val="00F34FEC"/>
    <w:rsid w:val="00F35478"/>
    <w:rsid w:val="00F35C9D"/>
    <w:rsid w:val="00F36ACF"/>
    <w:rsid w:val="00F36EC8"/>
    <w:rsid w:val="00F37264"/>
    <w:rsid w:val="00F3794B"/>
    <w:rsid w:val="00F406A0"/>
    <w:rsid w:val="00F4099A"/>
    <w:rsid w:val="00F40F12"/>
    <w:rsid w:val="00F41AE2"/>
    <w:rsid w:val="00F424BA"/>
    <w:rsid w:val="00F42FE2"/>
    <w:rsid w:val="00F43A41"/>
    <w:rsid w:val="00F44304"/>
    <w:rsid w:val="00F4436D"/>
    <w:rsid w:val="00F44ADB"/>
    <w:rsid w:val="00F4731D"/>
    <w:rsid w:val="00F50F86"/>
    <w:rsid w:val="00F51851"/>
    <w:rsid w:val="00F51E39"/>
    <w:rsid w:val="00F5214B"/>
    <w:rsid w:val="00F5365E"/>
    <w:rsid w:val="00F543FA"/>
    <w:rsid w:val="00F56048"/>
    <w:rsid w:val="00F5660C"/>
    <w:rsid w:val="00F578E1"/>
    <w:rsid w:val="00F6081D"/>
    <w:rsid w:val="00F60A14"/>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569"/>
    <w:rsid w:val="00F82397"/>
    <w:rsid w:val="00F84531"/>
    <w:rsid w:val="00F846E0"/>
    <w:rsid w:val="00F848AD"/>
    <w:rsid w:val="00F85AA7"/>
    <w:rsid w:val="00F85E54"/>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303"/>
    <w:rsid w:val="00FB3C60"/>
    <w:rsid w:val="00FB56C0"/>
    <w:rsid w:val="00FB5E34"/>
    <w:rsid w:val="00FB6CEF"/>
    <w:rsid w:val="00FC0339"/>
    <w:rsid w:val="00FC1876"/>
    <w:rsid w:val="00FC1B55"/>
    <w:rsid w:val="00FC201F"/>
    <w:rsid w:val="00FC2A1B"/>
    <w:rsid w:val="00FC33FC"/>
    <w:rsid w:val="00FC5F75"/>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E7637"/>
    <w:rsid w:val="00FF110E"/>
    <w:rsid w:val="00FF1C5F"/>
    <w:rsid w:val="00FF2236"/>
    <w:rsid w:val="00FF2443"/>
    <w:rsid w:val="00FF29A2"/>
    <w:rsid w:val="00FF3C2C"/>
    <w:rsid w:val="00FF40BD"/>
    <w:rsid w:val="00FF4518"/>
    <w:rsid w:val="00FF4603"/>
    <w:rsid w:val="00FF5332"/>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20CC4"/>
  <w15:docId w15:val="{E626EC0E-886C-42DF-9AC0-97C1496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4" w:unhideWhenUsed="1" w:qFormat="1"/>
    <w:lsdException w:name="heading 4" w:semiHidden="1" w:uiPriority="25" w:qFormat="1"/>
    <w:lsdException w:name="heading 5" w:semiHidden="1" w:uiPriority="25" w:unhideWhenUsed="1" w:qFormat="1"/>
    <w:lsdException w:name="heading 6" w:semiHidden="1" w:uiPriority="25" w:qFormat="1"/>
    <w:lsdException w:name="heading 7" w:semiHidden="1" w:uiPriority="25" w:qFormat="1"/>
    <w:lsdException w:name="heading 8" w:semiHidden="1" w:uiPriority="25" w:qFormat="1"/>
    <w:lsdException w:name="heading 9" w:semiHidden="1" w:uiPriority="2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A454B"/>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8956B9"/>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8956B9"/>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5"/>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5"/>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5"/>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5"/>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5"/>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5"/>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qFormat/>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6F1BB7"/>
    <w:pPr>
      <w:keepNext/>
      <w:pageBreakBefore/>
      <w:framePr w:w="8732" w:wrap="notBeside" w:vAnchor="page" w:hAnchor="page" w:x="1589" w:y="772" w:anchorLock="1"/>
      <w:spacing w:before="240"/>
      <w:outlineLvl w:val="0"/>
    </w:pPr>
    <w:rPr>
      <w:rFonts w:asciiTheme="majorHAnsi" w:hAnsiTheme="majorHAnsi"/>
      <w:b/>
      <w:color w:val="F26522" w:themeColor="accent1"/>
      <w:sz w:val="48"/>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6"/>
    <w:qFormat/>
    <w:rsid w:val="00747F2D"/>
    <w:pPr>
      <w:framePr w:w="8108" w:wrap="notBeside" w:vAnchor="page" w:hAnchor="page" w:x="1589" w:y="1589" w:anchorLock="1"/>
      <w:spacing w:after="0"/>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3727C1"/>
    <w:pPr>
      <w:tabs>
        <w:tab w:val="center" w:pos="4513"/>
        <w:tab w:val="right" w:pos="9026"/>
      </w:tabs>
      <w:spacing w:after="0"/>
    </w:pPr>
    <w:rPr>
      <w:color w:val="727274" w:themeColor="text2"/>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3727C1"/>
    <w:rPr>
      <w:color w:val="727274" w:themeColor="text2"/>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8956B9"/>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tabs>
        <w:tab w:val="clear" w:pos="1209"/>
        <w:tab w:val="num" w:pos="360"/>
      </w:tabs>
      <w:ind w:left="0" w:firstLine="0"/>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6"/>
    <w:qFormat/>
    <w:rsid w:val="0030205D"/>
    <w:pPr>
      <w:framePr w:wrap="notBeside"/>
    </w:pPr>
    <w:rPr>
      <w:rFonts w:asciiTheme="minorHAnsi" w:hAnsiTheme="minorHAnsi"/>
      <w:b w:val="0"/>
    </w:rPr>
  </w:style>
  <w:style w:type="character" w:customStyle="1" w:styleId="Heading3Char">
    <w:name w:val="Heading 3 Char"/>
    <w:basedOn w:val="DefaultParagraphFont"/>
    <w:link w:val="Heading3"/>
    <w:uiPriority w:val="4"/>
    <w:rsid w:val="008956B9"/>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AC7ABD"/>
    <w:pPr>
      <w:keepNext/>
      <w:keepLines/>
      <w:pBdr>
        <w:top w:val="single" w:sz="2" w:space="2" w:color="FFBF22" w:themeColor="accent6"/>
        <w:left w:val="single" w:sz="2" w:space="4" w:color="FFBF22" w:themeColor="accent6"/>
        <w:bottom w:val="single" w:sz="2" w:space="4" w:color="FFBF22" w:themeColor="accent6"/>
        <w:right w:val="single" w:sz="2" w:space="4" w:color="FFBF22" w:themeColor="accent6"/>
      </w:pBdr>
      <w:shd w:val="clear" w:color="auto" w:fill="FFBF22" w:themeFill="accent6"/>
      <w:spacing w:before="240"/>
      <w:ind w:left="113" w:right="113"/>
    </w:pPr>
    <w:rPr>
      <w:sz w:val="28"/>
    </w:rPr>
  </w:style>
  <w:style w:type="paragraph" w:customStyle="1" w:styleId="SectionNumber">
    <w:name w:val="Section Number"/>
    <w:basedOn w:val="Normal"/>
    <w:next w:val="SectionTitle"/>
    <w:uiPriority w:val="20"/>
    <w:qFormat/>
    <w:rsid w:val="00060FB6"/>
    <w:pPr>
      <w:numPr>
        <w:numId w:val="13"/>
      </w:numPr>
      <w:spacing w:before="9960" w:after="0"/>
    </w:pPr>
    <w:rPr>
      <w:rFonts w:asciiTheme="majorHAnsi" w:hAnsiTheme="majorHAnsi"/>
      <w:b/>
      <w:noProof/>
      <w:color w:val="F26522" w:themeColor="accent1"/>
      <w:sz w:val="152"/>
      <w:szCs w:val="152"/>
    </w:rPr>
  </w:style>
  <w:style w:type="paragraph" w:customStyle="1" w:styleId="SectionTitle">
    <w:name w:val="Section Title"/>
    <w:basedOn w:val="Normal"/>
    <w:next w:val="SectionSubheading"/>
    <w:uiPriority w:val="20"/>
    <w:qFormat/>
    <w:rsid w:val="00426B39"/>
    <w:pPr>
      <w:ind w:right="792"/>
      <w:outlineLvl w:val="0"/>
    </w:pPr>
    <w:rPr>
      <w:rFonts w:asciiTheme="majorHAnsi" w:hAnsiTheme="majorHAnsi"/>
      <w:b/>
      <w:color w:val="F26522" w:themeColor="accent1"/>
      <w:sz w:val="52"/>
      <w:szCs w:val="36"/>
    </w:r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65318E"/>
    <w:pPr>
      <w:spacing w:before="60" w:after="60"/>
    </w:pPr>
    <w:tblPr>
      <w:tblBorders>
        <w:top w:val="single" w:sz="8" w:space="0" w:color="F26522" w:themeColor="accent1"/>
        <w:bottom w:val="single" w:sz="8"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8" w:space="0" w:color="F26522" w:themeColor="accent1"/>
          <w:bottom w:val="single" w:sz="8"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qFormat/>
    <w:rsid w:val="00BE3D3C"/>
    <w:pPr>
      <w:framePr w:wrap="notBeside"/>
    </w:pPr>
  </w:style>
  <w:style w:type="paragraph" w:customStyle="1" w:styleId="CoverDate">
    <w:name w:val="Cover Date"/>
    <w:basedOn w:val="CoverSubtitle"/>
    <w:next w:val="BodyText"/>
    <w:uiPriority w:val="27"/>
    <w:qFormat/>
    <w:rsid w:val="0030205D"/>
    <w:pPr>
      <w:framePr w:wrap="notBeside"/>
    </w:pPr>
    <w:rPr>
      <w:sz w:val="24"/>
    </w:r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401532"/>
    <w:pPr>
      <w:keepNext/>
      <w:keepLines/>
      <w:framePr w:w="2268" w:hSpace="170" w:wrap="around" w:vAnchor="text" w:hAnchor="page" w:x="7939"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next w:val="AppendixSubheading"/>
    <w:uiPriority w:val="99"/>
    <w:qFormat/>
    <w:rsid w:val="00D479C1"/>
    <w:rPr>
      <w:color w:val="FFFFFF" w:themeColor="background1"/>
    </w:rPr>
  </w:style>
  <w:style w:type="paragraph" w:customStyle="1" w:styleId="AppendixSectionNumber">
    <w:name w:val="Appendix Section Number"/>
    <w:next w:val="AppendixSectionTitle"/>
    <w:uiPriority w:val="99"/>
    <w:qFormat/>
    <w:rsid w:val="00060FB6"/>
    <w:pPr>
      <w:numPr>
        <w:numId w:val="17"/>
      </w:numPr>
      <w:spacing w:before="9960" w:after="0"/>
    </w:pPr>
    <w:rPr>
      <w:rFonts w:asciiTheme="majorHAnsi" w:hAnsiTheme="majorHAnsi"/>
      <w:b/>
      <w:color w:val="FFFFFF" w:themeColor="background1"/>
      <w:sz w:val="152"/>
      <w:szCs w:val="152"/>
      <w:lang w:val="en-GB"/>
      <w14:scene3d>
        <w14:camera w14:prst="orthographicFront"/>
        <w14:lightRig w14:rig="threePt" w14:dir="t">
          <w14:rot w14:lat="0" w14:lon="0" w14:rev="0"/>
        </w14:lightRig>
      </w14:scene3d>
    </w:rPr>
  </w:style>
  <w:style w:type="paragraph" w:customStyle="1" w:styleId="CVName">
    <w:name w:val="CV Name"/>
    <w:basedOn w:val="BodyText"/>
    <w:uiPriority w:val="99"/>
    <w:qFormat/>
    <w:rsid w:val="00E3415C"/>
    <w:pPr>
      <w:spacing w:after="0"/>
    </w:pPr>
    <w:rPr>
      <w:color w:val="F26522" w:themeColor="accent1"/>
      <w:sz w:val="22"/>
    </w:rPr>
  </w:style>
  <w:style w:type="paragraph" w:customStyle="1" w:styleId="CVLocation">
    <w:name w:val="CV Location"/>
    <w:basedOn w:val="BodyText"/>
    <w:uiPriority w:val="99"/>
    <w:qFormat/>
    <w:rsid w:val="00977EC0"/>
    <w:pPr>
      <w:spacing w:after="0"/>
    </w:pPr>
    <w:rPr>
      <w:sz w:val="18"/>
    </w:rPr>
  </w:style>
  <w:style w:type="paragraph" w:customStyle="1" w:styleId="CVTitle">
    <w:name w:val="CV Title"/>
    <w:basedOn w:val="BodyText"/>
    <w:uiPriority w:val="99"/>
    <w:qFormat/>
    <w:rsid w:val="00977EC0"/>
    <w:pPr>
      <w:spacing w:after="0"/>
    </w:pPr>
  </w:style>
  <w:style w:type="paragraph" w:customStyle="1" w:styleId="Backcoverdisclaimer">
    <w:name w:val="Back cover disclaimer"/>
    <w:basedOn w:val="Footer"/>
    <w:uiPriority w:val="99"/>
    <w:qFormat/>
    <w:rsid w:val="00FA363C"/>
    <w:pPr>
      <w:jc w:val="right"/>
    </w:pPr>
  </w:style>
  <w:style w:type="paragraph" w:customStyle="1" w:styleId="Disclaimertext">
    <w:name w:val="Disclaimer text"/>
    <w:basedOn w:val="Backcoverdisclaimer"/>
    <w:uiPriority w:val="99"/>
    <w:qFormat/>
    <w:rsid w:val="00EE3968"/>
  </w:style>
  <w:style w:type="paragraph" w:customStyle="1" w:styleId="SourceNotes">
    <w:name w:val="Source &amp; Notes"/>
    <w:basedOn w:val="BodyText"/>
    <w:uiPriority w:val="99"/>
    <w:qFormat/>
    <w:rsid w:val="00AD5D5A"/>
    <w:pPr>
      <w:tabs>
        <w:tab w:val="left" w:pos="709"/>
      </w:tabs>
      <w:ind w:left="1134" w:hanging="1134"/>
      <w:contextualSpacing/>
    </w:pPr>
    <w:rPr>
      <w:color w:val="auto"/>
      <w:sz w:val="16"/>
    </w:rPr>
  </w:style>
  <w:style w:type="paragraph" w:customStyle="1" w:styleId="CVEmail">
    <w:name w:val="CV Email"/>
    <w:basedOn w:val="BodyText"/>
    <w:uiPriority w:val="99"/>
    <w:qFormat/>
    <w:rsid w:val="003B2874"/>
    <w:pPr>
      <w:tabs>
        <w:tab w:val="center" w:pos="1438"/>
      </w:tabs>
      <w:spacing w:after="0"/>
    </w:pPr>
    <w:rPr>
      <w:color w:val="F26522" w:themeColor="accent1"/>
      <w:sz w:val="18"/>
    </w:rPr>
  </w:style>
  <w:style w:type="paragraph" w:customStyle="1" w:styleId="SectionSubheading">
    <w:name w:val="Section Subheading"/>
    <w:basedOn w:val="CoverSubtitle"/>
    <w:uiPriority w:val="21"/>
    <w:qFormat/>
    <w:rsid w:val="00426B39"/>
    <w:pPr>
      <w:keepLines/>
      <w:framePr w:w="0" w:wrap="auto" w:vAnchor="margin" w:hAnchor="text" w:xAlign="left" w:yAlign="inline" w:anchorLock="0"/>
      <w:spacing w:after="120"/>
      <w:ind w:right="792"/>
    </w:pPr>
    <w:rPr>
      <w:noProof/>
      <w:sz w:val="32"/>
    </w:rPr>
  </w:style>
  <w:style w:type="paragraph" w:customStyle="1" w:styleId="AppendixSubheading">
    <w:name w:val="Appendix Subheading"/>
    <w:basedOn w:val="SectionSubheading"/>
    <w:uiPriority w:val="99"/>
    <w:qFormat/>
    <w:rsid w:val="00060FB6"/>
    <w:rPr>
      <w:color w:val="FFFFFF" w:themeColor="background1"/>
    </w:rPr>
  </w:style>
  <w:style w:type="paragraph" w:customStyle="1" w:styleId="1">
    <w:name w:val="1"/>
    <w:aliases w:val="2,3"/>
    <w:basedOn w:val="Normal"/>
    <w:rsid w:val="00F6081D"/>
    <w:pPr>
      <w:spacing w:after="0"/>
    </w:pPr>
    <w:rPr>
      <w:rFonts w:ascii="Arial (W1)" w:eastAsia="Times New Roman" w:hAnsi="Arial (W1)"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SO%20Template\ESO%20Word%20Template%20-%20Full%20Width.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Hughes-Payne, Susan</DisplayName>
        <AccountId>2162</AccountId>
        <AccountType/>
      </UserInfo>
    </File_x0020_Owner>
    <Folder xmlns="2c4a82d1-790b-4937-b400-0f0f718c57a9">SO visual identity</Fol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CB43A-1F8B-47EC-8798-8ADA0AD99A5C}">
  <ds:schemaRefs>
    <ds:schemaRef ds:uri="http://schemas.microsoft.com/sharepoint/v3/contenttype/forms"/>
  </ds:schemaRefs>
</ds:datastoreItem>
</file>

<file path=customXml/itemProps2.xml><?xml version="1.0" encoding="utf-8"?>
<ds:datastoreItem xmlns:ds="http://schemas.openxmlformats.org/officeDocument/2006/customXml" ds:itemID="{DF3F10E4-8FB7-46A2-A42C-243F6F2E0B12}">
  <ds:schemaRefs>
    <ds:schemaRef ds:uri="http://schemas.openxmlformats.org/officeDocument/2006/bibliography"/>
  </ds:schemaRefs>
</ds:datastoreItem>
</file>

<file path=customXml/itemProps3.xml><?xml version="1.0" encoding="utf-8"?>
<ds:datastoreItem xmlns:ds="http://schemas.openxmlformats.org/officeDocument/2006/customXml" ds:itemID="{505EBAF0-91D6-46A9-8EDA-C54445B3AD26}">
  <ds:schemaRefs>
    <ds:schemaRef ds:uri="http://schemas.microsoft.com/office/2006/metadata/properties"/>
    <ds:schemaRef ds:uri="http://schemas.microsoft.com/office/infopath/2007/PartnerControls"/>
    <ds:schemaRef ds:uri="2c4a82d1-790b-4937-b400-0f0f718c57a9"/>
  </ds:schemaRefs>
</ds:datastoreItem>
</file>

<file path=customXml/itemProps4.xml><?xml version="1.0" encoding="utf-8"?>
<ds:datastoreItem xmlns:ds="http://schemas.openxmlformats.org/officeDocument/2006/customXml" ds:itemID="{34437F30-CC17-4542-B2ED-F35623A6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ESO Word Template - Full Width</Template>
  <TotalTime>181</TotalTime>
  <Pages>5</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ESO Word Template - Full Width</vt:lpstr>
    </vt:vector>
  </TitlesOfParts>
  <Company>Hamilton-Brown</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Full Width</dc:title>
  <dc:subject/>
  <dc:creator>Luke A. Craddock</dc:creator>
  <cp:keywords/>
  <dc:description/>
  <cp:lastModifiedBy>Rama Kodukula (NESO)</cp:lastModifiedBy>
  <cp:revision>60</cp:revision>
  <cp:lastPrinted>2018-02-21T09:46:00Z</cp:lastPrinted>
  <dcterms:created xsi:type="dcterms:W3CDTF">2024-07-23T13:43:00Z</dcterms:created>
  <dcterms:modified xsi:type="dcterms:W3CDTF">2024-11-25T14:04:00Z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ies>
</file>