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tblInd w:w="8" w:type="dxa"/>
        <w:tblLayout w:type="fixed"/>
        <w:tblCellMar>
          <w:left w:w="0" w:type="dxa"/>
          <w:right w:w="0" w:type="dxa"/>
        </w:tblCellMar>
        <w:tblLook w:val="0000" w:firstRow="0" w:lastRow="0" w:firstColumn="0" w:lastColumn="0" w:noHBand="0" w:noVBand="0"/>
      </w:tblPr>
      <w:tblGrid>
        <w:gridCol w:w="6371"/>
        <w:gridCol w:w="3260"/>
      </w:tblGrid>
      <w:tr w:rsidR="009F0FA6" w:rsidTr="00037C4D">
        <w:trPr>
          <w:cantSplit/>
          <w:trHeight w:val="1701"/>
        </w:trPr>
        <w:tc>
          <w:tcPr>
            <w:tcW w:w="6371" w:type="dxa"/>
          </w:tcPr>
          <w:p w:rsidR="009F0FA6" w:rsidRPr="00FA1858" w:rsidRDefault="00FA1858">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rsidR="009F0FA6" w:rsidRDefault="009F0FA6" w:rsidP="00603095">
            <w:pPr>
              <w:tabs>
                <w:tab w:val="left" w:pos="930"/>
              </w:tabs>
              <w:spacing w:line="280" w:lineRule="exact"/>
              <w:rPr>
                <w:rFonts w:ascii="Arial" w:hAnsi="Arial"/>
                <w:sz w:val="20"/>
              </w:rPr>
            </w:pPr>
            <w:bookmarkStart w:id="0" w:name="ADTitle"/>
            <w:bookmarkStart w:id="1" w:name="ADCompany"/>
            <w:bookmarkStart w:id="2" w:name="ADLine1"/>
            <w:bookmarkStart w:id="3" w:name="ADLine2"/>
            <w:bookmarkEnd w:id="0"/>
            <w:bookmarkEnd w:id="1"/>
            <w:bookmarkEnd w:id="2"/>
            <w:bookmarkEnd w:id="3"/>
          </w:p>
          <w:p w:rsidR="009F0FA6" w:rsidRDefault="009F0FA6">
            <w:pPr>
              <w:spacing w:line="280" w:lineRule="exact"/>
              <w:rPr>
                <w:rFonts w:ascii="Arial" w:hAnsi="Arial"/>
                <w:sz w:val="20"/>
              </w:rPr>
            </w:pPr>
            <w:bookmarkStart w:id="4" w:name="ADTown"/>
            <w:bookmarkEnd w:id="4"/>
          </w:p>
          <w:p w:rsidR="009F0FA6" w:rsidRDefault="00FA1858">
            <w:pPr>
              <w:spacing w:line="280" w:lineRule="exact"/>
              <w:rPr>
                <w:rFonts w:ascii="Arial" w:hAnsi="Arial"/>
                <w:sz w:val="20"/>
              </w:rPr>
            </w:pPr>
            <w:r>
              <w:rPr>
                <w:rFonts w:ascii="Arial" w:hAnsi="Arial"/>
                <w:sz w:val="20"/>
              </w:rPr>
              <w:t xml:space="preserve">To All Service Providers </w:t>
            </w:r>
          </w:p>
        </w:tc>
        <w:tc>
          <w:tcPr>
            <w:tcW w:w="3260" w:type="dxa"/>
          </w:tcPr>
          <w:p w:rsidR="009F0FA6" w:rsidRPr="00D81D1B" w:rsidRDefault="00286B99">
            <w:pPr>
              <w:pStyle w:val="Header"/>
              <w:tabs>
                <w:tab w:val="clear" w:pos="4153"/>
                <w:tab w:val="clear" w:pos="8306"/>
              </w:tabs>
              <w:spacing w:line="280" w:lineRule="exact"/>
              <w:rPr>
                <w:rFonts w:ascii="Arial" w:hAnsi="Arial"/>
                <w:sz w:val="20"/>
              </w:rPr>
            </w:pPr>
            <w:r>
              <w:rPr>
                <w:rFonts w:ascii="Arial" w:hAnsi="Arial"/>
                <w:sz w:val="20"/>
              </w:rPr>
              <w:t>Steve Miller</w:t>
            </w:r>
          </w:p>
          <w:p w:rsidR="00286B99" w:rsidRDefault="00286B99">
            <w:pPr>
              <w:pStyle w:val="Header"/>
              <w:tabs>
                <w:tab w:val="clear" w:pos="4153"/>
                <w:tab w:val="clear" w:pos="8306"/>
              </w:tabs>
              <w:spacing w:line="280" w:lineRule="exact"/>
              <w:rPr>
                <w:rFonts w:ascii="Arial" w:hAnsi="Arial"/>
                <w:sz w:val="20"/>
              </w:rPr>
            </w:pPr>
            <w:r>
              <w:rPr>
                <w:rFonts w:ascii="Arial" w:hAnsi="Arial"/>
                <w:sz w:val="20"/>
              </w:rPr>
              <w:t>Senior Contracts Manager</w:t>
            </w:r>
          </w:p>
          <w:p w:rsidR="00286B99" w:rsidRDefault="00286B99">
            <w:pPr>
              <w:pStyle w:val="Header"/>
              <w:tabs>
                <w:tab w:val="clear" w:pos="4153"/>
                <w:tab w:val="clear" w:pos="8306"/>
              </w:tabs>
              <w:spacing w:line="280" w:lineRule="exact"/>
              <w:rPr>
                <w:rFonts w:ascii="Arial" w:hAnsi="Arial"/>
                <w:sz w:val="20"/>
              </w:rPr>
            </w:pPr>
          </w:p>
          <w:p w:rsidR="009F0FA6" w:rsidRPr="00286B99" w:rsidRDefault="00382468">
            <w:pPr>
              <w:pStyle w:val="Header"/>
              <w:tabs>
                <w:tab w:val="clear" w:pos="4153"/>
                <w:tab w:val="clear" w:pos="8306"/>
              </w:tabs>
              <w:spacing w:line="280" w:lineRule="exact"/>
              <w:rPr>
                <w:rFonts w:ascii="Arial" w:hAnsi="Arial"/>
                <w:sz w:val="20"/>
              </w:rPr>
            </w:pPr>
            <w:hyperlink r:id="rId8" w:history="1">
              <w:r w:rsidR="00286B99" w:rsidRPr="00576E94">
                <w:rPr>
                  <w:rStyle w:val="Hyperlink"/>
                  <w:rFonts w:ascii="Arial" w:hAnsi="Arial" w:cs="Arial"/>
                  <w:color w:val="FFC000"/>
                  <w:sz w:val="20"/>
                  <w:szCs w:val="20"/>
                </w:rPr>
                <w:t>steve.k.miller@nationalgrideso.com</w:t>
              </w:r>
            </w:hyperlink>
            <w:r w:rsidR="00514E7C" w:rsidRPr="00863EFB">
              <w:rPr>
                <w:rFonts w:ascii="Arial" w:hAnsi="Arial" w:cs="Arial"/>
                <w:sz w:val="20"/>
                <w:szCs w:val="20"/>
              </w:rPr>
              <w:t xml:space="preserve"> </w:t>
            </w:r>
          </w:p>
          <w:p w:rsidR="009F0FA6" w:rsidRPr="00D81D1B" w:rsidRDefault="009F0FA6">
            <w:pPr>
              <w:pStyle w:val="Header"/>
              <w:tabs>
                <w:tab w:val="clear" w:pos="4153"/>
                <w:tab w:val="clear" w:pos="8306"/>
                <w:tab w:val="left" w:pos="994"/>
              </w:tabs>
              <w:spacing w:line="280" w:lineRule="exact"/>
              <w:rPr>
                <w:rFonts w:ascii="Arial" w:hAnsi="Arial"/>
                <w:sz w:val="20"/>
              </w:rPr>
            </w:pPr>
            <w:r w:rsidRPr="00D81D1B">
              <w:rPr>
                <w:rFonts w:ascii="Arial" w:hAnsi="Arial"/>
                <w:sz w:val="20"/>
              </w:rPr>
              <w:t xml:space="preserve">Direct </w:t>
            </w:r>
            <w:proofErr w:type="spellStart"/>
            <w:r w:rsidRPr="00D81D1B">
              <w:rPr>
                <w:rFonts w:ascii="Arial" w:hAnsi="Arial"/>
                <w:sz w:val="20"/>
              </w:rPr>
              <w:t>tel</w:t>
            </w:r>
            <w:proofErr w:type="spellEnd"/>
            <w:r w:rsidR="00FA1858" w:rsidRPr="00D81D1B">
              <w:rPr>
                <w:rFonts w:ascii="Arial" w:hAnsi="Arial"/>
                <w:sz w:val="20"/>
              </w:rPr>
              <w:t>:</w:t>
            </w:r>
            <w:r w:rsidRPr="00D81D1B">
              <w:rPr>
                <w:rFonts w:ascii="Arial" w:hAnsi="Arial"/>
                <w:sz w:val="20"/>
              </w:rPr>
              <w:tab/>
              <w:t>+44 (0)</w:t>
            </w:r>
            <w:r w:rsidR="00B649BF" w:rsidRPr="00D81D1B">
              <w:rPr>
                <w:rFonts w:ascii="Arial" w:hAnsi="Arial"/>
                <w:sz w:val="20"/>
              </w:rPr>
              <w:t>1926 65</w:t>
            </w:r>
            <w:r w:rsidR="00286B99">
              <w:rPr>
                <w:rFonts w:ascii="Arial" w:hAnsi="Arial"/>
                <w:sz w:val="20"/>
              </w:rPr>
              <w:t>3245</w:t>
            </w:r>
            <w:r w:rsidR="00B649BF" w:rsidRPr="00D81D1B">
              <w:rPr>
                <w:rFonts w:ascii="Arial" w:hAnsi="Arial"/>
                <w:sz w:val="20"/>
              </w:rPr>
              <w:t xml:space="preserve"> </w:t>
            </w:r>
          </w:p>
          <w:p w:rsidR="009F0FA6" w:rsidRDefault="009F0FA6" w:rsidP="0032409F">
            <w:pPr>
              <w:pStyle w:val="Header"/>
              <w:tabs>
                <w:tab w:val="clear" w:pos="4153"/>
                <w:tab w:val="clear" w:pos="8306"/>
                <w:tab w:val="left" w:pos="994"/>
              </w:tabs>
              <w:spacing w:line="280" w:lineRule="exact"/>
            </w:pPr>
            <w:r w:rsidRPr="00D81D1B">
              <w:rPr>
                <w:rFonts w:ascii="Arial" w:hAnsi="Arial"/>
                <w:sz w:val="20"/>
              </w:rPr>
              <w:t>Direct fax</w:t>
            </w:r>
            <w:r w:rsidR="00FA1858" w:rsidRPr="00D81D1B">
              <w:rPr>
                <w:rFonts w:ascii="Arial" w:hAnsi="Arial"/>
                <w:sz w:val="20"/>
              </w:rPr>
              <w:t>:</w:t>
            </w:r>
            <w:r w:rsidRPr="00D81D1B">
              <w:rPr>
                <w:rFonts w:ascii="Arial" w:hAnsi="Arial"/>
                <w:sz w:val="20"/>
              </w:rPr>
              <w:tab/>
              <w:t>+44 (0)</w:t>
            </w:r>
            <w:r w:rsidR="00286B99">
              <w:rPr>
                <w:rFonts w:ascii="Arial" w:hAnsi="Arial"/>
                <w:sz w:val="20"/>
              </w:rPr>
              <w:t>7500 126470</w:t>
            </w:r>
            <w:r w:rsidR="00FA1858">
              <w:rPr>
                <w:rFonts w:ascii="Arial" w:hAnsi="Arial"/>
                <w:sz w:val="20"/>
              </w:rPr>
              <w:t xml:space="preserve"> </w:t>
            </w:r>
          </w:p>
        </w:tc>
      </w:tr>
      <w:tr w:rsidR="009F0FA6" w:rsidTr="00037C4D">
        <w:trPr>
          <w:trHeight w:val="280"/>
        </w:trPr>
        <w:tc>
          <w:tcPr>
            <w:tcW w:w="6371" w:type="dxa"/>
          </w:tcPr>
          <w:p w:rsidR="009F0FA6" w:rsidRDefault="009F0FA6">
            <w:pPr>
              <w:spacing w:line="280" w:lineRule="exact"/>
              <w:rPr>
                <w:rFonts w:ascii="Arial" w:hAnsi="Arial"/>
                <w:sz w:val="20"/>
              </w:rPr>
            </w:pPr>
          </w:p>
        </w:tc>
        <w:tc>
          <w:tcPr>
            <w:tcW w:w="3260" w:type="dxa"/>
          </w:tcPr>
          <w:p w:rsidR="009F0FA6" w:rsidRDefault="009F0FA6">
            <w:pPr>
              <w:rPr>
                <w:rFonts w:ascii="Arial" w:hAnsi="Arial"/>
                <w:color w:val="000000"/>
              </w:rPr>
            </w:pPr>
          </w:p>
        </w:tc>
      </w:tr>
      <w:tr w:rsidR="009F0FA6" w:rsidTr="00037C4D">
        <w:trPr>
          <w:trHeight w:val="280"/>
        </w:trPr>
        <w:tc>
          <w:tcPr>
            <w:tcW w:w="6371" w:type="dxa"/>
          </w:tcPr>
          <w:p w:rsidR="009F0FA6" w:rsidRDefault="002A2FAD" w:rsidP="00231C67">
            <w:pPr>
              <w:spacing w:line="280" w:lineRule="exact"/>
              <w:rPr>
                <w:rFonts w:ascii="Arial" w:hAnsi="Arial"/>
                <w:sz w:val="20"/>
              </w:rPr>
            </w:pPr>
            <w:r>
              <w:rPr>
                <w:rFonts w:ascii="Arial" w:hAnsi="Arial"/>
                <w:sz w:val="20"/>
              </w:rPr>
              <w:t>5</w:t>
            </w:r>
            <w:r w:rsidR="00286B99">
              <w:rPr>
                <w:rFonts w:ascii="Arial" w:hAnsi="Arial"/>
                <w:sz w:val="20"/>
              </w:rPr>
              <w:t xml:space="preserve"> June 2019</w:t>
            </w:r>
            <w:r w:rsidR="0032409F" w:rsidRPr="00407AB2">
              <w:rPr>
                <w:rFonts w:ascii="Arial" w:hAnsi="Arial"/>
                <w:sz w:val="20"/>
              </w:rPr>
              <w:t xml:space="preserve">    </w:t>
            </w:r>
          </w:p>
        </w:tc>
        <w:tc>
          <w:tcPr>
            <w:tcW w:w="3260" w:type="dxa"/>
          </w:tcPr>
          <w:p w:rsidR="009F0FA6" w:rsidRDefault="009F0FA6">
            <w:pPr>
              <w:rPr>
                <w:rFonts w:ascii="Arial" w:hAnsi="Arial"/>
              </w:rPr>
            </w:pPr>
          </w:p>
        </w:tc>
      </w:tr>
      <w:tr w:rsidR="009F0FA6" w:rsidTr="00037C4D">
        <w:trPr>
          <w:trHeight w:val="280"/>
        </w:trPr>
        <w:tc>
          <w:tcPr>
            <w:tcW w:w="6371" w:type="dxa"/>
          </w:tcPr>
          <w:p w:rsidR="009F0FA6" w:rsidRDefault="00680863">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260" w:type="dxa"/>
          </w:tcPr>
          <w:p w:rsidR="009F0FA6" w:rsidRDefault="009F0FA6">
            <w:pPr>
              <w:rPr>
                <w:rFonts w:ascii="Arial" w:hAnsi="Arial"/>
                <w:sz w:val="20"/>
              </w:rPr>
            </w:pPr>
          </w:p>
        </w:tc>
      </w:tr>
    </w:tbl>
    <w:p w:rsidR="005F7DBD" w:rsidRDefault="005F7DBD" w:rsidP="00BC11CE">
      <w:pPr>
        <w:pStyle w:val="Header"/>
        <w:tabs>
          <w:tab w:val="clear" w:pos="4153"/>
          <w:tab w:val="clear" w:pos="8306"/>
        </w:tabs>
        <w:spacing w:line="280" w:lineRule="exact"/>
        <w:jc w:val="both"/>
        <w:rPr>
          <w:rFonts w:ascii="Arial" w:hAnsi="Arial"/>
          <w:sz w:val="20"/>
        </w:rPr>
      </w:pPr>
    </w:p>
    <w:p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rsidR="00FA1858" w:rsidRDefault="00FA1858" w:rsidP="00BC11CE">
      <w:pPr>
        <w:pStyle w:val="Header"/>
        <w:tabs>
          <w:tab w:val="clear" w:pos="4153"/>
          <w:tab w:val="clear" w:pos="8306"/>
        </w:tabs>
        <w:spacing w:line="280" w:lineRule="exact"/>
        <w:jc w:val="both"/>
        <w:rPr>
          <w:rFonts w:ascii="Arial" w:hAnsi="Arial"/>
          <w:sz w:val="20"/>
        </w:rPr>
      </w:pPr>
    </w:p>
    <w:p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 xml:space="preserve">t Management Requirement </w:t>
      </w:r>
      <w:r w:rsidR="002C6E5A" w:rsidRPr="00A25D22">
        <w:rPr>
          <w:rFonts w:ascii="Arial" w:hAnsi="Arial"/>
          <w:b/>
          <w:caps/>
          <w:sz w:val="20"/>
        </w:rPr>
        <w:t>Notice</w:t>
      </w:r>
      <w:r w:rsidR="002C6E5A" w:rsidRPr="00A25D22">
        <w:rPr>
          <w:rFonts w:ascii="Arial" w:hAnsi="Arial"/>
          <w:b/>
          <w:sz w:val="20"/>
        </w:rPr>
        <w:t xml:space="preserve"> -</w:t>
      </w:r>
      <w:r w:rsidRPr="00A25D22">
        <w:rPr>
          <w:rFonts w:ascii="Arial" w:hAnsi="Arial"/>
          <w:b/>
          <w:sz w:val="20"/>
        </w:rPr>
        <w:t xml:space="preserve"> </w:t>
      </w:r>
      <w:r w:rsidR="002C6E5A" w:rsidRPr="00A25D22">
        <w:rPr>
          <w:rFonts w:ascii="Arial" w:hAnsi="Arial"/>
          <w:b/>
          <w:sz w:val="20"/>
        </w:rPr>
        <w:t>[</w:t>
      </w:r>
      <w:r w:rsidR="00DF3808" w:rsidRPr="00A25D22">
        <w:rPr>
          <w:rFonts w:ascii="Arial" w:hAnsi="Arial"/>
          <w:b/>
          <w:sz w:val="20"/>
        </w:rPr>
        <w:t>TC</w:t>
      </w:r>
      <w:r w:rsidRPr="00A25D22">
        <w:rPr>
          <w:rFonts w:ascii="Arial" w:hAnsi="Arial"/>
          <w:b/>
          <w:sz w:val="20"/>
        </w:rPr>
        <w:t>MRN</w:t>
      </w:r>
      <w:r w:rsidR="002C6E5A" w:rsidRPr="00A25D22">
        <w:rPr>
          <w:rFonts w:ascii="Arial" w:hAnsi="Arial"/>
          <w:b/>
          <w:sz w:val="20"/>
        </w:rPr>
        <w:t>/</w:t>
      </w:r>
      <w:r w:rsidR="00286B99">
        <w:rPr>
          <w:rFonts w:ascii="Arial" w:hAnsi="Arial"/>
          <w:b/>
          <w:sz w:val="20"/>
        </w:rPr>
        <w:t>01/19</w:t>
      </w:r>
      <w:r w:rsidR="002C6E5A" w:rsidRPr="00A25D22">
        <w:rPr>
          <w:rFonts w:ascii="Arial" w:hAnsi="Arial"/>
          <w:b/>
          <w:sz w:val="20"/>
        </w:rPr>
        <w:t>]</w:t>
      </w:r>
    </w:p>
    <w:p w:rsidR="00C572BA" w:rsidRDefault="00C572BA" w:rsidP="00BC11CE">
      <w:pPr>
        <w:pStyle w:val="Header"/>
        <w:tabs>
          <w:tab w:val="clear" w:pos="4153"/>
          <w:tab w:val="clear" w:pos="8306"/>
        </w:tabs>
        <w:spacing w:line="280" w:lineRule="exact"/>
        <w:jc w:val="both"/>
        <w:rPr>
          <w:rFonts w:ascii="Arial" w:hAnsi="Arial"/>
          <w:sz w:val="20"/>
        </w:rPr>
      </w:pPr>
    </w:p>
    <w:p w:rsidR="00FA68C5"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00576E94">
        <w:rPr>
          <w:rFonts w:ascii="Arial" w:hAnsi="Arial"/>
          <w:sz w:val="20"/>
        </w:rPr>
        <w:t xml:space="preserve">National Grid </w:t>
      </w:r>
      <w:r>
        <w:rPr>
          <w:rFonts w:ascii="Arial" w:hAnsi="Arial"/>
          <w:sz w:val="20"/>
        </w:rPr>
        <w:t>Electricity</w:t>
      </w:r>
      <w:r w:rsidR="00286B99">
        <w:rPr>
          <w:rFonts w:ascii="Arial" w:hAnsi="Arial"/>
          <w:sz w:val="20"/>
        </w:rPr>
        <w:t xml:space="preserve"> System Operator Limited</w:t>
      </w:r>
      <w:r>
        <w:rPr>
          <w:rFonts w:ascii="Arial" w:hAnsi="Arial"/>
          <w:sz w:val="20"/>
        </w:rPr>
        <w:t xml:space="preserve"> (</w:t>
      </w:r>
      <w:r w:rsidR="00286B99">
        <w:rPr>
          <w:rFonts w:ascii="Arial" w:hAnsi="Arial"/>
          <w:sz w:val="20"/>
        </w:rPr>
        <w:t>“NGESO</w:t>
      </w:r>
      <w:r w:rsidR="00F754AD">
        <w:rPr>
          <w:rFonts w:ascii="Arial" w:hAnsi="Arial"/>
          <w:sz w:val="20"/>
        </w:rPr>
        <w:t>”</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286B99">
        <w:rPr>
          <w:rFonts w:ascii="Arial" w:hAnsi="Arial"/>
          <w:sz w:val="20"/>
        </w:rPr>
        <w:t>GESO</w:t>
      </w:r>
      <w:r>
        <w:rPr>
          <w:rFonts w:ascii="Arial" w:hAnsi="Arial"/>
          <w:sz w:val="20"/>
        </w:rPr>
        <w:t xml:space="preserve"> is therefore, seeking to procure constraint management services </w:t>
      </w:r>
      <w:proofErr w:type="gramStart"/>
      <w:r>
        <w:rPr>
          <w:rFonts w:ascii="Arial" w:hAnsi="Arial"/>
          <w:sz w:val="20"/>
        </w:rPr>
        <w:t>in order to</w:t>
      </w:r>
      <w:proofErr w:type="gramEnd"/>
      <w:r>
        <w:rPr>
          <w:rFonts w:ascii="Arial" w:hAnsi="Arial"/>
          <w:sz w:val="20"/>
        </w:rPr>
        <w:t xml:space="preserve"> economically and efficiently manage a potential constraint.</w:t>
      </w:r>
    </w:p>
    <w:p w:rsidR="00FA68C5" w:rsidRDefault="00FA68C5" w:rsidP="00FA68C5">
      <w:pPr>
        <w:pStyle w:val="Header"/>
        <w:tabs>
          <w:tab w:val="clear" w:pos="4153"/>
          <w:tab w:val="clear" w:pos="8306"/>
        </w:tabs>
        <w:spacing w:line="360" w:lineRule="auto"/>
        <w:jc w:val="both"/>
        <w:rPr>
          <w:rFonts w:ascii="Arial" w:hAnsi="Arial"/>
          <w:sz w:val="20"/>
        </w:rPr>
      </w:pPr>
    </w:p>
    <w:p w:rsidR="00FA68C5"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There are two contract requirements as detailed below and we are inviting tenders for the firm contract or optional contract or both. Please note the below requirement is for a voltage only service at minimum output.</w:t>
      </w:r>
    </w:p>
    <w:p w:rsidR="00FA68C5" w:rsidRDefault="00FA68C5" w:rsidP="00205977">
      <w:pPr>
        <w:pStyle w:val="Header"/>
        <w:tabs>
          <w:tab w:val="clear" w:pos="4153"/>
          <w:tab w:val="clear" w:pos="8306"/>
        </w:tabs>
        <w:spacing w:line="360" w:lineRule="auto"/>
        <w:jc w:val="both"/>
        <w:rPr>
          <w:rFonts w:ascii="Arial" w:hAnsi="Arial"/>
          <w:sz w:val="20"/>
        </w:rPr>
      </w:pPr>
      <w:r>
        <w:rPr>
          <w:rFonts w:ascii="Arial" w:hAnsi="Arial"/>
          <w:sz w:val="20"/>
        </w:rPr>
        <w:t>With these requirements, there are several other documents to go alongside which will be published on the website:</w:t>
      </w:r>
    </w:p>
    <w:p w:rsidR="000566F0" w:rsidRDefault="00FA68C5"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Tender submission spreadsheet</w:t>
      </w:r>
    </w:p>
    <w:p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f</w:t>
      </w:r>
      <w:r w:rsidR="00FA68C5">
        <w:rPr>
          <w:rFonts w:ascii="Arial" w:hAnsi="Arial"/>
          <w:sz w:val="20"/>
        </w:rPr>
        <w:t>irm contract</w:t>
      </w:r>
    </w:p>
    <w:p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o</w:t>
      </w:r>
      <w:r w:rsidR="00FA68C5">
        <w:rPr>
          <w:rFonts w:ascii="Arial" w:hAnsi="Arial"/>
          <w:sz w:val="20"/>
        </w:rPr>
        <w:t>ptional contract</w:t>
      </w:r>
    </w:p>
    <w:p w:rsidR="00FA68C5" w:rsidRPr="00286B99"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Please note when providers submit tenders this is on the basis that the contract terms can be delivered. The contract terms will not be amended post tender, please read the contract terms thoroughly before submitting a tender.</w:t>
      </w:r>
    </w:p>
    <w:p w:rsidR="008803A5" w:rsidRDefault="008803A5" w:rsidP="00BC11CE">
      <w:pPr>
        <w:pStyle w:val="Header"/>
        <w:tabs>
          <w:tab w:val="clear" w:pos="4153"/>
          <w:tab w:val="clear" w:pos="8306"/>
        </w:tabs>
        <w:spacing w:line="280" w:lineRule="exact"/>
        <w:jc w:val="both"/>
        <w:rPr>
          <w:rFonts w:ascii="Arial" w:hAnsi="Arial"/>
          <w:b/>
          <w:sz w:val="20"/>
        </w:rPr>
      </w:pPr>
    </w:p>
    <w:p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rsidTr="000245E5">
        <w:trPr>
          <w:trHeight w:val="284"/>
          <w:jc w:val="center"/>
        </w:trPr>
        <w:tc>
          <w:tcPr>
            <w:tcW w:w="2694" w:type="dxa"/>
            <w:tcMar>
              <w:top w:w="57" w:type="dxa"/>
              <w:left w:w="108" w:type="dxa"/>
              <w:bottom w:w="57" w:type="dxa"/>
              <w:right w:w="108" w:type="dxa"/>
            </w:tcMar>
            <w:vAlign w:val="center"/>
          </w:tcPr>
          <w:p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rsidR="00C22D20" w:rsidRPr="00F754AD" w:rsidRDefault="00F00BE5" w:rsidP="00E474B8">
            <w:pPr>
              <w:rPr>
                <w:rFonts w:ascii="Arial" w:hAnsi="Arial" w:cs="Arial"/>
                <w:sz w:val="18"/>
                <w:szCs w:val="18"/>
                <w:highlight w:val="yellow"/>
              </w:rPr>
            </w:pPr>
            <w:r>
              <w:rPr>
                <w:rFonts w:ascii="Arial" w:hAnsi="Arial" w:cs="Arial"/>
                <w:sz w:val="18"/>
                <w:szCs w:val="18"/>
              </w:rPr>
              <w:t xml:space="preserve">East </w:t>
            </w:r>
            <w:r w:rsidR="00182A5D">
              <w:rPr>
                <w:rFonts w:ascii="Arial" w:hAnsi="Arial" w:cs="Arial"/>
                <w:sz w:val="18"/>
                <w:szCs w:val="18"/>
              </w:rPr>
              <w:t>Midlands</w:t>
            </w:r>
          </w:p>
        </w:tc>
      </w:tr>
      <w:tr w:rsidR="002A52C9" w:rsidRPr="00B676B4" w:rsidTr="000245E5">
        <w:trPr>
          <w:trHeight w:val="284"/>
          <w:jc w:val="center"/>
        </w:trPr>
        <w:tc>
          <w:tcPr>
            <w:tcW w:w="2694" w:type="dxa"/>
            <w:tcMar>
              <w:top w:w="57" w:type="dxa"/>
              <w:left w:w="108" w:type="dxa"/>
              <w:bottom w:w="57" w:type="dxa"/>
              <w:right w:w="108" w:type="dxa"/>
            </w:tcMar>
            <w:vAlign w:val="center"/>
          </w:tcPr>
          <w:p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rsidR="002A52C9" w:rsidRPr="002322AB" w:rsidRDefault="00F00BE5" w:rsidP="00142A6F">
            <w:pPr>
              <w:rPr>
                <w:rFonts w:ascii="Arial" w:hAnsi="Arial" w:cs="Arial"/>
                <w:sz w:val="18"/>
                <w:szCs w:val="18"/>
              </w:rPr>
            </w:pPr>
            <w:r>
              <w:rPr>
                <w:rFonts w:ascii="Arial" w:hAnsi="Arial" w:cs="Arial"/>
                <w:sz w:val="18"/>
                <w:szCs w:val="18"/>
              </w:rPr>
              <w:t xml:space="preserve">Spalding, Little </w:t>
            </w:r>
            <w:proofErr w:type="spellStart"/>
            <w:r>
              <w:rPr>
                <w:rFonts w:ascii="Arial" w:hAnsi="Arial" w:cs="Arial"/>
                <w:sz w:val="18"/>
                <w:szCs w:val="18"/>
              </w:rPr>
              <w:t>Barford</w:t>
            </w:r>
            <w:proofErr w:type="spellEnd"/>
            <w:r>
              <w:rPr>
                <w:rFonts w:ascii="Arial" w:hAnsi="Arial" w:cs="Arial"/>
                <w:sz w:val="18"/>
                <w:szCs w:val="18"/>
              </w:rPr>
              <w:t xml:space="preserve">, Rye </w:t>
            </w:r>
            <w:proofErr w:type="gramStart"/>
            <w:r>
              <w:rPr>
                <w:rFonts w:ascii="Arial" w:hAnsi="Arial" w:cs="Arial"/>
                <w:sz w:val="18"/>
                <w:szCs w:val="18"/>
              </w:rPr>
              <w:t>House ,</w:t>
            </w:r>
            <w:proofErr w:type="gramEnd"/>
            <w:r>
              <w:rPr>
                <w:rFonts w:ascii="Arial" w:hAnsi="Arial" w:cs="Arial"/>
                <w:sz w:val="18"/>
                <w:szCs w:val="18"/>
              </w:rPr>
              <w:t xml:space="preserve"> Sutton Bridge</w:t>
            </w:r>
          </w:p>
        </w:tc>
      </w:tr>
      <w:tr w:rsidR="00B66B99" w:rsidRPr="00B676B4" w:rsidTr="000245E5">
        <w:trPr>
          <w:trHeight w:val="284"/>
          <w:jc w:val="center"/>
        </w:trPr>
        <w:tc>
          <w:tcPr>
            <w:tcW w:w="2694" w:type="dxa"/>
            <w:tcMar>
              <w:top w:w="57" w:type="dxa"/>
              <w:left w:w="108" w:type="dxa"/>
              <w:bottom w:w="57" w:type="dxa"/>
              <w:right w:w="108" w:type="dxa"/>
            </w:tcMar>
            <w:vAlign w:val="center"/>
          </w:tcPr>
          <w:p w:rsidR="00B66B99" w:rsidRDefault="00B66B99" w:rsidP="00C92B2D">
            <w:pPr>
              <w:jc w:val="right"/>
              <w:rPr>
                <w:rFonts w:ascii="Arial" w:hAnsi="Arial" w:cs="Arial"/>
                <w:b/>
                <w:bCs/>
                <w:color w:val="0079C1"/>
                <w:sz w:val="18"/>
                <w:szCs w:val="18"/>
              </w:rPr>
            </w:pPr>
            <w:r w:rsidRPr="00B676B4">
              <w:rPr>
                <w:rFonts w:ascii="Arial" w:hAnsi="Arial" w:cs="Arial"/>
                <w:b/>
                <w:bCs/>
                <w:color w:val="0079C1"/>
                <w:sz w:val="18"/>
                <w:szCs w:val="18"/>
              </w:rPr>
              <w:t>Additional Notes:</w:t>
            </w:r>
          </w:p>
        </w:tc>
        <w:tc>
          <w:tcPr>
            <w:tcW w:w="6520" w:type="dxa"/>
            <w:tcMar>
              <w:top w:w="57" w:type="dxa"/>
              <w:left w:w="108" w:type="dxa"/>
              <w:bottom w:w="57" w:type="dxa"/>
              <w:right w:w="108" w:type="dxa"/>
            </w:tcMar>
            <w:vAlign w:val="center"/>
          </w:tcPr>
          <w:p w:rsidR="0082666D" w:rsidRPr="00996525" w:rsidRDefault="0082666D" w:rsidP="004E4A8B">
            <w:pPr>
              <w:rPr>
                <w:rFonts w:ascii="Arial" w:hAnsi="Arial" w:cs="Arial"/>
                <w:sz w:val="18"/>
                <w:szCs w:val="18"/>
                <w:highlight w:val="yellow"/>
              </w:rPr>
            </w:pPr>
          </w:p>
        </w:tc>
      </w:tr>
      <w:tr w:rsidR="00B51706" w:rsidRPr="00B676B4" w:rsidTr="000E26C5">
        <w:trPr>
          <w:trHeight w:val="284"/>
          <w:jc w:val="center"/>
        </w:trPr>
        <w:tc>
          <w:tcPr>
            <w:tcW w:w="2694" w:type="dxa"/>
            <w:tcMar>
              <w:top w:w="57" w:type="dxa"/>
              <w:left w:w="108" w:type="dxa"/>
              <w:bottom w:w="57" w:type="dxa"/>
              <w:right w:w="108" w:type="dxa"/>
            </w:tcMar>
            <w:vAlign w:val="center"/>
          </w:tcPr>
          <w:p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rsidR="00B51706" w:rsidRDefault="00F00BE5" w:rsidP="000E26C5">
            <w:pPr>
              <w:rPr>
                <w:rFonts w:ascii="Arial" w:hAnsi="Arial" w:cs="Arial"/>
                <w:sz w:val="18"/>
                <w:szCs w:val="18"/>
              </w:rPr>
            </w:pPr>
            <w:r>
              <w:rPr>
                <w:rFonts w:ascii="Arial" w:hAnsi="Arial" w:cs="Arial"/>
                <w:sz w:val="18"/>
                <w:szCs w:val="18"/>
              </w:rPr>
              <w:t>2</w:t>
            </w:r>
            <w:r w:rsidR="00A06DD9">
              <w:rPr>
                <w:rFonts w:ascii="Arial" w:hAnsi="Arial" w:cs="Arial"/>
                <w:sz w:val="18"/>
                <w:szCs w:val="18"/>
              </w:rPr>
              <w:t xml:space="preserve"> Unit</w:t>
            </w:r>
            <w:r w:rsidR="00182A5D">
              <w:rPr>
                <w:rFonts w:ascii="Arial" w:hAnsi="Arial" w:cs="Arial"/>
                <w:sz w:val="18"/>
                <w:szCs w:val="18"/>
              </w:rPr>
              <w:t>s</w:t>
            </w:r>
          </w:p>
        </w:tc>
      </w:tr>
    </w:tbl>
    <w:p w:rsidR="00037C4D" w:rsidRDefault="00037C4D" w:rsidP="002A52C9">
      <w:pPr>
        <w:rPr>
          <w:rFonts w:ascii="Arial" w:hAnsi="Arial" w:cs="Arial"/>
          <w:sz w:val="20"/>
          <w:szCs w:val="20"/>
        </w:rPr>
      </w:pPr>
    </w:p>
    <w:p w:rsidR="00382468" w:rsidRDefault="00382468" w:rsidP="0006667A">
      <w:pPr>
        <w:rPr>
          <w:rFonts w:ascii="Arial" w:hAnsi="Arial" w:cs="Arial"/>
          <w:sz w:val="20"/>
          <w:szCs w:val="20"/>
        </w:rPr>
      </w:pPr>
    </w:p>
    <w:p w:rsidR="00382468" w:rsidRDefault="00382468" w:rsidP="0006667A">
      <w:pPr>
        <w:rPr>
          <w:rFonts w:ascii="Arial" w:hAnsi="Arial" w:cs="Arial"/>
          <w:sz w:val="20"/>
          <w:szCs w:val="20"/>
        </w:rPr>
      </w:pPr>
    </w:p>
    <w:p w:rsidR="00A06DD9" w:rsidRDefault="00B66B99" w:rsidP="0006667A">
      <w:pPr>
        <w:rPr>
          <w:rFonts w:ascii="Arial" w:hAnsi="Arial" w:cs="Arial"/>
          <w:sz w:val="20"/>
          <w:szCs w:val="20"/>
        </w:rPr>
      </w:pPr>
      <w:r>
        <w:rPr>
          <w:rFonts w:ascii="Arial" w:hAnsi="Arial" w:cs="Arial"/>
          <w:sz w:val="20"/>
          <w:szCs w:val="20"/>
        </w:rPr>
        <w:t>Service providers are requested to provide prices for the following service</w:t>
      </w:r>
      <w:r w:rsidR="00F00BE5">
        <w:rPr>
          <w:rFonts w:ascii="Arial" w:hAnsi="Arial" w:cs="Arial"/>
          <w:sz w:val="20"/>
          <w:szCs w:val="20"/>
        </w:rPr>
        <w:t>(s)</w:t>
      </w:r>
      <w:r>
        <w:rPr>
          <w:rFonts w:ascii="Arial" w:hAnsi="Arial" w:cs="Arial"/>
          <w:sz w:val="20"/>
          <w:szCs w:val="20"/>
        </w:rPr>
        <w:t>:</w:t>
      </w:r>
      <w:bookmarkStart w:id="5" w:name="ADCounty"/>
      <w:bookmarkEnd w:id="5"/>
    </w:p>
    <w:p w:rsidR="00F4250F" w:rsidRDefault="00F4250F" w:rsidP="0006667A">
      <w:pPr>
        <w:rPr>
          <w:rFonts w:ascii="Arial" w:hAnsi="Arial" w:cs="Arial"/>
          <w:b/>
          <w:sz w:val="20"/>
          <w:szCs w:val="20"/>
        </w:rPr>
      </w:pPr>
    </w:p>
    <w:p w:rsidR="00F00BE5" w:rsidRDefault="00F00BE5" w:rsidP="0006667A">
      <w:pPr>
        <w:rPr>
          <w:rFonts w:ascii="Arial" w:hAnsi="Arial" w:cs="Arial"/>
          <w:b/>
          <w:sz w:val="20"/>
          <w:szCs w:val="20"/>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F00BE5" w:rsidRPr="00B676B4"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sidRPr="00B676B4">
              <w:rPr>
                <w:rFonts w:ascii="Arial" w:hAnsi="Arial" w:cs="Arial"/>
                <w:b/>
                <w:bCs/>
                <w:color w:val="0079C1"/>
                <w:sz w:val="18"/>
                <w:szCs w:val="18"/>
              </w:rPr>
              <w:lastRenderedPageBreak/>
              <w:t>Service description:</w:t>
            </w:r>
          </w:p>
        </w:tc>
        <w:tc>
          <w:tcPr>
            <w:tcW w:w="6502" w:type="dxa"/>
            <w:tcMar>
              <w:top w:w="57" w:type="dxa"/>
              <w:left w:w="108" w:type="dxa"/>
              <w:bottom w:w="57" w:type="dxa"/>
              <w:right w:w="108" w:type="dxa"/>
            </w:tcMar>
            <w:vAlign w:val="center"/>
          </w:tcPr>
          <w:p w:rsidR="00F00BE5" w:rsidRDefault="00E86096" w:rsidP="00EF595C">
            <w:pPr>
              <w:ind w:left="-108" w:firstLine="108"/>
              <w:rPr>
                <w:rFonts w:ascii="Arial" w:hAnsi="Arial" w:cs="Arial"/>
                <w:sz w:val="18"/>
                <w:szCs w:val="18"/>
              </w:rPr>
            </w:pPr>
            <w:r>
              <w:rPr>
                <w:rFonts w:ascii="Arial" w:hAnsi="Arial" w:cs="Arial"/>
                <w:sz w:val="18"/>
                <w:szCs w:val="18"/>
              </w:rPr>
              <w:t xml:space="preserve">1. </w:t>
            </w:r>
            <w:r w:rsidR="00F00BE5">
              <w:rPr>
                <w:rFonts w:ascii="Arial" w:hAnsi="Arial" w:cs="Arial"/>
                <w:sz w:val="18"/>
                <w:szCs w:val="18"/>
              </w:rPr>
              <w:t>Voltage Only</w:t>
            </w:r>
            <w:r>
              <w:rPr>
                <w:rFonts w:ascii="Arial" w:hAnsi="Arial" w:cs="Arial"/>
                <w:sz w:val="18"/>
                <w:szCs w:val="18"/>
              </w:rPr>
              <w:t xml:space="preserve"> (Firm)</w:t>
            </w:r>
          </w:p>
        </w:tc>
      </w:tr>
      <w:tr w:rsidR="00F00BE5" w:rsidRPr="00F754AD"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00F00BE5" w:rsidRPr="00F754AD" w:rsidRDefault="00F00BE5" w:rsidP="00EF595C">
            <w:pPr>
              <w:rPr>
                <w:rFonts w:ascii="Arial" w:hAnsi="Arial" w:cs="Arial"/>
                <w:sz w:val="18"/>
                <w:szCs w:val="18"/>
                <w:highlight w:val="yellow"/>
              </w:rPr>
            </w:pPr>
            <w:r>
              <w:rPr>
                <w:rFonts w:ascii="Arial" w:hAnsi="Arial" w:cs="Arial"/>
                <w:sz w:val="18"/>
                <w:szCs w:val="18"/>
              </w:rPr>
              <w:t>Firm to run at SEL for the overnight period for three nights</w:t>
            </w:r>
            <w:r w:rsidRPr="00E474B8">
              <w:rPr>
                <w:rFonts w:ascii="Arial" w:hAnsi="Arial" w:cs="Arial"/>
                <w:sz w:val="18"/>
                <w:szCs w:val="18"/>
              </w:rPr>
              <w:tab/>
            </w:r>
          </w:p>
        </w:tc>
      </w:tr>
      <w:tr w:rsidR="00F00BE5" w:rsidRPr="00F754AD"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F00BE5" w:rsidRDefault="00F00BE5" w:rsidP="00EF595C">
            <w:pPr>
              <w:rPr>
                <w:rFonts w:ascii="Arial" w:hAnsi="Arial" w:cs="Arial"/>
                <w:sz w:val="18"/>
                <w:szCs w:val="18"/>
              </w:rPr>
            </w:pPr>
            <w:r w:rsidRPr="00E474B8">
              <w:rPr>
                <w:rFonts w:ascii="Arial" w:hAnsi="Arial" w:cs="Arial"/>
                <w:sz w:val="18"/>
                <w:szCs w:val="18"/>
              </w:rPr>
              <w:t xml:space="preserve">From:  </w:t>
            </w:r>
            <w:r>
              <w:rPr>
                <w:rFonts w:ascii="Arial" w:hAnsi="Arial" w:cs="Arial"/>
                <w:sz w:val="18"/>
                <w:szCs w:val="18"/>
              </w:rPr>
              <w:t>05/07/2019 (23:00)</w:t>
            </w:r>
          </w:p>
          <w:p w:rsidR="00F00BE5" w:rsidRDefault="00F00BE5" w:rsidP="00EF595C">
            <w:pPr>
              <w:rPr>
                <w:rFonts w:ascii="Arial" w:hAnsi="Arial" w:cs="Arial"/>
                <w:sz w:val="18"/>
                <w:szCs w:val="18"/>
              </w:rPr>
            </w:pPr>
            <w:r>
              <w:rPr>
                <w:rFonts w:ascii="Arial" w:hAnsi="Arial" w:cs="Arial"/>
                <w:sz w:val="18"/>
                <w:szCs w:val="18"/>
              </w:rPr>
              <w:t>To:  08/07/2019 (07:00)</w:t>
            </w:r>
          </w:p>
        </w:tc>
      </w:tr>
      <w:tr w:rsidR="00F00BE5" w:rsidRPr="009F6B46" w:rsidTr="00EF595C">
        <w:trPr>
          <w:trHeight w:val="284"/>
          <w:jc w:val="center"/>
        </w:trPr>
        <w:tc>
          <w:tcPr>
            <w:tcW w:w="2571" w:type="dxa"/>
            <w:tcMar>
              <w:top w:w="57" w:type="dxa"/>
              <w:left w:w="108" w:type="dxa"/>
              <w:bottom w:w="57" w:type="dxa"/>
              <w:right w:w="108" w:type="dxa"/>
            </w:tcMar>
            <w:vAlign w:val="center"/>
          </w:tcPr>
          <w:p w:rsidR="00F00BE5" w:rsidRPr="00B676B4" w:rsidRDefault="00F00BE5" w:rsidP="00EF595C">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00F00BE5" w:rsidRPr="009F6B46" w:rsidRDefault="00F00BE5" w:rsidP="00EF595C">
            <w:pPr>
              <w:rPr>
                <w:rFonts w:ascii="Arial" w:hAnsi="Arial" w:cs="Arial"/>
                <w:sz w:val="18"/>
                <w:szCs w:val="18"/>
              </w:rPr>
            </w:pPr>
            <w:r>
              <w:rPr>
                <w:rFonts w:ascii="Arial" w:hAnsi="Arial" w:cs="Arial"/>
                <w:sz w:val="18"/>
                <w:szCs w:val="18"/>
              </w:rPr>
              <w:t>23:00 to 07:00</w:t>
            </w:r>
          </w:p>
        </w:tc>
      </w:tr>
      <w:tr w:rsidR="00F00BE5" w:rsidRPr="009E1CF3"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00F00BE5" w:rsidRPr="00D56418" w:rsidRDefault="002A2FAD" w:rsidP="00EF595C">
            <w:pPr>
              <w:rPr>
                <w:rFonts w:ascii="Arial" w:hAnsi="Arial" w:cs="Arial"/>
                <w:sz w:val="18"/>
                <w:szCs w:val="18"/>
              </w:rPr>
            </w:pPr>
            <w:r>
              <w:rPr>
                <w:rFonts w:ascii="Arial" w:hAnsi="Arial" w:cs="Arial"/>
                <w:sz w:val="18"/>
                <w:szCs w:val="18"/>
              </w:rPr>
              <w:t>£/SP</w:t>
            </w:r>
          </w:p>
        </w:tc>
      </w:tr>
      <w:tr w:rsidR="00F00BE5" w:rsidRPr="009E1CF3"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rsidR="00F00BE5" w:rsidRPr="008E2465" w:rsidRDefault="00F00BE5" w:rsidP="00EF595C">
            <w:pPr>
              <w:rPr>
                <w:rFonts w:ascii="Arial" w:hAnsi="Arial" w:cs="Arial"/>
                <w:sz w:val="18"/>
                <w:szCs w:val="18"/>
              </w:rPr>
            </w:pPr>
            <w:r>
              <w:rPr>
                <w:rFonts w:ascii="Arial" w:hAnsi="Arial" w:cs="Arial"/>
                <w:sz w:val="18"/>
                <w:szCs w:val="18"/>
              </w:rPr>
              <w:t>N/A</w:t>
            </w:r>
          </w:p>
        </w:tc>
      </w:tr>
      <w:tr w:rsidR="00F00BE5" w:rsidRPr="009E1CF3"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00F00BE5" w:rsidRPr="00E474B8" w:rsidRDefault="00F00BE5" w:rsidP="00EF595C">
            <w:pPr>
              <w:rPr>
                <w:rFonts w:ascii="Arial" w:hAnsi="Arial" w:cs="Arial"/>
                <w:sz w:val="18"/>
                <w:szCs w:val="18"/>
              </w:rPr>
            </w:pPr>
          </w:p>
        </w:tc>
      </w:tr>
    </w:tbl>
    <w:p w:rsidR="00F00BE5" w:rsidRPr="00A06DD9" w:rsidRDefault="00F00BE5" w:rsidP="0006667A">
      <w:pPr>
        <w:rPr>
          <w:rFonts w:ascii="Arial" w:hAnsi="Arial" w:cs="Arial"/>
          <w:sz w:val="20"/>
          <w:szCs w:val="20"/>
        </w:rPr>
      </w:pPr>
    </w:p>
    <w:p w:rsidR="00F4250F" w:rsidRPr="0006667A" w:rsidRDefault="00F4250F" w:rsidP="0006667A">
      <w:pPr>
        <w:rPr>
          <w:rFonts w:ascii="Arial" w:hAnsi="Arial" w:cs="Arial"/>
          <w:b/>
          <w:sz w:val="18"/>
          <w:szCs w:val="18"/>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036FA9" w:rsidRDefault="00E86096" w:rsidP="00B51706">
            <w:pPr>
              <w:ind w:left="-108" w:firstLine="108"/>
              <w:rPr>
                <w:rFonts w:ascii="Arial" w:hAnsi="Arial" w:cs="Arial"/>
                <w:sz w:val="18"/>
                <w:szCs w:val="18"/>
              </w:rPr>
            </w:pPr>
            <w:r>
              <w:rPr>
                <w:rFonts w:ascii="Arial" w:hAnsi="Arial" w:cs="Arial"/>
                <w:sz w:val="18"/>
                <w:szCs w:val="18"/>
              </w:rPr>
              <w:t xml:space="preserve">2. </w:t>
            </w:r>
            <w:r w:rsidR="00036FA9">
              <w:rPr>
                <w:rFonts w:ascii="Arial" w:hAnsi="Arial" w:cs="Arial"/>
                <w:sz w:val="18"/>
                <w:szCs w:val="18"/>
              </w:rPr>
              <w:t xml:space="preserve">Voltage </w:t>
            </w:r>
            <w:r w:rsidR="00B51706">
              <w:rPr>
                <w:rFonts w:ascii="Arial" w:hAnsi="Arial" w:cs="Arial"/>
                <w:sz w:val="18"/>
                <w:szCs w:val="18"/>
              </w:rPr>
              <w:t>Only</w:t>
            </w:r>
            <w:r>
              <w:rPr>
                <w:rFonts w:ascii="Arial" w:hAnsi="Arial" w:cs="Arial"/>
                <w:sz w:val="18"/>
                <w:szCs w:val="18"/>
              </w:rPr>
              <w:t xml:space="preserve"> (Optional)</w:t>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E474B8" w:rsidRDefault="00E474B8" w:rsidP="00E474B8">
            <w:pPr>
              <w:rPr>
                <w:rFonts w:ascii="Arial" w:hAnsi="Arial" w:cs="Arial"/>
                <w:sz w:val="18"/>
                <w:szCs w:val="18"/>
              </w:rPr>
            </w:pPr>
            <w:r w:rsidRPr="00E474B8">
              <w:rPr>
                <w:rFonts w:ascii="Arial" w:hAnsi="Arial" w:cs="Arial"/>
                <w:sz w:val="18"/>
                <w:szCs w:val="18"/>
              </w:rPr>
              <w:t xml:space="preserve">From:  </w:t>
            </w:r>
            <w:r w:rsidR="00E86096">
              <w:rPr>
                <w:rFonts w:ascii="Arial" w:hAnsi="Arial" w:cs="Arial"/>
                <w:sz w:val="18"/>
                <w:szCs w:val="18"/>
              </w:rPr>
              <w:t>08/07/2019 (23:00)</w:t>
            </w:r>
          </w:p>
          <w:p w:rsidR="00036FA9" w:rsidRDefault="00E474B8" w:rsidP="0032409F">
            <w:pPr>
              <w:rPr>
                <w:rFonts w:ascii="Arial" w:hAnsi="Arial" w:cs="Arial"/>
                <w:sz w:val="18"/>
                <w:szCs w:val="18"/>
              </w:rPr>
            </w:pPr>
            <w:r>
              <w:rPr>
                <w:rFonts w:ascii="Arial" w:hAnsi="Arial" w:cs="Arial"/>
                <w:sz w:val="18"/>
                <w:szCs w:val="18"/>
              </w:rPr>
              <w:t xml:space="preserve">To:  </w:t>
            </w:r>
            <w:r w:rsidR="00E86096">
              <w:rPr>
                <w:rFonts w:ascii="Arial" w:hAnsi="Arial" w:cs="Arial"/>
                <w:sz w:val="18"/>
                <w:szCs w:val="18"/>
              </w:rPr>
              <w:t>20/07/2019 (07:00)</w:t>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rsidR="00036FA9" w:rsidRDefault="0032409F" w:rsidP="000E26C5">
            <w:pPr>
              <w:rPr>
                <w:rFonts w:ascii="Arial" w:hAnsi="Arial" w:cs="Arial"/>
                <w:sz w:val="18"/>
                <w:szCs w:val="18"/>
              </w:rPr>
            </w:pPr>
            <w:r>
              <w:rPr>
                <w:rFonts w:ascii="Arial" w:hAnsi="Arial" w:cs="Arial"/>
                <w:sz w:val="18"/>
                <w:szCs w:val="18"/>
              </w:rPr>
              <w:t>n/a</w:t>
            </w:r>
          </w:p>
        </w:tc>
      </w:tr>
      <w:tr w:rsidR="00036FA9" w:rsidRPr="009F6B46" w:rsidTr="000E26C5">
        <w:trPr>
          <w:trHeight w:val="284"/>
          <w:jc w:val="center"/>
        </w:trPr>
        <w:tc>
          <w:tcPr>
            <w:tcW w:w="2571" w:type="dxa"/>
            <w:tcMar>
              <w:top w:w="57" w:type="dxa"/>
              <w:left w:w="108" w:type="dxa"/>
              <w:bottom w:w="57" w:type="dxa"/>
              <w:right w:w="108" w:type="dxa"/>
            </w:tcMar>
            <w:vAlign w:val="center"/>
          </w:tcPr>
          <w:p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00036FA9" w:rsidRPr="009F6B46" w:rsidRDefault="00182A5D" w:rsidP="000E26C5">
            <w:pPr>
              <w:rPr>
                <w:rFonts w:ascii="Arial" w:hAnsi="Arial" w:cs="Arial"/>
                <w:sz w:val="18"/>
                <w:szCs w:val="18"/>
              </w:rPr>
            </w:pPr>
            <w:r>
              <w:rPr>
                <w:rFonts w:ascii="Arial" w:hAnsi="Arial" w:cs="Arial"/>
                <w:sz w:val="18"/>
                <w:szCs w:val="18"/>
              </w:rPr>
              <w:t>23:00 to 07:00</w:t>
            </w:r>
          </w:p>
        </w:tc>
      </w:tr>
      <w:tr w:rsidR="00036FA9" w:rsidRPr="009E1CF3"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00036FA9" w:rsidRPr="00D56418" w:rsidRDefault="00E86096" w:rsidP="001E674B">
            <w:pPr>
              <w:rPr>
                <w:rFonts w:ascii="Arial" w:hAnsi="Arial" w:cs="Arial"/>
                <w:sz w:val="18"/>
                <w:szCs w:val="18"/>
              </w:rPr>
            </w:pPr>
            <w:r>
              <w:rPr>
                <w:rFonts w:ascii="Arial" w:hAnsi="Arial" w:cs="Arial"/>
                <w:sz w:val="18"/>
                <w:szCs w:val="18"/>
              </w:rPr>
              <w:t>On days when NGESO</w:t>
            </w:r>
            <w:r w:rsidR="00E474B8" w:rsidRPr="00E474B8">
              <w:rPr>
                <w:rFonts w:ascii="Arial" w:hAnsi="Arial" w:cs="Arial"/>
                <w:sz w:val="18"/>
                <w:szCs w:val="18"/>
              </w:rPr>
              <w:t xml:space="preserve"> </w:t>
            </w:r>
            <w:r>
              <w:rPr>
                <w:rFonts w:ascii="Arial" w:hAnsi="Arial" w:cs="Arial"/>
                <w:sz w:val="18"/>
                <w:szCs w:val="18"/>
              </w:rPr>
              <w:t>enacts the option, NGESO</w:t>
            </w:r>
            <w:r w:rsidR="00E474B8" w:rsidRPr="00E474B8">
              <w:rPr>
                <w:rFonts w:ascii="Arial" w:hAnsi="Arial" w:cs="Arial"/>
                <w:sz w:val="18"/>
                <w:szCs w:val="18"/>
              </w:rPr>
              <w:t xml:space="preserve"> </w:t>
            </w:r>
            <w:proofErr w:type="spellStart"/>
            <w:r w:rsidR="00E474B8" w:rsidRPr="00E474B8">
              <w:rPr>
                <w:rFonts w:ascii="Arial" w:hAnsi="Arial" w:cs="Arial"/>
                <w:sz w:val="18"/>
                <w:szCs w:val="18"/>
              </w:rPr>
              <w:t>payout</w:t>
            </w:r>
            <w:proofErr w:type="spellEnd"/>
            <w:r w:rsidR="00E474B8" w:rsidRPr="00E474B8">
              <w:rPr>
                <w:rFonts w:ascii="Arial" w:hAnsi="Arial" w:cs="Arial"/>
                <w:sz w:val="18"/>
                <w:szCs w:val="18"/>
              </w:rPr>
              <w:t xml:space="preserve"> to unit based on the difference </w:t>
            </w:r>
            <w:r>
              <w:rPr>
                <w:rFonts w:ascii="Arial" w:hAnsi="Arial" w:cs="Arial"/>
                <w:sz w:val="18"/>
                <w:szCs w:val="18"/>
              </w:rPr>
              <w:t>between the day ahead spark</w:t>
            </w:r>
            <w:r w:rsidR="00E474B8" w:rsidRPr="00E474B8">
              <w:rPr>
                <w:rFonts w:ascii="Arial" w:hAnsi="Arial" w:cs="Arial"/>
                <w:sz w:val="18"/>
                <w:szCs w:val="18"/>
              </w:rPr>
              <w:t xml:space="preserve"> spread and pre-agreed strike </w:t>
            </w:r>
            <w:r w:rsidR="001E674B">
              <w:rPr>
                <w:rFonts w:ascii="Arial" w:hAnsi="Arial" w:cs="Arial"/>
                <w:sz w:val="18"/>
                <w:szCs w:val="18"/>
              </w:rPr>
              <w:t xml:space="preserve">price </w:t>
            </w:r>
            <w:r w:rsidR="00E474B8" w:rsidRPr="00E474B8">
              <w:rPr>
                <w:rFonts w:ascii="Arial" w:hAnsi="Arial" w:cs="Arial"/>
                <w:sz w:val="18"/>
                <w:szCs w:val="18"/>
              </w:rPr>
              <w:t>(S</w:t>
            </w:r>
            <w:r w:rsidR="001E674B">
              <w:rPr>
                <w:rFonts w:ascii="Arial" w:hAnsi="Arial" w:cs="Arial"/>
                <w:sz w:val="18"/>
                <w:szCs w:val="18"/>
              </w:rPr>
              <w:t>P</w:t>
            </w:r>
            <w:r w:rsidR="00E474B8" w:rsidRPr="00E474B8">
              <w:rPr>
                <w:rFonts w:ascii="Arial" w:hAnsi="Arial" w:cs="Arial"/>
                <w:sz w:val="18"/>
                <w:szCs w:val="18"/>
              </w:rPr>
              <w:t>) for the contracted period, as detailed in the Voltage Constraint Formula document.</w:t>
            </w:r>
          </w:p>
        </w:tc>
      </w:tr>
      <w:tr w:rsidR="000C5CE9" w:rsidRPr="009E1CF3" w:rsidTr="000E26C5">
        <w:trPr>
          <w:trHeight w:val="284"/>
          <w:jc w:val="center"/>
        </w:trPr>
        <w:tc>
          <w:tcPr>
            <w:tcW w:w="2571" w:type="dxa"/>
            <w:tcMar>
              <w:top w:w="57" w:type="dxa"/>
              <w:left w:w="108" w:type="dxa"/>
              <w:bottom w:w="57" w:type="dxa"/>
              <w:right w:w="108" w:type="dxa"/>
            </w:tcMar>
            <w:vAlign w:val="center"/>
          </w:tcPr>
          <w:p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rsidR="000C5CE9" w:rsidRPr="008E2465" w:rsidRDefault="00E474B8" w:rsidP="001D4A9E">
            <w:pPr>
              <w:rPr>
                <w:rFonts w:ascii="Arial" w:hAnsi="Arial" w:cs="Arial"/>
                <w:sz w:val="18"/>
                <w:szCs w:val="18"/>
              </w:rPr>
            </w:pPr>
            <w:r w:rsidRPr="00E474B8">
              <w:rPr>
                <w:rFonts w:ascii="Arial" w:hAnsi="Arial" w:cs="Arial"/>
                <w:sz w:val="18"/>
                <w:szCs w:val="18"/>
              </w:rPr>
              <w:t>10:00 within day for 23:00 same night</w:t>
            </w:r>
          </w:p>
        </w:tc>
      </w:tr>
      <w:tr w:rsidR="00D84299" w:rsidRPr="009E1CF3" w:rsidTr="000E26C5">
        <w:trPr>
          <w:trHeight w:val="284"/>
          <w:jc w:val="center"/>
        </w:trPr>
        <w:tc>
          <w:tcPr>
            <w:tcW w:w="2571" w:type="dxa"/>
            <w:tcMar>
              <w:top w:w="57" w:type="dxa"/>
              <w:left w:w="108" w:type="dxa"/>
              <w:bottom w:w="57" w:type="dxa"/>
              <w:right w:w="108" w:type="dxa"/>
            </w:tcMar>
            <w:vAlign w:val="center"/>
          </w:tcPr>
          <w:p w:rsidR="00D84299" w:rsidRDefault="00D84299" w:rsidP="000C5CE9">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00D84299" w:rsidRPr="00D84299" w:rsidRDefault="00D84299" w:rsidP="00D84299">
            <w:pPr>
              <w:rPr>
                <w:rFonts w:ascii="Arial" w:hAnsi="Arial" w:cs="Arial"/>
                <w:sz w:val="18"/>
                <w:szCs w:val="18"/>
              </w:rPr>
            </w:pPr>
            <w:r w:rsidRPr="00D84299">
              <w:rPr>
                <w:rFonts w:ascii="Arial" w:hAnsi="Arial" w:cs="Arial"/>
                <w:sz w:val="18"/>
                <w:szCs w:val="18"/>
              </w:rPr>
              <w:t>We require prices for the following options.</w:t>
            </w:r>
          </w:p>
          <w:p w:rsidR="00D84299" w:rsidRPr="00D84299" w:rsidRDefault="00D84299" w:rsidP="00D84299">
            <w:pPr>
              <w:rPr>
                <w:rFonts w:ascii="Arial" w:hAnsi="Arial" w:cs="Arial"/>
                <w:sz w:val="18"/>
                <w:szCs w:val="18"/>
              </w:rPr>
            </w:pPr>
            <w:r w:rsidRPr="00D84299">
              <w:rPr>
                <w:rFonts w:ascii="Arial" w:hAnsi="Arial" w:cs="Arial"/>
                <w:sz w:val="18"/>
                <w:szCs w:val="18"/>
              </w:rPr>
              <w:t>Option 1 - where at the time of the instruction, PN &lt; SEL in EFA block 6 and EFA block 3.</w:t>
            </w:r>
          </w:p>
          <w:p w:rsidR="00D84299" w:rsidRPr="00D84299" w:rsidRDefault="00D84299" w:rsidP="00D84299">
            <w:pPr>
              <w:rPr>
                <w:rFonts w:ascii="Arial" w:hAnsi="Arial" w:cs="Arial"/>
                <w:sz w:val="18"/>
                <w:szCs w:val="18"/>
              </w:rPr>
            </w:pPr>
            <w:r w:rsidRPr="00D84299">
              <w:rPr>
                <w:rFonts w:ascii="Arial" w:hAnsi="Arial" w:cs="Arial"/>
                <w:sz w:val="18"/>
                <w:szCs w:val="18"/>
              </w:rPr>
              <w:t>Option 2 - where a</w:t>
            </w:r>
            <w:r w:rsidR="00E86096">
              <w:rPr>
                <w:rFonts w:ascii="Arial" w:hAnsi="Arial" w:cs="Arial"/>
                <w:sz w:val="18"/>
                <w:szCs w:val="18"/>
              </w:rPr>
              <w:t xml:space="preserve">t the time of the instruction, </w:t>
            </w:r>
            <w:r w:rsidRPr="00D84299">
              <w:rPr>
                <w:rFonts w:ascii="Arial" w:hAnsi="Arial" w:cs="Arial"/>
                <w:sz w:val="18"/>
                <w:szCs w:val="18"/>
              </w:rPr>
              <w:t>PN &gt;= SEL in EFA block 6 or where at the time of the instruction PN &gt;= SEL in EFA block 3.</w:t>
            </w:r>
          </w:p>
          <w:p w:rsidR="00D84299" w:rsidRPr="00E474B8" w:rsidRDefault="00D84299" w:rsidP="00D84299">
            <w:pPr>
              <w:rPr>
                <w:rFonts w:ascii="Arial" w:hAnsi="Arial" w:cs="Arial"/>
                <w:sz w:val="18"/>
                <w:szCs w:val="18"/>
              </w:rPr>
            </w:pPr>
            <w:r w:rsidRPr="00D84299">
              <w:rPr>
                <w:rFonts w:ascii="Arial" w:hAnsi="Arial" w:cs="Arial"/>
                <w:sz w:val="18"/>
                <w:szCs w:val="18"/>
              </w:rPr>
              <w:t>Option 3 - where at the time of the instruction, PN &gt;= SEL in EFA block 6 and EFA block 3.</w:t>
            </w:r>
          </w:p>
        </w:tc>
      </w:tr>
    </w:tbl>
    <w:p w:rsidR="00A6635A" w:rsidRDefault="00A6635A" w:rsidP="007C785A">
      <w:pPr>
        <w:pStyle w:val="Header"/>
        <w:tabs>
          <w:tab w:val="clear" w:pos="4153"/>
          <w:tab w:val="clear" w:pos="8306"/>
        </w:tabs>
        <w:spacing w:line="360" w:lineRule="auto"/>
        <w:jc w:val="both"/>
        <w:rPr>
          <w:rFonts w:ascii="Arial" w:hAnsi="Arial"/>
          <w:sz w:val="20"/>
        </w:rPr>
      </w:pPr>
    </w:p>
    <w:p w:rsidR="00382468" w:rsidRPr="00382468" w:rsidRDefault="00F754AD" w:rsidP="00382468">
      <w:pPr>
        <w:pStyle w:val="Header"/>
        <w:tabs>
          <w:tab w:val="clear" w:pos="4153"/>
          <w:tab w:val="clear" w:pos="8306"/>
        </w:tabs>
        <w:spacing w:line="360" w:lineRule="auto"/>
        <w:jc w:val="both"/>
        <w:rPr>
          <w:rFonts w:ascii="Arial" w:hAnsi="Arial"/>
          <w:sz w:val="20"/>
        </w:rPr>
      </w:pPr>
      <w:r w:rsidRPr="00863EFB">
        <w:rPr>
          <w:rFonts w:ascii="Arial" w:hAnsi="Arial"/>
          <w:sz w:val="20"/>
        </w:rPr>
        <w:t xml:space="preserve">These </w:t>
      </w:r>
      <w:r w:rsidR="00EC6BB5">
        <w:rPr>
          <w:rFonts w:ascii="Arial" w:hAnsi="Arial"/>
          <w:sz w:val="20"/>
        </w:rPr>
        <w:t>requirements are NGESO’s</w:t>
      </w:r>
      <w:r w:rsidRPr="00863EFB">
        <w:rPr>
          <w:rFonts w:ascii="Arial" w:hAnsi="Arial"/>
          <w:sz w:val="20"/>
        </w:rPr>
        <w:t xml:space="preserve">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w:t>
      </w:r>
      <w:r w:rsidR="00E86096">
        <w:rPr>
          <w:rFonts w:ascii="Arial" w:hAnsi="Arial"/>
          <w:sz w:val="20"/>
        </w:rPr>
        <w:t xml:space="preserve">  However, if in NGESO’s</w:t>
      </w:r>
      <w:r w:rsidRPr="00863EFB">
        <w:rPr>
          <w:rFonts w:ascii="Arial" w:hAnsi="Arial"/>
          <w:sz w:val="20"/>
        </w:rPr>
        <w:t xml:space="preserve"> view </w:t>
      </w:r>
      <w:r w:rsidR="00863EFB">
        <w:rPr>
          <w:rFonts w:ascii="Arial" w:hAnsi="Arial"/>
          <w:sz w:val="20"/>
        </w:rPr>
        <w:t xml:space="preserve">the drivers </w:t>
      </w:r>
      <w:r w:rsidRPr="00863EFB">
        <w:rPr>
          <w:rFonts w:ascii="Arial" w:hAnsi="Arial"/>
          <w:sz w:val="20"/>
        </w:rPr>
        <w:t xml:space="preserve">change significantly then </w:t>
      </w:r>
      <w:r w:rsidR="00E86096">
        <w:rPr>
          <w:rFonts w:ascii="Arial" w:hAnsi="Arial"/>
          <w:sz w:val="20"/>
        </w:rPr>
        <w:t xml:space="preserve">NGESO </w:t>
      </w:r>
      <w:r w:rsidRPr="00863EFB">
        <w:rPr>
          <w:rFonts w:ascii="Arial" w:hAnsi="Arial"/>
          <w:sz w:val="20"/>
        </w:rPr>
        <w:t>reserves the right to amend or withdraw these requirements</w:t>
      </w:r>
      <w:r w:rsidR="00A84E49" w:rsidRPr="00863EFB">
        <w:rPr>
          <w:rFonts w:ascii="Arial" w:hAnsi="Arial"/>
          <w:sz w:val="20"/>
        </w:rPr>
        <w:t>.</w:t>
      </w:r>
      <w:r w:rsidRPr="00863EFB">
        <w:rPr>
          <w:rFonts w:ascii="Arial" w:hAnsi="Arial"/>
          <w:sz w:val="20"/>
        </w:rPr>
        <w:t xml:space="preserve"> Where appropriate </w:t>
      </w:r>
      <w:r w:rsidR="00E86096">
        <w:rPr>
          <w:rFonts w:ascii="Arial" w:hAnsi="Arial"/>
          <w:sz w:val="20"/>
        </w:rPr>
        <w:t xml:space="preserve">NGESO </w:t>
      </w:r>
      <w:r w:rsidRPr="00863EFB">
        <w:rPr>
          <w:rFonts w:ascii="Arial" w:hAnsi="Arial"/>
          <w:sz w:val="20"/>
        </w:rPr>
        <w:t xml:space="preserve">may republish the tender </w:t>
      </w:r>
      <w:r w:rsidR="00E86096" w:rsidRPr="00863EFB">
        <w:rPr>
          <w:rFonts w:ascii="Arial" w:hAnsi="Arial"/>
          <w:sz w:val="20"/>
        </w:rPr>
        <w:t>requirements,</w:t>
      </w:r>
      <w:r w:rsidRPr="00863EFB">
        <w:rPr>
          <w:rFonts w:ascii="Arial" w:hAnsi="Arial"/>
          <w:sz w:val="20"/>
        </w:rPr>
        <w:t xml:space="preserve"> and revise the relevant timescales accordingly.</w:t>
      </w:r>
      <w:r>
        <w:rPr>
          <w:rFonts w:ascii="Arial" w:hAnsi="Arial"/>
          <w:sz w:val="20"/>
        </w:rPr>
        <w:t xml:space="preserve">  </w:t>
      </w:r>
      <w:bookmarkStart w:id="6" w:name="_GoBack"/>
      <w:bookmarkEnd w:id="6"/>
    </w:p>
    <w:p w:rsidR="00382468" w:rsidRDefault="00382468" w:rsidP="00592E00">
      <w:pPr>
        <w:pStyle w:val="Header"/>
        <w:tabs>
          <w:tab w:val="clear" w:pos="4153"/>
          <w:tab w:val="clear" w:pos="8306"/>
        </w:tabs>
        <w:spacing w:line="280" w:lineRule="exact"/>
        <w:jc w:val="both"/>
        <w:rPr>
          <w:rFonts w:ascii="Arial" w:hAnsi="Arial"/>
          <w:b/>
          <w:sz w:val="20"/>
        </w:rPr>
      </w:pPr>
    </w:p>
    <w:p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rsidR="0019367C" w:rsidRDefault="00EE6FFA" w:rsidP="00592E00">
      <w:pPr>
        <w:pStyle w:val="Header"/>
        <w:tabs>
          <w:tab w:val="clear" w:pos="4153"/>
          <w:tab w:val="clear" w:pos="8306"/>
        </w:tabs>
        <w:spacing w:line="280" w:lineRule="exact"/>
        <w:jc w:val="both"/>
        <w:rPr>
          <w:rFonts w:ascii="Arial" w:hAnsi="Arial"/>
          <w:sz w:val="20"/>
        </w:rPr>
      </w:pPr>
      <w:r>
        <w:rPr>
          <w:rFonts w:ascii="Arial" w:hAnsi="Arial"/>
          <w:sz w:val="20"/>
        </w:rPr>
        <w:t>The timescale</w:t>
      </w:r>
      <w:r w:rsidR="00FB3247">
        <w:rPr>
          <w:rFonts w:ascii="Arial" w:hAnsi="Arial"/>
          <w:sz w:val="20"/>
        </w:rPr>
        <w:t>s</w:t>
      </w:r>
      <w:r w:rsidR="008752FA">
        <w:rPr>
          <w:rFonts w:ascii="Arial" w:hAnsi="Arial"/>
          <w:sz w:val="20"/>
        </w:rPr>
        <w:t xml:space="preserve"> for th</w:t>
      </w:r>
      <w:r w:rsidR="008F7DE3">
        <w:rPr>
          <w:rFonts w:ascii="Arial" w:hAnsi="Arial"/>
          <w:sz w:val="20"/>
        </w:rPr>
        <w:t>is</w:t>
      </w:r>
      <w:r w:rsidR="008752FA">
        <w:rPr>
          <w:rFonts w:ascii="Arial" w:hAnsi="Arial"/>
          <w:sz w:val="20"/>
        </w:rPr>
        <w:t xml:space="preserve"> </w:t>
      </w:r>
      <w:r w:rsidR="00E86096">
        <w:rPr>
          <w:rFonts w:ascii="Arial" w:hAnsi="Arial"/>
          <w:sz w:val="20"/>
        </w:rPr>
        <w:t>process</w:t>
      </w:r>
      <w:r w:rsidR="00592E00">
        <w:rPr>
          <w:rFonts w:ascii="Arial" w:hAnsi="Arial"/>
          <w:sz w:val="20"/>
        </w:rPr>
        <w:t xml:space="preserve"> </w:t>
      </w:r>
      <w:r w:rsidR="00FB3247">
        <w:rPr>
          <w:rFonts w:ascii="Arial" w:hAnsi="Arial"/>
          <w:sz w:val="20"/>
        </w:rPr>
        <w:t>are</w:t>
      </w:r>
      <w:r w:rsidR="00592E00">
        <w:rPr>
          <w:rFonts w:ascii="Arial" w:hAnsi="Arial"/>
          <w:sz w:val="20"/>
        </w:rPr>
        <w:t xml:space="preserve"> as follows: </w:t>
      </w:r>
    </w:p>
    <w:p w:rsidR="00A56079" w:rsidRDefault="00A56079" w:rsidP="00A56079">
      <w:pPr>
        <w:pStyle w:val="Header"/>
        <w:tabs>
          <w:tab w:val="clear" w:pos="4153"/>
          <w:tab w:val="clear" w:pos="8306"/>
        </w:tabs>
        <w:spacing w:line="280" w:lineRule="exact"/>
        <w:jc w:val="both"/>
        <w:rPr>
          <w:rFonts w:ascii="Arial" w:hAnsi="Arial"/>
          <w:sz w:val="20"/>
        </w:rPr>
      </w:pPr>
    </w:p>
    <w:tbl>
      <w:tblPr>
        <w:tblW w:w="9064" w:type="dxa"/>
        <w:tblInd w:w="1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44"/>
        <w:gridCol w:w="2977"/>
        <w:gridCol w:w="3543"/>
      </w:tblGrid>
      <w:tr w:rsidR="00A25D22" w:rsidTr="00AA6051">
        <w:tc>
          <w:tcPr>
            <w:tcW w:w="2544"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1, 17:00</w:t>
            </w:r>
          </w:p>
        </w:tc>
        <w:tc>
          <w:tcPr>
            <w:tcW w:w="2977" w:type="dxa"/>
            <w:tcBorders>
              <w:top w:val="single" w:sz="4" w:space="0" w:color="auto"/>
              <w:left w:val="single" w:sz="4" w:space="0" w:color="auto"/>
              <w:bottom w:val="single" w:sz="4" w:space="0" w:color="auto"/>
              <w:right w:val="single" w:sz="4" w:space="0" w:color="auto"/>
            </w:tcBorders>
          </w:tcPr>
          <w:p w:rsidR="00A25D22" w:rsidRDefault="002A2FAD" w:rsidP="00AA6051">
            <w:pPr>
              <w:autoSpaceDE w:val="0"/>
              <w:autoSpaceDN w:val="0"/>
              <w:adjustRightInd w:val="0"/>
              <w:spacing w:line="360" w:lineRule="auto"/>
              <w:rPr>
                <w:rFonts w:ascii="Arial" w:hAnsi="Arial" w:cs="Arial"/>
                <w:sz w:val="20"/>
                <w:szCs w:val="20"/>
              </w:rPr>
            </w:pPr>
            <w:r>
              <w:rPr>
                <w:rFonts w:ascii="Arial" w:hAnsi="Arial" w:cs="Arial"/>
                <w:sz w:val="20"/>
                <w:szCs w:val="20"/>
              </w:rPr>
              <w:t>Wednesday 5th</w:t>
            </w:r>
            <w:r w:rsidR="00732C38">
              <w:rPr>
                <w:rFonts w:ascii="Arial" w:hAnsi="Arial" w:cs="Arial"/>
                <w:sz w:val="20"/>
                <w:szCs w:val="20"/>
              </w:rPr>
              <w:t xml:space="preserve"> June 2019</w:t>
            </w:r>
          </w:p>
        </w:tc>
        <w:tc>
          <w:tcPr>
            <w:tcW w:w="3543"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Requirement published</w:t>
            </w:r>
          </w:p>
        </w:tc>
      </w:tr>
      <w:tr w:rsidR="00A25D22" w:rsidTr="00AA6051">
        <w:tc>
          <w:tcPr>
            <w:tcW w:w="2544" w:type="dxa"/>
            <w:tcBorders>
              <w:top w:val="single" w:sz="4" w:space="0" w:color="auto"/>
              <w:left w:val="single" w:sz="4" w:space="0" w:color="auto"/>
              <w:bottom w:val="single" w:sz="4" w:space="0" w:color="auto"/>
              <w:right w:val="single" w:sz="4" w:space="0" w:color="auto"/>
            </w:tcBorders>
          </w:tcPr>
          <w:p w:rsidR="00A25D22" w:rsidRDefault="002A2FAD"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9</w:t>
            </w:r>
            <w:r w:rsidR="00A25D22">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A25D22" w:rsidRDefault="002A2FAD" w:rsidP="00AA6051">
            <w:pPr>
              <w:autoSpaceDE w:val="0"/>
              <w:autoSpaceDN w:val="0"/>
              <w:adjustRightInd w:val="0"/>
              <w:spacing w:line="360" w:lineRule="auto"/>
              <w:rPr>
                <w:rFonts w:ascii="Arial" w:hAnsi="Arial" w:cs="Arial"/>
                <w:sz w:val="20"/>
                <w:szCs w:val="20"/>
              </w:rPr>
            </w:pPr>
            <w:r>
              <w:rPr>
                <w:rFonts w:ascii="Arial" w:hAnsi="Arial" w:cs="Arial"/>
                <w:sz w:val="20"/>
                <w:szCs w:val="20"/>
              </w:rPr>
              <w:t>Monday 17</w:t>
            </w:r>
            <w:r w:rsidR="00732C38" w:rsidRPr="00732C38">
              <w:rPr>
                <w:rFonts w:ascii="Arial" w:hAnsi="Arial" w:cs="Arial"/>
                <w:sz w:val="20"/>
                <w:szCs w:val="20"/>
                <w:vertAlign w:val="superscript"/>
              </w:rPr>
              <w:t>th</w:t>
            </w:r>
            <w:r w:rsidR="00732C38">
              <w:rPr>
                <w:rFonts w:ascii="Arial" w:hAnsi="Arial" w:cs="Arial"/>
                <w:sz w:val="20"/>
                <w:szCs w:val="20"/>
              </w:rPr>
              <w:t xml:space="preserve"> June 2019</w:t>
            </w:r>
          </w:p>
        </w:tc>
        <w:tc>
          <w:tcPr>
            <w:tcW w:w="3543"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Submission of prices &amp; services</w:t>
            </w:r>
          </w:p>
        </w:tc>
      </w:tr>
      <w:tr w:rsidR="00A25D22" w:rsidTr="00AA6051">
        <w:tc>
          <w:tcPr>
            <w:tcW w:w="2544" w:type="dxa"/>
            <w:tcBorders>
              <w:top w:val="single" w:sz="4" w:space="0" w:color="auto"/>
              <w:left w:val="single" w:sz="4" w:space="0" w:color="auto"/>
              <w:bottom w:val="single" w:sz="4" w:space="0" w:color="auto"/>
              <w:right w:val="single" w:sz="4" w:space="0" w:color="auto"/>
            </w:tcBorders>
            <w:hideMark/>
          </w:tcPr>
          <w:p w:rsidR="00A25D22" w:rsidRDefault="002A2FAD"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14</w:t>
            </w:r>
            <w:r w:rsidR="00A25D22">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A25D22" w:rsidRDefault="002A2FAD"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Monday 24</w:t>
            </w:r>
            <w:r w:rsidRPr="002A2FAD">
              <w:rPr>
                <w:rFonts w:ascii="Arial" w:hAnsi="Arial" w:cs="Arial"/>
                <w:sz w:val="20"/>
                <w:szCs w:val="20"/>
                <w:vertAlign w:val="superscript"/>
              </w:rPr>
              <w:t>th</w:t>
            </w:r>
            <w:r>
              <w:rPr>
                <w:rFonts w:ascii="Arial" w:hAnsi="Arial" w:cs="Arial"/>
                <w:sz w:val="20"/>
                <w:szCs w:val="20"/>
              </w:rPr>
              <w:t xml:space="preserve"> </w:t>
            </w:r>
            <w:r w:rsidR="00FA68C5">
              <w:rPr>
                <w:rFonts w:ascii="Arial" w:hAnsi="Arial" w:cs="Arial"/>
                <w:sz w:val="20"/>
                <w:szCs w:val="20"/>
              </w:rPr>
              <w:t>June 2019</w:t>
            </w:r>
          </w:p>
        </w:tc>
        <w:tc>
          <w:tcPr>
            <w:tcW w:w="3543"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Outcome published</w:t>
            </w:r>
          </w:p>
        </w:tc>
      </w:tr>
      <w:tr w:rsidR="00A25D22" w:rsidTr="00AA6051">
        <w:tc>
          <w:tcPr>
            <w:tcW w:w="2544" w:type="dxa"/>
            <w:tcBorders>
              <w:top w:val="single" w:sz="4" w:space="0" w:color="auto"/>
              <w:left w:val="single" w:sz="4" w:space="0" w:color="auto"/>
              <w:bottom w:val="single" w:sz="4" w:space="0" w:color="auto"/>
              <w:right w:val="single" w:sz="4" w:space="0" w:color="auto"/>
            </w:tcBorders>
            <w:hideMark/>
          </w:tcPr>
          <w:p w:rsidR="00A25D22" w:rsidRDefault="002A2FAD"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lastRenderedPageBreak/>
              <w:t>Business Day 19</w:t>
            </w:r>
            <w:r w:rsidR="00A25D22">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A25D22" w:rsidRDefault="002722EC"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Monday 1</w:t>
            </w:r>
            <w:r w:rsidRPr="002722EC">
              <w:rPr>
                <w:rFonts w:ascii="Arial" w:hAnsi="Arial" w:cs="Arial"/>
                <w:sz w:val="20"/>
                <w:szCs w:val="20"/>
                <w:vertAlign w:val="superscript"/>
              </w:rPr>
              <w:t>st</w:t>
            </w:r>
            <w:r>
              <w:rPr>
                <w:rFonts w:ascii="Arial" w:hAnsi="Arial" w:cs="Arial"/>
                <w:sz w:val="20"/>
                <w:szCs w:val="20"/>
              </w:rPr>
              <w:t xml:space="preserve"> July 2019</w:t>
            </w:r>
          </w:p>
        </w:tc>
        <w:tc>
          <w:tcPr>
            <w:tcW w:w="3543"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Contract in place </w:t>
            </w:r>
          </w:p>
        </w:tc>
      </w:tr>
      <w:tr w:rsidR="00A25D22" w:rsidTr="00AA6051">
        <w:tc>
          <w:tcPr>
            <w:tcW w:w="2544" w:type="dxa"/>
            <w:tcBorders>
              <w:top w:val="single" w:sz="4" w:space="0" w:color="auto"/>
              <w:left w:val="single" w:sz="4" w:space="0" w:color="auto"/>
              <w:bottom w:val="single" w:sz="4" w:space="0" w:color="auto"/>
              <w:right w:val="single" w:sz="4" w:space="0" w:color="auto"/>
            </w:tcBorders>
          </w:tcPr>
          <w:p w:rsidR="00A25D22" w:rsidRDefault="002A2FAD"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23</w:t>
            </w:r>
            <w:r w:rsidR="00A25D22">
              <w:rPr>
                <w:rFonts w:ascii="Arial" w:hAnsi="Arial" w:cs="Arial"/>
                <w:sz w:val="20"/>
                <w:szCs w:val="20"/>
              </w:rPr>
              <w:t>, 23:00</w:t>
            </w:r>
          </w:p>
          <w:p w:rsidR="004E1730" w:rsidRDefault="00FC55A8"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24</w:t>
            </w:r>
            <w:r w:rsidR="004E1730">
              <w:rPr>
                <w:rFonts w:ascii="Arial" w:hAnsi="Arial" w:cs="Arial"/>
                <w:sz w:val="20"/>
                <w:szCs w:val="20"/>
              </w:rPr>
              <w:t>, 23:00</w:t>
            </w:r>
          </w:p>
        </w:tc>
        <w:tc>
          <w:tcPr>
            <w:tcW w:w="2977" w:type="dxa"/>
            <w:tcBorders>
              <w:top w:val="single" w:sz="4" w:space="0" w:color="auto"/>
              <w:left w:val="single" w:sz="4" w:space="0" w:color="auto"/>
              <w:bottom w:val="single" w:sz="4" w:space="0" w:color="auto"/>
              <w:right w:val="single" w:sz="4" w:space="0" w:color="auto"/>
            </w:tcBorders>
          </w:tcPr>
          <w:p w:rsidR="00A25D22" w:rsidRDefault="002722EC"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Friday 5</w:t>
            </w:r>
            <w:r w:rsidRPr="002722EC">
              <w:rPr>
                <w:rFonts w:ascii="Arial" w:hAnsi="Arial" w:cs="Arial"/>
                <w:sz w:val="20"/>
                <w:szCs w:val="20"/>
                <w:vertAlign w:val="superscript"/>
              </w:rPr>
              <w:t>th</w:t>
            </w:r>
            <w:r>
              <w:rPr>
                <w:rFonts w:ascii="Arial" w:hAnsi="Arial" w:cs="Arial"/>
                <w:sz w:val="20"/>
                <w:szCs w:val="20"/>
              </w:rPr>
              <w:t xml:space="preserve"> July 2019</w:t>
            </w:r>
          </w:p>
          <w:p w:rsidR="002722EC" w:rsidRDefault="002722EC"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Monday 8</w:t>
            </w:r>
            <w:r w:rsidRPr="002722EC">
              <w:rPr>
                <w:rFonts w:ascii="Arial" w:hAnsi="Arial" w:cs="Arial"/>
                <w:sz w:val="20"/>
                <w:szCs w:val="20"/>
                <w:vertAlign w:val="superscript"/>
              </w:rPr>
              <w:t>th</w:t>
            </w:r>
            <w:r>
              <w:rPr>
                <w:rFonts w:ascii="Arial" w:hAnsi="Arial" w:cs="Arial"/>
                <w:sz w:val="20"/>
                <w:szCs w:val="20"/>
              </w:rPr>
              <w:t xml:space="preserve"> July 2019</w:t>
            </w:r>
          </w:p>
        </w:tc>
        <w:tc>
          <w:tcPr>
            <w:tcW w:w="3543"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Service commencement</w:t>
            </w:r>
            <w:r w:rsidR="002722EC">
              <w:rPr>
                <w:rFonts w:ascii="Arial" w:hAnsi="Arial" w:cs="Arial"/>
                <w:sz w:val="20"/>
                <w:szCs w:val="20"/>
              </w:rPr>
              <w:t xml:space="preserve"> (Fixed)</w:t>
            </w:r>
          </w:p>
          <w:p w:rsidR="002722EC" w:rsidRDefault="002722EC"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Service commencement (Optional)</w:t>
            </w:r>
          </w:p>
        </w:tc>
      </w:tr>
    </w:tbl>
    <w:p w:rsidR="007B781E" w:rsidRDefault="007B781E" w:rsidP="00592E00">
      <w:pPr>
        <w:pStyle w:val="Header"/>
        <w:tabs>
          <w:tab w:val="clear" w:pos="4153"/>
          <w:tab w:val="clear" w:pos="8306"/>
        </w:tabs>
        <w:spacing w:line="280" w:lineRule="exact"/>
        <w:jc w:val="both"/>
        <w:rPr>
          <w:rFonts w:ascii="Arial" w:hAnsi="Arial"/>
          <w:sz w:val="20"/>
        </w:rPr>
      </w:pPr>
    </w:p>
    <w:p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EC6BB5">
        <w:rPr>
          <w:rFonts w:ascii="Arial" w:hAnsi="Arial"/>
          <w:sz w:val="20"/>
        </w:rPr>
        <w:t xml:space="preserve">Steve Miller </w:t>
      </w:r>
      <w:r>
        <w:rPr>
          <w:rFonts w:ascii="Arial" w:hAnsi="Arial"/>
          <w:b/>
          <w:sz w:val="20"/>
          <w:u w:val="single"/>
        </w:rPr>
        <w:t>and</w:t>
      </w:r>
      <w:r>
        <w:rPr>
          <w:rFonts w:ascii="Arial" w:hAnsi="Arial"/>
          <w:sz w:val="20"/>
        </w:rPr>
        <w:t xml:space="preserve"> the email address: </w:t>
      </w:r>
      <w:hyperlink r:id="rId9" w:history="1">
        <w:r w:rsidR="0076479A" w:rsidRPr="006B09C6">
          <w:rPr>
            <w:rStyle w:val="Hyperlink"/>
            <w:rFonts w:ascii="Arial" w:hAnsi="Arial"/>
            <w:sz w:val="20"/>
          </w:rPr>
          <w:t>commercial.operation@nationalgrid.com</w:t>
        </w:r>
      </w:hyperlink>
      <w:r>
        <w:rPr>
          <w:rFonts w:ascii="Arial" w:hAnsi="Arial"/>
          <w:sz w:val="20"/>
        </w:rPr>
        <w:t xml:space="preserve"> in accordance with the timescales above.  </w:t>
      </w:r>
    </w:p>
    <w:p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E86096">
        <w:rPr>
          <w:rFonts w:ascii="Arial" w:hAnsi="Arial"/>
          <w:sz w:val="20"/>
        </w:rPr>
        <w:t>NGESO</w:t>
      </w:r>
      <w:r w:rsidR="00EC6BB5">
        <w:rPr>
          <w:rFonts w:ascii="Arial" w:hAnsi="Arial"/>
          <w:sz w:val="20"/>
        </w:rPr>
        <w:t xml:space="preserve"> </w:t>
      </w:r>
      <w:r>
        <w:rPr>
          <w:rFonts w:ascii="Arial" w:hAnsi="Arial"/>
          <w:sz w:val="20"/>
        </w:rPr>
        <w:t xml:space="preserve">standard contract terms, therefore the electronic submission of such offers </w:t>
      </w:r>
      <w:proofErr w:type="gramStart"/>
      <w:r>
        <w:rPr>
          <w:rFonts w:ascii="Arial" w:hAnsi="Arial"/>
          <w:sz w:val="20"/>
        </w:rPr>
        <w:t>are</w:t>
      </w:r>
      <w:proofErr w:type="gramEnd"/>
      <w:r>
        <w:rPr>
          <w:rFonts w:ascii="Arial" w:hAnsi="Arial"/>
          <w:sz w:val="20"/>
        </w:rPr>
        <w:t xml:space="preserve"> acceptable providing the above timescales are complied with.</w:t>
      </w:r>
    </w:p>
    <w:p w:rsidR="003A14BB" w:rsidRDefault="003A14BB" w:rsidP="00737F08">
      <w:pPr>
        <w:pStyle w:val="Header"/>
        <w:tabs>
          <w:tab w:val="clear" w:pos="4153"/>
          <w:tab w:val="clear" w:pos="8306"/>
        </w:tabs>
        <w:spacing w:line="360" w:lineRule="auto"/>
        <w:jc w:val="both"/>
        <w:rPr>
          <w:rFonts w:ascii="Arial" w:hAnsi="Arial"/>
          <w:sz w:val="20"/>
        </w:rPr>
      </w:pPr>
    </w:p>
    <w:p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rsidR="002322AB" w:rsidRDefault="002322AB" w:rsidP="00737F08">
      <w:pPr>
        <w:pStyle w:val="Header"/>
        <w:tabs>
          <w:tab w:val="clear" w:pos="4153"/>
          <w:tab w:val="clear" w:pos="8306"/>
        </w:tabs>
        <w:spacing w:line="360" w:lineRule="auto"/>
        <w:jc w:val="both"/>
        <w:rPr>
          <w:rFonts w:ascii="Arial" w:hAnsi="Arial"/>
          <w:sz w:val="20"/>
        </w:rPr>
      </w:pPr>
    </w:p>
    <w:p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rsidR="00EE6FFA" w:rsidRDefault="00EE6FFA" w:rsidP="00737F08">
      <w:pPr>
        <w:pStyle w:val="Header"/>
        <w:tabs>
          <w:tab w:val="clear" w:pos="4153"/>
          <w:tab w:val="clear" w:pos="8306"/>
        </w:tabs>
        <w:spacing w:line="360" w:lineRule="auto"/>
        <w:jc w:val="both"/>
        <w:rPr>
          <w:rFonts w:ascii="Arial" w:hAnsi="Arial"/>
          <w:sz w:val="20"/>
        </w:rPr>
      </w:pP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rsidR="00EE6FFA" w:rsidRDefault="00E86096" w:rsidP="00737F08">
      <w:pPr>
        <w:pStyle w:val="Header"/>
        <w:tabs>
          <w:tab w:val="clear" w:pos="4153"/>
          <w:tab w:val="clear" w:pos="8306"/>
        </w:tabs>
        <w:spacing w:line="360" w:lineRule="auto"/>
        <w:jc w:val="both"/>
        <w:rPr>
          <w:rFonts w:ascii="Arial" w:hAnsi="Arial"/>
          <w:sz w:val="20"/>
        </w:rPr>
      </w:pPr>
      <w:r>
        <w:rPr>
          <w:rFonts w:ascii="Arial" w:hAnsi="Arial"/>
          <w:sz w:val="20"/>
        </w:rPr>
        <w:t>NGESO</w:t>
      </w:r>
      <w:r w:rsidR="00EC6BB5">
        <w:rPr>
          <w:rFonts w:ascii="Arial" w:hAnsi="Arial"/>
          <w:sz w:val="20"/>
        </w:rPr>
        <w:t xml:space="preserve"> </w:t>
      </w:r>
      <w:r w:rsidR="00EE6FFA">
        <w:rPr>
          <w:rFonts w:ascii="Arial" w:hAnsi="Arial"/>
          <w:sz w:val="20"/>
        </w:rPr>
        <w:t>shall publish and / or announce details of the information submitted for the provision of constraint management from any service provider, and the service provider is required to c</w:t>
      </w:r>
      <w:r w:rsidR="00F754AD">
        <w:rPr>
          <w:rFonts w:ascii="Arial" w:hAnsi="Arial"/>
          <w:sz w:val="20"/>
        </w:rPr>
        <w:t xml:space="preserve">onsent to the disclosure by </w:t>
      </w:r>
      <w:r>
        <w:rPr>
          <w:rFonts w:ascii="Arial" w:hAnsi="Arial"/>
          <w:sz w:val="20"/>
        </w:rPr>
        <w:t>NGESO</w:t>
      </w:r>
      <w:r w:rsidR="00EC6BB5">
        <w:rPr>
          <w:rFonts w:ascii="Arial" w:hAnsi="Arial"/>
          <w:sz w:val="20"/>
        </w:rPr>
        <w:t xml:space="preserve"> </w:t>
      </w:r>
      <w:r w:rsidR="00EE6FFA">
        <w:rPr>
          <w:rFonts w:ascii="Arial" w:hAnsi="Arial"/>
          <w:sz w:val="20"/>
        </w:rPr>
        <w:t xml:space="preserve">of any such information.  To this end, </w:t>
      </w:r>
      <w:r>
        <w:rPr>
          <w:rFonts w:ascii="Arial" w:hAnsi="Arial"/>
          <w:sz w:val="20"/>
        </w:rPr>
        <w:t>NGESO</w:t>
      </w:r>
      <w:r w:rsidR="00EC6BB5">
        <w:rPr>
          <w:rFonts w:ascii="Arial" w:hAnsi="Arial"/>
          <w:sz w:val="20"/>
        </w:rPr>
        <w:t xml:space="preserve"> </w:t>
      </w:r>
      <w:r w:rsidR="00EE6FFA">
        <w:rPr>
          <w:rFonts w:ascii="Arial" w:hAnsi="Arial"/>
          <w:sz w:val="20"/>
        </w:rPr>
        <w:t xml:space="preserve">cannot accept an offer from any potential service provider unless they consent to the disclosure of such information. </w:t>
      </w:r>
    </w:p>
    <w:p w:rsidR="007D3A9C" w:rsidRDefault="007D3A9C" w:rsidP="00737F08">
      <w:pPr>
        <w:pStyle w:val="Header"/>
        <w:tabs>
          <w:tab w:val="clear" w:pos="4153"/>
          <w:tab w:val="clear" w:pos="8306"/>
        </w:tabs>
        <w:spacing w:line="360" w:lineRule="auto"/>
        <w:jc w:val="both"/>
        <w:rPr>
          <w:rFonts w:ascii="Arial" w:hAnsi="Arial"/>
          <w:sz w:val="20"/>
        </w:rPr>
      </w:pP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Balancing Services Account Manager. </w:t>
      </w:r>
    </w:p>
    <w:p w:rsidR="0091496D" w:rsidRDefault="0091496D"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7E5A35" w:rsidRDefault="00EC6BB5" w:rsidP="00737F08">
      <w:pPr>
        <w:pStyle w:val="Header"/>
        <w:tabs>
          <w:tab w:val="clear" w:pos="4153"/>
          <w:tab w:val="clear" w:pos="8306"/>
        </w:tabs>
        <w:spacing w:line="360" w:lineRule="auto"/>
        <w:rPr>
          <w:rFonts w:ascii="Arial" w:hAnsi="Arial"/>
          <w:sz w:val="20"/>
        </w:rPr>
      </w:pPr>
      <w:r>
        <w:rPr>
          <w:rFonts w:ascii="Arial" w:hAnsi="Arial"/>
          <w:sz w:val="20"/>
        </w:rPr>
        <w:t>Steve Miller</w:t>
      </w:r>
    </w:p>
    <w:p w:rsidR="00496BA1" w:rsidRDefault="00EC6BB5" w:rsidP="00160EB8">
      <w:pPr>
        <w:pStyle w:val="Header"/>
        <w:tabs>
          <w:tab w:val="clear" w:pos="4153"/>
          <w:tab w:val="clear" w:pos="8306"/>
        </w:tabs>
        <w:spacing w:line="360" w:lineRule="auto"/>
        <w:rPr>
          <w:rFonts w:ascii="Arial" w:hAnsi="Arial"/>
          <w:sz w:val="20"/>
        </w:rPr>
      </w:pPr>
      <w:r>
        <w:rPr>
          <w:rFonts w:ascii="Arial" w:hAnsi="Arial"/>
          <w:sz w:val="20"/>
        </w:rPr>
        <w:t xml:space="preserve">Senior Contracts </w:t>
      </w:r>
      <w:r w:rsidR="00F14B4F">
        <w:rPr>
          <w:rFonts w:ascii="Arial" w:hAnsi="Arial"/>
          <w:sz w:val="20"/>
        </w:rPr>
        <w:t>Manager</w:t>
      </w:r>
    </w:p>
    <w:p w:rsidR="00496BA1" w:rsidRDefault="00496BA1">
      <w:pPr>
        <w:rPr>
          <w:rFonts w:ascii="Arial" w:hAnsi="Arial"/>
          <w:sz w:val="20"/>
        </w:rPr>
      </w:pPr>
      <w:r>
        <w:rPr>
          <w:rFonts w:ascii="Arial" w:hAnsi="Arial"/>
          <w:sz w:val="20"/>
        </w:rPr>
        <w:br w:type="page"/>
      </w:r>
    </w:p>
    <w:p w:rsidR="00496BA1" w:rsidRPr="00AA08A9" w:rsidRDefault="00496BA1" w:rsidP="00496BA1">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 xml:space="preserve">APPENDIX </w:t>
      </w:r>
      <w:r w:rsidR="008F6B1A">
        <w:rPr>
          <w:rFonts w:ascii="Arial" w:hAnsi="Arial" w:cs="Arial"/>
          <w:b/>
          <w:sz w:val="20"/>
          <w:szCs w:val="20"/>
          <w:u w:val="single"/>
        </w:rPr>
        <w:t>1</w:t>
      </w:r>
      <w:r w:rsidR="00D20BD3">
        <w:rPr>
          <w:rFonts w:ascii="Arial" w:hAnsi="Arial" w:cs="Arial"/>
          <w:b/>
          <w:sz w:val="20"/>
          <w:szCs w:val="20"/>
          <w:u w:val="single"/>
        </w:rPr>
        <w:t xml:space="preserve"> - GAS</w:t>
      </w:r>
    </w:p>
    <w:p w:rsidR="00496BA1" w:rsidRPr="00AA08A9" w:rsidRDefault="00496BA1" w:rsidP="00496BA1">
      <w:pPr>
        <w:tabs>
          <w:tab w:val="left" w:pos="0"/>
        </w:tabs>
        <w:spacing w:line="360" w:lineRule="auto"/>
        <w:jc w:val="center"/>
        <w:rPr>
          <w:rFonts w:ascii="Arial" w:hAnsi="Arial" w:cs="Arial"/>
          <w:sz w:val="20"/>
          <w:szCs w:val="20"/>
        </w:rPr>
      </w:pPr>
    </w:p>
    <w:p w:rsidR="00496BA1" w:rsidRPr="00AA08A9" w:rsidRDefault="00496BA1" w:rsidP="00496BA1">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496BA1" w:rsidRDefault="00496BA1" w:rsidP="00496BA1">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w:t>
      </w:r>
      <w:proofErr w:type="gramStart"/>
      <w:r>
        <w:rPr>
          <w:rFonts w:ascii="Arial" w:hAnsi="Arial" w:cs="Arial"/>
          <w:sz w:val="20"/>
          <w:szCs w:val="20"/>
        </w:rPr>
        <w:t>follows:-</w:t>
      </w:r>
      <w:proofErr w:type="gramEnd"/>
    </w:p>
    <w:p w:rsidR="00496BA1" w:rsidRDefault="00496BA1" w:rsidP="00496BA1">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w:t>
      </w:r>
      <w:proofErr w:type="spellStart"/>
      <w:r>
        <w:rPr>
          <w:rFonts w:ascii="Arial" w:hAnsi="Arial" w:cs="Arial"/>
          <w:sz w:val="20"/>
          <w:szCs w:val="20"/>
        </w:rPr>
        <w:t>CSS</w:t>
      </w:r>
      <w:r>
        <w:rPr>
          <w:rFonts w:ascii="Arial" w:hAnsi="Arial" w:cs="Arial"/>
          <w:sz w:val="20"/>
          <w:szCs w:val="20"/>
          <w:vertAlign w:val="subscript"/>
        </w:rPr>
        <w:t>d</w:t>
      </w:r>
      <w:proofErr w:type="spellEnd"/>
      <w:r>
        <w:rPr>
          <w:rFonts w:ascii="Arial" w:hAnsi="Arial" w:cs="Arial"/>
          <w:sz w:val="20"/>
          <w:szCs w:val="20"/>
          <w:vertAlign w:val="subscript"/>
        </w:rPr>
        <w:t>)</w:t>
      </w:r>
      <w:r>
        <w:rPr>
          <w:rFonts w:ascii="Arial" w:hAnsi="Arial" w:cs="Arial"/>
          <w:sz w:val="20"/>
          <w:szCs w:val="20"/>
        </w:rPr>
        <w:t xml:space="preserve">)) * SEL * </w:t>
      </w:r>
      <w:proofErr w:type="spellStart"/>
      <w:r>
        <w:rPr>
          <w:rFonts w:ascii="Arial" w:hAnsi="Arial" w:cs="Arial"/>
          <w:sz w:val="20"/>
          <w:szCs w:val="20"/>
        </w:rPr>
        <w:t>H</w:t>
      </w:r>
      <w:r>
        <w:rPr>
          <w:rFonts w:ascii="Arial" w:hAnsi="Arial" w:cs="Arial"/>
          <w:sz w:val="20"/>
          <w:szCs w:val="20"/>
          <w:vertAlign w:val="subscript"/>
        </w:rPr>
        <w:t>d</w:t>
      </w:r>
      <w:proofErr w:type="spellEnd"/>
    </w:p>
    <w:p w:rsidR="00496BA1" w:rsidRDefault="00496BA1" w:rsidP="00496BA1">
      <w:pPr>
        <w:pStyle w:val="NormalWeb"/>
        <w:rPr>
          <w:rFonts w:ascii="Arial" w:hAnsi="Arial" w:cs="Arial"/>
          <w:sz w:val="20"/>
          <w:szCs w:val="20"/>
        </w:rPr>
      </w:pPr>
      <w:r>
        <w:rPr>
          <w:rFonts w:ascii="Arial" w:hAnsi="Arial" w:cs="Arial"/>
          <w:sz w:val="20"/>
          <w:szCs w:val="20"/>
        </w:rPr>
        <w:t>Where:</w:t>
      </w:r>
    </w:p>
    <w:p w:rsidR="00496BA1" w:rsidRPr="00E156E4"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 Fee</w:t>
      </w:r>
      <w:r>
        <w:rPr>
          <w:rFonts w:ascii="Arial" w:hAnsi="Arial" w:cs="Arial"/>
          <w:sz w:val="20"/>
          <w:szCs w:val="20"/>
        </w:rPr>
        <w:t xml:space="preserve"> for the relevant </w:t>
      </w:r>
      <w:r w:rsidRPr="006D339E">
        <w:rPr>
          <w:rFonts w:ascii="Arial" w:hAnsi="Arial" w:cs="Arial"/>
          <w:b/>
          <w:sz w:val="20"/>
          <w:szCs w:val="20"/>
        </w:rPr>
        <w:t>Service Period</w:t>
      </w:r>
      <w:r>
        <w:rPr>
          <w:rFonts w:ascii="Arial" w:hAnsi="Arial" w:cs="Arial"/>
          <w:b/>
          <w:sz w:val="20"/>
          <w:szCs w:val="20"/>
        </w:rPr>
        <w:t xml:space="preserve">. </w:t>
      </w:r>
    </w:p>
    <w:p w:rsidR="00496BA1" w:rsidRDefault="00496BA1" w:rsidP="00496BA1">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34027C">
        <w:rPr>
          <w:rFonts w:ascii="Arial" w:hAnsi="Arial" w:cs="Arial"/>
          <w:sz w:val="20"/>
          <w:szCs w:val="20"/>
        </w:rPr>
        <w:t xml:space="preserve">being </w:t>
      </w:r>
      <w:r w:rsidRPr="00D84299">
        <w:rPr>
          <w:rFonts w:ascii="Arial" w:hAnsi="Arial" w:cs="Arial"/>
          <w:sz w:val="20"/>
          <w:szCs w:val="20"/>
          <w:highlight w:val="yellow"/>
        </w:rPr>
        <w:t xml:space="preserve">[      </w:t>
      </w:r>
      <w:proofErr w:type="gramStart"/>
      <w:r w:rsidRPr="00D84299">
        <w:rPr>
          <w:rFonts w:ascii="Arial" w:hAnsi="Arial" w:cs="Arial"/>
          <w:sz w:val="20"/>
          <w:szCs w:val="20"/>
          <w:highlight w:val="yellow"/>
        </w:rPr>
        <w:t xml:space="preserve">  ]</w:t>
      </w:r>
      <w:proofErr w:type="gramEnd"/>
      <w:r>
        <w:rPr>
          <w:rFonts w:ascii="Arial" w:hAnsi="Arial" w:cs="Arial"/>
          <w:sz w:val="20"/>
          <w:szCs w:val="20"/>
        </w:rPr>
        <w:t xml:space="preserve"> £/</w:t>
      </w:r>
      <w:r w:rsidRPr="0034027C">
        <w:rPr>
          <w:rFonts w:ascii="Arial" w:hAnsi="Arial" w:cs="Arial"/>
          <w:sz w:val="20"/>
          <w:szCs w:val="20"/>
        </w:rPr>
        <w:t>MWh</w:t>
      </w:r>
    </w:p>
    <w:p w:rsidR="00496BA1" w:rsidRDefault="00496BA1" w:rsidP="00496BA1">
      <w:pPr>
        <w:pStyle w:val="NormalWeb"/>
        <w:tabs>
          <w:tab w:val="left" w:pos="709"/>
        </w:tabs>
        <w:ind w:left="1418" w:hanging="1418"/>
        <w:rPr>
          <w:rFonts w:ascii="Arial" w:hAnsi="Arial" w:cs="Arial"/>
          <w:sz w:val="20"/>
          <w:szCs w:val="20"/>
        </w:rPr>
      </w:pPr>
      <w:proofErr w:type="spellStart"/>
      <w:r>
        <w:rPr>
          <w:rFonts w:ascii="Arial" w:hAnsi="Arial" w:cs="Arial"/>
          <w:sz w:val="20"/>
          <w:szCs w:val="20"/>
        </w:rPr>
        <w:t>CSS</w:t>
      </w:r>
      <w:r>
        <w:rPr>
          <w:rFonts w:ascii="Arial" w:hAnsi="Arial" w:cs="Arial"/>
          <w:sz w:val="20"/>
          <w:szCs w:val="20"/>
          <w:vertAlign w:val="subscript"/>
        </w:rPr>
        <w:t>d</w:t>
      </w:r>
      <w:proofErr w:type="spellEnd"/>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sidRPr="0034027C">
        <w:rPr>
          <w:rFonts w:ascii="Arial" w:hAnsi="Arial" w:cs="Arial"/>
          <w:b/>
          <w:sz w:val="20"/>
          <w:szCs w:val="20"/>
        </w:rPr>
        <w:t>Clean Spark Spread</w:t>
      </w:r>
      <w:r>
        <w:rPr>
          <w:rFonts w:ascii="Arial" w:hAnsi="Arial" w:cs="Arial"/>
          <w:sz w:val="20"/>
          <w:szCs w:val="20"/>
        </w:rPr>
        <w:t xml:space="preserve"> </w:t>
      </w:r>
    </w:p>
    <w:p w:rsidR="00496BA1" w:rsidRDefault="00496BA1" w:rsidP="00496BA1">
      <w:pPr>
        <w:pStyle w:val="NormalWeb"/>
        <w:ind w:left="709"/>
        <w:rPr>
          <w:rFonts w:ascii="Arial" w:hAnsi="Arial" w:cs="Arial"/>
          <w:sz w:val="20"/>
          <w:szCs w:val="20"/>
        </w:rPr>
      </w:pPr>
      <w:r w:rsidRPr="008C2A24">
        <w:rPr>
          <w:rFonts w:ascii="Arial" w:hAnsi="Arial" w:cs="Arial"/>
          <w:b/>
          <w:sz w:val="20"/>
          <w:szCs w:val="20"/>
        </w:rPr>
        <w:t>Clean Spark Spread</w:t>
      </w:r>
      <w:r>
        <w:rPr>
          <w:rFonts w:ascii="Arial" w:hAnsi="Arial" w:cs="Arial"/>
          <w:sz w:val="20"/>
          <w:szCs w:val="20"/>
        </w:rPr>
        <w:tab/>
        <w:t>=</w:t>
      </w:r>
      <w:r>
        <w:rPr>
          <w:rFonts w:ascii="Arial" w:hAnsi="Arial" w:cs="Arial"/>
          <w:sz w:val="20"/>
          <w:szCs w:val="20"/>
        </w:rPr>
        <w:tab/>
        <w:t>GBPP – Gas Cost – Carbon Cost</w:t>
      </w:r>
    </w:p>
    <w:p w:rsidR="00496BA1" w:rsidRDefault="00496BA1" w:rsidP="00496BA1">
      <w:pPr>
        <w:pStyle w:val="NormalWeb"/>
        <w:ind w:left="1418"/>
        <w:rPr>
          <w:rFonts w:ascii="Arial" w:hAnsi="Arial" w:cs="Arial"/>
          <w:sz w:val="20"/>
          <w:szCs w:val="20"/>
        </w:rPr>
      </w:pPr>
      <w:r>
        <w:rPr>
          <w:rFonts w:ascii="Arial" w:hAnsi="Arial" w:cs="Arial"/>
          <w:sz w:val="20"/>
          <w:szCs w:val="20"/>
        </w:rPr>
        <w:t>Where:</w:t>
      </w:r>
    </w:p>
    <w:p w:rsidR="00496BA1" w:rsidRPr="00407AB2" w:rsidRDefault="00496BA1" w:rsidP="00496BA1">
      <w:pPr>
        <w:pStyle w:val="NormalWeb"/>
        <w:tabs>
          <w:tab w:val="left" w:pos="2835"/>
        </w:tabs>
        <w:ind w:left="3544" w:hanging="2126"/>
        <w:rPr>
          <w:rFonts w:ascii="Arial" w:hAnsi="Arial" w:cs="Arial"/>
          <w:b/>
          <w:i/>
          <w:sz w:val="20"/>
          <w:szCs w:val="20"/>
        </w:rPr>
      </w:pPr>
      <w:r>
        <w:rPr>
          <w:rFonts w:ascii="Arial" w:hAnsi="Arial" w:cs="Arial"/>
          <w:sz w:val="20"/>
          <w:szCs w:val="20"/>
        </w:rPr>
        <w:t>Gas Cost</w:t>
      </w:r>
      <w:r>
        <w:rPr>
          <w:rFonts w:ascii="Arial" w:hAnsi="Arial" w:cs="Arial"/>
          <w:sz w:val="20"/>
          <w:szCs w:val="20"/>
        </w:rPr>
        <w:tab/>
        <w:t>=</w:t>
      </w:r>
      <w:r>
        <w:rPr>
          <w:rFonts w:ascii="Arial" w:hAnsi="Arial" w:cs="Arial"/>
          <w:sz w:val="20"/>
          <w:szCs w:val="20"/>
        </w:rPr>
        <w:tab/>
        <w:t>(Day Ahead NBP/</w:t>
      </w:r>
      <w:r w:rsidRPr="00435613">
        <w:rPr>
          <w:rFonts w:ascii="Arial" w:hAnsi="Arial" w:cs="Arial"/>
          <w:sz w:val="20"/>
          <w:szCs w:val="20"/>
        </w:rPr>
        <w:t xml:space="preserve"> </w:t>
      </w:r>
      <w:r w:rsidRPr="008D6EBB">
        <w:rPr>
          <w:rFonts w:ascii="Arial" w:hAnsi="Arial" w:cs="Arial"/>
          <w:sz w:val="20"/>
          <w:szCs w:val="20"/>
        </w:rPr>
        <w:t xml:space="preserve">Gas </w:t>
      </w:r>
      <w:r>
        <w:rPr>
          <w:rFonts w:ascii="Arial" w:hAnsi="Arial" w:cs="Arial"/>
          <w:sz w:val="20"/>
          <w:szCs w:val="20"/>
        </w:rPr>
        <w:t>C</w:t>
      </w:r>
      <w:r w:rsidRPr="008D6EBB">
        <w:rPr>
          <w:rFonts w:ascii="Arial" w:hAnsi="Arial" w:cs="Arial"/>
          <w:sz w:val="20"/>
          <w:szCs w:val="20"/>
        </w:rPr>
        <w:t xml:space="preserve">onversion </w:t>
      </w:r>
      <w:r>
        <w:rPr>
          <w:rFonts w:ascii="Arial" w:hAnsi="Arial" w:cs="Arial"/>
          <w:sz w:val="20"/>
          <w:szCs w:val="20"/>
        </w:rPr>
        <w:t>F</w:t>
      </w:r>
      <w:r w:rsidRPr="008D6EBB">
        <w:rPr>
          <w:rFonts w:ascii="Arial" w:hAnsi="Arial" w:cs="Arial"/>
          <w:sz w:val="20"/>
          <w:szCs w:val="20"/>
        </w:rPr>
        <w:t>actor</w:t>
      </w:r>
      <w:r w:rsidDel="00435613">
        <w:rPr>
          <w:rFonts w:ascii="Arial" w:hAnsi="Arial" w:cs="Arial"/>
          <w:sz w:val="20"/>
          <w:szCs w:val="20"/>
        </w:rPr>
        <w:t xml:space="preserve"> </w:t>
      </w:r>
      <w:r>
        <w:rPr>
          <w:rFonts w:ascii="Arial" w:hAnsi="Arial" w:cs="Arial"/>
          <w:sz w:val="20"/>
          <w:szCs w:val="20"/>
        </w:rPr>
        <w:t xml:space="preserve">* 10)/ Gas </w:t>
      </w:r>
      <w:r w:rsidRPr="00407AB2">
        <w:rPr>
          <w:rFonts w:ascii="Arial" w:hAnsi="Arial" w:cs="Arial"/>
          <w:sz w:val="20"/>
          <w:szCs w:val="20"/>
        </w:rPr>
        <w:t>Efficiency Constant</w:t>
      </w:r>
    </w:p>
    <w:p w:rsidR="00496BA1" w:rsidRDefault="00EC6BB5" w:rsidP="00496BA1">
      <w:pPr>
        <w:pStyle w:val="NormalWeb"/>
        <w:ind w:left="1418"/>
        <w:rPr>
          <w:rFonts w:ascii="Arial" w:hAnsi="Arial" w:cs="Arial"/>
          <w:sz w:val="20"/>
          <w:szCs w:val="20"/>
        </w:rPr>
      </w:pPr>
      <w:r>
        <w:rPr>
          <w:rFonts w:ascii="Arial" w:hAnsi="Arial" w:cs="Arial"/>
          <w:sz w:val="20"/>
          <w:szCs w:val="20"/>
        </w:rPr>
        <w:t>Carbon Cost</w:t>
      </w:r>
      <w:r>
        <w:rPr>
          <w:rFonts w:ascii="Arial" w:hAnsi="Arial" w:cs="Arial"/>
          <w:sz w:val="20"/>
          <w:szCs w:val="20"/>
        </w:rPr>
        <w:tab/>
        <w:t>=</w:t>
      </w:r>
      <w:r>
        <w:rPr>
          <w:rFonts w:ascii="Arial" w:hAnsi="Arial" w:cs="Arial"/>
          <w:sz w:val="20"/>
          <w:szCs w:val="20"/>
        </w:rPr>
        <w:tab/>
        <w:t>(Dec 2019</w:t>
      </w:r>
      <w:r w:rsidR="00496BA1" w:rsidRPr="00407AB2">
        <w:rPr>
          <w:rFonts w:ascii="Arial" w:hAnsi="Arial" w:cs="Arial"/>
          <w:sz w:val="20"/>
          <w:szCs w:val="20"/>
        </w:rPr>
        <w:t>EUA + CPS) * Gas Carbon Intensity</w:t>
      </w:r>
    </w:p>
    <w:p w:rsidR="00496BA1" w:rsidRDefault="00496BA1" w:rsidP="00496BA1">
      <w:pPr>
        <w:pStyle w:val="NormalWeb"/>
        <w:ind w:left="709"/>
        <w:rPr>
          <w:rFonts w:ascii="Arial" w:hAnsi="Arial" w:cs="Arial"/>
          <w:sz w:val="20"/>
          <w:szCs w:val="20"/>
        </w:rPr>
      </w:pPr>
      <w:r>
        <w:rPr>
          <w:rFonts w:ascii="Arial" w:hAnsi="Arial" w:cs="Arial"/>
          <w:sz w:val="20"/>
          <w:szCs w:val="20"/>
        </w:rPr>
        <w:t>And where:</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r>
      <w:r w:rsidR="00185259">
        <w:rPr>
          <w:rFonts w:ascii="Arial" w:hAnsi="Arial" w:cs="Arial"/>
          <w:sz w:val="20"/>
          <w:szCs w:val="20"/>
        </w:rPr>
        <w:t xml:space="preserve">a mean average across each </w:t>
      </w:r>
      <w:r w:rsidR="00185259" w:rsidRPr="006D339E">
        <w:rPr>
          <w:rFonts w:ascii="Arial" w:hAnsi="Arial" w:cs="Arial"/>
          <w:b/>
          <w:sz w:val="20"/>
          <w:szCs w:val="20"/>
        </w:rPr>
        <w:t>Settlement Period</w:t>
      </w:r>
      <w:r w:rsidR="00185259">
        <w:rPr>
          <w:rFonts w:ascii="Arial" w:hAnsi="Arial" w:cs="Arial"/>
          <w:sz w:val="20"/>
          <w:szCs w:val="20"/>
        </w:rPr>
        <w:t xml:space="preserve"> throughout the </w:t>
      </w:r>
      <w:r w:rsidR="00185259" w:rsidRPr="006D339E">
        <w:rPr>
          <w:rFonts w:ascii="Arial" w:hAnsi="Arial" w:cs="Arial"/>
          <w:b/>
          <w:sz w:val="20"/>
          <w:szCs w:val="20"/>
        </w:rPr>
        <w:t>Service Period</w:t>
      </w:r>
      <w:r w:rsidR="00185259">
        <w:rPr>
          <w:rFonts w:ascii="Arial" w:hAnsi="Arial" w:cs="Arial"/>
          <w:sz w:val="20"/>
          <w:szCs w:val="20"/>
        </w:rPr>
        <w:t xml:space="preserve"> of the clearing prices for</w:t>
      </w:r>
      <w:r w:rsidR="00185259" w:rsidRPr="006D339E">
        <w:rPr>
          <w:rFonts w:ascii="Arial" w:hAnsi="Arial" w:cs="Arial"/>
          <w:sz w:val="20"/>
          <w:szCs w:val="20"/>
        </w:rPr>
        <w:t xml:space="preserve"> those</w:t>
      </w:r>
      <w:r w:rsidR="00185259" w:rsidRPr="006D339E">
        <w:rPr>
          <w:rFonts w:ascii="Arial" w:hAnsi="Arial" w:cs="Arial"/>
          <w:b/>
          <w:sz w:val="20"/>
          <w:szCs w:val="20"/>
        </w:rPr>
        <w:t xml:space="preserve"> Settlement Periods</w:t>
      </w:r>
      <w:r w:rsidR="00185259">
        <w:rPr>
          <w:rFonts w:ascii="Arial" w:hAnsi="Arial" w:cs="Arial"/>
          <w:sz w:val="20"/>
          <w:szCs w:val="20"/>
        </w:rPr>
        <w:t xml:space="preserve"> published by APX following the day ahead auction on calendar day d-1, quoted as £/MWh   </w:t>
      </w:r>
    </w:p>
    <w:p w:rsidR="00496BA1" w:rsidRPr="00407AB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Day Ahead NBP</w:t>
      </w:r>
      <w:r>
        <w:rPr>
          <w:rFonts w:ascii="Arial" w:hAnsi="Arial" w:cs="Arial"/>
          <w:sz w:val="20"/>
          <w:szCs w:val="20"/>
        </w:rPr>
        <w:tab/>
        <w:t>=</w:t>
      </w:r>
      <w:r>
        <w:rPr>
          <w:rFonts w:ascii="Arial" w:hAnsi="Arial" w:cs="Arial"/>
          <w:sz w:val="20"/>
          <w:szCs w:val="20"/>
        </w:rPr>
        <w:tab/>
        <w:t xml:space="preserve">the Day Ahead Gas Index as published by </w:t>
      </w:r>
      <w:r w:rsidR="00407AB2">
        <w:rPr>
          <w:rFonts w:ascii="Arial" w:hAnsi="Arial" w:cs="Arial"/>
          <w:sz w:val="20"/>
          <w:szCs w:val="20"/>
        </w:rPr>
        <w:t>Argus</w:t>
      </w:r>
      <w:r>
        <w:rPr>
          <w:rFonts w:ascii="Arial" w:hAnsi="Arial" w:cs="Arial"/>
          <w:sz w:val="20"/>
          <w:szCs w:val="20"/>
        </w:rPr>
        <w:t xml:space="preserve"> on calendar day d-1 (or, where this is not a Working </w:t>
      </w:r>
      <w:r w:rsidRPr="006D339E">
        <w:rPr>
          <w:rFonts w:ascii="Arial" w:hAnsi="Arial" w:cs="Arial"/>
          <w:b/>
          <w:sz w:val="20"/>
          <w:szCs w:val="20"/>
        </w:rPr>
        <w:t>Day</w:t>
      </w:r>
      <w:r>
        <w:rPr>
          <w:rFonts w:ascii="Arial" w:hAnsi="Arial" w:cs="Arial"/>
          <w:sz w:val="20"/>
          <w:szCs w:val="20"/>
        </w:rPr>
        <w:t xml:space="preserve">, on the immediately preceding Working </w:t>
      </w:r>
      <w:r w:rsidRPr="006D339E">
        <w:rPr>
          <w:rFonts w:ascii="Arial" w:hAnsi="Arial" w:cs="Arial"/>
          <w:b/>
          <w:sz w:val="20"/>
          <w:szCs w:val="20"/>
        </w:rPr>
        <w:t>Day</w:t>
      </w:r>
      <w:r>
        <w:rPr>
          <w:rFonts w:ascii="Arial" w:hAnsi="Arial" w:cs="Arial"/>
          <w:sz w:val="20"/>
          <w:szCs w:val="20"/>
        </w:rPr>
        <w:t xml:space="preserve">) or, where the Working </w:t>
      </w:r>
      <w:r w:rsidRPr="006D339E">
        <w:rPr>
          <w:rFonts w:ascii="Arial" w:hAnsi="Arial" w:cs="Arial"/>
          <w:b/>
          <w:sz w:val="20"/>
          <w:szCs w:val="20"/>
        </w:rPr>
        <w:t>Day</w:t>
      </w:r>
      <w:r>
        <w:rPr>
          <w:rFonts w:ascii="Arial" w:hAnsi="Arial" w:cs="Arial"/>
          <w:sz w:val="20"/>
          <w:szCs w:val="20"/>
        </w:rPr>
        <w:t xml:space="preserve"> immediately preceding calendar day d is a Friday, the </w:t>
      </w:r>
      <w:r w:rsidR="00407AB2">
        <w:rPr>
          <w:rFonts w:ascii="Arial" w:hAnsi="Arial" w:cs="Arial"/>
          <w:sz w:val="20"/>
          <w:szCs w:val="20"/>
        </w:rPr>
        <w:t>Argus</w:t>
      </w:r>
      <w:r>
        <w:rPr>
          <w:rFonts w:ascii="Arial" w:hAnsi="Arial" w:cs="Arial"/>
          <w:sz w:val="20"/>
          <w:szCs w:val="20"/>
        </w:rPr>
        <w:t xml:space="preserve"> Weekend Gas Index published on that day, quoted as </w:t>
      </w:r>
      <w:r w:rsidRPr="00407AB2">
        <w:rPr>
          <w:rFonts w:ascii="Arial" w:hAnsi="Arial" w:cs="Arial"/>
          <w:sz w:val="20"/>
          <w:szCs w:val="20"/>
        </w:rPr>
        <w:t>pence/</w:t>
      </w:r>
      <w:proofErr w:type="spellStart"/>
      <w:r w:rsidRPr="00407AB2">
        <w:rPr>
          <w:rFonts w:ascii="Arial" w:hAnsi="Arial" w:cs="Arial"/>
          <w:sz w:val="20"/>
          <w:szCs w:val="20"/>
        </w:rPr>
        <w:t>therm</w:t>
      </w:r>
      <w:proofErr w:type="spellEnd"/>
      <w:r w:rsidRPr="00407AB2">
        <w:rPr>
          <w:rFonts w:ascii="Arial" w:hAnsi="Arial" w:cs="Arial"/>
          <w:sz w:val="20"/>
          <w:szCs w:val="20"/>
        </w:rPr>
        <w:t xml:space="preserve"> </w:t>
      </w:r>
    </w:p>
    <w:p w:rsidR="00496BA1" w:rsidRPr="00407AB2" w:rsidRDefault="002A2FAD" w:rsidP="00496BA1">
      <w:pPr>
        <w:pStyle w:val="NormalWeb"/>
        <w:tabs>
          <w:tab w:val="left" w:pos="2835"/>
        </w:tabs>
        <w:ind w:left="3544" w:hanging="2835"/>
        <w:rPr>
          <w:rFonts w:ascii="Arial" w:hAnsi="Arial" w:cs="Arial"/>
          <w:sz w:val="20"/>
          <w:szCs w:val="20"/>
        </w:rPr>
      </w:pPr>
      <w:r>
        <w:rPr>
          <w:rFonts w:ascii="Arial" w:hAnsi="Arial" w:cs="Arial"/>
          <w:sz w:val="20"/>
          <w:szCs w:val="20"/>
        </w:rPr>
        <w:t>Dec 2019</w:t>
      </w:r>
      <w:r w:rsidR="00496BA1" w:rsidRPr="00407AB2">
        <w:rPr>
          <w:rFonts w:ascii="Arial" w:hAnsi="Arial" w:cs="Arial"/>
          <w:sz w:val="20"/>
          <w:szCs w:val="20"/>
        </w:rPr>
        <w:t>EUA</w:t>
      </w:r>
      <w:r w:rsidR="00496BA1">
        <w:rPr>
          <w:rFonts w:ascii="Arial" w:hAnsi="Arial" w:cs="Arial"/>
          <w:sz w:val="20"/>
          <w:szCs w:val="20"/>
        </w:rPr>
        <w:tab/>
        <w:t>=</w:t>
      </w:r>
      <w:r w:rsidR="00496BA1">
        <w:rPr>
          <w:rFonts w:ascii="Arial" w:hAnsi="Arial" w:cs="Arial"/>
          <w:sz w:val="20"/>
          <w:szCs w:val="20"/>
        </w:rPr>
        <w:tab/>
      </w:r>
      <w:r w:rsidR="00F90560" w:rsidRPr="00F90560">
        <w:rPr>
          <w:rFonts w:ascii="Arial" w:hAnsi="Arial" w:cs="Arial"/>
          <w:sz w:val="20"/>
          <w:szCs w:val="20"/>
        </w:rPr>
        <w:t xml:space="preserve">the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w:t>
      </w:r>
      <w:r w:rsidR="00F90560" w:rsidRPr="00407AB2">
        <w:rPr>
          <w:rFonts w:ascii="Arial" w:hAnsi="Arial" w:cs="Arial"/>
          <w:sz w:val="20"/>
          <w:szCs w:val="20"/>
        </w:rPr>
        <w:t>exchange rate for that Day published by the Bank of England</w:t>
      </w:r>
      <w:r w:rsidR="00496BA1" w:rsidRPr="00407AB2">
        <w:rPr>
          <w:rFonts w:ascii="Arial" w:hAnsi="Arial" w:cs="Arial"/>
          <w:sz w:val="20"/>
          <w:szCs w:val="20"/>
        </w:rPr>
        <w:t>.</w:t>
      </w:r>
    </w:p>
    <w:p w:rsidR="00496BA1" w:rsidRPr="00407AB2" w:rsidRDefault="00496BA1" w:rsidP="00496BA1">
      <w:pPr>
        <w:pStyle w:val="NormalWeb"/>
        <w:tabs>
          <w:tab w:val="left" w:pos="2835"/>
        </w:tabs>
        <w:ind w:left="3544" w:hanging="2835"/>
        <w:rPr>
          <w:rFonts w:ascii="Arial" w:hAnsi="Arial" w:cs="Arial"/>
          <w:b/>
          <w:i/>
          <w:sz w:val="20"/>
          <w:szCs w:val="20"/>
        </w:rPr>
      </w:pPr>
      <w:r w:rsidRPr="00407AB2">
        <w:rPr>
          <w:rFonts w:ascii="Arial" w:hAnsi="Arial" w:cs="Arial"/>
          <w:sz w:val="20"/>
          <w:szCs w:val="20"/>
        </w:rPr>
        <w:t>CPS</w:t>
      </w:r>
      <w:r w:rsidRPr="00407AB2">
        <w:rPr>
          <w:rFonts w:ascii="Arial" w:hAnsi="Arial" w:cs="Arial"/>
          <w:sz w:val="20"/>
          <w:szCs w:val="20"/>
        </w:rPr>
        <w:tab/>
        <w:t>=</w:t>
      </w:r>
      <w:r w:rsidRPr="00407AB2">
        <w:rPr>
          <w:rFonts w:ascii="Arial" w:hAnsi="Arial" w:cs="Arial"/>
          <w:sz w:val="20"/>
          <w:szCs w:val="20"/>
        </w:rPr>
        <w:tab/>
        <w:t>UK c</w:t>
      </w:r>
      <w:r w:rsidR="00817E1A" w:rsidRPr="00407AB2">
        <w:rPr>
          <w:rFonts w:ascii="Arial" w:hAnsi="Arial" w:cs="Arial"/>
          <w:sz w:val="20"/>
          <w:szCs w:val="20"/>
        </w:rPr>
        <w:t>arbon price support being £18.0</w:t>
      </w:r>
      <w:r w:rsidR="00EC6BB5">
        <w:rPr>
          <w:rFonts w:ascii="Arial" w:hAnsi="Arial" w:cs="Arial"/>
          <w:sz w:val="20"/>
          <w:szCs w:val="20"/>
        </w:rPr>
        <w:t>8</w:t>
      </w:r>
      <w:r w:rsidRPr="00407AB2">
        <w:rPr>
          <w:rFonts w:ascii="Arial" w:hAnsi="Arial" w:cs="Arial"/>
          <w:sz w:val="20"/>
          <w:szCs w:val="20"/>
        </w:rPr>
        <w:t>/tonne</w:t>
      </w:r>
    </w:p>
    <w:p w:rsidR="00496BA1" w:rsidRPr="00407AB2" w:rsidRDefault="00496BA1" w:rsidP="00496BA1">
      <w:pPr>
        <w:pStyle w:val="NormalWeb"/>
        <w:ind w:left="709"/>
        <w:rPr>
          <w:rFonts w:ascii="Arial" w:hAnsi="Arial" w:cs="Arial"/>
          <w:sz w:val="20"/>
          <w:szCs w:val="20"/>
        </w:rPr>
      </w:pPr>
      <w:r w:rsidRPr="00407AB2">
        <w:rPr>
          <w:rFonts w:ascii="Arial" w:hAnsi="Arial" w:cs="Arial"/>
          <w:sz w:val="20"/>
          <w:szCs w:val="20"/>
        </w:rPr>
        <w:t>Gas Carbon Intensity</w:t>
      </w:r>
      <w:r w:rsidRPr="00407AB2">
        <w:rPr>
          <w:rFonts w:ascii="Arial" w:hAnsi="Arial" w:cs="Arial"/>
          <w:sz w:val="20"/>
          <w:szCs w:val="20"/>
        </w:rPr>
        <w:tab/>
        <w:t>=</w:t>
      </w:r>
      <w:r w:rsidRPr="00407AB2">
        <w:rPr>
          <w:rFonts w:ascii="Arial" w:hAnsi="Arial" w:cs="Arial"/>
          <w:sz w:val="20"/>
          <w:szCs w:val="20"/>
        </w:rPr>
        <w:tab/>
      </w:r>
      <w:r w:rsidR="00EC6BB5" w:rsidRPr="00A643FD">
        <w:rPr>
          <w:rFonts w:ascii="Arial" w:hAnsi="Arial" w:cs="Arial"/>
          <w:sz w:val="20"/>
          <w:szCs w:val="20"/>
          <w:highlight w:val="yellow"/>
        </w:rPr>
        <w:t xml:space="preserve">[     </w:t>
      </w:r>
      <w:proofErr w:type="gramStart"/>
      <w:r w:rsidR="00EC6BB5" w:rsidRPr="00A643FD">
        <w:rPr>
          <w:rFonts w:ascii="Arial" w:hAnsi="Arial" w:cs="Arial"/>
          <w:sz w:val="20"/>
          <w:szCs w:val="20"/>
          <w:highlight w:val="yellow"/>
        </w:rPr>
        <w:t xml:space="preserve">  ]</w:t>
      </w:r>
      <w:proofErr w:type="gramEnd"/>
    </w:p>
    <w:p w:rsidR="00496BA1" w:rsidRPr="00407AB2" w:rsidRDefault="00496BA1" w:rsidP="00496BA1">
      <w:pPr>
        <w:pStyle w:val="NormalWeb"/>
        <w:ind w:left="709"/>
        <w:rPr>
          <w:rFonts w:ascii="Arial" w:hAnsi="Arial" w:cs="Arial"/>
          <w:sz w:val="20"/>
          <w:szCs w:val="20"/>
        </w:rPr>
      </w:pPr>
      <w:r w:rsidRPr="00407AB2">
        <w:rPr>
          <w:rFonts w:ascii="Arial" w:hAnsi="Arial" w:cs="Arial"/>
          <w:sz w:val="20"/>
          <w:szCs w:val="20"/>
        </w:rPr>
        <w:t>Gas Efficiency Constant</w:t>
      </w:r>
      <w:r w:rsidRPr="00407AB2">
        <w:rPr>
          <w:rFonts w:ascii="Arial" w:hAnsi="Arial" w:cs="Arial"/>
          <w:sz w:val="20"/>
          <w:szCs w:val="20"/>
        </w:rPr>
        <w:tab/>
        <w:t>=</w:t>
      </w:r>
      <w:r w:rsidRPr="00407AB2">
        <w:rPr>
          <w:rFonts w:ascii="Arial" w:hAnsi="Arial" w:cs="Arial"/>
          <w:sz w:val="20"/>
          <w:szCs w:val="20"/>
        </w:rPr>
        <w:tab/>
      </w:r>
      <w:r w:rsidR="00EC6BB5" w:rsidRPr="00A643FD">
        <w:rPr>
          <w:rFonts w:ascii="Arial" w:hAnsi="Arial" w:cs="Arial"/>
          <w:sz w:val="20"/>
          <w:szCs w:val="20"/>
          <w:highlight w:val="yellow"/>
        </w:rPr>
        <w:t xml:space="preserve">[     </w:t>
      </w:r>
      <w:proofErr w:type="gramStart"/>
      <w:r w:rsidR="00EC6BB5" w:rsidRPr="00A643FD">
        <w:rPr>
          <w:rFonts w:ascii="Arial" w:hAnsi="Arial" w:cs="Arial"/>
          <w:sz w:val="20"/>
          <w:szCs w:val="20"/>
          <w:highlight w:val="yellow"/>
        </w:rPr>
        <w:t xml:space="preserve">  ]</w:t>
      </w:r>
      <w:proofErr w:type="gramEnd"/>
    </w:p>
    <w:p w:rsidR="00496BA1" w:rsidRPr="008C2A24" w:rsidRDefault="00496BA1" w:rsidP="00496BA1">
      <w:pPr>
        <w:pStyle w:val="NormalWeb"/>
        <w:ind w:left="709"/>
        <w:rPr>
          <w:rFonts w:ascii="Arial" w:hAnsi="Arial" w:cs="Arial"/>
          <w:sz w:val="20"/>
          <w:szCs w:val="20"/>
        </w:rPr>
      </w:pPr>
      <w:r w:rsidRPr="00407AB2">
        <w:rPr>
          <w:rFonts w:ascii="Arial" w:hAnsi="Arial" w:cs="Arial"/>
          <w:sz w:val="20"/>
          <w:szCs w:val="20"/>
        </w:rPr>
        <w:lastRenderedPageBreak/>
        <w:t xml:space="preserve">Gas Conversion Factor </w:t>
      </w:r>
      <w:r w:rsidRPr="00407AB2">
        <w:rPr>
          <w:rFonts w:ascii="Arial" w:hAnsi="Arial" w:cs="Arial"/>
          <w:sz w:val="20"/>
          <w:szCs w:val="20"/>
        </w:rPr>
        <w:tab/>
        <w:t xml:space="preserve">= </w:t>
      </w:r>
      <w:r w:rsidRPr="00407AB2">
        <w:rPr>
          <w:rFonts w:ascii="Arial" w:hAnsi="Arial" w:cs="Arial"/>
          <w:sz w:val="20"/>
          <w:szCs w:val="20"/>
        </w:rPr>
        <w:tab/>
        <w:t>29.3071</w:t>
      </w:r>
    </w:p>
    <w:p w:rsidR="00496BA1" w:rsidRPr="006D339E" w:rsidRDefault="00496BA1" w:rsidP="00496BA1">
      <w:pPr>
        <w:pStyle w:val="NormalWeb"/>
        <w:rPr>
          <w:rFonts w:ascii="Arial" w:hAnsi="Arial" w:cs="Arial"/>
          <w:b/>
          <w:sz w:val="20"/>
          <w:szCs w:val="20"/>
        </w:rPr>
      </w:pPr>
      <w:r>
        <w:rPr>
          <w:rFonts w:ascii="Arial" w:hAnsi="Arial" w:cs="Arial"/>
          <w:sz w:val="20"/>
          <w:szCs w:val="20"/>
        </w:rPr>
        <w:t>SEL</w:t>
      </w:r>
      <w:r>
        <w:rPr>
          <w:rFonts w:ascii="Arial" w:hAnsi="Arial" w:cs="Arial"/>
          <w:sz w:val="20"/>
          <w:szCs w:val="20"/>
        </w:rPr>
        <w:tab/>
        <w:t>=</w:t>
      </w:r>
      <w:r>
        <w:rPr>
          <w:rFonts w:ascii="Arial" w:hAnsi="Arial" w:cs="Arial"/>
          <w:sz w:val="20"/>
          <w:szCs w:val="20"/>
        </w:rPr>
        <w:tab/>
        <w:t xml:space="preserve">the </w:t>
      </w:r>
      <w:r>
        <w:rPr>
          <w:rFonts w:ascii="Arial" w:hAnsi="Arial" w:cs="Arial"/>
          <w:b/>
          <w:sz w:val="20"/>
          <w:szCs w:val="20"/>
        </w:rPr>
        <w:t>Contracted SEL</w:t>
      </w:r>
    </w:p>
    <w:p w:rsidR="00496BA1" w:rsidRDefault="00496BA1" w:rsidP="00496BA1">
      <w:pPr>
        <w:pStyle w:val="NormalWeb"/>
        <w:tabs>
          <w:tab w:val="left" w:pos="709"/>
        </w:tabs>
        <w:ind w:left="1418" w:hanging="1418"/>
        <w:rPr>
          <w:rFonts w:ascii="Arial" w:hAnsi="Arial" w:cs="Arial"/>
          <w:sz w:val="20"/>
          <w:szCs w:val="20"/>
        </w:rPr>
      </w:pPr>
      <w:proofErr w:type="spellStart"/>
      <w:r>
        <w:rPr>
          <w:rFonts w:ascii="Arial" w:hAnsi="Arial" w:cs="Arial"/>
          <w:sz w:val="20"/>
          <w:szCs w:val="20"/>
        </w:rPr>
        <w:t>H</w:t>
      </w:r>
      <w:r>
        <w:rPr>
          <w:rFonts w:ascii="Arial" w:hAnsi="Arial" w:cs="Arial"/>
          <w:sz w:val="20"/>
          <w:szCs w:val="20"/>
          <w:vertAlign w:val="subscript"/>
        </w:rPr>
        <w:t>d</w:t>
      </w:r>
      <w:proofErr w:type="spellEnd"/>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CA73CA" w:rsidRPr="00160EB8" w:rsidRDefault="00C01BB2" w:rsidP="002A2FAD">
      <w:pPr>
        <w:rPr>
          <w:rFonts w:ascii="Arial" w:hAnsi="Arial"/>
          <w:sz w:val="20"/>
        </w:rPr>
      </w:pPr>
      <w:r>
        <w:rPr>
          <w:rFonts w:ascii="Arial" w:hAnsi="Arial"/>
          <w:sz w:val="20"/>
        </w:rPr>
        <w:t>Euro GBP conversion</w:t>
      </w:r>
      <w:r>
        <w:rPr>
          <w:rFonts w:ascii="Arial" w:hAnsi="Arial"/>
          <w:sz w:val="20"/>
        </w:rPr>
        <w:tab/>
        <w:t>=</w:t>
      </w:r>
      <w:r>
        <w:rPr>
          <w:rFonts w:ascii="Arial" w:hAnsi="Arial"/>
          <w:sz w:val="20"/>
        </w:rPr>
        <w:tab/>
        <w:t>daily spot rate as p</w:t>
      </w:r>
      <w:r w:rsidR="002A2FAD">
        <w:rPr>
          <w:rFonts w:ascii="Arial" w:hAnsi="Arial"/>
          <w:sz w:val="20"/>
        </w:rPr>
        <w:t>ublished by the Bank of England.</w:t>
      </w:r>
    </w:p>
    <w:sectPr w:rsidR="00CA73CA" w:rsidRPr="00160EB8" w:rsidSect="00037C4D">
      <w:headerReference w:type="first" r:id="rId10"/>
      <w:type w:val="continuous"/>
      <w:pgSz w:w="11906" w:h="16838" w:code="9"/>
      <w:pgMar w:top="2608" w:right="709" w:bottom="1531" w:left="709"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6C5" w:rsidRDefault="000E26C5">
      <w:r>
        <w:separator/>
      </w:r>
    </w:p>
  </w:endnote>
  <w:endnote w:type="continuationSeparator" w:id="0">
    <w:p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6C5" w:rsidRDefault="000E26C5">
      <w:r>
        <w:separator/>
      </w:r>
    </w:p>
  </w:footnote>
  <w:footnote w:type="continuationSeparator" w:id="0">
    <w:p w:rsidR="000E26C5" w:rsidRDefault="000E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4D" w:rsidRDefault="00037C4D">
    <w:pPr>
      <w:pStyle w:val="Header"/>
      <w:rPr>
        <w:rFonts w:ascii="Arial" w:hAnsi="Arial" w:cs="Arial"/>
        <w:sz w:val="18"/>
        <w:szCs w:val="18"/>
      </w:rPr>
    </w:pPr>
    <w:r w:rsidRPr="00D335F9">
      <w:rPr>
        <w:noProof/>
        <w:lang w:eastAsia="en-GB"/>
      </w:rPr>
      <w:drawing>
        <wp:anchor distT="0" distB="0" distL="114300" distR="114300" simplePos="0" relativeHeight="251658240" behindDoc="0" locked="0" layoutInCell="1" allowOverlap="1">
          <wp:simplePos x="0" y="0"/>
          <wp:positionH relativeFrom="column">
            <wp:posOffset>4445635</wp:posOffset>
          </wp:positionH>
          <wp:positionV relativeFrom="paragraph">
            <wp:posOffset>123825</wp:posOffset>
          </wp:positionV>
          <wp:extent cx="2107565" cy="314325"/>
          <wp:effectExtent l="0" t="0" r="6985" b="9525"/>
          <wp:wrapSquare wrapText="bothSides"/>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7565" cy="314325"/>
                  </a:xfrm>
                  <a:prstGeom prst="rect">
                    <a:avLst/>
                  </a:prstGeom>
                </pic:spPr>
              </pic:pic>
            </a:graphicData>
          </a:graphic>
        </wp:anchor>
      </w:drawing>
    </w:r>
  </w:p>
  <w:p w:rsidR="00037C4D" w:rsidRDefault="00037C4D">
    <w:pPr>
      <w:pStyle w:val="Header"/>
      <w:rPr>
        <w:rFonts w:ascii="Arial" w:hAnsi="Arial" w:cs="Arial"/>
        <w:sz w:val="18"/>
        <w:szCs w:val="18"/>
      </w:rPr>
    </w:pPr>
  </w:p>
  <w:p w:rsidR="000E26C5" w:rsidRPr="00286B99" w:rsidRDefault="00286B99">
    <w:pPr>
      <w:pStyle w:val="Header"/>
      <w:rPr>
        <w:rFonts w:ascii="Arial" w:hAnsi="Arial" w:cs="Arial"/>
        <w:sz w:val="18"/>
        <w:szCs w:val="18"/>
      </w:rPr>
    </w:pPr>
    <w:r w:rsidRPr="00286B99">
      <w:rPr>
        <w:rFonts w:ascii="Arial" w:hAnsi="Arial" w:cs="Arial"/>
        <w:sz w:val="18"/>
        <w:szCs w:val="18"/>
      </w:rPr>
      <w:t>National Grid ESO</w:t>
    </w:r>
    <w:r>
      <w:rPr>
        <w:rFonts w:ascii="Arial" w:hAnsi="Arial" w:cs="Arial"/>
        <w:sz w:val="18"/>
        <w:szCs w:val="18"/>
      </w:rPr>
      <w:tab/>
    </w:r>
    <w:r>
      <w:rPr>
        <w:rFonts w:ascii="Arial" w:hAnsi="Arial" w:cs="Arial"/>
        <w:sz w:val="18"/>
        <w:szCs w:val="18"/>
      </w:rPr>
      <w:tab/>
      <w:t xml:space="preserve">   </w:t>
    </w:r>
  </w:p>
  <w:p w:rsidR="00286B99" w:rsidRPr="00286B99" w:rsidRDefault="00286B99">
    <w:pPr>
      <w:pStyle w:val="Header"/>
      <w:rPr>
        <w:rFonts w:ascii="Arial" w:hAnsi="Arial" w:cs="Arial"/>
        <w:sz w:val="18"/>
        <w:szCs w:val="18"/>
      </w:rPr>
    </w:pPr>
    <w:r w:rsidRPr="00286B99">
      <w:rPr>
        <w:rFonts w:ascii="Arial" w:hAnsi="Arial" w:cs="Arial"/>
        <w:sz w:val="18"/>
        <w:szCs w:val="18"/>
      </w:rPr>
      <w:t>Faraday House, Gallows Hill</w:t>
    </w:r>
  </w:p>
  <w:p w:rsidR="00286B99" w:rsidRPr="00286B99" w:rsidRDefault="00286B99">
    <w:pPr>
      <w:pStyle w:val="Header"/>
      <w:rPr>
        <w:rFonts w:ascii="Arial" w:hAnsi="Arial" w:cs="Arial"/>
        <w:sz w:val="18"/>
        <w:szCs w:val="18"/>
      </w:rPr>
    </w:pPr>
    <w:r w:rsidRPr="00286B99">
      <w:rPr>
        <w:rFonts w:ascii="Arial" w:hAnsi="Arial" w:cs="Arial"/>
        <w:sz w:val="18"/>
        <w:szCs w:val="18"/>
      </w:rPr>
      <w:t>Warwick, CV34 6DA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F5B"/>
    <w:multiLevelType w:val="hybridMultilevel"/>
    <w:tmpl w:val="CDE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55"/>
    <w:rsid w:val="00001465"/>
    <w:rsid w:val="000022A0"/>
    <w:rsid w:val="000064B1"/>
    <w:rsid w:val="00014D17"/>
    <w:rsid w:val="000245E5"/>
    <w:rsid w:val="000359CC"/>
    <w:rsid w:val="00036FA9"/>
    <w:rsid w:val="00037C4D"/>
    <w:rsid w:val="000566F0"/>
    <w:rsid w:val="000608B0"/>
    <w:rsid w:val="0006623A"/>
    <w:rsid w:val="0006667A"/>
    <w:rsid w:val="0007078C"/>
    <w:rsid w:val="00076348"/>
    <w:rsid w:val="000930CF"/>
    <w:rsid w:val="0009425F"/>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3AEE"/>
    <w:rsid w:val="001204E2"/>
    <w:rsid w:val="001229FA"/>
    <w:rsid w:val="00123223"/>
    <w:rsid w:val="00125252"/>
    <w:rsid w:val="001347CF"/>
    <w:rsid w:val="00142A6F"/>
    <w:rsid w:val="00147178"/>
    <w:rsid w:val="00160EB8"/>
    <w:rsid w:val="00166D33"/>
    <w:rsid w:val="00175B52"/>
    <w:rsid w:val="00180775"/>
    <w:rsid w:val="00182A5D"/>
    <w:rsid w:val="00185259"/>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6741B"/>
    <w:rsid w:val="002722EC"/>
    <w:rsid w:val="0027317A"/>
    <w:rsid w:val="00284D55"/>
    <w:rsid w:val="00286B99"/>
    <w:rsid w:val="002873B6"/>
    <w:rsid w:val="00293D06"/>
    <w:rsid w:val="00294AD4"/>
    <w:rsid w:val="002A2FAD"/>
    <w:rsid w:val="002A52C9"/>
    <w:rsid w:val="002B1F6F"/>
    <w:rsid w:val="002C480E"/>
    <w:rsid w:val="002C6E5A"/>
    <w:rsid w:val="002C6F7A"/>
    <w:rsid w:val="002D0CE0"/>
    <w:rsid w:val="002D551D"/>
    <w:rsid w:val="002D65F4"/>
    <w:rsid w:val="002F24C7"/>
    <w:rsid w:val="002F4CFB"/>
    <w:rsid w:val="003032ED"/>
    <w:rsid w:val="0032409F"/>
    <w:rsid w:val="00326C01"/>
    <w:rsid w:val="0033621C"/>
    <w:rsid w:val="00341297"/>
    <w:rsid w:val="00353D39"/>
    <w:rsid w:val="00353D5B"/>
    <w:rsid w:val="003675AD"/>
    <w:rsid w:val="00377020"/>
    <w:rsid w:val="00382468"/>
    <w:rsid w:val="003A0C53"/>
    <w:rsid w:val="003A14BB"/>
    <w:rsid w:val="003A2728"/>
    <w:rsid w:val="003A296F"/>
    <w:rsid w:val="003B5A33"/>
    <w:rsid w:val="003C6826"/>
    <w:rsid w:val="003D173E"/>
    <w:rsid w:val="003E6811"/>
    <w:rsid w:val="0040139E"/>
    <w:rsid w:val="00407AB2"/>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1730"/>
    <w:rsid w:val="004E4A8B"/>
    <w:rsid w:val="004E4ACE"/>
    <w:rsid w:val="004E57CB"/>
    <w:rsid w:val="004E67DC"/>
    <w:rsid w:val="004F4370"/>
    <w:rsid w:val="0051481B"/>
    <w:rsid w:val="00514E7C"/>
    <w:rsid w:val="0051625E"/>
    <w:rsid w:val="00516DCF"/>
    <w:rsid w:val="005203DF"/>
    <w:rsid w:val="005278F8"/>
    <w:rsid w:val="00535126"/>
    <w:rsid w:val="00536357"/>
    <w:rsid w:val="0054081C"/>
    <w:rsid w:val="00540DDF"/>
    <w:rsid w:val="00546C51"/>
    <w:rsid w:val="00546DEC"/>
    <w:rsid w:val="00550F46"/>
    <w:rsid w:val="00555A80"/>
    <w:rsid w:val="005753BC"/>
    <w:rsid w:val="00576E94"/>
    <w:rsid w:val="00592E00"/>
    <w:rsid w:val="00594415"/>
    <w:rsid w:val="005963E5"/>
    <w:rsid w:val="005B10A2"/>
    <w:rsid w:val="005B205F"/>
    <w:rsid w:val="005C31AE"/>
    <w:rsid w:val="005C79A4"/>
    <w:rsid w:val="005C7E23"/>
    <w:rsid w:val="005D2891"/>
    <w:rsid w:val="005D6C71"/>
    <w:rsid w:val="005E30F8"/>
    <w:rsid w:val="005E569D"/>
    <w:rsid w:val="005E65B3"/>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317D"/>
    <w:rsid w:val="00636768"/>
    <w:rsid w:val="006503E0"/>
    <w:rsid w:val="00651C14"/>
    <w:rsid w:val="00653FB5"/>
    <w:rsid w:val="006567A9"/>
    <w:rsid w:val="00672A3A"/>
    <w:rsid w:val="00680863"/>
    <w:rsid w:val="006834D2"/>
    <w:rsid w:val="00685562"/>
    <w:rsid w:val="00687B12"/>
    <w:rsid w:val="006E18CD"/>
    <w:rsid w:val="006E251F"/>
    <w:rsid w:val="006E4FF8"/>
    <w:rsid w:val="006E7C8E"/>
    <w:rsid w:val="0070700F"/>
    <w:rsid w:val="00710DCD"/>
    <w:rsid w:val="007311D5"/>
    <w:rsid w:val="00732C38"/>
    <w:rsid w:val="00733E44"/>
    <w:rsid w:val="00735178"/>
    <w:rsid w:val="00737F08"/>
    <w:rsid w:val="00740DE6"/>
    <w:rsid w:val="00746C1B"/>
    <w:rsid w:val="007473D1"/>
    <w:rsid w:val="0076479A"/>
    <w:rsid w:val="0076633C"/>
    <w:rsid w:val="00767B8E"/>
    <w:rsid w:val="007748E7"/>
    <w:rsid w:val="00777DEF"/>
    <w:rsid w:val="0079357B"/>
    <w:rsid w:val="00793B8E"/>
    <w:rsid w:val="00794814"/>
    <w:rsid w:val="007B4540"/>
    <w:rsid w:val="007B580F"/>
    <w:rsid w:val="007B781E"/>
    <w:rsid w:val="007C2F64"/>
    <w:rsid w:val="007C785A"/>
    <w:rsid w:val="007C7D30"/>
    <w:rsid w:val="007D3A9C"/>
    <w:rsid w:val="007D7090"/>
    <w:rsid w:val="007D769A"/>
    <w:rsid w:val="007E2944"/>
    <w:rsid w:val="007E42B7"/>
    <w:rsid w:val="007E5A35"/>
    <w:rsid w:val="007F0219"/>
    <w:rsid w:val="00812B45"/>
    <w:rsid w:val="0081718F"/>
    <w:rsid w:val="00817C93"/>
    <w:rsid w:val="00817E1A"/>
    <w:rsid w:val="0082666D"/>
    <w:rsid w:val="00844DCA"/>
    <w:rsid w:val="00850405"/>
    <w:rsid w:val="008559BA"/>
    <w:rsid w:val="00863EFB"/>
    <w:rsid w:val="008714F0"/>
    <w:rsid w:val="00871CC3"/>
    <w:rsid w:val="0087262F"/>
    <w:rsid w:val="008752FA"/>
    <w:rsid w:val="008803A5"/>
    <w:rsid w:val="008829F3"/>
    <w:rsid w:val="008858B3"/>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80099"/>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25D22"/>
    <w:rsid w:val="00A428BF"/>
    <w:rsid w:val="00A43193"/>
    <w:rsid w:val="00A56079"/>
    <w:rsid w:val="00A56645"/>
    <w:rsid w:val="00A643FD"/>
    <w:rsid w:val="00A654A7"/>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30607"/>
    <w:rsid w:val="00C33602"/>
    <w:rsid w:val="00C42282"/>
    <w:rsid w:val="00C52F6E"/>
    <w:rsid w:val="00C572BA"/>
    <w:rsid w:val="00C611E1"/>
    <w:rsid w:val="00C8181E"/>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D78"/>
    <w:rsid w:val="00D53EB4"/>
    <w:rsid w:val="00D56418"/>
    <w:rsid w:val="00D62788"/>
    <w:rsid w:val="00D65BA2"/>
    <w:rsid w:val="00D67342"/>
    <w:rsid w:val="00D702C8"/>
    <w:rsid w:val="00D819CA"/>
    <w:rsid w:val="00D81D1B"/>
    <w:rsid w:val="00D84299"/>
    <w:rsid w:val="00DB156D"/>
    <w:rsid w:val="00DB165A"/>
    <w:rsid w:val="00DB593F"/>
    <w:rsid w:val="00DB6073"/>
    <w:rsid w:val="00DC316A"/>
    <w:rsid w:val="00DC34B7"/>
    <w:rsid w:val="00DC6E55"/>
    <w:rsid w:val="00DD51D4"/>
    <w:rsid w:val="00DE2EA3"/>
    <w:rsid w:val="00DE37B6"/>
    <w:rsid w:val="00DF3808"/>
    <w:rsid w:val="00DF3EAE"/>
    <w:rsid w:val="00DF5101"/>
    <w:rsid w:val="00DF54C8"/>
    <w:rsid w:val="00E002EA"/>
    <w:rsid w:val="00E01557"/>
    <w:rsid w:val="00E03872"/>
    <w:rsid w:val="00E15466"/>
    <w:rsid w:val="00E176F6"/>
    <w:rsid w:val="00E20B87"/>
    <w:rsid w:val="00E27B5F"/>
    <w:rsid w:val="00E42C63"/>
    <w:rsid w:val="00E474B8"/>
    <w:rsid w:val="00E56AC1"/>
    <w:rsid w:val="00E56CF6"/>
    <w:rsid w:val="00E61270"/>
    <w:rsid w:val="00E72217"/>
    <w:rsid w:val="00E77739"/>
    <w:rsid w:val="00E8579C"/>
    <w:rsid w:val="00E86096"/>
    <w:rsid w:val="00E8632E"/>
    <w:rsid w:val="00E87575"/>
    <w:rsid w:val="00EB180F"/>
    <w:rsid w:val="00EB2D80"/>
    <w:rsid w:val="00EB3F47"/>
    <w:rsid w:val="00EB4AD6"/>
    <w:rsid w:val="00EB74DC"/>
    <w:rsid w:val="00EC488A"/>
    <w:rsid w:val="00EC4A1C"/>
    <w:rsid w:val="00EC6BB5"/>
    <w:rsid w:val="00EE6FFA"/>
    <w:rsid w:val="00EE7800"/>
    <w:rsid w:val="00EF553C"/>
    <w:rsid w:val="00F00BE5"/>
    <w:rsid w:val="00F0165E"/>
    <w:rsid w:val="00F02808"/>
    <w:rsid w:val="00F14B4F"/>
    <w:rsid w:val="00F14C58"/>
    <w:rsid w:val="00F16EC1"/>
    <w:rsid w:val="00F225D9"/>
    <w:rsid w:val="00F27E8D"/>
    <w:rsid w:val="00F307FC"/>
    <w:rsid w:val="00F35108"/>
    <w:rsid w:val="00F4250F"/>
    <w:rsid w:val="00F448E8"/>
    <w:rsid w:val="00F45CE1"/>
    <w:rsid w:val="00F4751E"/>
    <w:rsid w:val="00F61A07"/>
    <w:rsid w:val="00F62F05"/>
    <w:rsid w:val="00F66E91"/>
    <w:rsid w:val="00F72EFA"/>
    <w:rsid w:val="00F73DE8"/>
    <w:rsid w:val="00F74711"/>
    <w:rsid w:val="00F754AD"/>
    <w:rsid w:val="00F8570D"/>
    <w:rsid w:val="00F862B1"/>
    <w:rsid w:val="00F87E6C"/>
    <w:rsid w:val="00F90560"/>
    <w:rsid w:val="00F928E7"/>
    <w:rsid w:val="00F92E1E"/>
    <w:rsid w:val="00F96440"/>
    <w:rsid w:val="00FA1858"/>
    <w:rsid w:val="00FA454B"/>
    <w:rsid w:val="00FA68C5"/>
    <w:rsid w:val="00FB1B7B"/>
    <w:rsid w:val="00FB3247"/>
    <w:rsid w:val="00FC33E6"/>
    <w:rsid w:val="00FC3AEC"/>
    <w:rsid w:val="00FC55A8"/>
    <w:rsid w:val="00FC7AA4"/>
    <w:rsid w:val="00FD224F"/>
    <w:rsid w:val="00FD794A"/>
    <w:rsid w:val="00FE128C"/>
    <w:rsid w:val="00FE21F9"/>
    <w:rsid w:val="00FE4962"/>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9646341"/>
  <w15:docId w15:val="{6700BCDB-5E9C-4AC4-A0C0-34D6822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 w:type="character" w:styleId="Mention">
    <w:name w:val="Mention"/>
    <w:basedOn w:val="DefaultParagraphFont"/>
    <w:uiPriority w:val="99"/>
    <w:semiHidden/>
    <w:unhideWhenUsed/>
    <w:rsid w:val="00286B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k.miller@nationalgride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ercial.operation@nationalgri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72C12-9BEA-422D-B74B-9C9CE63B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1147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7500</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Miller (ESO), Steve</cp:lastModifiedBy>
  <cp:revision>4</cp:revision>
  <cp:lastPrinted>2014-08-18T11:59:00Z</cp:lastPrinted>
  <dcterms:created xsi:type="dcterms:W3CDTF">2019-06-04T13:55:00Z</dcterms:created>
  <dcterms:modified xsi:type="dcterms:W3CDTF">2019-06-05T12:17:00Z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