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C3AA9" w14:textId="77777777" w:rsidR="007B7CA6" w:rsidRPr="001A4A2F" w:rsidRDefault="001A4A2F" w:rsidP="007B7CA6">
      <w:pPr>
        <w:pStyle w:val="DocumentSubtitle"/>
        <w:framePr w:wrap="notBeside"/>
        <w:rPr>
          <w:b/>
          <w:sz w:val="40"/>
          <w:szCs w:val="40"/>
        </w:rPr>
      </w:pPr>
      <w:r w:rsidRPr="001A4A2F">
        <w:rPr>
          <w:b/>
          <w:sz w:val="40"/>
          <w:szCs w:val="40"/>
        </w:rPr>
        <w:t>Frequency Response</w:t>
      </w:r>
      <w:r w:rsidR="00EA389B">
        <w:rPr>
          <w:b/>
          <w:sz w:val="40"/>
          <w:szCs w:val="40"/>
        </w:rPr>
        <w:t xml:space="preserve"> </w:t>
      </w:r>
      <w:r w:rsidRPr="001A4A2F">
        <w:rPr>
          <w:b/>
          <w:sz w:val="40"/>
          <w:szCs w:val="40"/>
        </w:rPr>
        <w:t>Auction Trial</w:t>
      </w:r>
    </w:p>
    <w:p w14:paraId="076324F0" w14:textId="77777777" w:rsidR="006B69AD" w:rsidRDefault="001A4A2F" w:rsidP="00E24628">
      <w:pPr>
        <w:pStyle w:val="DocumentTitle"/>
        <w:framePr w:w="10490" w:wrap="notBeside"/>
        <w:rPr>
          <w:b w:val="0"/>
          <w:sz w:val="40"/>
          <w:szCs w:val="40"/>
        </w:rPr>
      </w:pPr>
      <w:r w:rsidRPr="001A4A2F">
        <w:rPr>
          <w:b w:val="0"/>
          <w:sz w:val="40"/>
          <w:szCs w:val="40"/>
        </w:rPr>
        <w:t>Test Guidance for Low Frequency</w:t>
      </w:r>
      <w:r>
        <w:rPr>
          <w:b w:val="0"/>
          <w:sz w:val="40"/>
          <w:szCs w:val="40"/>
        </w:rPr>
        <w:t xml:space="preserve"> Non-Dynamic Service</w:t>
      </w:r>
    </w:p>
    <w:p w14:paraId="018CBFDE" w14:textId="77777777" w:rsidR="005453E9" w:rsidRPr="008129B4" w:rsidRDefault="005453E9" w:rsidP="008129B4">
      <w:pPr>
        <w:pStyle w:val="DocumentSubtitle"/>
        <w:framePr w:wrap="notBeside"/>
        <w:rPr>
          <w:b/>
        </w:rPr>
      </w:pPr>
      <w:r>
        <w:t>(“Testing Guidelines”)</w:t>
      </w:r>
    </w:p>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2127"/>
        <w:gridCol w:w="8361"/>
      </w:tblGrid>
      <w:tr w:rsidR="002B6AD9" w14:paraId="25C4D3AB" w14:textId="77777777" w:rsidTr="00FF722C">
        <w:tc>
          <w:tcPr>
            <w:tcW w:w="2127" w:type="dxa"/>
          </w:tcPr>
          <w:p w14:paraId="0FA94F5D" w14:textId="77777777" w:rsidR="002B6AD9" w:rsidRPr="00EC0C90" w:rsidRDefault="003D13DB" w:rsidP="00EC0C90">
            <w:pPr>
              <w:pStyle w:val="TableBody"/>
              <w:rPr>
                <w:rStyle w:val="Bold"/>
              </w:rPr>
            </w:pPr>
            <w:r>
              <w:rPr>
                <w:rStyle w:val="Bold"/>
              </w:rPr>
              <w:t>Last Upd</w:t>
            </w:r>
            <w:r w:rsidR="007B7CA6">
              <w:rPr>
                <w:rStyle w:val="Bold"/>
              </w:rPr>
              <w:t>ate</w:t>
            </w:r>
            <w:r>
              <w:rPr>
                <w:rStyle w:val="Bold"/>
              </w:rPr>
              <w:t>d</w:t>
            </w:r>
            <w:r w:rsidR="002B6AD9" w:rsidRPr="00EC0C90">
              <w:rPr>
                <w:rStyle w:val="Bold"/>
              </w:rPr>
              <w:t>:</w:t>
            </w:r>
          </w:p>
        </w:tc>
        <w:sdt>
          <w:sdtPr>
            <w:rPr>
              <w:noProof/>
            </w:rPr>
            <w:id w:val="-305001879"/>
            <w:placeholder>
              <w:docPart w:val="041754950D14464A812F909AA71061C1"/>
            </w:placeholder>
            <w:date w:fullDate="2019-04-03T00:00:00Z">
              <w:dateFormat w:val="dd/MM/yyyy"/>
              <w:lid w:val="en-GB"/>
              <w:storeMappedDataAs w:val="dateTime"/>
              <w:calendar w:val="gregorian"/>
            </w:date>
          </w:sdtPr>
          <w:sdtContent>
            <w:tc>
              <w:tcPr>
                <w:tcW w:w="8361" w:type="dxa"/>
              </w:tcPr>
              <w:p w14:paraId="6D56609A" w14:textId="51EF8683" w:rsidR="002B6AD9" w:rsidRDefault="008129B4" w:rsidP="002B6AD9">
                <w:pPr>
                  <w:pStyle w:val="TableBody"/>
                  <w:rPr>
                    <w:noProof/>
                  </w:rPr>
                </w:pPr>
                <w:r>
                  <w:rPr>
                    <w:noProof/>
                  </w:rPr>
                  <w:t>03/04/2019</w:t>
                </w:r>
              </w:p>
            </w:tc>
          </w:sdtContent>
        </w:sdt>
      </w:tr>
    </w:tbl>
    <w:p w14:paraId="0AF90F95" w14:textId="77777777" w:rsidR="007B7CA6" w:rsidRDefault="007B7CA6" w:rsidP="007B7CA6">
      <w:pPr>
        <w:pStyle w:val="BodyText"/>
      </w:pPr>
    </w:p>
    <w:p w14:paraId="0FD76D0C" w14:textId="77777777" w:rsidR="007B7CA6" w:rsidRDefault="001A4A2F" w:rsidP="007B7CA6">
      <w:pPr>
        <w:pStyle w:val="Heading2"/>
        <w:rPr>
          <w:b/>
        </w:rPr>
      </w:pPr>
      <w:r w:rsidRPr="000A5621">
        <w:rPr>
          <w:b/>
        </w:rPr>
        <w:t>Introduction</w:t>
      </w:r>
    </w:p>
    <w:p w14:paraId="567F1563" w14:textId="77777777" w:rsidR="00904B09" w:rsidRPr="00904B09" w:rsidRDefault="00904B09" w:rsidP="00904B09">
      <w:pPr>
        <w:pStyle w:val="BodyText"/>
      </w:pPr>
    </w:p>
    <w:p w14:paraId="6464615C" w14:textId="54AE5381" w:rsidR="00147608" w:rsidRDefault="00147608" w:rsidP="00147608">
      <w:pPr>
        <w:pStyle w:val="BodyText"/>
        <w:rPr>
          <w:b/>
          <w:color w:val="F26522" w:themeColor="accent1"/>
        </w:rPr>
      </w:pPr>
      <w:r w:rsidRPr="00A67DDB">
        <w:rPr>
          <w:b/>
          <w:color w:val="F26522" w:themeColor="accent1"/>
        </w:rPr>
        <w:t>Phase 1</w:t>
      </w:r>
      <w:r w:rsidR="000A5621" w:rsidRPr="00A67DDB">
        <w:rPr>
          <w:b/>
          <w:color w:val="F26522" w:themeColor="accent1"/>
        </w:rPr>
        <w:t xml:space="preserve"> of the </w:t>
      </w:r>
      <w:r w:rsidR="00904B09">
        <w:rPr>
          <w:b/>
          <w:color w:val="F26522" w:themeColor="accent1"/>
        </w:rPr>
        <w:t>Frequency Response a</w:t>
      </w:r>
      <w:r w:rsidR="000A5621" w:rsidRPr="00A67DDB">
        <w:rPr>
          <w:b/>
          <w:color w:val="F26522" w:themeColor="accent1"/>
        </w:rPr>
        <w:t>uction trial will commence on 25</w:t>
      </w:r>
      <w:r w:rsidR="000A5621" w:rsidRPr="00A67DDB">
        <w:rPr>
          <w:b/>
          <w:color w:val="F26522" w:themeColor="accent1"/>
          <w:vertAlign w:val="superscript"/>
        </w:rPr>
        <w:t>th</w:t>
      </w:r>
      <w:r w:rsidR="000A5621" w:rsidRPr="00A67DDB">
        <w:rPr>
          <w:b/>
          <w:color w:val="F26522" w:themeColor="accent1"/>
        </w:rPr>
        <w:t xml:space="preserve"> </w:t>
      </w:r>
      <w:r w:rsidRPr="00A67DDB">
        <w:rPr>
          <w:b/>
          <w:color w:val="F26522" w:themeColor="accent1"/>
        </w:rPr>
        <w:t xml:space="preserve">April 2019. </w:t>
      </w:r>
      <w:r w:rsidR="005453E9">
        <w:rPr>
          <w:b/>
          <w:color w:val="F26522" w:themeColor="accent1"/>
        </w:rPr>
        <w:t>These Testing Guidelines</w:t>
      </w:r>
      <w:r w:rsidRPr="00A67DDB">
        <w:rPr>
          <w:b/>
          <w:color w:val="F26522" w:themeColor="accent1"/>
        </w:rPr>
        <w:t xml:space="preserve"> describes the pre-</w:t>
      </w:r>
      <w:r w:rsidR="005453E9">
        <w:rPr>
          <w:b/>
          <w:color w:val="F26522" w:themeColor="accent1"/>
        </w:rPr>
        <w:t>registration</w:t>
      </w:r>
      <w:r w:rsidR="005453E9" w:rsidRPr="00A67DDB">
        <w:rPr>
          <w:b/>
          <w:color w:val="F26522" w:themeColor="accent1"/>
        </w:rPr>
        <w:t xml:space="preserve"> </w:t>
      </w:r>
      <w:r w:rsidRPr="00A67DDB">
        <w:rPr>
          <w:b/>
          <w:color w:val="F26522" w:themeColor="accent1"/>
        </w:rPr>
        <w:t xml:space="preserve">testing requirements </w:t>
      </w:r>
      <w:r w:rsidR="00904B09">
        <w:rPr>
          <w:b/>
          <w:color w:val="F26522" w:themeColor="accent1"/>
        </w:rPr>
        <w:t xml:space="preserve">required for </w:t>
      </w:r>
      <w:r w:rsidR="005453E9">
        <w:rPr>
          <w:b/>
          <w:color w:val="F26522" w:themeColor="accent1"/>
        </w:rPr>
        <w:t xml:space="preserve">prospective response </w:t>
      </w:r>
      <w:r w:rsidR="00904B09">
        <w:rPr>
          <w:b/>
          <w:color w:val="F26522" w:themeColor="accent1"/>
        </w:rPr>
        <w:t>providers</w:t>
      </w:r>
      <w:r w:rsidRPr="00A67DDB">
        <w:rPr>
          <w:b/>
          <w:color w:val="F26522" w:themeColor="accent1"/>
        </w:rPr>
        <w:t xml:space="preserve"> to demonstrate they can deliver the </w:t>
      </w:r>
      <w:r w:rsidR="005453E9">
        <w:rPr>
          <w:b/>
          <w:color w:val="F26522" w:themeColor="accent1"/>
        </w:rPr>
        <w:t>response</w:t>
      </w:r>
      <w:r w:rsidR="005453E9" w:rsidRPr="00A67DDB">
        <w:rPr>
          <w:b/>
          <w:color w:val="F26522" w:themeColor="accent1"/>
        </w:rPr>
        <w:t xml:space="preserve"> </w:t>
      </w:r>
      <w:r w:rsidRPr="00A67DDB">
        <w:rPr>
          <w:b/>
          <w:color w:val="F26522" w:themeColor="accent1"/>
        </w:rPr>
        <w:t>being procured.</w:t>
      </w:r>
    </w:p>
    <w:p w14:paraId="79F803EC" w14:textId="6155E41D" w:rsidR="005453E9" w:rsidRDefault="005453E9" w:rsidP="005453E9">
      <w:pPr>
        <w:pStyle w:val="BodyText"/>
      </w:pPr>
      <w:r>
        <w:t>The Testing Guidelines shall be published and modified by or on behalf of NGESO from time to time. The version of the Testing Guidelines which shall govern an Auction and a Related Balancing Services Document shall be the version prevail</w:t>
      </w:r>
      <w:r w:rsidR="00E847F1">
        <w:t>ing at 12:00 hours</w:t>
      </w:r>
      <w:r w:rsidR="00685577">
        <w:t xml:space="preserve"> ten (10</w:t>
      </w:r>
      <w:r>
        <w:t>) days prior to the Auction Opening Time in respect of the applicable Auction</w:t>
      </w:r>
      <w:r w:rsidR="00967A56">
        <w:t xml:space="preserve"> (clarifications are not included within this)</w:t>
      </w:r>
      <w:bookmarkStart w:id="0" w:name="_GoBack"/>
      <w:bookmarkEnd w:id="0"/>
      <w:r>
        <w:t>.</w:t>
      </w:r>
    </w:p>
    <w:p w14:paraId="3ABB7E74" w14:textId="77777777" w:rsidR="005453E9" w:rsidRDefault="005453E9" w:rsidP="005453E9">
      <w:pPr>
        <w:pStyle w:val="BodyText"/>
      </w:pPr>
      <w:r>
        <w:t>Any changes to these Testing Guidelines shall be communicated by NGESO on its website. Where NGESO also publish a consolidated version of the Testing Guidelines showing changes made, the prospective response provider agrees and acknowledges that the consolidated version is an informal version of the changes and may not be relied upon in any way.</w:t>
      </w:r>
    </w:p>
    <w:p w14:paraId="45EEFC96" w14:textId="77777777" w:rsidR="005453E9" w:rsidRDefault="005453E9" w:rsidP="00147608">
      <w:pPr>
        <w:pStyle w:val="BodyText"/>
        <w:rPr>
          <w:color w:val="F26522" w:themeColor="accent1"/>
        </w:rPr>
      </w:pPr>
    </w:p>
    <w:p w14:paraId="5E31AE65" w14:textId="77777777" w:rsidR="008129B4" w:rsidRPr="008129B4" w:rsidRDefault="007249CD" w:rsidP="00904B09">
      <w:pPr>
        <w:pStyle w:val="BodyText"/>
        <w:rPr>
          <w:rFonts w:eastAsiaTheme="majorEastAsia" w:cstheme="majorBidi"/>
          <w:b/>
          <w:bCs/>
          <w:color w:val="F26522" w:themeColor="accent1"/>
          <w:sz w:val="28"/>
          <w:szCs w:val="26"/>
        </w:rPr>
      </w:pPr>
      <w:r w:rsidRPr="008129B4">
        <w:rPr>
          <w:rFonts w:eastAsiaTheme="majorEastAsia" w:cstheme="majorBidi"/>
          <w:b/>
          <w:bCs/>
          <w:color w:val="F26522" w:themeColor="accent1"/>
          <w:sz w:val="28"/>
          <w:szCs w:val="26"/>
        </w:rPr>
        <w:t>Pre-registration testing requirements</w:t>
      </w:r>
    </w:p>
    <w:p w14:paraId="49E736EB" w14:textId="0EB19236" w:rsidR="00147608" w:rsidRDefault="005453E9" w:rsidP="00904B09">
      <w:pPr>
        <w:pStyle w:val="BodyText"/>
      </w:pPr>
      <w:r>
        <w:t>In order for the prospective response provider t</w:t>
      </w:r>
      <w:r w:rsidR="00904B09">
        <w:t>o</w:t>
      </w:r>
      <w:r w:rsidR="00A67DDB">
        <w:t xml:space="preserve"> complete the pre-</w:t>
      </w:r>
      <w:r>
        <w:t xml:space="preserve">registration </w:t>
      </w:r>
      <w:r w:rsidR="00A67DDB">
        <w:t>requirement</w:t>
      </w:r>
      <w:r w:rsidR="00A67DDB">
        <w:t xml:space="preserve">, the following </w:t>
      </w:r>
      <w:r w:rsidR="00904B09">
        <w:t>information must</w:t>
      </w:r>
      <w:r w:rsidR="00A67DDB">
        <w:t xml:space="preserve"> be submitted to N</w:t>
      </w:r>
      <w:r w:rsidR="008129B4">
        <w:t>ational Grid</w:t>
      </w:r>
      <w:r w:rsidR="00A67DDB">
        <w:t xml:space="preserve"> Electricity System Operator (NGESO) by </w:t>
      </w:r>
      <w:r w:rsidR="008129B4">
        <w:t>no later than 48</w:t>
      </w:r>
      <w:r w:rsidR="00A67DDB">
        <w:t xml:space="preserve"> hours</w:t>
      </w:r>
      <w:r w:rsidR="008129B4">
        <w:t xml:space="preserve"> before the Sell Order deadline</w:t>
      </w:r>
      <w:r w:rsidR="00A67DDB">
        <w:t>:</w:t>
      </w:r>
    </w:p>
    <w:p w14:paraId="4632B701" w14:textId="77777777" w:rsidR="00A67DDB" w:rsidRDefault="00A67DDB" w:rsidP="00904B09">
      <w:pPr>
        <w:pStyle w:val="BodyText"/>
        <w:numPr>
          <w:ilvl w:val="0"/>
          <w:numId w:val="21"/>
        </w:numPr>
      </w:pPr>
      <w:r>
        <w:t xml:space="preserve">The test data, in the </w:t>
      </w:r>
      <w:r>
        <w:t>format outlined in Appendix A</w:t>
      </w:r>
    </w:p>
    <w:p w14:paraId="22A36ED7" w14:textId="20F18874" w:rsidR="00A67DDB" w:rsidRDefault="00A67DDB" w:rsidP="00904B09">
      <w:pPr>
        <w:pStyle w:val="BodyText"/>
        <w:numPr>
          <w:ilvl w:val="0"/>
          <w:numId w:val="21"/>
        </w:numPr>
      </w:pPr>
      <w:r>
        <w:t xml:space="preserve">A </w:t>
      </w:r>
      <w:r w:rsidR="005453E9">
        <w:t>Test Certificate from the</w:t>
      </w:r>
      <w:r>
        <w:t xml:space="preserve"> ITE, in the format outlined in Appendix C</w:t>
      </w:r>
    </w:p>
    <w:p w14:paraId="72E000E6" w14:textId="77777777" w:rsidR="00A67DDB" w:rsidRDefault="00A67DDB" w:rsidP="00904B09">
      <w:pPr>
        <w:pStyle w:val="BodyText"/>
        <w:numPr>
          <w:ilvl w:val="0"/>
          <w:numId w:val="21"/>
        </w:numPr>
      </w:pPr>
      <w:r>
        <w:t>A CV, setting out the qualifications and experience of the ITE.</w:t>
      </w:r>
    </w:p>
    <w:p w14:paraId="168F6CBF" w14:textId="77777777" w:rsidR="00A67DDB" w:rsidRPr="00147608" w:rsidRDefault="00A67DDB" w:rsidP="00147608">
      <w:pPr>
        <w:pStyle w:val="BodyText"/>
      </w:pPr>
    </w:p>
    <w:p w14:paraId="174B922A" w14:textId="77777777" w:rsidR="008311C5" w:rsidRDefault="008311C5" w:rsidP="007B7CA6">
      <w:pPr>
        <w:pStyle w:val="BodyText"/>
        <w:rPr>
          <w:rFonts w:eastAsiaTheme="majorEastAsia" w:cstheme="majorBidi"/>
          <w:b/>
          <w:bCs/>
          <w:color w:val="F26522" w:themeColor="accent1"/>
          <w:sz w:val="28"/>
          <w:szCs w:val="26"/>
        </w:rPr>
      </w:pPr>
      <w:r w:rsidRPr="00904B09">
        <w:rPr>
          <w:rFonts w:eastAsiaTheme="majorEastAsia" w:cstheme="majorBidi"/>
          <w:b/>
          <w:bCs/>
          <w:color w:val="F26522" w:themeColor="accent1"/>
          <w:sz w:val="28"/>
          <w:szCs w:val="26"/>
        </w:rPr>
        <w:t>Service description</w:t>
      </w:r>
    </w:p>
    <w:p w14:paraId="49330044" w14:textId="77777777" w:rsidR="00904B09" w:rsidRPr="00904B09" w:rsidRDefault="00904B09" w:rsidP="00904B09">
      <w:pPr>
        <w:pStyle w:val="BodyText"/>
        <w:spacing w:after="0"/>
        <w:rPr>
          <w:rFonts w:eastAsiaTheme="majorEastAsia" w:cstheme="majorBidi"/>
          <w:b/>
          <w:bCs/>
          <w:color w:val="F26522" w:themeColor="accent1"/>
        </w:rPr>
      </w:pPr>
    </w:p>
    <w:p w14:paraId="449E1495" w14:textId="77777777" w:rsidR="008311C5" w:rsidRDefault="00D87F68" w:rsidP="00904B09">
      <w:pPr>
        <w:pStyle w:val="Bullet1"/>
        <w:numPr>
          <w:ilvl w:val="0"/>
          <w:numId w:val="22"/>
        </w:numPr>
      </w:pPr>
      <w:r>
        <w:t>Service activation</w:t>
      </w:r>
      <w:r w:rsidR="008311C5">
        <w:t xml:space="preserve"> at 49.6Hz</w:t>
      </w:r>
    </w:p>
    <w:p w14:paraId="7F8876D6" w14:textId="77777777" w:rsidR="008311C5" w:rsidRDefault="008311C5" w:rsidP="00904B09">
      <w:pPr>
        <w:pStyle w:val="Bullet1"/>
        <w:numPr>
          <w:ilvl w:val="0"/>
          <w:numId w:val="22"/>
        </w:numPr>
      </w:pPr>
      <w:r>
        <w:t xml:space="preserve">Full response within </w:t>
      </w:r>
      <w:r w:rsidR="00D87F68">
        <w:t>1</w:t>
      </w:r>
      <w:r>
        <w:t xml:space="preserve"> second</w:t>
      </w:r>
    </w:p>
    <w:p w14:paraId="3143E05C" w14:textId="77777777" w:rsidR="008C00AA" w:rsidRDefault="008311C5" w:rsidP="00904B09">
      <w:pPr>
        <w:pStyle w:val="Bullet1"/>
        <w:numPr>
          <w:ilvl w:val="0"/>
          <w:numId w:val="22"/>
        </w:numPr>
      </w:pPr>
      <w:r>
        <w:t xml:space="preserve">Duration </w:t>
      </w:r>
      <w:r w:rsidR="00D87F68">
        <w:t>is</w:t>
      </w:r>
      <w:r>
        <w:t xml:space="preserve"> 30</w:t>
      </w:r>
      <w:r w:rsidR="00D87F68">
        <w:t xml:space="preserve"> </w:t>
      </w:r>
      <w:r>
        <w:t>min</w:t>
      </w:r>
      <w:r w:rsidR="00D87F68">
        <w:t>utes for testing purposes. (Duration may be advised to be lower than 30minutes ahead of each weekly trial).</w:t>
      </w:r>
    </w:p>
    <w:p w14:paraId="14030390" w14:textId="77777777" w:rsidR="008311C5" w:rsidRDefault="00904B09" w:rsidP="00904B09">
      <w:pPr>
        <w:pStyle w:val="Bullet1"/>
        <w:numPr>
          <w:ilvl w:val="0"/>
          <w:numId w:val="0"/>
        </w:numPr>
        <w:ind w:left="284"/>
        <w:jc w:val="center"/>
      </w:pPr>
      <w:r>
        <w:rPr>
          <w:noProof/>
          <w:lang w:eastAsia="en-GB"/>
        </w:rPr>
        <w:lastRenderedPageBreak/>
        <mc:AlternateContent>
          <mc:Choice Requires="wps">
            <w:drawing>
              <wp:anchor distT="0" distB="0" distL="114300" distR="114300" simplePos="0" relativeHeight="251659264" behindDoc="0" locked="0" layoutInCell="1" allowOverlap="1" wp14:anchorId="09688F49" wp14:editId="0B4D8970">
                <wp:simplePos x="0" y="0"/>
                <wp:positionH relativeFrom="column">
                  <wp:posOffset>3016885</wp:posOffset>
                </wp:positionH>
                <wp:positionV relativeFrom="paragraph">
                  <wp:posOffset>8255</wp:posOffset>
                </wp:positionV>
                <wp:extent cx="2676525" cy="733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676525" cy="733425"/>
                        </a:xfrm>
                        <a:prstGeom prst="rect">
                          <a:avLst/>
                        </a:prstGeom>
                        <a:solidFill>
                          <a:schemeClr val="lt1"/>
                        </a:solidFill>
                        <a:ln w="6350">
                          <a:solidFill>
                            <a:schemeClr val="accent1"/>
                          </a:solidFill>
                        </a:ln>
                      </wps:spPr>
                      <wps:txbx>
                        <w:txbxContent>
                          <w:p w14:paraId="2C26A9D1" w14:textId="77777777" w:rsidR="00904B09" w:rsidRPr="004D342E" w:rsidRDefault="00904B09" w:rsidP="00904B09">
                            <w:pPr>
                              <w:pStyle w:val="Bullet1"/>
                              <w:numPr>
                                <w:ilvl w:val="0"/>
                                <w:numId w:val="0"/>
                              </w:numPr>
                              <w:ind w:left="284" w:hanging="284"/>
                              <w:rPr>
                                <w:color w:val="F26522" w:themeColor="accent1"/>
                              </w:rPr>
                            </w:pPr>
                            <w:r w:rsidRPr="004D342E">
                              <w:rPr>
                                <w:color w:val="F26522" w:themeColor="accent1"/>
                              </w:rPr>
                              <w:t>Delivery profiles</w:t>
                            </w:r>
                          </w:p>
                          <w:p w14:paraId="624D8167" w14:textId="77777777" w:rsidR="00904B09" w:rsidRDefault="00904B09" w:rsidP="00904B09">
                            <w:pPr>
                              <w:pStyle w:val="Bullet1"/>
                              <w:numPr>
                                <w:ilvl w:val="0"/>
                                <w:numId w:val="0"/>
                              </w:numPr>
                              <w:ind w:left="284"/>
                            </w:pPr>
                            <w:r>
                              <w:t>Activation: monotonically increasing</w:t>
                            </w:r>
                          </w:p>
                          <w:p w14:paraId="526A3B63" w14:textId="77777777" w:rsidR="00904B09" w:rsidRDefault="00904B09" w:rsidP="00904B09">
                            <w:pPr>
                              <w:pStyle w:val="Bullet1"/>
                              <w:numPr>
                                <w:ilvl w:val="0"/>
                                <w:numId w:val="0"/>
                              </w:numPr>
                              <w:ind w:left="284"/>
                            </w:pPr>
                            <w:r>
                              <w:t>Deactivation: monotonically decreasing</w:t>
                            </w:r>
                          </w:p>
                          <w:p w14:paraId="50751F2E" w14:textId="77777777" w:rsidR="00904B09" w:rsidRDefault="00904B09" w:rsidP="00904B09">
                            <w:pPr>
                              <w:pStyle w:val="Bullet1"/>
                              <w:numPr>
                                <w:ilvl w:val="0"/>
                                <w:numId w:val="0"/>
                              </w:numPr>
                              <w:ind w:left="284"/>
                            </w:pPr>
                          </w:p>
                          <w:p w14:paraId="3839F5DD" w14:textId="77777777" w:rsidR="00904B09" w:rsidRDefault="00904B09" w:rsidP="00904B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88F49" id="_x0000_t202" coordsize="21600,21600" o:spt="202" path="m,l,21600r21600,l21600,xe">
                <v:stroke joinstyle="miter"/>
                <v:path gradientshapeok="t" o:connecttype="rect"/>
              </v:shapetype>
              <v:shape id="Text Box 1" o:spid="_x0000_s1026" type="#_x0000_t202" style="position:absolute;left:0;text-align:left;margin-left:237.55pt;margin-top:.65pt;width:210.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" fillcolor="white [3201]" strokecolor="#f26522 [3204]" strokeweight=".5pt">
                <v:textbox>
                  <w:txbxContent>
                    <w:p w14:paraId="2C26A9D1" w14:textId="77777777" w:rsidR="00904B09" w:rsidRPr="004D342E" w:rsidRDefault="00904B09" w:rsidP="00904B09">
                      <w:pPr>
                        <w:pStyle w:val="Bullet1"/>
                        <w:numPr>
                          <w:ilvl w:val="0"/>
                          <w:numId w:val="0"/>
                        </w:numPr>
                        <w:ind w:left="284" w:hanging="284"/>
                        <w:rPr>
                          <w:color w:val="F26522" w:themeColor="accent1"/>
                        </w:rPr>
                      </w:pPr>
                      <w:r w:rsidRPr="004D342E">
                        <w:rPr>
                          <w:color w:val="F26522" w:themeColor="accent1"/>
                        </w:rPr>
                        <w:t>Delivery profiles</w:t>
                      </w:r>
                    </w:p>
                    <w:p w14:paraId="624D8167" w14:textId="77777777" w:rsidR="00904B09" w:rsidRDefault="00904B09" w:rsidP="00904B09">
                      <w:pPr>
                        <w:pStyle w:val="Bullet1"/>
                        <w:numPr>
                          <w:ilvl w:val="0"/>
                          <w:numId w:val="0"/>
                        </w:numPr>
                        <w:ind w:left="284"/>
                      </w:pPr>
                      <w:r>
                        <w:t>Activation: monotonically increasing</w:t>
                      </w:r>
                    </w:p>
                    <w:p w14:paraId="526A3B63" w14:textId="77777777" w:rsidR="00904B09" w:rsidRDefault="00904B09" w:rsidP="00904B09">
                      <w:pPr>
                        <w:pStyle w:val="Bullet1"/>
                        <w:numPr>
                          <w:ilvl w:val="0"/>
                          <w:numId w:val="0"/>
                        </w:numPr>
                        <w:ind w:left="284"/>
                      </w:pPr>
                      <w:r>
                        <w:t>Deactivation: monotonically decreasing</w:t>
                      </w:r>
                    </w:p>
                    <w:p w14:paraId="50751F2E" w14:textId="77777777" w:rsidR="00904B09" w:rsidRDefault="00904B09" w:rsidP="00904B09">
                      <w:pPr>
                        <w:pStyle w:val="Bullet1"/>
                        <w:numPr>
                          <w:ilvl w:val="0"/>
                          <w:numId w:val="0"/>
                        </w:numPr>
                        <w:ind w:left="284"/>
                      </w:pPr>
                    </w:p>
                    <w:p w14:paraId="3839F5DD" w14:textId="77777777" w:rsidR="00904B09" w:rsidRDefault="00904B09" w:rsidP="00904B09"/>
                  </w:txbxContent>
                </v:textbox>
              </v:shape>
            </w:pict>
          </mc:Fallback>
        </mc:AlternateContent>
      </w:r>
      <w:r w:rsidR="008C00AA">
        <w:rPr>
          <w:noProof/>
          <w:lang w:eastAsia="en-GB"/>
        </w:rPr>
        <w:drawing>
          <wp:inline distT="0" distB="0" distL="0" distR="0" wp14:anchorId="389E4938" wp14:editId="2B6BBC07">
            <wp:extent cx="3949322" cy="24304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7571" cy="2435508"/>
                    </a:xfrm>
                    <a:prstGeom prst="rect">
                      <a:avLst/>
                    </a:prstGeom>
                    <a:noFill/>
                  </pic:spPr>
                </pic:pic>
              </a:graphicData>
            </a:graphic>
          </wp:inline>
        </w:drawing>
      </w:r>
    </w:p>
    <w:p w14:paraId="52AC727E" w14:textId="77777777" w:rsidR="007B7CA6" w:rsidRDefault="001A4A2F" w:rsidP="007B7CA6">
      <w:pPr>
        <w:pStyle w:val="Heading2"/>
        <w:rPr>
          <w:b/>
        </w:rPr>
      </w:pPr>
      <w:r w:rsidRPr="004D342E">
        <w:rPr>
          <w:b/>
        </w:rPr>
        <w:t>Test Requirements</w:t>
      </w:r>
    </w:p>
    <w:p w14:paraId="3CB13B0B" w14:textId="77777777" w:rsidR="00904B09" w:rsidRPr="00904B09" w:rsidRDefault="00904B09" w:rsidP="00904B09">
      <w:pPr>
        <w:pStyle w:val="BodyText"/>
      </w:pPr>
    </w:p>
    <w:p w14:paraId="7632E4B8" w14:textId="77777777" w:rsidR="008C00AA" w:rsidRDefault="001A4A2F" w:rsidP="007B7CA6">
      <w:pPr>
        <w:pStyle w:val="BodyText"/>
      </w:pPr>
      <w:r w:rsidRPr="001A4A2F">
        <w:t xml:space="preserve">The non-dynamic low </w:t>
      </w:r>
      <w:r>
        <w:t>frequency test</w:t>
      </w:r>
      <w:r w:rsidRPr="001A4A2F">
        <w:t xml:space="preserve"> </w:t>
      </w:r>
      <w:r>
        <w:t>is designed to assess</w:t>
      </w:r>
      <w:r w:rsidRPr="001A4A2F">
        <w:t xml:space="preserve"> the capability of the provider to deliver the </w:t>
      </w:r>
      <w:r>
        <w:t>contracted Service</w:t>
      </w:r>
      <w:r w:rsidR="008311C5">
        <w:t xml:space="preserve"> described above.</w:t>
      </w:r>
      <w:r w:rsidR="008C00AA">
        <w:t xml:space="preserve"> </w:t>
      </w:r>
    </w:p>
    <w:p w14:paraId="197D4AE0" w14:textId="77777777" w:rsidR="008C00AA" w:rsidRDefault="008C00AA" w:rsidP="007B7CA6">
      <w:pPr>
        <w:pStyle w:val="BodyText"/>
      </w:pPr>
      <w:r>
        <w:t xml:space="preserve">The minimum sample rate for the Test is 10Hz. </w:t>
      </w:r>
      <w:r w:rsidRPr="008C00AA">
        <w:t>Simulations / simulated tests are not permitted. Each test submitted must record real time data from the plant and sites under test</w:t>
      </w:r>
      <w:r>
        <w:t>.</w:t>
      </w:r>
      <w:r w:rsidRPr="008C00AA">
        <w:t xml:space="preserve"> The test data submitted must come from the specific site to be contracted; substituted data will not be accepted.</w:t>
      </w:r>
      <w:r w:rsidR="00B96416">
        <w:t xml:space="preserve"> See Appendix A for information on test signals.</w:t>
      </w:r>
    </w:p>
    <w:p w14:paraId="76AE39BB" w14:textId="77777777" w:rsidR="008311C5" w:rsidRDefault="008311C5" w:rsidP="007B7CA6">
      <w:pPr>
        <w:pStyle w:val="BodyText"/>
      </w:pPr>
      <w:r>
        <w:t>The pass criteria for the test are as follows.</w:t>
      </w:r>
    </w:p>
    <w:p w14:paraId="14E9AA48" w14:textId="77777777" w:rsidR="008311C5" w:rsidRPr="008311C5" w:rsidRDefault="008311C5" w:rsidP="008311C5">
      <w:pPr>
        <w:pStyle w:val="Bullet1"/>
      </w:pPr>
      <w:r>
        <w:rPr>
          <w:rFonts w:cstheme="minorHAnsi"/>
        </w:rPr>
        <w:t xml:space="preserve">An acceptable frequency injection profile is used (see </w:t>
      </w:r>
      <w:r w:rsidR="00981725">
        <w:rPr>
          <w:rFonts w:cstheme="minorHAnsi"/>
        </w:rPr>
        <w:t>Table/</w:t>
      </w:r>
      <w:r>
        <w:rPr>
          <w:rFonts w:cstheme="minorHAnsi"/>
        </w:rPr>
        <w:t xml:space="preserve">Figure 1) </w:t>
      </w:r>
    </w:p>
    <w:p w14:paraId="63363CA2" w14:textId="77777777" w:rsidR="008311C5" w:rsidRDefault="008311C5" w:rsidP="008311C5">
      <w:pPr>
        <w:pStyle w:val="Bullet1"/>
      </w:pPr>
      <w:r w:rsidRPr="008311C5">
        <w:t xml:space="preserve">The relay (or equivalent) </w:t>
      </w:r>
      <w:r>
        <w:t xml:space="preserve">activates at the </w:t>
      </w:r>
      <w:r w:rsidRPr="008311C5">
        <w:t>correct contracted trigger frequency and within the permitted tolerance (±0.01Hz</w:t>
      </w:r>
      <w:r>
        <w:t>)</w:t>
      </w:r>
    </w:p>
    <w:p w14:paraId="32C100B3" w14:textId="77777777" w:rsidR="008311C5" w:rsidRDefault="008311C5" w:rsidP="008311C5">
      <w:pPr>
        <w:pStyle w:val="Bullet1"/>
      </w:pPr>
      <w:r w:rsidRPr="008311C5">
        <w:t>Sustain the response for the 30 minutes</w:t>
      </w:r>
      <w:r w:rsidR="00981725">
        <w:t xml:space="preserve">. Response volume is assessed as the minimum response observed from </w:t>
      </w:r>
      <w:r w:rsidR="008C00AA">
        <w:t>1</w:t>
      </w:r>
      <w:r w:rsidR="00981725">
        <w:t xml:space="preserve"> second to 30 minutes following relay trigger.</w:t>
      </w:r>
    </w:p>
    <w:p w14:paraId="31449172" w14:textId="77777777" w:rsidR="00981725" w:rsidRDefault="00981725" w:rsidP="00981725">
      <w:pPr>
        <w:pStyle w:val="Bullet1"/>
      </w:pPr>
      <w:r w:rsidRPr="00981725">
        <w:t>The standard deviation of active power error over a 30 minute period must not exceed 2.5% of the contracted active power change</w:t>
      </w:r>
      <w:r>
        <w:t xml:space="preserve">. (Standard deviation is calculated </w:t>
      </w:r>
      <w:r w:rsidRPr="00981725">
        <w:t xml:space="preserve">from </w:t>
      </w:r>
      <w:r w:rsidR="008C00AA">
        <w:t>1</w:t>
      </w:r>
      <w:r w:rsidRPr="00981725">
        <w:t xml:space="preserve"> seconds to 30 minutes following relay trigger</w:t>
      </w:r>
      <w:r>
        <w:t>)</w:t>
      </w:r>
      <w:r w:rsidR="00147608">
        <w:t>.</w:t>
      </w:r>
    </w:p>
    <w:p w14:paraId="2E8C81A8" w14:textId="77777777" w:rsidR="0068375B" w:rsidRDefault="0068375B" w:rsidP="007B7CA6">
      <w:pPr>
        <w:pStyle w:val="BodyText"/>
      </w:pPr>
    </w:p>
    <w:p w14:paraId="5F56C932" w14:textId="77777777" w:rsidR="00981725" w:rsidRDefault="00981725" w:rsidP="007B7CA6">
      <w:pPr>
        <w:pStyle w:val="Heading2"/>
        <w:rPr>
          <w:rFonts w:eastAsiaTheme="minorHAnsi" w:cstheme="minorBidi"/>
          <w:bCs w:val="0"/>
          <w:color w:val="454545" w:themeColor="text1"/>
          <w:sz w:val="20"/>
          <w:szCs w:val="20"/>
        </w:rPr>
      </w:pPr>
      <w:r w:rsidRPr="00981725">
        <w:rPr>
          <w:rFonts w:eastAsiaTheme="minorHAnsi" w:cstheme="minorBidi"/>
          <w:b/>
          <w:bCs w:val="0"/>
          <w:sz w:val="20"/>
          <w:szCs w:val="20"/>
        </w:rPr>
        <w:t>Table 1 -</w:t>
      </w:r>
      <w:r w:rsidRPr="00981725">
        <w:rPr>
          <w:rFonts w:eastAsiaTheme="minorHAnsi" w:cstheme="minorBidi"/>
          <w:bCs w:val="0"/>
          <w:sz w:val="20"/>
          <w:szCs w:val="20"/>
        </w:rPr>
        <w:t xml:space="preserve"> </w:t>
      </w:r>
      <w:r w:rsidRPr="00981725">
        <w:rPr>
          <w:rFonts w:eastAsiaTheme="minorHAnsi" w:cstheme="minorBidi"/>
          <w:bCs w:val="0"/>
          <w:color w:val="454545" w:themeColor="text1"/>
          <w:sz w:val="20"/>
          <w:szCs w:val="20"/>
        </w:rPr>
        <w:t>Injected Frequency against Time for Low Frequency Non-Dynamic Response Testing</w:t>
      </w:r>
    </w:p>
    <w:p w14:paraId="1F7161BA" w14:textId="77777777" w:rsidR="0068375B" w:rsidRDefault="00533389" w:rsidP="0068375B">
      <w:pPr>
        <w:pStyle w:val="BodyText"/>
      </w:pPr>
      <w:r w:rsidRPr="00A67DDB">
        <w:rPr>
          <w:noProof/>
          <w:sz w:val="32"/>
          <w:lang w:eastAsia="en-GB"/>
        </w:rPr>
        <w:drawing>
          <wp:inline distT="0" distB="0" distL="0" distR="0" wp14:anchorId="5F19300F" wp14:editId="64558F48">
            <wp:extent cx="6659880" cy="37558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9880" cy="375582"/>
                    </a:xfrm>
                    <a:prstGeom prst="rect">
                      <a:avLst/>
                    </a:prstGeom>
                    <a:noFill/>
                    <a:ln>
                      <a:noFill/>
                    </a:ln>
                  </pic:spPr>
                </pic:pic>
              </a:graphicData>
            </a:graphic>
          </wp:inline>
        </w:drawing>
      </w:r>
    </w:p>
    <w:p w14:paraId="5BBED8E3" w14:textId="77777777" w:rsidR="00233B8F" w:rsidRDefault="00233B8F" w:rsidP="0068375B">
      <w:pPr>
        <w:pStyle w:val="BodyText"/>
      </w:pPr>
    </w:p>
    <w:p w14:paraId="43935EC5" w14:textId="77777777" w:rsidR="00233B8F" w:rsidRDefault="00233B8F" w:rsidP="00233B8F">
      <w:pPr>
        <w:pStyle w:val="Heading2"/>
        <w:rPr>
          <w:rFonts w:eastAsiaTheme="minorHAnsi" w:cstheme="minorBidi"/>
          <w:bCs w:val="0"/>
          <w:color w:val="454545" w:themeColor="text1"/>
          <w:sz w:val="20"/>
          <w:szCs w:val="20"/>
        </w:rPr>
      </w:pPr>
      <w:r>
        <w:rPr>
          <w:rFonts w:eastAsiaTheme="minorHAnsi" w:cstheme="minorBidi"/>
          <w:b/>
          <w:bCs w:val="0"/>
          <w:sz w:val="20"/>
          <w:szCs w:val="20"/>
        </w:rPr>
        <w:lastRenderedPageBreak/>
        <w:t>Figure</w:t>
      </w:r>
      <w:r w:rsidRPr="00981725">
        <w:rPr>
          <w:rFonts w:eastAsiaTheme="minorHAnsi" w:cstheme="minorBidi"/>
          <w:b/>
          <w:bCs w:val="0"/>
          <w:sz w:val="20"/>
          <w:szCs w:val="20"/>
        </w:rPr>
        <w:t xml:space="preserve"> 1 -</w:t>
      </w:r>
      <w:r w:rsidRPr="00981725">
        <w:rPr>
          <w:rFonts w:eastAsiaTheme="minorHAnsi" w:cstheme="minorBidi"/>
          <w:bCs w:val="0"/>
          <w:sz w:val="20"/>
          <w:szCs w:val="20"/>
        </w:rPr>
        <w:t xml:space="preserve"> </w:t>
      </w:r>
      <w:r w:rsidRPr="00981725">
        <w:rPr>
          <w:rFonts w:eastAsiaTheme="minorHAnsi" w:cstheme="minorBidi"/>
          <w:bCs w:val="0"/>
          <w:color w:val="454545" w:themeColor="text1"/>
          <w:sz w:val="20"/>
          <w:szCs w:val="20"/>
        </w:rPr>
        <w:t>Injected Frequency against Time for Low Frequency Non-Dynamic Response Testing</w:t>
      </w:r>
    </w:p>
    <w:p w14:paraId="07A79166" w14:textId="77777777" w:rsidR="00233B8F" w:rsidRDefault="00533389" w:rsidP="0068375B">
      <w:pPr>
        <w:pStyle w:val="BodyText"/>
      </w:pPr>
      <w:r>
        <w:rPr>
          <w:noProof/>
          <w:lang w:eastAsia="en-GB"/>
        </w:rPr>
        <w:drawing>
          <wp:inline distT="0" distB="0" distL="0" distR="0" wp14:anchorId="4166A335" wp14:editId="1990113B">
            <wp:extent cx="6844665" cy="3083849"/>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1708" cy="3091528"/>
                    </a:xfrm>
                    <a:prstGeom prst="rect">
                      <a:avLst/>
                    </a:prstGeom>
                    <a:noFill/>
                  </pic:spPr>
                </pic:pic>
              </a:graphicData>
            </a:graphic>
          </wp:inline>
        </w:drawing>
      </w:r>
    </w:p>
    <w:p w14:paraId="4281A3C3" w14:textId="77777777" w:rsidR="00233B8F" w:rsidRDefault="00233B8F" w:rsidP="0068375B">
      <w:pPr>
        <w:pStyle w:val="BodyText"/>
      </w:pPr>
    </w:p>
    <w:p w14:paraId="0274420A" w14:textId="77777777" w:rsidR="00233B8F" w:rsidRDefault="00233B8F" w:rsidP="0068375B">
      <w:pPr>
        <w:pStyle w:val="BodyText"/>
      </w:pPr>
    </w:p>
    <w:p w14:paraId="41163713" w14:textId="77777777" w:rsidR="009E29A2" w:rsidRDefault="009E29A2">
      <w:r>
        <w:br w:type="page"/>
      </w:r>
    </w:p>
    <w:p w14:paraId="0C4BABA6" w14:textId="77777777" w:rsidR="007B7CA6" w:rsidRDefault="00233B8F" w:rsidP="007B7CA6">
      <w:pPr>
        <w:pStyle w:val="Heading2"/>
      </w:pPr>
      <w:r>
        <w:t>Appendix A</w:t>
      </w:r>
      <w:r w:rsidR="009E29A2">
        <w:t xml:space="preserve"> – Test Signals and Data Format</w:t>
      </w:r>
    </w:p>
    <w:p w14:paraId="4E04BE52" w14:textId="77777777" w:rsidR="00B96416" w:rsidRDefault="00B96416" w:rsidP="004D342E">
      <w:pPr>
        <w:pStyle w:val="Bullet1"/>
        <w:numPr>
          <w:ilvl w:val="0"/>
          <w:numId w:val="0"/>
        </w:numPr>
        <w:ind w:left="284" w:hanging="284"/>
      </w:pPr>
      <w:r>
        <w:t>The data for the following signals will need to be provided</w:t>
      </w:r>
    </w:p>
    <w:p w14:paraId="2706206A" w14:textId="77777777" w:rsidR="00B96416" w:rsidRDefault="00B96416" w:rsidP="004D342E">
      <w:pPr>
        <w:pStyle w:val="Bullet1"/>
        <w:numPr>
          <w:ilvl w:val="0"/>
          <w:numId w:val="0"/>
        </w:numPr>
        <w:ind w:left="284" w:hanging="284"/>
      </w:pPr>
      <w:r>
        <w:t>a)</w:t>
      </w:r>
      <w:r>
        <w:tab/>
        <w:t>Time</w:t>
      </w:r>
    </w:p>
    <w:p w14:paraId="31164712" w14:textId="77777777" w:rsidR="00B96416" w:rsidRDefault="009E29A2" w:rsidP="004D342E">
      <w:pPr>
        <w:pStyle w:val="Bullet1"/>
        <w:numPr>
          <w:ilvl w:val="0"/>
          <w:numId w:val="0"/>
        </w:numPr>
        <w:ind w:left="284" w:hanging="284"/>
      </w:pPr>
      <w:r>
        <w:t>b)</w:t>
      </w:r>
      <w:r>
        <w:tab/>
        <w:t xml:space="preserve">Active </w:t>
      </w:r>
      <w:r w:rsidR="00904B09">
        <w:t>p</w:t>
      </w:r>
      <w:r>
        <w:t>ower</w:t>
      </w:r>
    </w:p>
    <w:p w14:paraId="3EB138BC" w14:textId="77777777" w:rsidR="00B96416" w:rsidRDefault="009E29A2" w:rsidP="004D342E">
      <w:pPr>
        <w:pStyle w:val="Bullet1"/>
        <w:numPr>
          <w:ilvl w:val="0"/>
          <w:numId w:val="0"/>
        </w:numPr>
        <w:ind w:left="284" w:hanging="284"/>
      </w:pPr>
      <w:r>
        <w:t>c)</w:t>
      </w:r>
      <w:r>
        <w:tab/>
      </w:r>
      <w:r w:rsidR="00B96416">
        <w:t>I</w:t>
      </w:r>
      <w:r>
        <w:t>njected frequency</w:t>
      </w:r>
    </w:p>
    <w:p w14:paraId="2FDA4ACE" w14:textId="77777777" w:rsidR="00B96416" w:rsidRDefault="009E29A2" w:rsidP="004D342E">
      <w:pPr>
        <w:pStyle w:val="Bullet1"/>
        <w:numPr>
          <w:ilvl w:val="0"/>
          <w:numId w:val="0"/>
        </w:numPr>
        <w:ind w:left="284" w:hanging="284"/>
      </w:pPr>
      <w:r>
        <w:t>d)</w:t>
      </w:r>
      <w:r>
        <w:tab/>
        <w:t xml:space="preserve">Relay </w:t>
      </w:r>
      <w:r w:rsidR="00904B09">
        <w:t>l</w:t>
      </w:r>
      <w:r>
        <w:t>ogic</w:t>
      </w:r>
      <w:r w:rsidR="00904B09">
        <w:t xml:space="preserve"> – enter 1 for the period at which the relay triggers. </w:t>
      </w:r>
    </w:p>
    <w:p w14:paraId="647497C0" w14:textId="77777777" w:rsidR="009E29A2" w:rsidRDefault="009E29A2" w:rsidP="004D342E">
      <w:pPr>
        <w:pStyle w:val="Bullet1"/>
        <w:numPr>
          <w:ilvl w:val="0"/>
          <w:numId w:val="0"/>
        </w:numPr>
        <w:spacing w:after="0"/>
        <w:ind w:left="284" w:hanging="284"/>
      </w:pPr>
    </w:p>
    <w:p w14:paraId="67EE9590" w14:textId="77777777" w:rsidR="00B96416" w:rsidRDefault="00B96416" w:rsidP="00A67DDB">
      <w:pPr>
        <w:pStyle w:val="Bullet1"/>
        <w:numPr>
          <w:ilvl w:val="0"/>
          <w:numId w:val="0"/>
        </w:numPr>
        <w:spacing w:after="0"/>
      </w:pPr>
      <w:r>
        <w:t>Data should be recorded for at least 30 seconds BEFORE the application of the frequency injection signal</w:t>
      </w:r>
      <w:r w:rsidR="00A67DDB">
        <w:t xml:space="preserve"> and for at </w:t>
      </w:r>
      <w:r>
        <w:t>least 30 seconds AFTER the completion of the test.</w:t>
      </w:r>
    </w:p>
    <w:p w14:paraId="46EC95F8" w14:textId="77777777" w:rsidR="00A67DDB" w:rsidRDefault="00A67DDB" w:rsidP="00A67DDB">
      <w:pPr>
        <w:pStyle w:val="Bullet1"/>
        <w:numPr>
          <w:ilvl w:val="0"/>
          <w:numId w:val="0"/>
        </w:numPr>
        <w:spacing w:after="0"/>
      </w:pPr>
    </w:p>
    <w:p w14:paraId="7D423111" w14:textId="77777777" w:rsidR="00A67DDB" w:rsidRDefault="00A67DDB" w:rsidP="00A67DDB">
      <w:pPr>
        <w:pStyle w:val="Bullet1"/>
        <w:numPr>
          <w:ilvl w:val="0"/>
          <w:numId w:val="0"/>
        </w:numPr>
        <w:spacing w:after="0"/>
      </w:pPr>
      <w:r>
        <w:t>The data should be sent to National Grid ESO along with the ITE report described below.</w:t>
      </w:r>
    </w:p>
    <w:p w14:paraId="6F61618B" w14:textId="77777777" w:rsidR="009E29A2" w:rsidRDefault="009E29A2" w:rsidP="00233B8F">
      <w:pPr>
        <w:pStyle w:val="Bullet1"/>
        <w:numPr>
          <w:ilvl w:val="0"/>
          <w:numId w:val="0"/>
        </w:numPr>
        <w:ind w:left="284" w:hanging="284"/>
      </w:pPr>
    </w:p>
    <w:p w14:paraId="05E801D1" w14:textId="77777777" w:rsidR="007B7CA6" w:rsidRPr="009D45ED" w:rsidRDefault="0076422C" w:rsidP="00233B8F">
      <w:pPr>
        <w:pStyle w:val="Bullet1"/>
        <w:numPr>
          <w:ilvl w:val="0"/>
          <w:numId w:val="0"/>
        </w:numPr>
        <w:ind w:left="284" w:hanging="284"/>
        <w:rPr>
          <w:rFonts w:eastAsiaTheme="majorEastAsia" w:cstheme="majorBidi"/>
          <w:bCs/>
          <w:color w:val="F26522" w:themeColor="accent1"/>
          <w:sz w:val="28"/>
          <w:szCs w:val="26"/>
        </w:rPr>
      </w:pPr>
      <w:r w:rsidRPr="009D45ED">
        <w:rPr>
          <w:rFonts w:eastAsiaTheme="majorEastAsia" w:cstheme="majorBidi"/>
          <w:bCs/>
          <w:color w:val="F26522" w:themeColor="accent1"/>
          <w:sz w:val="28"/>
          <w:szCs w:val="26"/>
        </w:rPr>
        <w:t xml:space="preserve">Sample </w:t>
      </w:r>
      <w:r w:rsidR="00233B8F" w:rsidRPr="009D45ED">
        <w:rPr>
          <w:rFonts w:eastAsiaTheme="majorEastAsia" w:cstheme="majorBidi"/>
          <w:bCs/>
          <w:color w:val="F26522" w:themeColor="accent1"/>
          <w:sz w:val="28"/>
          <w:szCs w:val="26"/>
        </w:rPr>
        <w:t>Test Data Format</w:t>
      </w:r>
    </w:p>
    <w:p w14:paraId="309A6D31" w14:textId="77777777" w:rsidR="00702352" w:rsidRDefault="00DC4860" w:rsidP="009D45ED">
      <w:pPr>
        <w:pStyle w:val="Bullet1"/>
        <w:numPr>
          <w:ilvl w:val="0"/>
          <w:numId w:val="0"/>
        </w:numPr>
        <w:ind w:left="284" w:hanging="284"/>
        <w:jc w:val="center"/>
      </w:pPr>
      <w:r w:rsidRPr="00937E71">
        <w:rPr>
          <w:noProof/>
          <w:lang w:eastAsia="en-GB"/>
        </w:rPr>
        <w:drawing>
          <wp:inline distT="0" distB="0" distL="0" distR="0" wp14:anchorId="46F1CA44" wp14:editId="44E977A2">
            <wp:extent cx="4467225" cy="479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7225" cy="4791075"/>
                    </a:xfrm>
                    <a:prstGeom prst="rect">
                      <a:avLst/>
                    </a:prstGeom>
                    <a:noFill/>
                    <a:ln>
                      <a:noFill/>
                    </a:ln>
                  </pic:spPr>
                </pic:pic>
              </a:graphicData>
            </a:graphic>
          </wp:inline>
        </w:drawing>
      </w:r>
    </w:p>
    <w:p w14:paraId="2F5BC878" w14:textId="77777777" w:rsidR="004E65FD" w:rsidRDefault="004E65FD">
      <w:pPr>
        <w:rPr>
          <w:rFonts w:eastAsiaTheme="majorEastAsia" w:cstheme="majorBidi"/>
          <w:bCs/>
          <w:color w:val="F26522" w:themeColor="accent1"/>
          <w:sz w:val="28"/>
          <w:szCs w:val="26"/>
        </w:rPr>
      </w:pPr>
      <w:r>
        <w:br w:type="page"/>
      </w:r>
    </w:p>
    <w:p w14:paraId="6F266AFF" w14:textId="6EF677E3" w:rsidR="00233B8F" w:rsidRDefault="00233B8F" w:rsidP="004D342E">
      <w:pPr>
        <w:pStyle w:val="Heading2"/>
      </w:pPr>
      <w:r>
        <w:t xml:space="preserve">Appendix </w:t>
      </w:r>
      <w:r>
        <w:t>B</w:t>
      </w:r>
      <w:r w:rsidR="004D342E">
        <w:t xml:space="preserve"> – </w:t>
      </w:r>
      <w:r w:rsidR="005453E9">
        <w:t xml:space="preserve">Requirement </w:t>
      </w:r>
      <w:r>
        <w:t xml:space="preserve">for </w:t>
      </w:r>
      <w:r w:rsidR="005453E9">
        <w:t>Test Certificate</w:t>
      </w:r>
    </w:p>
    <w:p w14:paraId="2FE3BCD0" w14:textId="77777777" w:rsidR="005453E9" w:rsidRPr="00457015" w:rsidRDefault="005453E9" w:rsidP="008129B4">
      <w:pPr>
        <w:pStyle w:val="BodyText"/>
      </w:pPr>
      <w:r>
        <w:t xml:space="preserve">For the purposes of this Appendix B, the following definitions shall apply: </w:t>
      </w:r>
    </w:p>
    <w:p w14:paraId="4ECF3AEC" w14:textId="77777777" w:rsidR="009D45ED" w:rsidRDefault="009D45ED" w:rsidP="00DE286D">
      <w:pPr>
        <w:rPr>
          <w:b/>
        </w:rPr>
      </w:pPr>
    </w:p>
    <w:p w14:paraId="6314646E" w14:textId="6AE60469" w:rsidR="00AE2DE9" w:rsidRDefault="00AE2DE9" w:rsidP="00AE2DE9">
      <w:pPr>
        <w:spacing w:after="0"/>
      </w:pPr>
      <w:r w:rsidRPr="009D45ED">
        <w:rPr>
          <w:b/>
        </w:rPr>
        <w:t>Group</w:t>
      </w:r>
      <w:r>
        <w:t xml:space="preserve"> means, for any person, another person who is the direct or indirect Holding Company of that person and any Subsidiary of that Holding Company Holding Company means, in relation to a company, any other company in respect of which it is a Subsidiary</w:t>
      </w:r>
      <w:r>
        <w:t>.</w:t>
      </w:r>
    </w:p>
    <w:p w14:paraId="72F2C99C" w14:textId="77777777" w:rsidR="00AE2DE9" w:rsidRDefault="00AE2DE9" w:rsidP="00AE2DE9">
      <w:pPr>
        <w:spacing w:after="0"/>
      </w:pPr>
    </w:p>
    <w:p w14:paraId="1544324C" w14:textId="539A6A2D" w:rsidR="00AE2DE9" w:rsidRDefault="00AE2DE9" w:rsidP="00AE2DE9">
      <w:pPr>
        <w:spacing w:after="0"/>
      </w:pPr>
      <w:r w:rsidRPr="008129B4">
        <w:rPr>
          <w:b/>
        </w:rPr>
        <w:t>Holding Company</w:t>
      </w:r>
      <w:r>
        <w:t xml:space="preserve"> means, in relation to a company, any other company in respect of which it us a Subsidiary. </w:t>
      </w:r>
    </w:p>
    <w:p w14:paraId="3FED41AC" w14:textId="77777777" w:rsidR="00AE2DE9" w:rsidRDefault="00AE2DE9" w:rsidP="00AE2DE9">
      <w:pPr>
        <w:spacing w:after="0"/>
      </w:pPr>
    </w:p>
    <w:p w14:paraId="7F1454E2" w14:textId="429BDA8D" w:rsidR="00DE286D" w:rsidRDefault="009D45ED" w:rsidP="00DE286D">
      <w:r w:rsidRPr="009D45ED">
        <w:rPr>
          <w:b/>
        </w:rPr>
        <w:t>Independent Technical Expert</w:t>
      </w:r>
      <w:r w:rsidR="00DE286D" w:rsidRPr="004D342E">
        <w:t xml:space="preserve"> means an experienced technical expert with expertise in the</w:t>
      </w:r>
      <w:r w:rsidR="00B84215">
        <w:t xml:space="preserve"> operation of DSR or generating units</w:t>
      </w:r>
      <w:r>
        <w:t xml:space="preserve"> or</w:t>
      </w:r>
      <w:r w:rsidR="00DE286D" w:rsidRPr="00DE286D">
        <w:t xml:space="preserve"> </w:t>
      </w:r>
      <w:r>
        <w:t>e</w:t>
      </w:r>
      <w:r w:rsidR="00DE286D" w:rsidRPr="00DE286D">
        <w:t>lectricity Interconnectors</w:t>
      </w:r>
      <w:r w:rsidR="00322095">
        <w:t xml:space="preserve"> (as the case may be)</w:t>
      </w:r>
      <w:r w:rsidR="00DE286D" w:rsidRPr="00DE286D">
        <w:t xml:space="preserve">, </w:t>
      </w:r>
      <w:r w:rsidR="00420053">
        <w:t>I</w:t>
      </w:r>
      <w:r w:rsidR="00DE286D" w:rsidRPr="004D342E">
        <w:t xml:space="preserve">ndependent of the </w:t>
      </w:r>
      <w:r w:rsidR="00420053">
        <w:t>prospective response</w:t>
      </w:r>
      <w:r w:rsidR="00DE286D" w:rsidRPr="00DE286D">
        <w:t xml:space="preserve"> provider, </w:t>
      </w:r>
      <w:r w:rsidR="00DE286D" w:rsidRPr="004D342E">
        <w:t xml:space="preserve">engaged by the </w:t>
      </w:r>
      <w:r w:rsidR="00420053">
        <w:t>prospective response</w:t>
      </w:r>
      <w:r w:rsidR="00DE286D" w:rsidRPr="004D342E">
        <w:t xml:space="preserve"> provider at its expense to </w:t>
      </w:r>
      <w:r w:rsidR="00420053">
        <w:t>carry out a</w:t>
      </w:r>
      <w:r w:rsidR="00DE286D" w:rsidRPr="004D342E">
        <w:t xml:space="preserve"> technical assessment and </w:t>
      </w:r>
      <w:r w:rsidR="00420053">
        <w:t>prepare a Test Certificate</w:t>
      </w:r>
      <w:r w:rsidR="00DE286D" w:rsidRPr="00DE286D">
        <w:t>.</w:t>
      </w:r>
      <w:r w:rsidR="00DE286D">
        <w:t xml:space="preserve"> </w:t>
      </w:r>
    </w:p>
    <w:p w14:paraId="4A096A8C" w14:textId="41886DF3" w:rsidR="009D45ED" w:rsidRDefault="009D45ED" w:rsidP="009D45ED">
      <w:pPr>
        <w:spacing w:after="0"/>
      </w:pPr>
      <w:r w:rsidRPr="009D45ED">
        <w:rPr>
          <w:b/>
        </w:rPr>
        <w:t xml:space="preserve">Independent </w:t>
      </w:r>
      <w:r>
        <w:t xml:space="preserve">means, for any technical expert and </w:t>
      </w:r>
      <w:r w:rsidR="00420053">
        <w:t xml:space="preserve">the applicable prospective response </w:t>
      </w:r>
      <w:r>
        <w:t xml:space="preserve">provider, that the technical expert is: (a) not in the same Group as the </w:t>
      </w:r>
      <w:r w:rsidR="00420053">
        <w:t xml:space="preserve">prospective response </w:t>
      </w:r>
      <w:r>
        <w:t xml:space="preserve">provider; and (b) neither engaged on terms, nor party to any other arrangements, which could allow the </w:t>
      </w:r>
      <w:r w:rsidR="00420053">
        <w:t xml:space="preserve">prospective response </w:t>
      </w:r>
      <w:r>
        <w:t xml:space="preserve">provider or any member of its Group to exercise undue influence on any assessment </w:t>
      </w:r>
      <w:r w:rsidR="00420053">
        <w:t xml:space="preserve">of the Test Certificate </w:t>
      </w:r>
      <w:r>
        <w:t>prepared by that technical expert or otherwise compromise the objectivity of any such assessment</w:t>
      </w:r>
      <w:r w:rsidR="00420053">
        <w:t xml:space="preserve"> and test certificate to the </w:t>
      </w:r>
      <w:r w:rsidRPr="009D45ED">
        <w:rPr>
          <w:b/>
        </w:rPr>
        <w:t>Required Technical Standard</w:t>
      </w:r>
      <w:r>
        <w:t>.</w:t>
      </w:r>
    </w:p>
    <w:p w14:paraId="66494DDB" w14:textId="77777777" w:rsidR="009D45ED" w:rsidRDefault="009D45ED" w:rsidP="009D45ED">
      <w:pPr>
        <w:spacing w:after="0"/>
      </w:pPr>
    </w:p>
    <w:p w14:paraId="253CB1F6" w14:textId="216C17D8" w:rsidR="009D45ED" w:rsidRDefault="009D45ED" w:rsidP="009D45ED">
      <w:pPr>
        <w:autoSpaceDE w:val="0"/>
        <w:autoSpaceDN w:val="0"/>
        <w:adjustRightInd w:val="0"/>
        <w:spacing w:after="0"/>
      </w:pPr>
      <w:r w:rsidRPr="009D45ED">
        <w:rPr>
          <w:b/>
        </w:rPr>
        <w:t>Required Technical Standard</w:t>
      </w:r>
      <w:r w:rsidRPr="009D45ED">
        <w:t xml:space="preserve"> means, with respect to any assessment </w:t>
      </w:r>
      <w:r w:rsidR="00420053">
        <w:t xml:space="preserve">and Test Certificate </w:t>
      </w:r>
      <w:r w:rsidR="00AE2DE9">
        <w:t xml:space="preserve">prepared </w:t>
      </w:r>
      <w:r w:rsidRPr="009D45ED">
        <w:t>by an Independent Technical Expert that: (a) to the best of the Independent Technical Expert’s knowledge and belief all information provided in it is accurate, complete and not misleading; and (b) any opinions or forecasts in the assessment have been conservatively prepared on assumptions which it considers to be fair and reasonable</w:t>
      </w:r>
      <w:r w:rsidR="00AE2DE9">
        <w:t>.</w:t>
      </w:r>
    </w:p>
    <w:p w14:paraId="2483F752" w14:textId="77777777" w:rsidR="009D45ED" w:rsidRDefault="009D45ED" w:rsidP="009D45ED">
      <w:pPr>
        <w:spacing w:after="0"/>
      </w:pPr>
    </w:p>
    <w:p w14:paraId="0DD2D64C" w14:textId="77777777" w:rsidR="009D45ED" w:rsidRPr="009D45ED" w:rsidRDefault="009D45ED" w:rsidP="009D45ED">
      <w:pPr>
        <w:spacing w:after="0"/>
        <w:rPr>
          <w:b/>
        </w:rPr>
      </w:pPr>
    </w:p>
    <w:p w14:paraId="38E5C4A2" w14:textId="5FABD8AC" w:rsidR="007A505B" w:rsidRDefault="007A505B" w:rsidP="009D45ED">
      <w:pPr>
        <w:autoSpaceDE w:val="0"/>
        <w:autoSpaceDN w:val="0"/>
        <w:adjustRightInd w:val="0"/>
        <w:spacing w:after="0"/>
        <w:rPr>
          <w:b/>
        </w:rPr>
      </w:pPr>
      <w:r>
        <w:rPr>
          <w:b/>
        </w:rPr>
        <w:t>Test Certificate</w:t>
      </w:r>
      <w:r w:rsidRPr="008129B4">
        <w:t xml:space="preserve"> </w:t>
      </w:r>
      <w:r w:rsidR="007249CD" w:rsidRPr="008129B4">
        <w:t xml:space="preserve">means </w:t>
      </w:r>
      <w:r w:rsidR="007249CD">
        <w:t>a certificate i</w:t>
      </w:r>
      <w:r w:rsidR="004B6041">
        <w:t>n the form set out in Appendix C</w:t>
      </w:r>
      <w:r w:rsidR="007249CD">
        <w:t xml:space="preserve"> prepared by an Independent Technical Expert. </w:t>
      </w:r>
    </w:p>
    <w:p w14:paraId="277F7701" w14:textId="77777777" w:rsidR="007A505B" w:rsidRDefault="007A505B" w:rsidP="009D45ED">
      <w:pPr>
        <w:autoSpaceDE w:val="0"/>
        <w:autoSpaceDN w:val="0"/>
        <w:adjustRightInd w:val="0"/>
        <w:spacing w:after="0"/>
        <w:rPr>
          <w:b/>
        </w:rPr>
      </w:pPr>
    </w:p>
    <w:p w14:paraId="6C73D5D5" w14:textId="45ADD589" w:rsidR="009D45ED" w:rsidRDefault="009D45ED" w:rsidP="009D45ED">
      <w:pPr>
        <w:autoSpaceDE w:val="0"/>
        <w:autoSpaceDN w:val="0"/>
        <w:adjustRightInd w:val="0"/>
        <w:spacing w:after="0"/>
      </w:pPr>
      <w:r w:rsidRPr="009D45ED">
        <w:rPr>
          <w:b/>
        </w:rPr>
        <w:t>Subsidiary</w:t>
      </w:r>
      <w:r w:rsidRPr="009D45ED">
        <w:t xml:space="preserve"> means a subsidiary within the meaning of section 1159 of the Companies Act 2006 (but </w:t>
      </w:r>
      <w:r>
        <w:t xml:space="preserve">relation to an </w:t>
      </w:r>
      <w:r w:rsidRPr="009D45ED">
        <w:t xml:space="preserve">Interconnector, or shareholder in such </w:t>
      </w:r>
      <w:r>
        <w:t>provider</w:t>
      </w:r>
      <w:r w:rsidRPr="009D45ED">
        <w:t>, subsection (1)(a) of that section shall apply as if a “majority of the voting rights” included 50%</w:t>
      </w:r>
      <w:r>
        <w:t xml:space="preserve"> </w:t>
      </w:r>
      <w:r w:rsidRPr="009D45ED">
        <w:t>only of those rights)</w:t>
      </w:r>
      <w:r w:rsidR="00AE2DE9">
        <w:t>.</w:t>
      </w:r>
    </w:p>
    <w:p w14:paraId="32DF3D5F" w14:textId="77777777" w:rsidR="009D45ED" w:rsidRDefault="009D45ED" w:rsidP="009D45ED">
      <w:pPr>
        <w:spacing w:after="0"/>
      </w:pPr>
    </w:p>
    <w:p w14:paraId="19511956" w14:textId="77777777" w:rsidR="007249CD" w:rsidRDefault="007249CD" w:rsidP="007249CD">
      <w:pPr>
        <w:pStyle w:val="BodyText"/>
      </w:pPr>
    </w:p>
    <w:p w14:paraId="39423C0E" w14:textId="7A837F0F" w:rsidR="004E65FD" w:rsidRDefault="007249CD" w:rsidP="008129B4">
      <w:pPr>
        <w:pStyle w:val="BodyText"/>
        <w:rPr>
          <w:rFonts w:eastAsiaTheme="majorEastAsia" w:cstheme="majorBidi"/>
          <w:b/>
          <w:bCs/>
          <w:color w:val="F26522" w:themeColor="accent1"/>
          <w:sz w:val="28"/>
          <w:szCs w:val="26"/>
        </w:rPr>
      </w:pPr>
      <w:r>
        <w:t>The I</w:t>
      </w:r>
      <w:r w:rsidR="004B6041">
        <w:t>ndependent T</w:t>
      </w:r>
      <w:r>
        <w:t>echnical Expert will assess the response capa</w:t>
      </w:r>
      <w:r w:rsidR="008129B4">
        <w:t>bility of the applicable asset</w:t>
      </w:r>
      <w:r>
        <w:t xml:space="preserve"> </w:t>
      </w:r>
      <w:r w:rsidR="004B6041">
        <w:t xml:space="preserve">in accordance with the testing profiles in Appendix A and shall prepare </w:t>
      </w:r>
      <w:r w:rsidR="00854879">
        <w:t>a</w:t>
      </w:r>
      <w:r w:rsidR="004B6041">
        <w:t xml:space="preserve"> Test Certificate for onward submission to NGESO.</w:t>
      </w:r>
    </w:p>
    <w:p w14:paraId="3D06B70F" w14:textId="77777777" w:rsidR="00233B8F" w:rsidRDefault="00233B8F" w:rsidP="00233B8F">
      <w:pPr>
        <w:pStyle w:val="Heading2"/>
      </w:pPr>
      <w:r>
        <w:t>Appendix C</w:t>
      </w:r>
    </w:p>
    <w:p w14:paraId="45A98959" w14:textId="2B70CA25" w:rsidR="00533389" w:rsidRPr="004D342E" w:rsidRDefault="009D45ED" w:rsidP="009D45ED">
      <w:pPr>
        <w:pStyle w:val="Bullet1"/>
        <w:numPr>
          <w:ilvl w:val="0"/>
          <w:numId w:val="0"/>
        </w:numPr>
        <w:rPr>
          <w:color w:val="F26522" w:themeColor="accent1"/>
        </w:rPr>
      </w:pPr>
      <w:r>
        <w:rPr>
          <w:color w:val="F26522" w:themeColor="accent1"/>
        </w:rPr>
        <w:t xml:space="preserve">Please use this sample test report format and submit to NGESO, along with the test data and CV of the ITE employed by the </w:t>
      </w:r>
      <w:r w:rsidR="00854879">
        <w:rPr>
          <w:color w:val="F26522" w:themeColor="accent1"/>
        </w:rPr>
        <w:t xml:space="preserve">prospective response </w:t>
      </w:r>
      <w:r>
        <w:rPr>
          <w:color w:val="F26522" w:themeColor="accent1"/>
        </w:rPr>
        <w:t>provider.</w:t>
      </w:r>
    </w:p>
    <w:p w14:paraId="1406FF70" w14:textId="0D77E3DA" w:rsidR="00533389" w:rsidRDefault="00854879" w:rsidP="00533389">
      <w:pPr>
        <w:pStyle w:val="Heading2"/>
      </w:pPr>
      <w:r>
        <w:t xml:space="preserve">Prospective Response </w:t>
      </w:r>
      <w:r w:rsidR="00533389">
        <w:t>Provider Company Details</w:t>
      </w:r>
    </w:p>
    <w:tbl>
      <w:tblPr>
        <w:tblStyle w:val="NationalGrid"/>
        <w:tblW w:w="10348" w:type="dxa"/>
        <w:tblLook w:val="04A0" w:firstRow="1" w:lastRow="0" w:firstColumn="1" w:lastColumn="0" w:noHBand="0" w:noVBand="1"/>
      </w:tblPr>
      <w:tblGrid>
        <w:gridCol w:w="4394"/>
        <w:gridCol w:w="5954"/>
      </w:tblGrid>
      <w:tr w:rsidR="00533389" w14:paraId="10F55164" w14:textId="77777777" w:rsidTr="006A7D02">
        <w:trPr>
          <w:cnfStyle w:val="100000000000" w:firstRow="1" w:lastRow="0" w:firstColumn="0" w:lastColumn="0" w:oddVBand="0" w:evenVBand="0" w:oddHBand="0" w:evenHBand="0" w:firstRowFirstColumn="0" w:firstRowLastColumn="0" w:lastRowFirstColumn="0" w:lastRowLastColumn="0"/>
          <w:trHeight w:val="284"/>
        </w:trPr>
        <w:tc>
          <w:tcPr>
            <w:tcW w:w="4394" w:type="dxa"/>
          </w:tcPr>
          <w:p w14:paraId="6B8238F0" w14:textId="553C935B" w:rsidR="00533389" w:rsidRPr="00D509D4" w:rsidRDefault="00854879" w:rsidP="00517F1F">
            <w:pPr>
              <w:rPr>
                <w:rFonts w:cstheme="minorHAnsi"/>
                <w:sz w:val="18"/>
                <w:szCs w:val="18"/>
              </w:rPr>
            </w:pPr>
            <w:r>
              <w:rPr>
                <w:rFonts w:cstheme="minorHAnsi"/>
                <w:sz w:val="18"/>
                <w:szCs w:val="18"/>
              </w:rPr>
              <w:t xml:space="preserve">Prospective Response </w:t>
            </w:r>
            <w:r w:rsidR="00533389">
              <w:rPr>
                <w:rFonts w:cstheme="minorHAnsi"/>
                <w:sz w:val="18"/>
                <w:szCs w:val="18"/>
              </w:rPr>
              <w:t>Provider C</w:t>
            </w:r>
            <w:r w:rsidR="00533389" w:rsidRPr="00D509D4">
              <w:rPr>
                <w:rFonts w:cstheme="minorHAnsi"/>
                <w:sz w:val="18"/>
                <w:szCs w:val="18"/>
              </w:rPr>
              <w:t>ompany name</w:t>
            </w:r>
          </w:p>
        </w:tc>
        <w:tc>
          <w:tcPr>
            <w:tcW w:w="5954" w:type="dxa"/>
          </w:tcPr>
          <w:p w14:paraId="7DCF3370" w14:textId="77777777" w:rsidR="00533389" w:rsidRPr="00486269" w:rsidRDefault="00533389" w:rsidP="00517F1F"/>
        </w:tc>
      </w:tr>
      <w:tr w:rsidR="00533389" w14:paraId="0A8A9901" w14:textId="77777777" w:rsidTr="006A7D02">
        <w:trPr>
          <w:trHeight w:val="284"/>
        </w:trPr>
        <w:tc>
          <w:tcPr>
            <w:tcW w:w="4394" w:type="dxa"/>
          </w:tcPr>
          <w:p w14:paraId="2E402CFD" w14:textId="77777777" w:rsidR="00533389" w:rsidRPr="00D509D4" w:rsidRDefault="00533389" w:rsidP="00517F1F">
            <w:pPr>
              <w:rPr>
                <w:rFonts w:cstheme="minorHAnsi"/>
                <w:sz w:val="18"/>
                <w:szCs w:val="18"/>
              </w:rPr>
            </w:pPr>
            <w:r w:rsidRPr="00D509D4">
              <w:rPr>
                <w:rFonts w:cstheme="minorHAnsi"/>
                <w:sz w:val="18"/>
                <w:szCs w:val="18"/>
              </w:rPr>
              <w:t>Primary contact name</w:t>
            </w:r>
          </w:p>
        </w:tc>
        <w:tc>
          <w:tcPr>
            <w:tcW w:w="5954" w:type="dxa"/>
          </w:tcPr>
          <w:p w14:paraId="6F0AC092" w14:textId="77777777" w:rsidR="00533389" w:rsidRPr="00486269" w:rsidRDefault="00533389" w:rsidP="00517F1F"/>
        </w:tc>
      </w:tr>
      <w:tr w:rsidR="00533389" w14:paraId="2A70C567" w14:textId="77777777" w:rsidTr="006A7D02">
        <w:trPr>
          <w:trHeight w:val="284"/>
        </w:trPr>
        <w:tc>
          <w:tcPr>
            <w:tcW w:w="4394" w:type="dxa"/>
          </w:tcPr>
          <w:p w14:paraId="021C6780" w14:textId="77777777" w:rsidR="00533389" w:rsidRPr="00D509D4" w:rsidRDefault="00533389" w:rsidP="00517F1F">
            <w:pPr>
              <w:rPr>
                <w:rFonts w:cstheme="minorHAnsi"/>
                <w:sz w:val="18"/>
                <w:szCs w:val="18"/>
              </w:rPr>
            </w:pPr>
            <w:r w:rsidRPr="00D509D4">
              <w:rPr>
                <w:rFonts w:cstheme="minorHAnsi"/>
                <w:sz w:val="18"/>
                <w:szCs w:val="18"/>
              </w:rPr>
              <w:t>Contact number /s</w:t>
            </w:r>
          </w:p>
        </w:tc>
        <w:tc>
          <w:tcPr>
            <w:tcW w:w="5954" w:type="dxa"/>
          </w:tcPr>
          <w:p w14:paraId="16BB4C74" w14:textId="77777777" w:rsidR="00533389" w:rsidRPr="00486269" w:rsidRDefault="00533389" w:rsidP="00517F1F"/>
        </w:tc>
      </w:tr>
      <w:tr w:rsidR="00533389" w14:paraId="2781D5A7" w14:textId="77777777" w:rsidTr="006A7D02">
        <w:trPr>
          <w:trHeight w:val="284"/>
        </w:trPr>
        <w:tc>
          <w:tcPr>
            <w:tcW w:w="4394" w:type="dxa"/>
          </w:tcPr>
          <w:p w14:paraId="4351C0EE" w14:textId="77777777" w:rsidR="00533389" w:rsidRPr="00D509D4" w:rsidRDefault="00533389" w:rsidP="00517F1F">
            <w:pPr>
              <w:rPr>
                <w:rFonts w:cstheme="minorHAnsi"/>
                <w:sz w:val="18"/>
                <w:szCs w:val="18"/>
              </w:rPr>
            </w:pPr>
            <w:r w:rsidRPr="00D509D4">
              <w:rPr>
                <w:rFonts w:cstheme="minorHAnsi"/>
                <w:sz w:val="18"/>
                <w:szCs w:val="18"/>
              </w:rPr>
              <w:t>Email address</w:t>
            </w:r>
          </w:p>
        </w:tc>
        <w:tc>
          <w:tcPr>
            <w:tcW w:w="5954" w:type="dxa"/>
          </w:tcPr>
          <w:p w14:paraId="3263535D" w14:textId="77777777" w:rsidR="00533389" w:rsidRDefault="00533389" w:rsidP="00517F1F"/>
        </w:tc>
      </w:tr>
    </w:tbl>
    <w:p w14:paraId="3AEE2A5B" w14:textId="77777777" w:rsidR="00533389" w:rsidRDefault="00533389" w:rsidP="00533389">
      <w:pPr>
        <w:pStyle w:val="Heading2"/>
      </w:pPr>
      <w:r>
        <w:t>Contract Details</w:t>
      </w:r>
    </w:p>
    <w:tbl>
      <w:tblPr>
        <w:tblStyle w:val="NationalGrid"/>
        <w:tblW w:w="10348" w:type="dxa"/>
        <w:tblLook w:val="04A0" w:firstRow="1" w:lastRow="0" w:firstColumn="1" w:lastColumn="0" w:noHBand="0" w:noVBand="1"/>
      </w:tblPr>
      <w:tblGrid>
        <w:gridCol w:w="4394"/>
        <w:gridCol w:w="5954"/>
      </w:tblGrid>
      <w:tr w:rsidR="00533389" w14:paraId="3B0B447C" w14:textId="77777777" w:rsidTr="006A7D02">
        <w:trPr>
          <w:cnfStyle w:val="100000000000" w:firstRow="1" w:lastRow="0" w:firstColumn="0" w:lastColumn="0" w:oddVBand="0" w:evenVBand="0" w:oddHBand="0" w:evenHBand="0" w:firstRowFirstColumn="0" w:firstRowLastColumn="0" w:lastRowFirstColumn="0" w:lastRowLastColumn="0"/>
          <w:trHeight w:val="348"/>
        </w:trPr>
        <w:tc>
          <w:tcPr>
            <w:tcW w:w="4394" w:type="dxa"/>
          </w:tcPr>
          <w:p w14:paraId="5DDBB1DC" w14:textId="77777777" w:rsidR="00533389" w:rsidRPr="00D509D4" w:rsidRDefault="00533389" w:rsidP="00517F1F">
            <w:pPr>
              <w:rPr>
                <w:sz w:val="18"/>
                <w:szCs w:val="18"/>
              </w:rPr>
            </w:pPr>
            <w:r w:rsidRPr="00D509D4">
              <w:rPr>
                <w:sz w:val="18"/>
                <w:szCs w:val="18"/>
              </w:rPr>
              <w:t>Contract ID</w:t>
            </w:r>
          </w:p>
        </w:tc>
        <w:tc>
          <w:tcPr>
            <w:tcW w:w="5954" w:type="dxa"/>
          </w:tcPr>
          <w:p w14:paraId="504325BB" w14:textId="77777777" w:rsidR="00533389" w:rsidRPr="004864D3" w:rsidRDefault="00533389" w:rsidP="00517F1F"/>
        </w:tc>
      </w:tr>
      <w:tr w:rsidR="00533389" w14:paraId="12CF1E37" w14:textId="77777777" w:rsidTr="006A7D02">
        <w:trPr>
          <w:trHeight w:val="333"/>
        </w:trPr>
        <w:tc>
          <w:tcPr>
            <w:tcW w:w="4394" w:type="dxa"/>
          </w:tcPr>
          <w:p w14:paraId="3A4F22D0" w14:textId="77777777" w:rsidR="00533389" w:rsidRPr="00D509D4" w:rsidRDefault="00533389" w:rsidP="00517F1F">
            <w:pPr>
              <w:rPr>
                <w:sz w:val="18"/>
                <w:szCs w:val="18"/>
              </w:rPr>
            </w:pPr>
            <w:r w:rsidRPr="00D509D4">
              <w:rPr>
                <w:sz w:val="18"/>
                <w:szCs w:val="18"/>
              </w:rPr>
              <w:t>Ser</w:t>
            </w:r>
            <w:r>
              <w:rPr>
                <w:sz w:val="18"/>
                <w:szCs w:val="18"/>
              </w:rPr>
              <w:t>vice type</w:t>
            </w:r>
          </w:p>
        </w:tc>
        <w:tc>
          <w:tcPr>
            <w:tcW w:w="5954" w:type="dxa"/>
          </w:tcPr>
          <w:p w14:paraId="08F75045" w14:textId="77777777" w:rsidR="00533389" w:rsidRPr="004864D3" w:rsidRDefault="00533389" w:rsidP="00517F1F"/>
        </w:tc>
      </w:tr>
      <w:tr w:rsidR="00533389" w14:paraId="0721B241" w14:textId="77777777" w:rsidTr="006A7D02">
        <w:trPr>
          <w:trHeight w:val="348"/>
        </w:trPr>
        <w:tc>
          <w:tcPr>
            <w:tcW w:w="4394" w:type="dxa"/>
          </w:tcPr>
          <w:p w14:paraId="2EC6F1D5" w14:textId="77777777" w:rsidR="00533389" w:rsidRPr="00D509D4" w:rsidRDefault="00533389" w:rsidP="00517F1F">
            <w:pPr>
              <w:rPr>
                <w:sz w:val="18"/>
                <w:szCs w:val="18"/>
              </w:rPr>
            </w:pPr>
            <w:r w:rsidRPr="00D509D4">
              <w:rPr>
                <w:sz w:val="18"/>
                <w:szCs w:val="18"/>
              </w:rPr>
              <w:t xml:space="preserve">Asset type, e.g. diesel generator, battery etc </w:t>
            </w:r>
          </w:p>
        </w:tc>
        <w:tc>
          <w:tcPr>
            <w:tcW w:w="5954" w:type="dxa"/>
          </w:tcPr>
          <w:p w14:paraId="213847A8" w14:textId="77777777" w:rsidR="00533389" w:rsidRPr="004864D3" w:rsidRDefault="00533389" w:rsidP="00517F1F"/>
        </w:tc>
      </w:tr>
      <w:tr w:rsidR="00533389" w14:paraId="64CD5763" w14:textId="77777777" w:rsidTr="006A7D02">
        <w:trPr>
          <w:trHeight w:val="348"/>
        </w:trPr>
        <w:tc>
          <w:tcPr>
            <w:tcW w:w="4394" w:type="dxa"/>
          </w:tcPr>
          <w:p w14:paraId="32C02043" w14:textId="77777777" w:rsidR="00533389" w:rsidRPr="00D509D4" w:rsidRDefault="00533389" w:rsidP="00517F1F">
            <w:pPr>
              <w:rPr>
                <w:sz w:val="18"/>
                <w:szCs w:val="18"/>
              </w:rPr>
            </w:pPr>
            <w:r w:rsidRPr="00D509D4">
              <w:rPr>
                <w:sz w:val="18"/>
                <w:szCs w:val="18"/>
              </w:rPr>
              <w:t>Unit make up, e.g. single or aggregated</w:t>
            </w:r>
          </w:p>
        </w:tc>
        <w:tc>
          <w:tcPr>
            <w:tcW w:w="5954" w:type="dxa"/>
          </w:tcPr>
          <w:p w14:paraId="0FA26A1B" w14:textId="77777777" w:rsidR="00533389" w:rsidRPr="004864D3" w:rsidRDefault="00533389" w:rsidP="00517F1F"/>
        </w:tc>
      </w:tr>
      <w:tr w:rsidR="00533389" w14:paraId="314BF5D8" w14:textId="77777777" w:rsidTr="006A7D02">
        <w:trPr>
          <w:trHeight w:val="348"/>
        </w:trPr>
        <w:tc>
          <w:tcPr>
            <w:tcW w:w="4394" w:type="dxa"/>
          </w:tcPr>
          <w:p w14:paraId="349E590B" w14:textId="77777777" w:rsidR="00533389" w:rsidRPr="00D509D4" w:rsidRDefault="00533389" w:rsidP="00517F1F">
            <w:pPr>
              <w:rPr>
                <w:sz w:val="18"/>
                <w:szCs w:val="18"/>
              </w:rPr>
            </w:pPr>
            <w:r w:rsidRPr="00D509D4">
              <w:rPr>
                <w:sz w:val="18"/>
                <w:szCs w:val="18"/>
              </w:rPr>
              <w:t>Aggregation methodology (if appropriate)</w:t>
            </w:r>
          </w:p>
        </w:tc>
        <w:tc>
          <w:tcPr>
            <w:tcW w:w="5954" w:type="dxa"/>
          </w:tcPr>
          <w:p w14:paraId="39CAB9F0" w14:textId="77777777" w:rsidR="00533389" w:rsidRPr="004864D3" w:rsidRDefault="00533389" w:rsidP="00517F1F"/>
        </w:tc>
      </w:tr>
      <w:tr w:rsidR="00533389" w14:paraId="34C025F1" w14:textId="77777777" w:rsidTr="006A7D02">
        <w:trPr>
          <w:trHeight w:val="333"/>
        </w:trPr>
        <w:tc>
          <w:tcPr>
            <w:tcW w:w="4394" w:type="dxa"/>
          </w:tcPr>
          <w:p w14:paraId="4A232826" w14:textId="77777777" w:rsidR="00533389" w:rsidRPr="00D509D4" w:rsidRDefault="00533389" w:rsidP="00517F1F">
            <w:pPr>
              <w:rPr>
                <w:sz w:val="18"/>
                <w:szCs w:val="18"/>
              </w:rPr>
            </w:pPr>
            <w:r w:rsidRPr="00D509D4">
              <w:rPr>
                <w:sz w:val="18"/>
                <w:szCs w:val="18"/>
              </w:rPr>
              <w:t>Unit location / ID</w:t>
            </w:r>
          </w:p>
        </w:tc>
        <w:tc>
          <w:tcPr>
            <w:tcW w:w="5954" w:type="dxa"/>
          </w:tcPr>
          <w:p w14:paraId="41C81AFD" w14:textId="77777777" w:rsidR="00533389" w:rsidRPr="004864D3" w:rsidRDefault="00533389" w:rsidP="00517F1F"/>
        </w:tc>
      </w:tr>
      <w:tr w:rsidR="00533389" w14:paraId="1D462D92" w14:textId="77777777" w:rsidTr="006A7D02">
        <w:trPr>
          <w:trHeight w:val="333"/>
        </w:trPr>
        <w:tc>
          <w:tcPr>
            <w:tcW w:w="4394" w:type="dxa"/>
          </w:tcPr>
          <w:p w14:paraId="4A7C53B6" w14:textId="77777777" w:rsidR="00533389" w:rsidRPr="00D509D4" w:rsidRDefault="00533389" w:rsidP="00517F1F">
            <w:pPr>
              <w:rPr>
                <w:sz w:val="18"/>
                <w:szCs w:val="18"/>
              </w:rPr>
            </w:pPr>
            <w:r w:rsidRPr="00D509D4">
              <w:rPr>
                <w:sz w:val="18"/>
                <w:szCs w:val="18"/>
              </w:rPr>
              <w:t>Test date</w:t>
            </w:r>
          </w:p>
        </w:tc>
        <w:tc>
          <w:tcPr>
            <w:tcW w:w="5954" w:type="dxa"/>
          </w:tcPr>
          <w:p w14:paraId="1EA439B2" w14:textId="77777777" w:rsidR="00533389" w:rsidRPr="000B2F47" w:rsidRDefault="00533389" w:rsidP="00517F1F"/>
        </w:tc>
      </w:tr>
    </w:tbl>
    <w:p w14:paraId="284EED97" w14:textId="77777777" w:rsidR="00533389" w:rsidRDefault="00533389" w:rsidP="00533389">
      <w:pPr>
        <w:pStyle w:val="Heading2"/>
      </w:pPr>
      <w:r>
        <w:t>Static Service Details</w:t>
      </w:r>
    </w:p>
    <w:tbl>
      <w:tblPr>
        <w:tblStyle w:val="NationalGrid"/>
        <w:tblW w:w="10488" w:type="dxa"/>
        <w:tblLook w:val="04A0" w:firstRow="1" w:lastRow="0" w:firstColumn="1" w:lastColumn="0" w:noHBand="0" w:noVBand="1"/>
      </w:tblPr>
      <w:tblGrid>
        <w:gridCol w:w="4395"/>
        <w:gridCol w:w="6093"/>
      </w:tblGrid>
      <w:tr w:rsidR="00533389" w14:paraId="405F4F88" w14:textId="77777777" w:rsidTr="008129B4">
        <w:trPr>
          <w:cnfStyle w:val="100000000000" w:firstRow="1" w:lastRow="0" w:firstColumn="0" w:lastColumn="0" w:oddVBand="0" w:evenVBand="0" w:oddHBand="0" w:evenHBand="0" w:firstRowFirstColumn="0" w:firstRowLastColumn="0" w:lastRowFirstColumn="0" w:lastRowLastColumn="0"/>
        </w:trPr>
        <w:tc>
          <w:tcPr>
            <w:tcW w:w="4395" w:type="dxa"/>
          </w:tcPr>
          <w:p w14:paraId="76FD927E" w14:textId="77777777" w:rsidR="00533389" w:rsidRPr="00D509D4" w:rsidRDefault="00533389" w:rsidP="00517F1F">
            <w:pPr>
              <w:rPr>
                <w:sz w:val="18"/>
                <w:szCs w:val="18"/>
              </w:rPr>
            </w:pPr>
            <w:r>
              <w:rPr>
                <w:sz w:val="18"/>
                <w:szCs w:val="18"/>
              </w:rPr>
              <w:t>Contracted MW</w:t>
            </w:r>
          </w:p>
        </w:tc>
        <w:tc>
          <w:tcPr>
            <w:tcW w:w="6093" w:type="dxa"/>
          </w:tcPr>
          <w:p w14:paraId="78E9E767" w14:textId="77777777" w:rsidR="00533389" w:rsidRPr="008505F3" w:rsidRDefault="00533389" w:rsidP="00517F1F"/>
        </w:tc>
      </w:tr>
      <w:tr w:rsidR="00533389" w14:paraId="420B4496" w14:textId="77777777" w:rsidTr="008129B4">
        <w:tc>
          <w:tcPr>
            <w:tcW w:w="4395" w:type="dxa"/>
          </w:tcPr>
          <w:p w14:paraId="237AEAA7" w14:textId="77777777" w:rsidR="00533389" w:rsidRPr="00D509D4" w:rsidRDefault="00533389" w:rsidP="00517F1F">
            <w:pPr>
              <w:rPr>
                <w:sz w:val="18"/>
                <w:szCs w:val="18"/>
              </w:rPr>
            </w:pPr>
            <w:r>
              <w:rPr>
                <w:sz w:val="18"/>
                <w:szCs w:val="18"/>
              </w:rPr>
              <w:t>Contracted response time</w:t>
            </w:r>
          </w:p>
        </w:tc>
        <w:tc>
          <w:tcPr>
            <w:tcW w:w="6093" w:type="dxa"/>
          </w:tcPr>
          <w:p w14:paraId="3D88BEC4" w14:textId="77777777" w:rsidR="00533389" w:rsidRPr="008505F3" w:rsidRDefault="00533389" w:rsidP="00517F1F">
            <w:r>
              <w:t>1</w:t>
            </w:r>
            <w:r w:rsidRPr="008505F3">
              <w:t xml:space="preserve"> sec</w:t>
            </w:r>
            <w:r>
              <w:t>ond</w:t>
            </w:r>
          </w:p>
        </w:tc>
      </w:tr>
      <w:tr w:rsidR="00533389" w14:paraId="57C63DD2" w14:textId="77777777" w:rsidTr="008129B4">
        <w:tc>
          <w:tcPr>
            <w:tcW w:w="4395" w:type="dxa"/>
          </w:tcPr>
          <w:p w14:paraId="45531119" w14:textId="77777777" w:rsidR="00533389" w:rsidRPr="00D509D4" w:rsidRDefault="00533389" w:rsidP="00517F1F">
            <w:pPr>
              <w:rPr>
                <w:sz w:val="18"/>
                <w:szCs w:val="18"/>
              </w:rPr>
            </w:pPr>
            <w:r>
              <w:rPr>
                <w:sz w:val="18"/>
                <w:szCs w:val="18"/>
              </w:rPr>
              <w:t>Contracted duration</w:t>
            </w:r>
          </w:p>
        </w:tc>
        <w:tc>
          <w:tcPr>
            <w:tcW w:w="6093" w:type="dxa"/>
          </w:tcPr>
          <w:p w14:paraId="1EC3C76C" w14:textId="77777777" w:rsidR="00533389" w:rsidRPr="008505F3" w:rsidRDefault="00533389" w:rsidP="00517F1F">
            <w:r w:rsidRPr="008505F3">
              <w:t>30</w:t>
            </w:r>
            <w:r>
              <w:t xml:space="preserve"> </w:t>
            </w:r>
            <w:r w:rsidRPr="008505F3">
              <w:t>mins</w:t>
            </w:r>
          </w:p>
        </w:tc>
      </w:tr>
      <w:tr w:rsidR="00533389" w14:paraId="5ADBABC0" w14:textId="77777777" w:rsidTr="008129B4">
        <w:tc>
          <w:tcPr>
            <w:tcW w:w="4395" w:type="dxa"/>
          </w:tcPr>
          <w:p w14:paraId="6B3E74FB" w14:textId="77777777" w:rsidR="00533389" w:rsidRPr="00D509D4" w:rsidRDefault="00533389" w:rsidP="00517F1F">
            <w:pPr>
              <w:rPr>
                <w:sz w:val="18"/>
                <w:szCs w:val="18"/>
              </w:rPr>
            </w:pPr>
            <w:r>
              <w:rPr>
                <w:sz w:val="18"/>
                <w:szCs w:val="18"/>
              </w:rPr>
              <w:t>Trigger Frequency Setting</w:t>
            </w:r>
          </w:p>
        </w:tc>
        <w:tc>
          <w:tcPr>
            <w:tcW w:w="6093" w:type="dxa"/>
          </w:tcPr>
          <w:p w14:paraId="561ABD44" w14:textId="77777777" w:rsidR="00533389" w:rsidRPr="008505F3" w:rsidRDefault="00533389" w:rsidP="00517F1F">
            <w:r>
              <w:t>49.6Hz</w:t>
            </w:r>
          </w:p>
        </w:tc>
      </w:tr>
    </w:tbl>
    <w:p w14:paraId="3858BA9E" w14:textId="77777777" w:rsidR="00533389" w:rsidRDefault="00533389" w:rsidP="00533389">
      <w:pPr>
        <w:pStyle w:val="Heading2"/>
      </w:pPr>
      <w:r>
        <w:t>Test Results</w:t>
      </w:r>
    </w:p>
    <w:tbl>
      <w:tblPr>
        <w:tblStyle w:val="NationalGrid"/>
        <w:tblW w:w="10490" w:type="dxa"/>
        <w:tblLook w:val="04A0" w:firstRow="1" w:lastRow="0" w:firstColumn="1" w:lastColumn="0" w:noHBand="0" w:noVBand="1"/>
      </w:tblPr>
      <w:tblGrid>
        <w:gridCol w:w="3828"/>
        <w:gridCol w:w="1417"/>
        <w:gridCol w:w="5245"/>
      </w:tblGrid>
      <w:tr w:rsidR="00533389" w14:paraId="3C8A126B" w14:textId="77777777" w:rsidTr="008129B4">
        <w:trPr>
          <w:cnfStyle w:val="100000000000" w:firstRow="1" w:lastRow="0" w:firstColumn="0" w:lastColumn="0" w:oddVBand="0" w:evenVBand="0" w:oddHBand="0" w:evenHBand="0" w:firstRowFirstColumn="0" w:firstRowLastColumn="0" w:lastRowFirstColumn="0" w:lastRowLastColumn="0"/>
          <w:tblHeader/>
        </w:trPr>
        <w:tc>
          <w:tcPr>
            <w:tcW w:w="3828" w:type="dxa"/>
          </w:tcPr>
          <w:p w14:paraId="3EFC1F62" w14:textId="77777777" w:rsidR="00533389" w:rsidRPr="00E630EA" w:rsidRDefault="00533389" w:rsidP="00517F1F">
            <w:pPr>
              <w:rPr>
                <w:color w:val="F26522" w:themeColor="accent1"/>
              </w:rPr>
            </w:pPr>
            <w:r w:rsidRPr="00E630EA">
              <w:rPr>
                <w:color w:val="F26522" w:themeColor="accent1"/>
              </w:rPr>
              <w:t>Pass Criteria</w:t>
            </w:r>
          </w:p>
        </w:tc>
        <w:tc>
          <w:tcPr>
            <w:tcW w:w="1417" w:type="dxa"/>
          </w:tcPr>
          <w:p w14:paraId="694CC03A" w14:textId="77777777" w:rsidR="00533389" w:rsidRPr="00E630EA" w:rsidRDefault="00533389" w:rsidP="00517F1F">
            <w:pPr>
              <w:jc w:val="center"/>
              <w:rPr>
                <w:color w:val="F26522" w:themeColor="accent1"/>
              </w:rPr>
            </w:pPr>
            <w:r w:rsidRPr="00E630EA">
              <w:rPr>
                <w:color w:val="F26522" w:themeColor="accent1"/>
              </w:rPr>
              <w:t>Pass</w:t>
            </w:r>
            <w:r w:rsidR="006A7D02">
              <w:rPr>
                <w:color w:val="F26522" w:themeColor="accent1"/>
              </w:rPr>
              <w:t xml:space="preserve"> </w:t>
            </w:r>
            <w:r w:rsidRPr="00E630EA">
              <w:rPr>
                <w:color w:val="F26522" w:themeColor="accent1"/>
              </w:rPr>
              <w:t>/</w:t>
            </w:r>
            <w:r w:rsidR="006A7D02">
              <w:rPr>
                <w:color w:val="F26522" w:themeColor="accent1"/>
              </w:rPr>
              <w:t xml:space="preserve"> </w:t>
            </w:r>
            <w:r w:rsidRPr="00E630EA">
              <w:rPr>
                <w:color w:val="F26522" w:themeColor="accent1"/>
              </w:rPr>
              <w:t>Fail</w:t>
            </w:r>
          </w:p>
        </w:tc>
        <w:tc>
          <w:tcPr>
            <w:tcW w:w="5245" w:type="dxa"/>
          </w:tcPr>
          <w:p w14:paraId="407751CE" w14:textId="77777777" w:rsidR="00533389" w:rsidRPr="00E630EA" w:rsidRDefault="00533389" w:rsidP="00517F1F">
            <w:pPr>
              <w:rPr>
                <w:color w:val="F26522" w:themeColor="accent1"/>
              </w:rPr>
            </w:pPr>
            <w:r w:rsidRPr="00E630EA">
              <w:rPr>
                <w:color w:val="F26522" w:themeColor="accent1"/>
              </w:rPr>
              <w:t>Comment</w:t>
            </w:r>
          </w:p>
        </w:tc>
      </w:tr>
      <w:tr w:rsidR="00533389" w14:paraId="3EED761B" w14:textId="77777777" w:rsidTr="006A7D02">
        <w:tc>
          <w:tcPr>
            <w:tcW w:w="3828" w:type="dxa"/>
          </w:tcPr>
          <w:p w14:paraId="17F170C2" w14:textId="77777777" w:rsidR="00533389" w:rsidRPr="00F9039C" w:rsidRDefault="00533389" w:rsidP="00517F1F">
            <w:r w:rsidRPr="005E452B">
              <w:t>An acceptable frequency injection profile is used.</w:t>
            </w:r>
          </w:p>
        </w:tc>
        <w:tc>
          <w:tcPr>
            <w:tcW w:w="1417" w:type="dxa"/>
          </w:tcPr>
          <w:p w14:paraId="247F8CCF" w14:textId="77777777" w:rsidR="00533389" w:rsidRPr="00F9039C" w:rsidRDefault="006A7D02" w:rsidP="00517F1F">
            <w:pPr>
              <w:jc w:val="center"/>
            </w:pPr>
            <w:r>
              <w:t>Pass / Fail</w:t>
            </w:r>
          </w:p>
        </w:tc>
        <w:tc>
          <w:tcPr>
            <w:tcW w:w="5245" w:type="dxa"/>
          </w:tcPr>
          <w:p w14:paraId="4C499BDE" w14:textId="77777777" w:rsidR="00533389" w:rsidRDefault="00533389" w:rsidP="00517F1F"/>
        </w:tc>
      </w:tr>
      <w:tr w:rsidR="00533389" w14:paraId="2798BC2F" w14:textId="77777777" w:rsidTr="006A7D02">
        <w:tc>
          <w:tcPr>
            <w:tcW w:w="3828" w:type="dxa"/>
          </w:tcPr>
          <w:p w14:paraId="36D8B736" w14:textId="77777777" w:rsidR="00533389" w:rsidRPr="00A56287" w:rsidRDefault="00533389" w:rsidP="00517F1F">
            <w:pPr>
              <w:pStyle w:val="NoSpacing"/>
              <w:rPr>
                <w:color w:val="454545" w:themeColor="text1"/>
                <w:sz w:val="20"/>
              </w:rPr>
            </w:pPr>
            <w:r w:rsidRPr="005E452B">
              <w:rPr>
                <w:color w:val="454545" w:themeColor="text1"/>
                <w:sz w:val="20"/>
              </w:rPr>
              <w:t>The relay operating point of the plant/unit(s) occurs at the correct contracted trigger frequency and within the permitted tolerance (±0.01Hz).</w:t>
            </w:r>
          </w:p>
        </w:tc>
        <w:tc>
          <w:tcPr>
            <w:tcW w:w="1417" w:type="dxa"/>
          </w:tcPr>
          <w:p w14:paraId="32F95E72" w14:textId="77777777" w:rsidR="00533389" w:rsidRPr="00A56287" w:rsidRDefault="006A7D02" w:rsidP="00517F1F">
            <w:pPr>
              <w:pStyle w:val="NoSpacing"/>
              <w:jc w:val="center"/>
              <w:rPr>
                <w:color w:val="454545" w:themeColor="text1"/>
                <w:sz w:val="20"/>
              </w:rPr>
            </w:pPr>
            <w:r w:rsidRPr="006A7D02">
              <w:rPr>
                <w:color w:val="454545" w:themeColor="text1"/>
                <w:sz w:val="20"/>
              </w:rPr>
              <w:t>Pass / Fail</w:t>
            </w:r>
          </w:p>
        </w:tc>
        <w:tc>
          <w:tcPr>
            <w:tcW w:w="5245" w:type="dxa"/>
          </w:tcPr>
          <w:p w14:paraId="23A90E5D" w14:textId="77777777" w:rsidR="00533389" w:rsidRPr="00724390" w:rsidRDefault="00DC4860" w:rsidP="00517F1F">
            <w:pPr>
              <w:pStyle w:val="BodyText"/>
            </w:pPr>
            <w:r w:rsidRPr="00DC4860">
              <w:t>See Figure 1 for sample showing close up of the frequency at which relay operates</w:t>
            </w:r>
          </w:p>
        </w:tc>
      </w:tr>
      <w:tr w:rsidR="00533389" w14:paraId="7AEE52C9" w14:textId="77777777" w:rsidTr="006A7D02">
        <w:trPr>
          <w:trHeight w:val="438"/>
        </w:trPr>
        <w:tc>
          <w:tcPr>
            <w:tcW w:w="3828" w:type="dxa"/>
          </w:tcPr>
          <w:p w14:paraId="29782BF8" w14:textId="77777777" w:rsidR="00533389" w:rsidRPr="00A56287" w:rsidRDefault="00533389" w:rsidP="00517F1F">
            <w:pPr>
              <w:pStyle w:val="NoSpacing"/>
              <w:rPr>
                <w:color w:val="454545" w:themeColor="text1"/>
                <w:sz w:val="20"/>
              </w:rPr>
            </w:pPr>
            <w:r w:rsidRPr="005E452B">
              <w:rPr>
                <w:color w:val="454545" w:themeColor="text1"/>
                <w:sz w:val="20"/>
              </w:rPr>
              <w:t>The response is sustained for 30 minutes.</w:t>
            </w:r>
          </w:p>
        </w:tc>
        <w:tc>
          <w:tcPr>
            <w:tcW w:w="1417" w:type="dxa"/>
          </w:tcPr>
          <w:p w14:paraId="023B9B38" w14:textId="77777777" w:rsidR="00533389" w:rsidRPr="00A56287" w:rsidRDefault="006A7D02" w:rsidP="00517F1F">
            <w:pPr>
              <w:pStyle w:val="NoSpacing"/>
              <w:jc w:val="center"/>
              <w:rPr>
                <w:color w:val="454545" w:themeColor="text1"/>
                <w:sz w:val="20"/>
              </w:rPr>
            </w:pPr>
            <w:r w:rsidRPr="006A7D02">
              <w:rPr>
                <w:color w:val="454545" w:themeColor="text1"/>
                <w:sz w:val="20"/>
              </w:rPr>
              <w:t>Pass / Fail</w:t>
            </w:r>
          </w:p>
        </w:tc>
        <w:tc>
          <w:tcPr>
            <w:tcW w:w="5245" w:type="dxa"/>
          </w:tcPr>
          <w:p w14:paraId="43BE69D1" w14:textId="77777777" w:rsidR="00533389" w:rsidRPr="00A56287" w:rsidRDefault="006A7D02" w:rsidP="00517F1F">
            <w:pPr>
              <w:pStyle w:val="NoSpacing"/>
              <w:rPr>
                <w:color w:val="454545" w:themeColor="text1"/>
                <w:sz w:val="20"/>
              </w:rPr>
            </w:pPr>
            <w:r>
              <w:rPr>
                <w:color w:val="454545" w:themeColor="text1"/>
                <w:sz w:val="20"/>
              </w:rPr>
              <w:t xml:space="preserve">  </w:t>
            </w:r>
          </w:p>
        </w:tc>
      </w:tr>
      <w:tr w:rsidR="00533389" w14:paraId="615DFFED" w14:textId="77777777" w:rsidTr="008129B4">
        <w:tc>
          <w:tcPr>
            <w:tcW w:w="3828" w:type="dxa"/>
          </w:tcPr>
          <w:p w14:paraId="23EAF463" w14:textId="77777777" w:rsidR="00533389" w:rsidRPr="00A56287" w:rsidRDefault="00533389" w:rsidP="00517F1F">
            <w:pPr>
              <w:pStyle w:val="NoSpacing"/>
              <w:rPr>
                <w:color w:val="454545" w:themeColor="text1"/>
                <w:sz w:val="20"/>
              </w:rPr>
            </w:pPr>
            <w:r w:rsidRPr="005E452B">
              <w:rPr>
                <w:color w:val="454545" w:themeColor="text1"/>
                <w:sz w:val="20"/>
              </w:rPr>
              <w:t>The standard deviation of active power error over a 30 minute period does not exceed 2.5% of the contracted active power change.</w:t>
            </w:r>
          </w:p>
        </w:tc>
        <w:tc>
          <w:tcPr>
            <w:tcW w:w="1417" w:type="dxa"/>
          </w:tcPr>
          <w:p w14:paraId="07AE4E1D" w14:textId="77777777" w:rsidR="00533389" w:rsidRPr="00A56287" w:rsidRDefault="006A7D02" w:rsidP="00517F1F">
            <w:pPr>
              <w:pStyle w:val="NoSpacing"/>
              <w:jc w:val="center"/>
              <w:rPr>
                <w:color w:val="454545" w:themeColor="text1"/>
                <w:sz w:val="20"/>
              </w:rPr>
            </w:pPr>
            <w:r w:rsidRPr="006A7D02">
              <w:rPr>
                <w:color w:val="454545" w:themeColor="text1"/>
                <w:sz w:val="20"/>
              </w:rPr>
              <w:t>Pass / Fail</w:t>
            </w:r>
          </w:p>
        </w:tc>
        <w:tc>
          <w:tcPr>
            <w:tcW w:w="5245" w:type="dxa"/>
          </w:tcPr>
          <w:p w14:paraId="44F76156" w14:textId="77777777" w:rsidR="00533389" w:rsidRPr="000B297A" w:rsidRDefault="00533389" w:rsidP="00517F1F">
            <w:pPr>
              <w:pStyle w:val="NoSpacing"/>
              <w:rPr>
                <w:color w:val="454545" w:themeColor="text1"/>
                <w:sz w:val="20"/>
              </w:rPr>
            </w:pPr>
            <w:r>
              <w:rPr>
                <w:color w:val="454545" w:themeColor="text1"/>
                <w:sz w:val="20"/>
              </w:rPr>
              <w:t>Insert test SD value here</w:t>
            </w:r>
          </w:p>
        </w:tc>
      </w:tr>
      <w:tr w:rsidR="00533389" w14:paraId="37D06B7F" w14:textId="77777777" w:rsidTr="008129B4">
        <w:tc>
          <w:tcPr>
            <w:tcW w:w="3828" w:type="dxa"/>
          </w:tcPr>
          <w:p w14:paraId="6E2FFF36" w14:textId="77777777" w:rsidR="00533389" w:rsidRPr="005E452B" w:rsidRDefault="00533389" w:rsidP="00517F1F">
            <w:pPr>
              <w:pStyle w:val="NoSpacing"/>
              <w:rPr>
                <w:color w:val="454545" w:themeColor="text1"/>
                <w:sz w:val="20"/>
              </w:rPr>
            </w:pPr>
            <w:r w:rsidRPr="001C631D">
              <w:rPr>
                <w:color w:val="454545" w:themeColor="text1"/>
                <w:sz w:val="20"/>
              </w:rPr>
              <w:t>Response volume is assessed as the minimum response observed from 1 second to 30 minutes following relay trigger</w:t>
            </w:r>
          </w:p>
        </w:tc>
        <w:tc>
          <w:tcPr>
            <w:tcW w:w="1417" w:type="dxa"/>
          </w:tcPr>
          <w:p w14:paraId="425EABD6" w14:textId="77777777" w:rsidR="00533389" w:rsidRPr="00A56287" w:rsidRDefault="006A7D02" w:rsidP="00517F1F">
            <w:pPr>
              <w:pStyle w:val="NoSpacing"/>
              <w:jc w:val="center"/>
              <w:rPr>
                <w:color w:val="454545" w:themeColor="text1"/>
                <w:sz w:val="20"/>
              </w:rPr>
            </w:pPr>
            <w:r w:rsidRPr="006A7D02">
              <w:rPr>
                <w:color w:val="454545" w:themeColor="text1"/>
                <w:sz w:val="20"/>
              </w:rPr>
              <w:t>Pass / Fail</w:t>
            </w:r>
          </w:p>
        </w:tc>
        <w:tc>
          <w:tcPr>
            <w:tcW w:w="5245" w:type="dxa"/>
          </w:tcPr>
          <w:p w14:paraId="44F2F5E7" w14:textId="77777777" w:rsidR="00533389" w:rsidRDefault="00533389" w:rsidP="00517F1F">
            <w:pPr>
              <w:pStyle w:val="NoSpacing"/>
              <w:rPr>
                <w:color w:val="454545" w:themeColor="text1"/>
                <w:sz w:val="20"/>
              </w:rPr>
            </w:pPr>
            <w:r>
              <w:rPr>
                <w:color w:val="454545" w:themeColor="text1"/>
                <w:sz w:val="20"/>
              </w:rPr>
              <w:t>Can be shown in Figure 2 below.</w:t>
            </w:r>
          </w:p>
        </w:tc>
      </w:tr>
      <w:tr w:rsidR="00533389" w14:paraId="26280AC5" w14:textId="77777777" w:rsidTr="008129B4">
        <w:tc>
          <w:tcPr>
            <w:tcW w:w="3828" w:type="dxa"/>
          </w:tcPr>
          <w:p w14:paraId="51B8B30A" w14:textId="77777777" w:rsidR="00533389" w:rsidRPr="001F7575" w:rsidRDefault="00533389" w:rsidP="00517F1F">
            <w:pPr>
              <w:rPr>
                <w:b/>
              </w:rPr>
            </w:pPr>
            <w:r w:rsidRPr="001F7575">
              <w:rPr>
                <w:b/>
              </w:rPr>
              <w:t>Overall Test Result</w:t>
            </w:r>
          </w:p>
        </w:tc>
        <w:tc>
          <w:tcPr>
            <w:tcW w:w="1417" w:type="dxa"/>
          </w:tcPr>
          <w:p w14:paraId="35B9608C" w14:textId="77777777" w:rsidR="00533389" w:rsidRPr="006A7D02" w:rsidRDefault="006A7D02" w:rsidP="00517F1F">
            <w:pPr>
              <w:jc w:val="center"/>
              <w:rPr>
                <w:b/>
              </w:rPr>
            </w:pPr>
            <w:r w:rsidRPr="006A7D02">
              <w:rPr>
                <w:b/>
              </w:rPr>
              <w:t>Pass / Fail</w:t>
            </w:r>
          </w:p>
        </w:tc>
        <w:tc>
          <w:tcPr>
            <w:tcW w:w="5245" w:type="dxa"/>
          </w:tcPr>
          <w:p w14:paraId="23B9B380" w14:textId="77777777" w:rsidR="00533389" w:rsidRPr="00F326B0" w:rsidRDefault="00533389" w:rsidP="00517F1F">
            <w:pPr>
              <w:pStyle w:val="Bullet1"/>
              <w:numPr>
                <w:ilvl w:val="0"/>
                <w:numId w:val="0"/>
              </w:numPr>
              <w:rPr>
                <w:b/>
              </w:rPr>
            </w:pPr>
            <w:r>
              <w:rPr>
                <w:b/>
              </w:rPr>
              <w:t>&lt;Confirm volume validated by test&gt;</w:t>
            </w:r>
          </w:p>
        </w:tc>
      </w:tr>
    </w:tbl>
    <w:p w14:paraId="6931F62A" w14:textId="77777777" w:rsidR="00533389" w:rsidRDefault="00533389" w:rsidP="00533389">
      <w:pPr>
        <w:rPr>
          <w:rFonts w:asciiTheme="majorHAnsi" w:hAnsiTheme="majorHAnsi" w:cstheme="majorHAnsi"/>
          <w:b/>
          <w:color w:val="F26522" w:themeColor="accent1"/>
        </w:rPr>
      </w:pPr>
    </w:p>
    <w:p w14:paraId="3CBD97DA" w14:textId="1B9077B4" w:rsidR="00533389" w:rsidRDefault="00533389" w:rsidP="00533389">
      <w:pPr>
        <w:pStyle w:val="TableTitle"/>
      </w:pPr>
      <w:r>
        <w:t>Figure 1 – Relay Operation (sample</w:t>
      </w:r>
      <w:r w:rsidR="008129B4">
        <w:t>, to be replaced with test data</w:t>
      </w:r>
      <w:r>
        <w:t>)</w:t>
      </w:r>
    </w:p>
    <w:p w14:paraId="507763EE" w14:textId="77777777" w:rsidR="00533389" w:rsidRDefault="00DC4860" w:rsidP="00533389">
      <w:pPr>
        <w:pStyle w:val="Bullet1"/>
        <w:numPr>
          <w:ilvl w:val="0"/>
          <w:numId w:val="0"/>
        </w:numPr>
      </w:pPr>
      <w:r>
        <w:rPr>
          <w:noProof/>
          <w:lang w:eastAsia="en-GB"/>
        </w:rPr>
        <w:drawing>
          <wp:inline distT="0" distB="0" distL="0" distR="0" wp14:anchorId="4B9F4F07" wp14:editId="39A79CD4">
            <wp:extent cx="5095875" cy="3120552"/>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5472" cy="3132553"/>
                    </a:xfrm>
                    <a:prstGeom prst="rect">
                      <a:avLst/>
                    </a:prstGeom>
                    <a:noFill/>
                  </pic:spPr>
                </pic:pic>
              </a:graphicData>
            </a:graphic>
          </wp:inline>
        </w:drawing>
      </w:r>
    </w:p>
    <w:p w14:paraId="0F418438" w14:textId="77777777" w:rsidR="006A7D02" w:rsidRDefault="006A7D02" w:rsidP="00533389">
      <w:pPr>
        <w:pStyle w:val="Bullet1"/>
        <w:numPr>
          <w:ilvl w:val="0"/>
          <w:numId w:val="0"/>
        </w:numPr>
      </w:pPr>
    </w:p>
    <w:p w14:paraId="5F7A1B41" w14:textId="5E83C632" w:rsidR="00533389" w:rsidRDefault="00DC4860" w:rsidP="00533389">
      <w:pPr>
        <w:pStyle w:val="TableTitle"/>
      </w:pPr>
      <w:r>
        <w:t>F</w:t>
      </w:r>
      <w:r w:rsidR="00533389">
        <w:t>igure 2 – Overall Response (sample</w:t>
      </w:r>
      <w:r w:rsidR="008129B4">
        <w:t>, to be replaced with test data</w:t>
      </w:r>
      <w:r w:rsidR="00533389">
        <w:t>)</w:t>
      </w:r>
    </w:p>
    <w:p w14:paraId="6A746E51" w14:textId="77777777" w:rsidR="00533389" w:rsidRDefault="00DC4860" w:rsidP="00533389">
      <w:pPr>
        <w:pStyle w:val="BodyText"/>
      </w:pPr>
      <w:r>
        <w:rPr>
          <w:noProof/>
          <w:lang w:eastAsia="en-GB"/>
        </w:rPr>
        <w:drawing>
          <wp:inline distT="0" distB="0" distL="0" distR="0" wp14:anchorId="6E385052" wp14:editId="016E5BCB">
            <wp:extent cx="5101165" cy="2743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2458" cy="2749273"/>
                    </a:xfrm>
                    <a:prstGeom prst="rect">
                      <a:avLst/>
                    </a:prstGeom>
                    <a:noFill/>
                  </pic:spPr>
                </pic:pic>
              </a:graphicData>
            </a:graphic>
          </wp:inline>
        </w:drawing>
      </w:r>
    </w:p>
    <w:p w14:paraId="0FB9143D" w14:textId="77777777" w:rsidR="006A7D02" w:rsidRDefault="006A7D02" w:rsidP="00533389">
      <w:pPr>
        <w:pStyle w:val="BodyText"/>
      </w:pPr>
    </w:p>
    <w:p w14:paraId="4A4A1079" w14:textId="77777777" w:rsidR="006A7D02" w:rsidRDefault="006A7D02" w:rsidP="00533389">
      <w:pPr>
        <w:pStyle w:val="BodyText"/>
      </w:pPr>
    </w:p>
    <w:p w14:paraId="1666C129" w14:textId="77777777" w:rsidR="006A7D02" w:rsidRDefault="006A7D02" w:rsidP="00533389">
      <w:pPr>
        <w:pStyle w:val="BodyText"/>
      </w:pPr>
    </w:p>
    <w:p w14:paraId="7F0CF524" w14:textId="77777777" w:rsidR="009A09C1" w:rsidRDefault="009A09C1" w:rsidP="009A09C1">
      <w:pPr>
        <w:pStyle w:val="Heading2"/>
      </w:pPr>
      <w:r w:rsidRPr="0069316C">
        <w:rPr>
          <w:sz w:val="24"/>
          <w:szCs w:val="24"/>
        </w:rPr>
        <w:t>Independent Technical Expert (ITE)</w:t>
      </w:r>
      <w:r>
        <w:rPr>
          <w:sz w:val="24"/>
          <w:szCs w:val="24"/>
        </w:rPr>
        <w:t xml:space="preserve"> Details </w:t>
      </w:r>
    </w:p>
    <w:tbl>
      <w:tblPr>
        <w:tblStyle w:val="NationalGrid"/>
        <w:tblW w:w="10206" w:type="dxa"/>
        <w:tblInd w:w="284" w:type="dxa"/>
        <w:tblLook w:val="04A0" w:firstRow="1" w:lastRow="0" w:firstColumn="1" w:lastColumn="0" w:noHBand="0" w:noVBand="1"/>
      </w:tblPr>
      <w:tblGrid>
        <w:gridCol w:w="4394"/>
        <w:gridCol w:w="5812"/>
      </w:tblGrid>
      <w:tr w:rsidR="009A09C1" w14:paraId="188B2DB9" w14:textId="77777777" w:rsidTr="00517F1F">
        <w:trPr>
          <w:cnfStyle w:val="100000000000" w:firstRow="1" w:lastRow="0" w:firstColumn="0" w:lastColumn="0" w:oddVBand="0" w:evenVBand="0" w:oddHBand="0" w:evenHBand="0" w:firstRowFirstColumn="0" w:firstRowLastColumn="0" w:lastRowFirstColumn="0" w:lastRowLastColumn="0"/>
          <w:trHeight w:val="284"/>
        </w:trPr>
        <w:tc>
          <w:tcPr>
            <w:tcW w:w="4394" w:type="dxa"/>
          </w:tcPr>
          <w:p w14:paraId="2F256F93" w14:textId="77777777" w:rsidR="009A09C1" w:rsidRPr="00D509D4" w:rsidRDefault="009A09C1" w:rsidP="00517F1F">
            <w:pPr>
              <w:rPr>
                <w:rFonts w:cstheme="minorHAnsi"/>
                <w:sz w:val="18"/>
                <w:szCs w:val="18"/>
              </w:rPr>
            </w:pPr>
            <w:r>
              <w:rPr>
                <w:rFonts w:cstheme="minorHAnsi"/>
                <w:sz w:val="18"/>
                <w:szCs w:val="18"/>
              </w:rPr>
              <w:t>C</w:t>
            </w:r>
            <w:r w:rsidRPr="00D509D4">
              <w:rPr>
                <w:rFonts w:cstheme="minorHAnsi"/>
                <w:sz w:val="18"/>
                <w:szCs w:val="18"/>
              </w:rPr>
              <w:t>ompany name</w:t>
            </w:r>
          </w:p>
        </w:tc>
        <w:tc>
          <w:tcPr>
            <w:tcW w:w="5812" w:type="dxa"/>
          </w:tcPr>
          <w:p w14:paraId="4A3619DE" w14:textId="77777777" w:rsidR="009A09C1" w:rsidRPr="00486269" w:rsidRDefault="009A09C1" w:rsidP="00517F1F"/>
        </w:tc>
      </w:tr>
      <w:tr w:rsidR="009A09C1" w14:paraId="5F31C56D" w14:textId="77777777" w:rsidTr="00517F1F">
        <w:trPr>
          <w:trHeight w:val="284"/>
        </w:trPr>
        <w:tc>
          <w:tcPr>
            <w:tcW w:w="4394" w:type="dxa"/>
          </w:tcPr>
          <w:p w14:paraId="2E65BE0B" w14:textId="77777777" w:rsidR="009A09C1" w:rsidRPr="00D509D4" w:rsidRDefault="009A09C1" w:rsidP="00517F1F">
            <w:pPr>
              <w:rPr>
                <w:rFonts w:cstheme="minorHAnsi"/>
                <w:sz w:val="18"/>
                <w:szCs w:val="18"/>
              </w:rPr>
            </w:pPr>
            <w:r w:rsidRPr="00D509D4">
              <w:rPr>
                <w:rFonts w:cstheme="minorHAnsi"/>
                <w:sz w:val="18"/>
                <w:szCs w:val="18"/>
              </w:rPr>
              <w:t>Primary contact name</w:t>
            </w:r>
          </w:p>
        </w:tc>
        <w:tc>
          <w:tcPr>
            <w:tcW w:w="5812" w:type="dxa"/>
          </w:tcPr>
          <w:p w14:paraId="10386971" w14:textId="77777777" w:rsidR="009A09C1" w:rsidRPr="00486269" w:rsidRDefault="009A09C1" w:rsidP="00517F1F"/>
        </w:tc>
      </w:tr>
      <w:tr w:rsidR="009A09C1" w14:paraId="01F3D390" w14:textId="77777777" w:rsidTr="00517F1F">
        <w:trPr>
          <w:trHeight w:val="284"/>
        </w:trPr>
        <w:tc>
          <w:tcPr>
            <w:tcW w:w="4394" w:type="dxa"/>
          </w:tcPr>
          <w:p w14:paraId="136FDB57" w14:textId="77777777" w:rsidR="009A09C1" w:rsidRPr="00D509D4" w:rsidRDefault="009A09C1" w:rsidP="00517F1F">
            <w:pPr>
              <w:rPr>
                <w:rFonts w:cstheme="minorHAnsi"/>
                <w:sz w:val="18"/>
                <w:szCs w:val="18"/>
              </w:rPr>
            </w:pPr>
            <w:r w:rsidRPr="00D509D4">
              <w:rPr>
                <w:rFonts w:cstheme="minorHAnsi"/>
                <w:sz w:val="18"/>
                <w:szCs w:val="18"/>
              </w:rPr>
              <w:t>Contact number /s</w:t>
            </w:r>
          </w:p>
        </w:tc>
        <w:tc>
          <w:tcPr>
            <w:tcW w:w="5812" w:type="dxa"/>
          </w:tcPr>
          <w:p w14:paraId="453E4BEE" w14:textId="77777777" w:rsidR="009A09C1" w:rsidRPr="00486269" w:rsidRDefault="009A09C1" w:rsidP="00517F1F"/>
        </w:tc>
      </w:tr>
      <w:tr w:rsidR="009A09C1" w14:paraId="30AB471B" w14:textId="77777777" w:rsidTr="00517F1F">
        <w:trPr>
          <w:trHeight w:val="284"/>
        </w:trPr>
        <w:tc>
          <w:tcPr>
            <w:tcW w:w="4394" w:type="dxa"/>
          </w:tcPr>
          <w:p w14:paraId="0207F696" w14:textId="77777777" w:rsidR="009A09C1" w:rsidRPr="00D509D4" w:rsidRDefault="009A09C1" w:rsidP="00517F1F">
            <w:pPr>
              <w:rPr>
                <w:rFonts w:cstheme="minorHAnsi"/>
                <w:sz w:val="18"/>
                <w:szCs w:val="18"/>
              </w:rPr>
            </w:pPr>
            <w:r w:rsidRPr="00D509D4">
              <w:rPr>
                <w:rFonts w:cstheme="minorHAnsi"/>
                <w:sz w:val="18"/>
                <w:szCs w:val="18"/>
              </w:rPr>
              <w:t>Email address</w:t>
            </w:r>
          </w:p>
        </w:tc>
        <w:tc>
          <w:tcPr>
            <w:tcW w:w="5812" w:type="dxa"/>
          </w:tcPr>
          <w:p w14:paraId="068B7F9C" w14:textId="77777777" w:rsidR="009A09C1" w:rsidRDefault="009A09C1" w:rsidP="00517F1F"/>
        </w:tc>
      </w:tr>
      <w:tr w:rsidR="009A09C1" w14:paraId="11059BD0" w14:textId="77777777" w:rsidTr="00517F1F">
        <w:trPr>
          <w:trHeight w:val="284"/>
        </w:trPr>
        <w:tc>
          <w:tcPr>
            <w:tcW w:w="10206" w:type="dxa"/>
            <w:gridSpan w:val="2"/>
          </w:tcPr>
          <w:p w14:paraId="43E175FA" w14:textId="3B68D1EB" w:rsidR="00854879" w:rsidRDefault="009A09C1" w:rsidP="00854879">
            <w:pPr>
              <w:rPr>
                <w:rFonts w:cstheme="minorHAnsi"/>
                <w:b/>
                <w:color w:val="F26522" w:themeColor="accent1"/>
                <w:sz w:val="18"/>
                <w:szCs w:val="18"/>
              </w:rPr>
            </w:pPr>
            <w:r w:rsidRPr="006A7D02">
              <w:rPr>
                <w:rFonts w:cstheme="minorHAnsi"/>
                <w:b/>
                <w:color w:val="F26522" w:themeColor="accent1"/>
                <w:sz w:val="18"/>
                <w:szCs w:val="18"/>
              </w:rPr>
              <w:t xml:space="preserve">I / We confirm that I / We the </w:t>
            </w:r>
            <w:r w:rsidR="00854879">
              <w:rPr>
                <w:rFonts w:cstheme="minorHAnsi"/>
                <w:b/>
                <w:color w:val="F26522" w:themeColor="accent1"/>
                <w:sz w:val="18"/>
                <w:szCs w:val="18"/>
              </w:rPr>
              <w:t>following:</w:t>
            </w:r>
          </w:p>
          <w:p w14:paraId="5C836D93" w14:textId="01D3FFC2" w:rsidR="00854879" w:rsidRPr="008129B4" w:rsidRDefault="00854879" w:rsidP="008129B4">
            <w:pPr>
              <w:pStyle w:val="ListParagraph"/>
              <w:numPr>
                <w:ilvl w:val="0"/>
                <w:numId w:val="23"/>
              </w:numPr>
              <w:rPr>
                <w:b/>
              </w:rPr>
            </w:pPr>
            <w:r>
              <w:rPr>
                <w:rFonts w:cstheme="minorHAnsi"/>
                <w:b/>
                <w:color w:val="F26522" w:themeColor="accent1"/>
                <w:sz w:val="18"/>
                <w:szCs w:val="18"/>
              </w:rPr>
              <w:t>I/We am a/are Independent Technical Expert(s) (as defined in Appendix B of the NGESO’s prevailing Testing Guidelines;</w:t>
            </w:r>
          </w:p>
          <w:p w14:paraId="1B36DB25" w14:textId="77777777" w:rsidR="00854879" w:rsidRPr="008129B4" w:rsidRDefault="00854879" w:rsidP="008129B4">
            <w:pPr>
              <w:pStyle w:val="ListParagraph"/>
              <w:numPr>
                <w:ilvl w:val="0"/>
                <w:numId w:val="23"/>
              </w:numPr>
              <w:rPr>
                <w:b/>
              </w:rPr>
            </w:pPr>
            <w:r>
              <w:rPr>
                <w:rFonts w:cstheme="minorHAnsi"/>
                <w:b/>
                <w:color w:val="F26522" w:themeColor="accent1"/>
                <w:sz w:val="18"/>
                <w:szCs w:val="18"/>
              </w:rPr>
              <w:t>I/We have carried out an assessment of the [asset] described above in accordance with the testing guidelines set out in the Testing Guidelines;</w:t>
            </w:r>
          </w:p>
          <w:p w14:paraId="52B00596" w14:textId="7222FB96" w:rsidR="006F05DA" w:rsidRPr="008129B4" w:rsidRDefault="00854879" w:rsidP="008129B4">
            <w:pPr>
              <w:pStyle w:val="ListParagraph"/>
              <w:numPr>
                <w:ilvl w:val="0"/>
                <w:numId w:val="23"/>
              </w:numPr>
              <w:rPr>
                <w:b/>
              </w:rPr>
            </w:pPr>
            <w:r>
              <w:rPr>
                <w:rFonts w:cstheme="minorHAnsi"/>
                <w:b/>
                <w:color w:val="F26522" w:themeColor="accent1"/>
                <w:sz w:val="18"/>
                <w:szCs w:val="18"/>
              </w:rPr>
              <w:t>the above details are, to my</w:t>
            </w:r>
            <w:r w:rsidR="006F05DA">
              <w:rPr>
                <w:rFonts w:cstheme="minorHAnsi"/>
                <w:b/>
                <w:color w:val="F26522" w:themeColor="accent1"/>
                <w:sz w:val="18"/>
                <w:szCs w:val="18"/>
              </w:rPr>
              <w:t>/our</w:t>
            </w:r>
            <w:r>
              <w:rPr>
                <w:rFonts w:cstheme="minorHAnsi"/>
                <w:b/>
                <w:color w:val="F26522" w:themeColor="accent1"/>
                <w:sz w:val="18"/>
                <w:szCs w:val="18"/>
              </w:rPr>
              <w:t xml:space="preserve"> best knowledge and belief,  true, accurate, complete and not misleading</w:t>
            </w:r>
            <w:r w:rsidR="006F05DA">
              <w:rPr>
                <w:rFonts w:cstheme="minorHAnsi"/>
                <w:b/>
                <w:color w:val="F26522" w:themeColor="accent1"/>
                <w:sz w:val="18"/>
                <w:szCs w:val="18"/>
              </w:rPr>
              <w:t xml:space="preserve">; and </w:t>
            </w:r>
          </w:p>
          <w:p w14:paraId="35D394F0" w14:textId="1991238E" w:rsidR="009A09C1" w:rsidRPr="008129B4" w:rsidRDefault="006F05DA" w:rsidP="008129B4">
            <w:pPr>
              <w:pStyle w:val="ListParagraph"/>
              <w:numPr>
                <w:ilvl w:val="0"/>
                <w:numId w:val="23"/>
              </w:numPr>
              <w:rPr>
                <w:b/>
              </w:rPr>
            </w:pPr>
            <w:r>
              <w:rPr>
                <w:rFonts w:cstheme="minorHAnsi"/>
                <w:b/>
                <w:color w:val="F26522" w:themeColor="accent1"/>
                <w:sz w:val="18"/>
                <w:szCs w:val="18"/>
              </w:rPr>
              <w:t>the CV attached of my/our experience is to my/our best knowledge and belief, true, accurate, complete and not misleading</w:t>
            </w:r>
            <w:r w:rsidR="00854879">
              <w:rPr>
                <w:rFonts w:cstheme="minorHAnsi"/>
                <w:b/>
                <w:color w:val="F26522" w:themeColor="accent1"/>
                <w:sz w:val="18"/>
                <w:szCs w:val="18"/>
              </w:rPr>
              <w:t xml:space="preserve">. </w:t>
            </w:r>
          </w:p>
        </w:tc>
      </w:tr>
      <w:tr w:rsidR="009A09C1" w14:paraId="63D2C224" w14:textId="77777777" w:rsidTr="006A7D02">
        <w:trPr>
          <w:trHeight w:val="284"/>
        </w:trPr>
        <w:tc>
          <w:tcPr>
            <w:tcW w:w="4394" w:type="dxa"/>
            <w:tcBorders>
              <w:bottom w:val="single" w:sz="4" w:space="0" w:color="FFFFFF" w:themeColor="background1"/>
            </w:tcBorders>
          </w:tcPr>
          <w:p w14:paraId="1F37237A" w14:textId="77777777" w:rsidR="009A09C1" w:rsidRPr="00D509D4" w:rsidRDefault="006A7D02" w:rsidP="00517F1F">
            <w:pPr>
              <w:rPr>
                <w:rFonts w:cstheme="minorHAnsi"/>
                <w:sz w:val="18"/>
                <w:szCs w:val="18"/>
              </w:rPr>
            </w:pPr>
            <w:r>
              <w:rPr>
                <w:rFonts w:cstheme="minorHAnsi"/>
                <w:sz w:val="18"/>
                <w:szCs w:val="18"/>
              </w:rPr>
              <w:t>Signed:</w:t>
            </w:r>
          </w:p>
        </w:tc>
        <w:tc>
          <w:tcPr>
            <w:tcW w:w="5812" w:type="dxa"/>
            <w:tcBorders>
              <w:bottom w:val="single" w:sz="4" w:space="0" w:color="FFFFFF" w:themeColor="background1"/>
            </w:tcBorders>
          </w:tcPr>
          <w:p w14:paraId="2158B98B" w14:textId="77777777" w:rsidR="009A09C1" w:rsidRDefault="009A09C1" w:rsidP="00517F1F"/>
        </w:tc>
      </w:tr>
      <w:tr w:rsidR="009A09C1" w14:paraId="3DBA1274" w14:textId="77777777" w:rsidTr="006A7D02">
        <w:trPr>
          <w:trHeight w:val="284"/>
        </w:trPr>
        <w:tc>
          <w:tcPr>
            <w:tcW w:w="4394" w:type="dxa"/>
            <w:tcBorders>
              <w:top w:val="single" w:sz="4" w:space="0" w:color="FFFFFF" w:themeColor="background1"/>
              <w:bottom w:val="single" w:sz="4" w:space="0" w:color="FFFFFF" w:themeColor="background1"/>
            </w:tcBorders>
          </w:tcPr>
          <w:p w14:paraId="276EC535" w14:textId="77777777" w:rsidR="009A09C1" w:rsidRPr="00D509D4" w:rsidRDefault="009A09C1" w:rsidP="00517F1F">
            <w:pPr>
              <w:rPr>
                <w:rFonts w:cstheme="minorHAnsi"/>
                <w:sz w:val="18"/>
                <w:szCs w:val="18"/>
              </w:rPr>
            </w:pPr>
          </w:p>
        </w:tc>
        <w:tc>
          <w:tcPr>
            <w:tcW w:w="5812" w:type="dxa"/>
            <w:tcBorders>
              <w:top w:val="single" w:sz="4" w:space="0" w:color="FFFFFF" w:themeColor="background1"/>
              <w:bottom w:val="single" w:sz="4" w:space="0" w:color="FFFFFF" w:themeColor="background1"/>
            </w:tcBorders>
          </w:tcPr>
          <w:p w14:paraId="5F904BD5" w14:textId="77777777" w:rsidR="009A09C1" w:rsidRDefault="009A09C1" w:rsidP="00517F1F"/>
        </w:tc>
      </w:tr>
      <w:tr w:rsidR="009A09C1" w14:paraId="6AE69738" w14:textId="77777777" w:rsidTr="006A7D02">
        <w:trPr>
          <w:trHeight w:val="284"/>
        </w:trPr>
        <w:tc>
          <w:tcPr>
            <w:tcW w:w="4394" w:type="dxa"/>
            <w:tcBorders>
              <w:top w:val="single" w:sz="4" w:space="0" w:color="FFFFFF" w:themeColor="background1"/>
            </w:tcBorders>
          </w:tcPr>
          <w:p w14:paraId="2662D172" w14:textId="77777777" w:rsidR="009A09C1" w:rsidRPr="00D509D4" w:rsidRDefault="009A09C1" w:rsidP="00517F1F">
            <w:pPr>
              <w:rPr>
                <w:rFonts w:cstheme="minorHAnsi"/>
                <w:sz w:val="18"/>
                <w:szCs w:val="18"/>
              </w:rPr>
            </w:pPr>
          </w:p>
        </w:tc>
        <w:tc>
          <w:tcPr>
            <w:tcW w:w="5812" w:type="dxa"/>
            <w:tcBorders>
              <w:top w:val="single" w:sz="4" w:space="0" w:color="FFFFFF" w:themeColor="background1"/>
            </w:tcBorders>
          </w:tcPr>
          <w:p w14:paraId="3809CC12" w14:textId="77777777" w:rsidR="009A09C1" w:rsidRDefault="009A09C1" w:rsidP="00517F1F"/>
        </w:tc>
      </w:tr>
    </w:tbl>
    <w:p w14:paraId="2B442087" w14:textId="77777777" w:rsidR="00533389" w:rsidRDefault="00533389" w:rsidP="00533389">
      <w:pPr>
        <w:pStyle w:val="TableTitle"/>
      </w:pPr>
    </w:p>
    <w:p w14:paraId="6FA0A525" w14:textId="77777777" w:rsidR="00533389" w:rsidRDefault="00533389" w:rsidP="00533389">
      <w:pPr>
        <w:pStyle w:val="Bullet1"/>
        <w:numPr>
          <w:ilvl w:val="0"/>
          <w:numId w:val="0"/>
        </w:numPr>
      </w:pPr>
    </w:p>
    <w:p w14:paraId="00EC6EF0" w14:textId="77777777" w:rsidR="00233B8F" w:rsidRDefault="00233B8F" w:rsidP="00233B8F">
      <w:pPr>
        <w:pStyle w:val="Bullet1"/>
        <w:numPr>
          <w:ilvl w:val="0"/>
          <w:numId w:val="0"/>
        </w:numPr>
        <w:ind w:left="284" w:hanging="284"/>
      </w:pPr>
    </w:p>
    <w:sectPr w:rsidR="00233B8F" w:rsidSect="00B03EE4">
      <w:headerReference w:type="default" r:id="rId17"/>
      <w:footerReference w:type="default" r:id="rId18"/>
      <w:headerReference w:type="first" r:id="rId19"/>
      <w:footerReference w:type="first" r:id="rId20"/>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F72DD" w14:textId="77777777" w:rsidR="00517F1F" w:rsidRDefault="00517F1F" w:rsidP="00A62BFF">
      <w:pPr>
        <w:spacing w:after="0"/>
      </w:pPr>
      <w:r>
        <w:separator/>
      </w:r>
    </w:p>
  </w:endnote>
  <w:endnote w:type="continuationSeparator" w:id="0">
    <w:p w14:paraId="11279AD9" w14:textId="77777777" w:rsidR="00517F1F" w:rsidRDefault="00517F1F"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64F6B51D" w14:textId="77777777" w:rsidTr="00B26D29">
      <w:tc>
        <w:tcPr>
          <w:tcW w:w="8789" w:type="dxa"/>
          <w:vAlign w:val="bottom"/>
        </w:tcPr>
        <w:p w14:paraId="57B5CC0C" w14:textId="77777777" w:rsidR="00B26D29" w:rsidRDefault="00B26D29" w:rsidP="00DD2F95">
          <w:pPr>
            <w:pStyle w:val="Footer"/>
          </w:pPr>
        </w:p>
      </w:tc>
      <w:tc>
        <w:tcPr>
          <w:tcW w:w="1699" w:type="dxa"/>
          <w:vAlign w:val="bottom"/>
        </w:tcPr>
        <w:p w14:paraId="7461BF59" w14:textId="4E47E621"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967A56">
            <w:t>2</w:t>
          </w:r>
          <w:r>
            <w:fldChar w:fldCharType="end"/>
          </w:r>
        </w:p>
      </w:tc>
    </w:tr>
  </w:tbl>
  <w:p w14:paraId="678EF612" w14:textId="77777777"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10488" w:type="dxa"/>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9C1175" w14:paraId="319E2263" w14:textId="77777777" w:rsidTr="009C1175">
      <w:tc>
        <w:tcPr>
          <w:tcW w:w="8789" w:type="dxa"/>
          <w:vAlign w:val="bottom"/>
        </w:tcPr>
        <w:p w14:paraId="3A95C93A" w14:textId="77777777" w:rsidR="009C1175" w:rsidRDefault="009C1175" w:rsidP="009C1175">
          <w:pPr>
            <w:pStyle w:val="Authors"/>
          </w:pPr>
          <w:r>
            <w:t xml:space="preserve"> </w:t>
          </w:r>
        </w:p>
      </w:tc>
      <w:tc>
        <w:tcPr>
          <w:tcW w:w="1699" w:type="dxa"/>
          <w:vAlign w:val="bottom"/>
        </w:tcPr>
        <w:p w14:paraId="1F559768" w14:textId="60D6598B" w:rsidR="009C1175" w:rsidRDefault="009C1175" w:rsidP="009C1175">
          <w:pPr>
            <w:pStyle w:val="Footer"/>
            <w:jc w:val="right"/>
          </w:pPr>
          <w:r>
            <w:rPr>
              <w:noProof w:val="0"/>
            </w:rPr>
            <w:fldChar w:fldCharType="begin"/>
          </w:r>
          <w:r>
            <w:instrText xml:space="preserve"> PAGE   \* MERGEFORMAT </w:instrText>
          </w:r>
          <w:r>
            <w:rPr>
              <w:noProof w:val="0"/>
            </w:rPr>
            <w:fldChar w:fldCharType="separate"/>
          </w:r>
          <w:r w:rsidR="00967A56">
            <w:t>1</w:t>
          </w:r>
          <w:r>
            <w:fldChar w:fldCharType="end"/>
          </w:r>
        </w:p>
      </w:tc>
    </w:tr>
  </w:tbl>
  <w:p w14:paraId="1A99ECE2" w14:textId="77777777"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C84D" w14:textId="77777777" w:rsidR="00517F1F" w:rsidRDefault="00517F1F" w:rsidP="00A62BFF">
      <w:pPr>
        <w:spacing w:after="0"/>
      </w:pPr>
      <w:r>
        <w:separator/>
      </w:r>
    </w:p>
  </w:footnote>
  <w:footnote w:type="continuationSeparator" w:id="0">
    <w:p w14:paraId="093228C8" w14:textId="77777777" w:rsidR="00517F1F" w:rsidRDefault="00517F1F"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B12D5" w14:textId="1590E920" w:rsidR="00B26D29" w:rsidRDefault="009C1175" w:rsidP="00D256C4">
    <w:pPr>
      <w:pStyle w:val="Header"/>
    </w:pPr>
    <w:r>
      <w:rPr>
        <w:b/>
        <w:bCs/>
        <w:lang w:val="en-US"/>
      </w:rPr>
      <w:fldChar w:fldCharType="begin"/>
    </w:r>
    <w:r>
      <w:rPr>
        <w:b/>
        <w:bCs/>
        <w:lang w:val="en-US"/>
      </w:rPr>
      <w:instrText xml:space="preserve"> STYLEREF  "Document Subtitle"  \* MERGEFORMAT </w:instrText>
    </w:r>
    <w:r>
      <w:rPr>
        <w:b/>
        <w:bCs/>
        <w:lang w:val="en-US"/>
      </w:rPr>
      <w:fldChar w:fldCharType="separate"/>
    </w:r>
    <w:r w:rsidR="00967A56">
      <w:rPr>
        <w:b/>
        <w:bCs/>
        <w:lang w:val="en-US"/>
      </w:rPr>
      <w:t>(“Testing Guidelines”)</w:t>
    </w:r>
    <w:r>
      <w:fldChar w:fldCharType="end"/>
    </w:r>
    <w:r w:rsidR="00D256C4">
      <w:t xml:space="preserve"> | </w:t>
    </w:r>
    <w:r w:rsidR="00517F1F">
      <w:rPr>
        <w:b/>
        <w:bCs/>
        <w:lang w:val="en-US"/>
      </w:rPr>
      <w:fldChar w:fldCharType="begin"/>
    </w:r>
    <w:r w:rsidR="00517F1F">
      <w:rPr>
        <w:b/>
        <w:bCs/>
        <w:lang w:val="en-US"/>
      </w:rPr>
      <w:instrText xml:space="preserve"> STYLEREF  "Document Title"  \* MERGEFORMAT </w:instrText>
    </w:r>
    <w:r w:rsidR="00517F1F">
      <w:rPr>
        <w:b/>
        <w:bCs/>
        <w:lang w:val="en-US"/>
      </w:rPr>
      <w:fldChar w:fldCharType="separate"/>
    </w:r>
    <w:r w:rsidR="00967A56">
      <w:rPr>
        <w:b/>
        <w:bCs/>
        <w:lang w:val="en-US"/>
      </w:rPr>
      <w:t>Test Guidance for</w:t>
    </w:r>
    <w:r w:rsidR="00967A56" w:rsidRPr="00967A56">
      <w:t xml:space="preserve"> Low Frequency Non-Dynamic Service</w:t>
    </w:r>
    <w:r w:rsidR="00517F1F">
      <w:fldChar w:fldCharType="end"/>
    </w:r>
    <w:r w:rsidR="00B26D29">
      <w:rPr>
        <w:lang w:eastAsia="en-GB"/>
      </w:rPr>
      <w:drawing>
        <wp:anchor distT="0" distB="0" distL="114300" distR="114300" simplePos="0" relativeHeight="251730944" behindDoc="0" locked="1" layoutInCell="1" allowOverlap="1" wp14:anchorId="76916E5A" wp14:editId="44437573">
          <wp:simplePos x="0" y="0"/>
          <wp:positionH relativeFrom="margin">
            <wp:posOffset>0</wp:posOffset>
          </wp:positionH>
          <wp:positionV relativeFrom="page">
            <wp:posOffset>237490</wp:posOffset>
          </wp:positionV>
          <wp:extent cx="2048400" cy="30600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484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6751" w14:textId="77777777" w:rsidR="00B26D29" w:rsidRPr="00A6517C" w:rsidRDefault="00B26D29" w:rsidP="00D256C4">
    <w:pPr>
      <w:pStyle w:val="Header"/>
    </w:pPr>
    <w:r>
      <w:rPr>
        <w:lang w:eastAsia="en-GB"/>
      </w:rPr>
      <w:drawing>
        <wp:anchor distT="0" distB="215900" distL="114300" distR="114300" simplePos="0" relativeHeight="251732992" behindDoc="1" locked="1" layoutInCell="1" allowOverlap="1" wp14:anchorId="6AFD85D5" wp14:editId="1B041A0B">
          <wp:simplePos x="0" y="0"/>
          <wp:positionH relativeFrom="page">
            <wp:align>left</wp:align>
          </wp:positionH>
          <wp:positionV relativeFrom="page">
            <wp:align>top</wp:align>
          </wp:positionV>
          <wp:extent cx="7555865" cy="2758440"/>
          <wp:effectExtent l="0" t="0" r="6985" b="3810"/>
          <wp:wrapTopAndBottom/>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1"/>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735040" behindDoc="0" locked="0" layoutInCell="1" allowOverlap="1" wp14:anchorId="0767CD93" wp14:editId="34462F02">
          <wp:simplePos x="0" y="0"/>
          <wp:positionH relativeFrom="margin">
            <wp:posOffset>-449580</wp:posOffset>
          </wp:positionH>
          <wp:positionV relativeFrom="paragraph">
            <wp:posOffset>-355600</wp:posOffset>
          </wp:positionV>
          <wp:extent cx="4889500" cy="1327017"/>
          <wp:effectExtent l="0" t="0" r="6350" b="6985"/>
          <wp:wrapNone/>
          <wp:docPr id="128" name="Graphic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736064" behindDoc="0" locked="1" layoutInCell="1" allowOverlap="1" wp14:anchorId="038638D2" wp14:editId="4F3E82A4">
          <wp:simplePos x="0" y="0"/>
          <wp:positionH relativeFrom="margin">
            <wp:posOffset>0</wp:posOffset>
          </wp:positionH>
          <wp:positionV relativeFrom="page">
            <wp:posOffset>236483</wp:posOffset>
          </wp:positionV>
          <wp:extent cx="2048400" cy="30600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0484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2C21C5F"/>
    <w:multiLevelType w:val="hybridMultilevel"/>
    <w:tmpl w:val="F5C090BA"/>
    <w:lvl w:ilvl="0" w:tplc="5C3A7488">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64D7D"/>
    <w:multiLevelType w:val="hybridMultilevel"/>
    <w:tmpl w:val="88DA8412"/>
    <w:lvl w:ilvl="0" w:tplc="BB8ED50A">
      <w:start w:val="1"/>
      <w:numFmt w:val="lowerLetter"/>
      <w:lvlText w:val="(%1)"/>
      <w:lvlJc w:val="left"/>
      <w:pPr>
        <w:ind w:left="720" w:hanging="360"/>
      </w:pPr>
      <w:rPr>
        <w:rFonts w:cstheme="minorHAnsi" w:hint="default"/>
        <w:color w:val="F26522" w:themeColor="accent1"/>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103F9"/>
    <w:multiLevelType w:val="hybridMultilevel"/>
    <w:tmpl w:val="3A0C65DA"/>
    <w:lvl w:ilvl="0" w:tplc="5C3A7488">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058DE"/>
    <w:multiLevelType w:val="hybridMultilevel"/>
    <w:tmpl w:val="14B85D8E"/>
    <w:lvl w:ilvl="0" w:tplc="5C3A7488">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9" w15:restartNumberingAfterBreak="0">
    <w:nsid w:val="6AD3657F"/>
    <w:multiLevelType w:val="multilevel"/>
    <w:tmpl w:val="F8461CFE"/>
    <w:numStyleLink w:val="Bullets"/>
  </w:abstractNum>
  <w:abstractNum w:abstractNumId="20" w15:restartNumberingAfterBreak="0">
    <w:nsid w:val="778E4D1C"/>
    <w:multiLevelType w:val="multilevel"/>
    <w:tmpl w:val="7D7CA560"/>
    <w:numStyleLink w:val="NumberedBulletsList"/>
  </w:abstractNum>
  <w:abstractNum w:abstractNumId="21"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21"/>
  </w:num>
  <w:num w:numId="14">
    <w:abstractNumId w:val="10"/>
  </w:num>
  <w:num w:numId="15">
    <w:abstractNumId w:val="19"/>
  </w:num>
  <w:num w:numId="16">
    <w:abstractNumId w:val="20"/>
  </w:num>
  <w:num w:numId="17">
    <w:abstractNumId w:val="11"/>
  </w:num>
  <w:num w:numId="18">
    <w:abstractNumId w:val="1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 w:numId="22">
    <w:abstractNumId w:val="16"/>
  </w:num>
  <w:num w:numId="2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4D"/>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5621"/>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608"/>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A2F"/>
    <w:rsid w:val="001A4EB3"/>
    <w:rsid w:val="001A574A"/>
    <w:rsid w:val="001A7BA9"/>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74F3"/>
    <w:rsid w:val="001E7752"/>
    <w:rsid w:val="001F04C9"/>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3B8F"/>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2BB9"/>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2095"/>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154D"/>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3DB"/>
    <w:rsid w:val="003D634B"/>
    <w:rsid w:val="003D6B83"/>
    <w:rsid w:val="003E0A82"/>
    <w:rsid w:val="003E245C"/>
    <w:rsid w:val="003E2DA4"/>
    <w:rsid w:val="003E300B"/>
    <w:rsid w:val="003E4E47"/>
    <w:rsid w:val="003E59AF"/>
    <w:rsid w:val="003E780E"/>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AF8"/>
    <w:rsid w:val="00413CEE"/>
    <w:rsid w:val="004140D9"/>
    <w:rsid w:val="0041583A"/>
    <w:rsid w:val="00415A85"/>
    <w:rsid w:val="00416432"/>
    <w:rsid w:val="00416E60"/>
    <w:rsid w:val="00420053"/>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57015"/>
    <w:rsid w:val="004602DB"/>
    <w:rsid w:val="0046180F"/>
    <w:rsid w:val="00464A3D"/>
    <w:rsid w:val="00467853"/>
    <w:rsid w:val="004710DC"/>
    <w:rsid w:val="004713FB"/>
    <w:rsid w:val="00473562"/>
    <w:rsid w:val="00473C1A"/>
    <w:rsid w:val="00474271"/>
    <w:rsid w:val="00474678"/>
    <w:rsid w:val="00477C68"/>
    <w:rsid w:val="00480421"/>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041"/>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342E"/>
    <w:rsid w:val="004D5006"/>
    <w:rsid w:val="004D7D42"/>
    <w:rsid w:val="004D7FE4"/>
    <w:rsid w:val="004E0492"/>
    <w:rsid w:val="004E076E"/>
    <w:rsid w:val="004E0C02"/>
    <w:rsid w:val="004E30DC"/>
    <w:rsid w:val="004E34A5"/>
    <w:rsid w:val="004E436B"/>
    <w:rsid w:val="004E5EDA"/>
    <w:rsid w:val="004E65FD"/>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17F1F"/>
    <w:rsid w:val="00522096"/>
    <w:rsid w:val="005220C6"/>
    <w:rsid w:val="005228B8"/>
    <w:rsid w:val="00522F09"/>
    <w:rsid w:val="005253BF"/>
    <w:rsid w:val="00527EF2"/>
    <w:rsid w:val="00530B60"/>
    <w:rsid w:val="0053334A"/>
    <w:rsid w:val="00533389"/>
    <w:rsid w:val="005337E8"/>
    <w:rsid w:val="00533C8E"/>
    <w:rsid w:val="00535700"/>
    <w:rsid w:val="00540390"/>
    <w:rsid w:val="00541600"/>
    <w:rsid w:val="00541E47"/>
    <w:rsid w:val="00543B47"/>
    <w:rsid w:val="005441CC"/>
    <w:rsid w:val="00544DBC"/>
    <w:rsid w:val="005453E9"/>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773CC"/>
    <w:rsid w:val="00680AD3"/>
    <w:rsid w:val="00681C00"/>
    <w:rsid w:val="00681DFD"/>
    <w:rsid w:val="00682333"/>
    <w:rsid w:val="0068310C"/>
    <w:rsid w:val="006834E4"/>
    <w:rsid w:val="0068375B"/>
    <w:rsid w:val="00683A15"/>
    <w:rsid w:val="00684038"/>
    <w:rsid w:val="006842BD"/>
    <w:rsid w:val="00685577"/>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02"/>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D4919"/>
    <w:rsid w:val="006D6073"/>
    <w:rsid w:val="006D6266"/>
    <w:rsid w:val="006E055E"/>
    <w:rsid w:val="006E0E6C"/>
    <w:rsid w:val="006E1030"/>
    <w:rsid w:val="006E5041"/>
    <w:rsid w:val="006E6687"/>
    <w:rsid w:val="006E7597"/>
    <w:rsid w:val="006F05DA"/>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AD1"/>
    <w:rsid w:val="00707BD7"/>
    <w:rsid w:val="00713F7A"/>
    <w:rsid w:val="00714246"/>
    <w:rsid w:val="00714FD2"/>
    <w:rsid w:val="007155D1"/>
    <w:rsid w:val="00716462"/>
    <w:rsid w:val="00717C5D"/>
    <w:rsid w:val="00722224"/>
    <w:rsid w:val="007246A2"/>
    <w:rsid w:val="007249CD"/>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2C"/>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5852"/>
    <w:rsid w:val="00797132"/>
    <w:rsid w:val="007972F3"/>
    <w:rsid w:val="00797605"/>
    <w:rsid w:val="00797950"/>
    <w:rsid w:val="007A0004"/>
    <w:rsid w:val="007A0294"/>
    <w:rsid w:val="007A1269"/>
    <w:rsid w:val="007A251E"/>
    <w:rsid w:val="007A268A"/>
    <w:rsid w:val="007A2F71"/>
    <w:rsid w:val="007A329B"/>
    <w:rsid w:val="007A505B"/>
    <w:rsid w:val="007A6388"/>
    <w:rsid w:val="007A6F89"/>
    <w:rsid w:val="007A77BB"/>
    <w:rsid w:val="007A7B91"/>
    <w:rsid w:val="007B0534"/>
    <w:rsid w:val="007B0906"/>
    <w:rsid w:val="007B15F4"/>
    <w:rsid w:val="007B1679"/>
    <w:rsid w:val="007B516D"/>
    <w:rsid w:val="007B6414"/>
    <w:rsid w:val="007B7CA6"/>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8A4"/>
    <w:rsid w:val="007F3E20"/>
    <w:rsid w:val="007F3FBC"/>
    <w:rsid w:val="007F6CA9"/>
    <w:rsid w:val="007F6E70"/>
    <w:rsid w:val="007F6EB7"/>
    <w:rsid w:val="007F6EFC"/>
    <w:rsid w:val="00801E7C"/>
    <w:rsid w:val="008040A5"/>
    <w:rsid w:val="00804C27"/>
    <w:rsid w:val="00804F2C"/>
    <w:rsid w:val="00805FAF"/>
    <w:rsid w:val="008060A0"/>
    <w:rsid w:val="00806C71"/>
    <w:rsid w:val="008129B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1C5"/>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4879"/>
    <w:rsid w:val="00854A1A"/>
    <w:rsid w:val="0085555A"/>
    <w:rsid w:val="00861F86"/>
    <w:rsid w:val="00862888"/>
    <w:rsid w:val="00863B8C"/>
    <w:rsid w:val="00865B30"/>
    <w:rsid w:val="00866D8B"/>
    <w:rsid w:val="008672B7"/>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0AA"/>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2"/>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4B09"/>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67A56"/>
    <w:rsid w:val="00970643"/>
    <w:rsid w:val="0097070A"/>
    <w:rsid w:val="009717C1"/>
    <w:rsid w:val="00972507"/>
    <w:rsid w:val="009727BF"/>
    <w:rsid w:val="009743E2"/>
    <w:rsid w:val="00974625"/>
    <w:rsid w:val="009753C9"/>
    <w:rsid w:val="00975CFE"/>
    <w:rsid w:val="00976660"/>
    <w:rsid w:val="009772B7"/>
    <w:rsid w:val="00977EC0"/>
    <w:rsid w:val="00980623"/>
    <w:rsid w:val="00981725"/>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09C1"/>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75"/>
    <w:rsid w:val="009C34E8"/>
    <w:rsid w:val="009C44D0"/>
    <w:rsid w:val="009C4983"/>
    <w:rsid w:val="009C4E4E"/>
    <w:rsid w:val="009C4EF5"/>
    <w:rsid w:val="009C5B29"/>
    <w:rsid w:val="009C621C"/>
    <w:rsid w:val="009C7EDF"/>
    <w:rsid w:val="009D063C"/>
    <w:rsid w:val="009D29E9"/>
    <w:rsid w:val="009D3DB6"/>
    <w:rsid w:val="009D45ED"/>
    <w:rsid w:val="009D4FA1"/>
    <w:rsid w:val="009D6762"/>
    <w:rsid w:val="009D76F3"/>
    <w:rsid w:val="009E1F2D"/>
    <w:rsid w:val="009E23AE"/>
    <w:rsid w:val="009E29A2"/>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577"/>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67DDB"/>
    <w:rsid w:val="00A71500"/>
    <w:rsid w:val="00A72448"/>
    <w:rsid w:val="00A72545"/>
    <w:rsid w:val="00A747CE"/>
    <w:rsid w:val="00A74854"/>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2E96"/>
    <w:rsid w:val="00AD3CA9"/>
    <w:rsid w:val="00AD43E2"/>
    <w:rsid w:val="00AD5D5A"/>
    <w:rsid w:val="00AE087D"/>
    <w:rsid w:val="00AE2DE9"/>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4215"/>
    <w:rsid w:val="00B856A0"/>
    <w:rsid w:val="00B87308"/>
    <w:rsid w:val="00B915C1"/>
    <w:rsid w:val="00B91B8A"/>
    <w:rsid w:val="00B936C7"/>
    <w:rsid w:val="00B93772"/>
    <w:rsid w:val="00B937ED"/>
    <w:rsid w:val="00B938C1"/>
    <w:rsid w:val="00B95292"/>
    <w:rsid w:val="00B96416"/>
    <w:rsid w:val="00B96EBA"/>
    <w:rsid w:val="00B9781B"/>
    <w:rsid w:val="00BA30ED"/>
    <w:rsid w:val="00BA3F94"/>
    <w:rsid w:val="00BA4DF3"/>
    <w:rsid w:val="00BA5EB2"/>
    <w:rsid w:val="00BA651A"/>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1C5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4CE"/>
    <w:rsid w:val="00CD1773"/>
    <w:rsid w:val="00CD2FF6"/>
    <w:rsid w:val="00CD7050"/>
    <w:rsid w:val="00CD70A9"/>
    <w:rsid w:val="00CE13FA"/>
    <w:rsid w:val="00CE2694"/>
    <w:rsid w:val="00CE411E"/>
    <w:rsid w:val="00CE4789"/>
    <w:rsid w:val="00CE520B"/>
    <w:rsid w:val="00CE6C61"/>
    <w:rsid w:val="00CE767D"/>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26B"/>
    <w:rsid w:val="00D2454F"/>
    <w:rsid w:val="00D247C0"/>
    <w:rsid w:val="00D256C4"/>
    <w:rsid w:val="00D25A92"/>
    <w:rsid w:val="00D263AC"/>
    <w:rsid w:val="00D26403"/>
    <w:rsid w:val="00D26DFC"/>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46AD"/>
    <w:rsid w:val="00D6534C"/>
    <w:rsid w:val="00D65D93"/>
    <w:rsid w:val="00D67A4C"/>
    <w:rsid w:val="00D708D1"/>
    <w:rsid w:val="00D7195E"/>
    <w:rsid w:val="00D71BBC"/>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F68"/>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ED4"/>
    <w:rsid w:val="00DB304A"/>
    <w:rsid w:val="00DB4920"/>
    <w:rsid w:val="00DB4A0A"/>
    <w:rsid w:val="00DB7E60"/>
    <w:rsid w:val="00DC2EC5"/>
    <w:rsid w:val="00DC4860"/>
    <w:rsid w:val="00DC6012"/>
    <w:rsid w:val="00DD248B"/>
    <w:rsid w:val="00DD2F95"/>
    <w:rsid w:val="00DD3320"/>
    <w:rsid w:val="00DD3D94"/>
    <w:rsid w:val="00DD488A"/>
    <w:rsid w:val="00DD7DC6"/>
    <w:rsid w:val="00DE2149"/>
    <w:rsid w:val="00DE2854"/>
    <w:rsid w:val="00DE286D"/>
    <w:rsid w:val="00DE29C2"/>
    <w:rsid w:val="00DE326A"/>
    <w:rsid w:val="00DE52BF"/>
    <w:rsid w:val="00DE7D00"/>
    <w:rsid w:val="00DF09E2"/>
    <w:rsid w:val="00DF3165"/>
    <w:rsid w:val="00DF371E"/>
    <w:rsid w:val="00DF6407"/>
    <w:rsid w:val="00DF6561"/>
    <w:rsid w:val="00DF6613"/>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3744B"/>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47F1"/>
    <w:rsid w:val="00E86BD9"/>
    <w:rsid w:val="00E90E29"/>
    <w:rsid w:val="00E932E0"/>
    <w:rsid w:val="00E93A90"/>
    <w:rsid w:val="00E94720"/>
    <w:rsid w:val="00E964D5"/>
    <w:rsid w:val="00E96BBC"/>
    <w:rsid w:val="00E97DBE"/>
    <w:rsid w:val="00EA1BE6"/>
    <w:rsid w:val="00EA229A"/>
    <w:rsid w:val="00EA2DC7"/>
    <w:rsid w:val="00EA389B"/>
    <w:rsid w:val="00EA5402"/>
    <w:rsid w:val="00EA5950"/>
    <w:rsid w:val="00EA660C"/>
    <w:rsid w:val="00EA6CF6"/>
    <w:rsid w:val="00EA79DA"/>
    <w:rsid w:val="00EA7B24"/>
    <w:rsid w:val="00EB2129"/>
    <w:rsid w:val="00EB2266"/>
    <w:rsid w:val="00EB5163"/>
    <w:rsid w:val="00EB788F"/>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1CFF"/>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0ED"/>
    <w:rsid w:val="00F666EB"/>
    <w:rsid w:val="00F70822"/>
    <w:rsid w:val="00F720A6"/>
    <w:rsid w:val="00F726CD"/>
    <w:rsid w:val="00F730BF"/>
    <w:rsid w:val="00F7344F"/>
    <w:rsid w:val="00F75C23"/>
    <w:rsid w:val="00F761A6"/>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5F75"/>
    <w:rsid w:val="00FC6EF3"/>
    <w:rsid w:val="00FC7DB6"/>
    <w:rsid w:val="00FD0173"/>
    <w:rsid w:val="00FD0B0E"/>
    <w:rsid w:val="00FD1A32"/>
    <w:rsid w:val="00FD4052"/>
    <w:rsid w:val="00FD496E"/>
    <w:rsid w:val="00FD548F"/>
    <w:rsid w:val="00FD756F"/>
    <w:rsid w:val="00FE0634"/>
    <w:rsid w:val="00FE2836"/>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046C1040"/>
  <w15:docId w15:val="{033A8A66-9A10-4631-AA61-EECF210C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uiPriority w:val="1"/>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paragraph" w:styleId="Revision">
    <w:name w:val="Revision"/>
    <w:hidden/>
    <w:uiPriority w:val="99"/>
    <w:semiHidden/>
    <w:rsid w:val="00416432"/>
    <w:pPr>
      <w:spacing w:after="0"/>
    </w:pPr>
    <w:rPr>
      <w:color w:val="454545"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72120214">
      <w:bodyDiv w:val="1"/>
      <w:marLeft w:val="0"/>
      <w:marRight w:val="0"/>
      <w:marTop w:val="0"/>
      <w:marBottom w:val="0"/>
      <w:divBdr>
        <w:top w:val="none" w:sz="0" w:space="0" w:color="auto"/>
        <w:left w:val="none" w:sz="0" w:space="0" w:color="auto"/>
        <w:bottom w:val="none" w:sz="0" w:space="0" w:color="auto"/>
        <w:right w:val="none" w:sz="0" w:space="0" w:color="auto"/>
      </w:divBdr>
      <w:divsChild>
        <w:div w:id="71971438">
          <w:marLeft w:val="547"/>
          <w:marRight w:val="0"/>
          <w:marTop w:val="0"/>
          <w:marBottom w:val="120"/>
          <w:divBdr>
            <w:top w:val="none" w:sz="0" w:space="0" w:color="auto"/>
            <w:left w:val="none" w:sz="0" w:space="0" w:color="auto"/>
            <w:bottom w:val="none" w:sz="0" w:space="0" w:color="auto"/>
            <w:right w:val="none" w:sz="0" w:space="0" w:color="auto"/>
          </w:divBdr>
        </w:div>
        <w:div w:id="263001981">
          <w:marLeft w:val="864"/>
          <w:marRight w:val="0"/>
          <w:marTop w:val="0"/>
          <w:marBottom w:val="120"/>
          <w:divBdr>
            <w:top w:val="none" w:sz="0" w:space="0" w:color="auto"/>
            <w:left w:val="none" w:sz="0" w:space="0" w:color="auto"/>
            <w:bottom w:val="none" w:sz="0" w:space="0" w:color="auto"/>
            <w:right w:val="none" w:sz="0" w:space="0" w:color="auto"/>
          </w:divBdr>
        </w:div>
        <w:div w:id="1847356972">
          <w:marLeft w:val="864"/>
          <w:marRight w:val="0"/>
          <w:marTop w:val="0"/>
          <w:marBottom w:val="12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37921605">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10.svg"/><Relationship Id="rId2" Type="http://schemas.openxmlformats.org/officeDocument/2006/relationships/image" Target="media/image9.png"/><Relationship Id="rId1" Type="http://schemas.openxmlformats.org/officeDocument/2006/relationships/image" Target="media/image8.jpg"/><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iannon.marsh\AppData\Local\Microsoft\Windows\Temporary%20Internet%20Files\Content.Outlook\2UPOAG4H\FR%20Auction%20Trial%20fast%20static%20low%20Testing%20Guidance%20-%20DRAFT_H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1754950D14464A812F909AA71061C1"/>
        <w:category>
          <w:name w:val="General"/>
          <w:gallery w:val="placeholder"/>
        </w:category>
        <w:types>
          <w:type w:val="bbPlcHdr"/>
        </w:types>
        <w:behaviors>
          <w:behavior w:val="content"/>
        </w:behaviors>
        <w:guid w:val="{BCBDC688-B2F4-44BF-B688-CDE1D2B7FD69}"/>
      </w:docPartPr>
      <w:docPartBody>
        <w:p w:rsidR="0004147B" w:rsidRDefault="009868EE">
          <w:pPr>
            <w:pStyle w:val="041754950D14464A812F909AA71061C1"/>
          </w:pPr>
          <w:r w:rsidRPr="005C7AA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EE"/>
    <w:rsid w:val="0004147B"/>
    <w:rsid w:val="005260BA"/>
    <w:rsid w:val="00924091"/>
    <w:rsid w:val="009868EE"/>
    <w:rsid w:val="00FA2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1754950D14464A812F909AA71061C1">
    <w:name w:val="041754950D14464A812F909AA7106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E5FED5DB6544D9FACF5EB6194308A" ma:contentTypeVersion="2" ma:contentTypeDescription="Create a new document." ma:contentTypeScope="" ma:versionID="3d9e2bc97aad436bf7e5afedd19a9ca4">
  <xsd:schema xmlns:xsd="http://www.w3.org/2001/XMLSchema" xmlns:xs="http://www.w3.org/2001/XMLSchema" xmlns:p="http://schemas.microsoft.com/office/2006/metadata/properties" xmlns:ns2="2c4a82d1-790b-4937-b400-0f0f718c57a9" targetNamespace="http://schemas.microsoft.com/office/2006/metadata/properties" ma:root="true" ma:fieldsID="524d516a5fc48f0a31bebfb2190d43e3" ns2:_="">
    <xsd:import namespace="2c4a82d1-790b-4937-b400-0f0f718c57a9"/>
    <xsd:element name="properties">
      <xsd:complexType>
        <xsd:sequence>
          <xsd:element name="documentManagement">
            <xsd:complexType>
              <xsd:all>
                <xsd:element ref="ns2:Folder"/>
                <xsd:element ref="ns2:File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82d1-790b-4937-b400-0f0f718c57a9" elementFormDefault="qualified">
    <xsd:import namespace="http://schemas.microsoft.com/office/2006/documentManagement/types"/>
    <xsd:import namespace="http://schemas.microsoft.com/office/infopath/2007/PartnerControls"/>
    <xsd:element name="Folder" ma:index="8" ma:displayName="Folder" ma:format="Dropdown" ma:internalName="Folder">
      <xsd:simpleType>
        <xsd:restriction base="dms:Choice">
          <xsd:enumeration value="SO visual identity"/>
          <xsd:enumeration value="OneSO"/>
        </xsd:restriction>
      </xsd:simpleType>
    </xsd:element>
    <xsd:element name="File_x0020_Owner" ma:index="9" ma:displayName="File Owner" ma:list="UserInfo" ma:SharePointGroup="0" ma:internalName="Fil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Owner xmlns="2c4a82d1-790b-4937-b400-0f0f718c57a9">
      <UserInfo>
        <DisplayName>Moran, Christine</DisplayName>
        <AccountId>357</AccountId>
        <AccountType/>
      </UserInfo>
    </File_x0020_Owner>
    <Folder xmlns="2c4a82d1-790b-4937-b400-0f0f718c57a9">SO visual identity</Fol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AB57-CC58-4A5E-9C3C-0F67D5F7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82d1-790b-4937-b400-0f0f718c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BF082-D605-4415-9B3D-03BD8890508A}">
  <ds:schemaRefs>
    <ds:schemaRef ds:uri="http://schemas.microsoft.com/sharepoint/v3/contenttype/forms"/>
  </ds:schemaRefs>
</ds:datastoreItem>
</file>

<file path=customXml/itemProps3.xml><?xml version="1.0" encoding="utf-8"?>
<ds:datastoreItem xmlns:ds="http://schemas.openxmlformats.org/officeDocument/2006/customXml" ds:itemID="{FD404EE9-C069-4F71-B7B7-B3648C10D58A}">
  <ds:schemaRef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2c4a82d1-790b-4937-b400-0f0f718c57a9"/>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1F8E357-8605-422C-A00B-F8A425BC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 Auction Trial fast static low Testing Guidance - DRAFT_HH</Template>
  <TotalTime>44</TotalTime>
  <Pages>8</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ESO Word Template - Summary Briefing Note</vt:lpstr>
    </vt:vector>
  </TitlesOfParts>
  <Company>Hamilton-Brown</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Summary Briefing Note</dc:title>
  <dc:subject/>
  <dc:creator>National Grid</dc:creator>
  <cp:keywords/>
  <dc:description/>
  <cp:lastModifiedBy>Marsh (ESO), Rhiannon</cp:lastModifiedBy>
  <cp:revision>4</cp:revision>
  <cp:lastPrinted>2018-02-21T09:46:00Z</cp:lastPrinted>
  <dcterms:created xsi:type="dcterms:W3CDTF">2019-04-03T15:26:00Z</dcterms:created>
  <dcterms:modified xsi:type="dcterms:W3CDTF">2019-04-03T16:24:00Z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0x01010097BE5FED5DB6544D9FACF5EB6194308A</vt:lpwstr>
  </property>
  <property fmtid="{D5CDD505-2E9C-101B-9397-08002B2CF9AE}" pid="3" name="_NewReviewCycle">
    <vt:lpwstr/>
  </property>
  <property fmtid="{D5CDD505-2E9C-101B-9397-08002B2CF9AE}" pid="4" name="_AdHocReviewCycleID">
    <vt:i4>593278823</vt:i4>
  </property>
  <property fmtid="{D5CDD505-2E9C-101B-9397-08002B2CF9AE}" pid="5" name="_EmailSubject">
    <vt:lpwstr>Website docs</vt:lpwstr>
  </property>
  <property fmtid="{D5CDD505-2E9C-101B-9397-08002B2CF9AE}" pid="6" name="_AuthorEmail">
    <vt:lpwstr>Rhiannon.Marsh@nationalgrideso.com</vt:lpwstr>
  </property>
  <property fmtid="{D5CDD505-2E9C-101B-9397-08002B2CF9AE}" pid="7" name="_AuthorEmailDisplayName">
    <vt:lpwstr>Marsh (ESO), Rhiannon</vt:lpwstr>
  </property>
</Properties>
</file>