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95" w:rsidRDefault="00C92E95" w:rsidP="00C92E95">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E95" w:rsidRPr="00C92E95" w:rsidRDefault="00C92E95" w:rsidP="00C92E95">
                            <w:pPr>
                              <w:rPr>
                                <w:rFonts w:cs="Arial"/>
                                <w:b/>
                                <w:sz w:val="24"/>
                              </w:rPr>
                            </w:pPr>
                            <w:r w:rsidRPr="00C92E95">
                              <w:rPr>
                                <w:rFonts w:cs="Arial"/>
                                <w:b/>
                                <w:sz w:val="24"/>
                              </w:rPr>
                              <w:t>CUSC 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rsidR="00C92E95" w:rsidRPr="00C92E95" w:rsidRDefault="00C92E95" w:rsidP="00C92E95">
                      <w:pPr>
                        <w:rPr>
                          <w:rFonts w:cs="Arial"/>
                          <w:b/>
                          <w:sz w:val="24"/>
                        </w:rPr>
                      </w:pPr>
                      <w:r w:rsidRPr="00C92E95">
                        <w:rPr>
                          <w:rFonts w:cs="Arial"/>
                          <w:b/>
                          <w:sz w:val="24"/>
                        </w:rPr>
                        <w:t>CUSC Code Administrator Consultation Response Proforma</w:t>
                      </w:r>
                    </w:p>
                  </w:txbxContent>
                </v:textbox>
              </v:rect>
            </w:pict>
          </mc:Fallback>
        </mc:AlternateContent>
      </w:r>
    </w:p>
    <w:p w:rsidR="00C92E95" w:rsidRPr="00C92E95" w:rsidRDefault="00C92E95" w:rsidP="00C92E95"/>
    <w:p w:rsidR="00E62A86" w:rsidRPr="00FE0987" w:rsidRDefault="00E62A86" w:rsidP="00E62A86">
      <w:pPr>
        <w:rPr>
          <w:rFonts w:cs="Arial"/>
          <w:b/>
          <w:sz w:val="24"/>
        </w:rPr>
      </w:pPr>
    </w:p>
    <w:p w:rsidR="008F6094" w:rsidRPr="00AE68EE" w:rsidRDefault="00852CC2" w:rsidP="00E62A86">
      <w:pPr>
        <w:rPr>
          <w:rFonts w:cs="Arial"/>
          <w:b/>
          <w:sz w:val="24"/>
        </w:rPr>
      </w:pPr>
      <w:r w:rsidRPr="00AE68EE">
        <w:rPr>
          <w:rFonts w:cs="Arial"/>
          <w:b/>
          <w:sz w:val="24"/>
        </w:rPr>
        <w:t>CMP</w:t>
      </w:r>
      <w:r w:rsidR="00AE68EE" w:rsidRPr="00AE68EE">
        <w:rPr>
          <w:rFonts w:cs="Arial"/>
          <w:b/>
          <w:sz w:val="24"/>
        </w:rPr>
        <w:t>310</w:t>
      </w:r>
      <w:r w:rsidR="00FE0987" w:rsidRPr="00AE68EE">
        <w:rPr>
          <w:rFonts w:cs="Arial"/>
          <w:b/>
          <w:sz w:val="24"/>
        </w:rPr>
        <w:t xml:space="preserve"> - </w:t>
      </w:r>
      <w:r w:rsidR="00AE68EE" w:rsidRPr="00AE68EE">
        <w:rPr>
          <w:rFonts w:cs="Arial"/>
          <w:b/>
          <w:sz w:val="24"/>
        </w:rPr>
        <w:t xml:space="preserve">CUSC </w:t>
      </w:r>
      <w:bookmarkStart w:id="0" w:name="_Hlk1135765"/>
      <w:r w:rsidR="00AE68EE" w:rsidRPr="00AE68EE">
        <w:rPr>
          <w:rFonts w:cs="Arial"/>
          <w:b/>
          <w:sz w:val="24"/>
        </w:rPr>
        <w:t>section 14 changes in the event the UK leaves the EU without an agreemen</w:t>
      </w:r>
      <w:bookmarkEnd w:id="0"/>
      <w:r w:rsidR="00AE68EE" w:rsidRPr="00AE68EE">
        <w:rPr>
          <w:rFonts w:cs="Arial"/>
          <w:b/>
          <w:sz w:val="24"/>
        </w:rPr>
        <w:t>t</w:t>
      </w:r>
    </w:p>
    <w:p w:rsidR="00852CC2" w:rsidRPr="004432D3" w:rsidRDefault="00852CC2" w:rsidP="00E62A86">
      <w:pPr>
        <w:rPr>
          <w:rFonts w:cs="Arial"/>
          <w:sz w:val="24"/>
        </w:rPr>
      </w:pPr>
    </w:p>
    <w:p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00FE7742" w:rsidRPr="004432D3" w:rsidRDefault="00FE7742" w:rsidP="00FE7742">
      <w:pPr>
        <w:rPr>
          <w:rFonts w:cs="Arial"/>
          <w:sz w:val="24"/>
        </w:rPr>
      </w:pPr>
    </w:p>
    <w:p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FE0987">
        <w:rPr>
          <w:rFonts w:cs="Arial"/>
          <w:b/>
          <w:sz w:val="24"/>
        </w:rPr>
        <w:t>21 March 2019</w:t>
      </w:r>
      <w:r w:rsidRPr="0084325A">
        <w:rPr>
          <w:rFonts w:cs="Arial"/>
          <w:sz w:val="24"/>
        </w:rPr>
        <w:t xml:space="preserve"> </w:t>
      </w:r>
      <w:r w:rsidRPr="004432D3">
        <w:rPr>
          <w:rFonts w:cs="Arial"/>
          <w:sz w:val="24"/>
        </w:rPr>
        <w:t xml:space="preserve">to </w:t>
      </w:r>
      <w:hyperlink r:id="rId8" w:history="1">
        <w:r w:rsidR="0084325A" w:rsidRPr="0092143D">
          <w:rPr>
            <w:rStyle w:val="Hyperlink"/>
            <w:rFonts w:cs="Arial"/>
            <w:sz w:val="24"/>
          </w:rPr>
          <w:t>cusc.team@nationalgrid.com</w:t>
        </w:r>
      </w:hyperlink>
      <w:r w:rsidRPr="004432D3">
        <w:rPr>
          <w:rFonts w:cs="Arial"/>
          <w:sz w:val="24"/>
        </w:rPr>
        <w:t xml:space="preserve">.  Please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rsidR="00FE7742" w:rsidRPr="004432D3" w:rsidRDefault="00FE7742" w:rsidP="00FE7742">
      <w:pPr>
        <w:rPr>
          <w:rFonts w:cs="Arial"/>
          <w:sz w:val="24"/>
        </w:rPr>
      </w:pPr>
    </w:p>
    <w:p w:rsidR="00FE7742" w:rsidRPr="00467F93" w:rsidRDefault="00FE7742" w:rsidP="00852CC2">
      <w:pPr>
        <w:jc w:val="both"/>
        <w:rPr>
          <w:rFonts w:cs="Arial"/>
          <w:sz w:val="24"/>
        </w:rPr>
      </w:pPr>
      <w:r w:rsidRPr="004432D3">
        <w:rPr>
          <w:rFonts w:cs="Arial"/>
          <w:sz w:val="24"/>
        </w:rPr>
        <w:t xml:space="preserve">Any queries on the content of the consultation should be addressed to </w:t>
      </w:r>
      <w:r w:rsidR="00467F93">
        <w:rPr>
          <w:rFonts w:cs="Arial"/>
          <w:sz w:val="24"/>
        </w:rPr>
        <w:t xml:space="preserve">Ren </w:t>
      </w:r>
      <w:r w:rsidR="00467F93" w:rsidRPr="00467F93">
        <w:rPr>
          <w:rFonts w:cs="Arial"/>
          <w:sz w:val="24"/>
        </w:rPr>
        <w:t xml:space="preserve">Walker </w:t>
      </w:r>
      <w:r w:rsidRPr="00467F93">
        <w:rPr>
          <w:rFonts w:cs="Arial"/>
          <w:sz w:val="24"/>
        </w:rPr>
        <w:t xml:space="preserve">at </w:t>
      </w:r>
      <w:hyperlink r:id="rId9" w:history="1">
        <w:r w:rsidR="00467F93" w:rsidRPr="00467F93">
          <w:rPr>
            <w:rStyle w:val="Hyperlink"/>
            <w:sz w:val="24"/>
          </w:rPr>
          <w:t>Lurrentia.Walker@nationalgrid.com</w:t>
        </w:r>
      </w:hyperlink>
      <w:r w:rsidR="00467F93" w:rsidRPr="00467F93">
        <w:rPr>
          <w:rStyle w:val="Hyperlink"/>
          <w:sz w:val="24"/>
        </w:rPr>
        <w:t xml:space="preserve"> </w:t>
      </w:r>
    </w:p>
    <w:p w:rsidR="00FE7742" w:rsidRPr="004432D3" w:rsidRDefault="00FE7742" w:rsidP="00852CC2">
      <w:pPr>
        <w:jc w:val="both"/>
        <w:rPr>
          <w:rFonts w:cs="Arial"/>
          <w:sz w:val="24"/>
        </w:rPr>
      </w:pPr>
    </w:p>
    <w:p w:rsidR="00FE7742" w:rsidRPr="004432D3" w:rsidRDefault="00FE7742" w:rsidP="00852CC2">
      <w:pPr>
        <w:jc w:val="both"/>
        <w:rPr>
          <w:rFonts w:cs="Arial"/>
          <w:sz w:val="24"/>
        </w:rPr>
      </w:pPr>
      <w:r w:rsidRPr="004432D3">
        <w:rPr>
          <w:rFonts w:cs="Arial"/>
          <w:sz w:val="24"/>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rsidTr="00852CC2">
        <w:trPr>
          <w:trHeight w:val="317"/>
        </w:trPr>
        <w:tc>
          <w:tcPr>
            <w:tcW w:w="3403" w:type="dxa"/>
          </w:tcPr>
          <w:p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 xml:space="preserve">Please express your views regarding the </w:t>
            </w:r>
            <w:r w:rsidR="00A03666" w:rsidRPr="004432D3">
              <w:rPr>
                <w:rFonts w:cs="Arial"/>
                <w:b/>
                <w:sz w:val="24"/>
                <w:szCs w:val="22"/>
              </w:rPr>
              <w:t xml:space="preserve">Code </w:t>
            </w:r>
            <w:r w:rsidR="00964C3C" w:rsidRPr="004432D3">
              <w:rPr>
                <w:rFonts w:cs="Arial"/>
                <w:b/>
                <w:sz w:val="24"/>
                <w:szCs w:val="22"/>
              </w:rPr>
              <w:t xml:space="preserve">Administrator </w:t>
            </w:r>
            <w:r w:rsidRPr="004432D3">
              <w:rPr>
                <w:rFonts w:cs="Arial"/>
                <w:b/>
                <w:sz w:val="24"/>
                <w:szCs w:val="22"/>
              </w:rPr>
              <w:t>Consultation, including rationale.</w:t>
            </w:r>
          </w:p>
          <w:p w:rsidR="00E62A86" w:rsidRPr="004432D3" w:rsidRDefault="00E62A86" w:rsidP="00E62A86">
            <w:pPr>
              <w:pStyle w:val="BodyText"/>
              <w:rPr>
                <w:rFonts w:cs="Arial"/>
                <w:b/>
                <w:sz w:val="24"/>
                <w:szCs w:val="22"/>
              </w:rPr>
            </w:pPr>
            <w:r w:rsidRPr="004432D3">
              <w:rPr>
                <w:rFonts w:cs="Arial"/>
                <w:b/>
                <w:sz w:val="24"/>
                <w:szCs w:val="22"/>
              </w:rPr>
              <w:t>(Please include any issues, suggestions or queries)</w:t>
            </w:r>
          </w:p>
          <w:p w:rsidR="00E62A86" w:rsidRPr="004432D3" w:rsidRDefault="00E62A86" w:rsidP="00E62A86">
            <w:pPr>
              <w:pStyle w:val="BodyText"/>
              <w:rPr>
                <w:rFonts w:cs="Arial"/>
                <w:b/>
                <w:sz w:val="24"/>
                <w:szCs w:val="22"/>
              </w:rPr>
            </w:pPr>
          </w:p>
        </w:tc>
        <w:tc>
          <w:tcPr>
            <w:tcW w:w="6095" w:type="dxa"/>
          </w:tcPr>
          <w:p w:rsidR="00AE68EE" w:rsidRPr="00AE68EE" w:rsidRDefault="00AE68EE" w:rsidP="00AE68EE">
            <w:pPr>
              <w:pStyle w:val="Heading2"/>
              <w:numPr>
                <w:ilvl w:val="0"/>
                <w:numId w:val="0"/>
              </w:numPr>
              <w:rPr>
                <w:i/>
              </w:rPr>
            </w:pPr>
            <w:r>
              <w:t xml:space="preserve">For reference, the Applicable CUSC objectives are: </w:t>
            </w:r>
          </w:p>
          <w:p w:rsidR="00AE68EE" w:rsidRDefault="00AE68EE" w:rsidP="00AE68EE">
            <w:pPr>
              <w:pStyle w:val="BodyText"/>
              <w:ind w:left="720"/>
              <w:jc w:val="both"/>
            </w:pPr>
            <w:r>
              <w:t>Non-Standard (Charging) Objectives</w:t>
            </w:r>
          </w:p>
          <w:p w:rsidR="00AE68EE" w:rsidRDefault="00AE68EE" w:rsidP="00AE68EE">
            <w:pPr>
              <w:pStyle w:val="BodyText"/>
              <w:numPr>
                <w:ilvl w:val="1"/>
                <w:numId w:val="4"/>
              </w:numPr>
              <w:spacing w:after="0" w:line="240" w:lineRule="auto"/>
              <w:jc w:val="both"/>
              <w:rPr>
                <w:b/>
              </w:rPr>
            </w:pPr>
            <w:r w:rsidRPr="00E27D9F">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rsidR="00AE68EE" w:rsidRPr="00E27D9F" w:rsidRDefault="00AE68EE" w:rsidP="00AE68EE">
            <w:pPr>
              <w:pStyle w:val="BodyText"/>
              <w:ind w:left="1440"/>
              <w:jc w:val="both"/>
              <w:rPr>
                <w:b/>
              </w:rPr>
            </w:pPr>
            <w:r w:rsidRPr="00E27D9F">
              <w:t xml:space="preserve"> </w:t>
            </w:r>
          </w:p>
          <w:p w:rsidR="00AE68EE" w:rsidRPr="00E27D9F" w:rsidRDefault="00AE68EE" w:rsidP="00AE68EE">
            <w:pPr>
              <w:pStyle w:val="BodyText"/>
              <w:numPr>
                <w:ilvl w:val="1"/>
                <w:numId w:val="4"/>
              </w:numPr>
              <w:spacing w:after="0" w:line="240" w:lineRule="auto"/>
              <w:jc w:val="both"/>
              <w:rPr>
                <w:b/>
              </w:rPr>
            </w:pPr>
            <w:r w:rsidRPr="00E27D9F">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w:t>
            </w:r>
            <w:r>
              <w:t xml:space="preserve"> connect and manage connection);</w:t>
            </w:r>
          </w:p>
          <w:p w:rsidR="00AE68EE" w:rsidRPr="00E27D9F" w:rsidRDefault="00AE68EE" w:rsidP="00AE68EE">
            <w:pPr>
              <w:pStyle w:val="BodyText"/>
              <w:ind w:left="1440"/>
              <w:jc w:val="both"/>
              <w:rPr>
                <w:b/>
              </w:rPr>
            </w:pPr>
          </w:p>
          <w:p w:rsidR="00AE68EE" w:rsidRPr="00AE68EE" w:rsidRDefault="00AE68EE" w:rsidP="00AE68EE">
            <w:pPr>
              <w:pStyle w:val="Heading2"/>
              <w:numPr>
                <w:ilvl w:val="1"/>
                <w:numId w:val="4"/>
              </w:numPr>
              <w:rPr>
                <w:sz w:val="24"/>
                <w:szCs w:val="22"/>
              </w:rPr>
            </w:pPr>
            <w:r w:rsidRPr="00E27D9F">
              <w:t xml:space="preserve">That, so far as is consistent with sub-paragraphs (a) and (b), the use of system charging  methodology, as far as is </w:t>
            </w:r>
            <w:r w:rsidRPr="00E27D9F">
              <w:lastRenderedPageBreak/>
              <w:t>reasonably practicable, properly takes account of the developments in transmission licensees’ transmission businesses; Compliance with the Electricity Regulation and</w:t>
            </w:r>
          </w:p>
          <w:p w:rsidR="00AE68EE" w:rsidRDefault="00AE68EE" w:rsidP="00AE68EE">
            <w:pPr>
              <w:pStyle w:val="ListParagraph"/>
              <w:rPr>
                <w:b/>
              </w:rPr>
            </w:pPr>
          </w:p>
          <w:p w:rsidR="00AE68EE" w:rsidRDefault="00AE68EE" w:rsidP="00AE68EE">
            <w:pPr>
              <w:pStyle w:val="BodyText"/>
              <w:numPr>
                <w:ilvl w:val="1"/>
                <w:numId w:val="4"/>
              </w:numPr>
              <w:spacing w:after="0" w:line="240" w:lineRule="auto"/>
              <w:jc w:val="both"/>
              <w:rPr>
                <w:b/>
              </w:rPr>
            </w:pPr>
            <w:r w:rsidRPr="00E27D9F">
              <w:t xml:space="preserve">any relevant legally binding decision of the European </w:t>
            </w:r>
            <w:r w:rsidRPr="00E27D9F">
              <w:tab/>
              <w:t>Commission and/or the Agency. These are defined within the National Grid Electricity Transmission plc Licence under Standard Condition C10, paragraph 1 *; and</w:t>
            </w:r>
          </w:p>
          <w:p w:rsidR="00AE68EE" w:rsidRDefault="00AE68EE" w:rsidP="00AE68EE">
            <w:pPr>
              <w:pStyle w:val="BodyText"/>
              <w:ind w:left="1440"/>
              <w:jc w:val="both"/>
              <w:rPr>
                <w:b/>
              </w:rPr>
            </w:pPr>
          </w:p>
          <w:p w:rsidR="00AE68EE" w:rsidRPr="00E27D9F" w:rsidRDefault="00AE68EE" w:rsidP="00AE68EE">
            <w:pPr>
              <w:pStyle w:val="BodyText"/>
              <w:numPr>
                <w:ilvl w:val="1"/>
                <w:numId w:val="4"/>
              </w:numPr>
              <w:spacing w:after="0" w:line="240" w:lineRule="auto"/>
              <w:jc w:val="both"/>
              <w:rPr>
                <w:b/>
              </w:rPr>
            </w:pPr>
            <w:r w:rsidRPr="00E27D9F">
              <w:t xml:space="preserve"> Promoting efficiency in the implementation and administration of the CUSC arrangements.</w:t>
            </w:r>
          </w:p>
          <w:p w:rsidR="00AE68EE" w:rsidRDefault="00AE68EE" w:rsidP="00AE68EE">
            <w:pPr>
              <w:pStyle w:val="BodyText"/>
              <w:ind w:left="720"/>
              <w:jc w:val="both"/>
              <w:rPr>
                <w:b/>
              </w:rPr>
            </w:pPr>
          </w:p>
          <w:p w:rsidR="008F6094" w:rsidRPr="004432D3" w:rsidRDefault="008F6094" w:rsidP="00AE68EE">
            <w:pPr>
              <w:pStyle w:val="Heading2"/>
              <w:numPr>
                <w:ilvl w:val="0"/>
                <w:numId w:val="0"/>
              </w:numPr>
              <w:rPr>
                <w:sz w:val="24"/>
                <w:szCs w:val="22"/>
              </w:rPr>
            </w:pPr>
          </w:p>
        </w:tc>
      </w:tr>
    </w:tbl>
    <w:p w:rsidR="006A3790" w:rsidRDefault="006A3790" w:rsidP="00E62A86"/>
    <w:p w:rsidR="006A3790" w:rsidRPr="004432D3" w:rsidRDefault="004432D3" w:rsidP="00E62A86">
      <w:pPr>
        <w:rPr>
          <w:b/>
          <w:sz w:val="24"/>
        </w:rPr>
      </w:pPr>
      <w:r w:rsidRPr="004432D3">
        <w:rPr>
          <w:b/>
          <w:sz w:val="24"/>
        </w:rPr>
        <w:t>Code Administrator Consultation questions</w:t>
      </w:r>
    </w:p>
    <w:p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rsidTr="00F830F8">
        <w:trPr>
          <w:cantSplit/>
          <w:trHeight w:val="267"/>
          <w:tblHeader/>
        </w:trPr>
        <w:tc>
          <w:tcPr>
            <w:tcW w:w="832" w:type="dxa"/>
            <w:shd w:val="clear" w:color="auto" w:fill="D9D9D9"/>
          </w:tcPr>
          <w:p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rsidR="007E526A" w:rsidRPr="004432D3" w:rsidRDefault="007E526A" w:rsidP="00731A0D">
            <w:pPr>
              <w:rPr>
                <w:rFonts w:cs="Arial"/>
                <w:b/>
                <w:sz w:val="24"/>
                <w:szCs w:val="22"/>
              </w:rPr>
            </w:pPr>
            <w:r w:rsidRPr="004432D3">
              <w:rPr>
                <w:rFonts w:cs="Arial"/>
                <w:b/>
                <w:sz w:val="24"/>
                <w:szCs w:val="22"/>
              </w:rPr>
              <w:t>Response</w:t>
            </w:r>
          </w:p>
        </w:tc>
      </w:tr>
      <w:tr w:rsidR="007E526A" w:rsidRPr="004432D3" w:rsidTr="00F830F8">
        <w:trPr>
          <w:cantSplit/>
          <w:trHeight w:val="267"/>
        </w:trPr>
        <w:tc>
          <w:tcPr>
            <w:tcW w:w="832" w:type="dxa"/>
          </w:tcPr>
          <w:p w:rsidR="007E526A" w:rsidRPr="003F6454" w:rsidRDefault="007E526A" w:rsidP="00731A0D">
            <w:pPr>
              <w:rPr>
                <w:rFonts w:cs="Arial"/>
                <w:sz w:val="24"/>
                <w:szCs w:val="22"/>
              </w:rPr>
            </w:pPr>
            <w:r w:rsidRPr="003F6454">
              <w:rPr>
                <w:rFonts w:cs="Arial"/>
                <w:sz w:val="24"/>
                <w:szCs w:val="22"/>
              </w:rPr>
              <w:t>1</w:t>
            </w:r>
          </w:p>
        </w:tc>
        <w:tc>
          <w:tcPr>
            <w:tcW w:w="3057" w:type="dxa"/>
          </w:tcPr>
          <w:p w:rsidR="00F830F8" w:rsidRPr="003F6454" w:rsidRDefault="00737DD6" w:rsidP="008F6094">
            <w:pPr>
              <w:rPr>
                <w:rFonts w:cs="Arial"/>
                <w:b/>
                <w:sz w:val="24"/>
                <w:szCs w:val="22"/>
              </w:rPr>
            </w:pPr>
            <w:r w:rsidRPr="003F6454">
              <w:rPr>
                <w:rFonts w:cs="Arial"/>
                <w:b/>
                <w:sz w:val="24"/>
                <w:szCs w:val="22"/>
              </w:rPr>
              <w:t xml:space="preserve">Do you believe that </w:t>
            </w:r>
            <w:r w:rsidR="00AE68EE">
              <w:rPr>
                <w:rFonts w:cs="Arial"/>
                <w:b/>
                <w:sz w:val="24"/>
                <w:szCs w:val="22"/>
              </w:rPr>
              <w:t>CMP310</w:t>
            </w:r>
            <w:r w:rsidRPr="003F6454">
              <w:rPr>
                <w:rFonts w:cs="Arial"/>
                <w:b/>
                <w:sz w:val="24"/>
                <w:szCs w:val="22"/>
              </w:rPr>
              <w:t xml:space="preserve"> better facilitates the Applicable CUSC objectives</w:t>
            </w:r>
            <w:r w:rsidR="00165220" w:rsidRPr="003F6454">
              <w:rPr>
                <w:rFonts w:cs="Arial"/>
                <w:b/>
                <w:sz w:val="24"/>
                <w:szCs w:val="22"/>
              </w:rPr>
              <w:t>? Please include your reasoning</w:t>
            </w:r>
            <w:r w:rsidR="003F6454" w:rsidRPr="003F6454">
              <w:rPr>
                <w:rFonts w:cs="Arial"/>
                <w:b/>
                <w:sz w:val="24"/>
                <w:szCs w:val="22"/>
              </w:rPr>
              <w:t>.</w:t>
            </w:r>
          </w:p>
          <w:p w:rsidR="00F830F8" w:rsidRPr="003F6454" w:rsidRDefault="00F830F8" w:rsidP="008F6094">
            <w:pPr>
              <w:rPr>
                <w:rFonts w:cs="Arial"/>
                <w:b/>
                <w:sz w:val="24"/>
                <w:szCs w:val="22"/>
              </w:rPr>
            </w:pPr>
          </w:p>
        </w:tc>
        <w:tc>
          <w:tcPr>
            <w:tcW w:w="5609" w:type="dxa"/>
          </w:tcPr>
          <w:p w:rsidR="007E526A" w:rsidRPr="004432D3" w:rsidRDefault="007E526A"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2</w:t>
            </w:r>
          </w:p>
        </w:tc>
        <w:tc>
          <w:tcPr>
            <w:tcW w:w="3057" w:type="dxa"/>
          </w:tcPr>
          <w:p w:rsidR="007E526A" w:rsidRDefault="00737AF9" w:rsidP="00731A0D">
            <w:pPr>
              <w:rPr>
                <w:rFonts w:cs="Arial"/>
                <w:b/>
                <w:sz w:val="24"/>
                <w:szCs w:val="22"/>
              </w:rPr>
            </w:pPr>
            <w:r w:rsidRPr="004432D3">
              <w:rPr>
                <w:rFonts w:cs="Arial"/>
                <w:b/>
                <w:sz w:val="24"/>
                <w:szCs w:val="22"/>
              </w:rPr>
              <w:t>Do you support the proposed implementation approach?</w:t>
            </w:r>
          </w:p>
          <w:p w:rsidR="00F830F8" w:rsidRDefault="00F830F8" w:rsidP="00731A0D">
            <w:pPr>
              <w:rPr>
                <w:rFonts w:cs="Arial"/>
                <w:b/>
                <w:sz w:val="24"/>
                <w:szCs w:val="22"/>
              </w:rPr>
            </w:pPr>
          </w:p>
          <w:p w:rsidR="00F830F8" w:rsidRDefault="00F830F8" w:rsidP="00731A0D">
            <w:pPr>
              <w:rPr>
                <w:rFonts w:cs="Arial"/>
                <w:b/>
                <w:sz w:val="24"/>
                <w:szCs w:val="22"/>
                <w:highlight w:val="yellow"/>
              </w:rPr>
            </w:pPr>
          </w:p>
          <w:p w:rsidR="00F830F8" w:rsidRPr="004432D3" w:rsidRDefault="00F830F8" w:rsidP="00731A0D">
            <w:pPr>
              <w:rPr>
                <w:rFonts w:cs="Arial"/>
                <w:b/>
                <w:sz w:val="24"/>
                <w:szCs w:val="22"/>
                <w:highlight w:val="yellow"/>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3</w:t>
            </w:r>
          </w:p>
        </w:tc>
        <w:tc>
          <w:tcPr>
            <w:tcW w:w="3057" w:type="dxa"/>
          </w:tcPr>
          <w:p w:rsidR="007E526A" w:rsidRDefault="00C15869" w:rsidP="00731A0D">
            <w:pPr>
              <w:rPr>
                <w:b/>
                <w:bCs/>
                <w:sz w:val="24"/>
              </w:rPr>
            </w:pPr>
            <w:r w:rsidRPr="004432D3">
              <w:rPr>
                <w:b/>
                <w:bCs/>
                <w:sz w:val="24"/>
              </w:rPr>
              <w:t>Do you have any other comments</w:t>
            </w:r>
            <w:r w:rsidR="00AE68EE">
              <w:rPr>
                <w:b/>
                <w:bCs/>
                <w:sz w:val="24"/>
              </w:rPr>
              <w:t xml:space="preserve"> in relation to CMP310</w:t>
            </w:r>
            <w:bookmarkStart w:id="1" w:name="_GoBack"/>
            <w:bookmarkEnd w:id="1"/>
            <w:r w:rsidRPr="004432D3">
              <w:rPr>
                <w:b/>
                <w:bCs/>
                <w:sz w:val="24"/>
              </w:rPr>
              <w:t>?</w:t>
            </w:r>
          </w:p>
          <w:p w:rsidR="00F830F8" w:rsidRPr="004432D3" w:rsidRDefault="00F830F8" w:rsidP="00731A0D">
            <w:pPr>
              <w:rPr>
                <w:b/>
                <w:bCs/>
                <w:sz w:val="24"/>
              </w:rPr>
            </w:pPr>
          </w:p>
          <w:p w:rsidR="00C15869" w:rsidRDefault="00C15869" w:rsidP="00731A0D">
            <w:pPr>
              <w:rPr>
                <w:b/>
                <w:bCs/>
                <w:sz w:val="24"/>
              </w:rPr>
            </w:pPr>
          </w:p>
          <w:p w:rsidR="00F830F8" w:rsidRDefault="00F830F8" w:rsidP="00731A0D">
            <w:pPr>
              <w:rPr>
                <w:b/>
                <w:bCs/>
                <w:sz w:val="24"/>
              </w:rPr>
            </w:pPr>
          </w:p>
          <w:p w:rsidR="00F830F8" w:rsidRDefault="00F830F8" w:rsidP="00731A0D">
            <w:pPr>
              <w:rPr>
                <w:b/>
                <w:bCs/>
                <w:sz w:val="24"/>
              </w:rPr>
            </w:pPr>
          </w:p>
          <w:p w:rsidR="00F830F8" w:rsidRPr="004432D3" w:rsidRDefault="00F830F8" w:rsidP="00731A0D">
            <w:pPr>
              <w:rPr>
                <w:b/>
                <w:bCs/>
                <w:sz w:val="24"/>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bl>
    <w:p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2D" w:rsidRDefault="001D7A2D">
      <w:r>
        <w:separator/>
      </w:r>
    </w:p>
  </w:endnote>
  <w:endnote w:type="continuationSeparator" w:id="0">
    <w:p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2D" w:rsidRDefault="001D7A2D">
      <w:r>
        <w:separator/>
      </w:r>
    </w:p>
  </w:footnote>
  <w:footnote w:type="continuationSeparator" w:id="0">
    <w:p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D050B3C"/>
    <w:multiLevelType w:val="multilevel"/>
    <w:tmpl w:val="69042FBA"/>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8EE"/>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0987"/>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580F4"/>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ListParagraph">
    <w:name w:val="List Paragraph"/>
    <w:basedOn w:val="Normal"/>
    <w:uiPriority w:val="34"/>
    <w:qFormat/>
    <w:rsid w:val="00AE68EE"/>
    <w:pPr>
      <w:spacing w:line="240" w:lineRule="auto"/>
      <w:ind w:left="85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rrentia.Walker@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7B95-43B9-4ADA-A373-A370FBB1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2894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Walker (ESO), Lurrentia</cp:lastModifiedBy>
  <cp:revision>2</cp:revision>
  <cp:lastPrinted>2015-11-26T14:15:00Z</cp:lastPrinted>
  <dcterms:created xsi:type="dcterms:W3CDTF">2019-02-25T15:44:00Z</dcterms:created>
  <dcterms:modified xsi:type="dcterms:W3CDTF">2019-02-25T15:44:00Z</dcterms:modified>
</cp:coreProperties>
</file>