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A86" w:rsidRPr="006E0487" w:rsidRDefault="00984050" w:rsidP="00984050">
      <w:pPr>
        <w:pStyle w:val="Heading1"/>
        <w:numPr>
          <w:ilvl w:val="0"/>
          <w:numId w:val="0"/>
        </w:numPr>
      </w:pPr>
      <w:bookmarkStart w:id="0" w:name="_Toc288131448"/>
      <w:r>
        <w:t xml:space="preserve">Grid Code </w:t>
      </w:r>
      <w:r w:rsidR="00F54A6F">
        <w:t xml:space="preserve">Industry </w:t>
      </w:r>
      <w:r w:rsidR="00E62A86" w:rsidRPr="006E0487">
        <w:t>Consultation Response Proforma</w:t>
      </w:r>
      <w:bookmarkEnd w:id="0"/>
    </w:p>
    <w:p w:rsidR="00E62A86" w:rsidRDefault="00E62A86" w:rsidP="00E62A86">
      <w:pPr>
        <w:rPr>
          <w:rFonts w:cs="Arial"/>
          <w:b/>
          <w:szCs w:val="22"/>
        </w:rPr>
      </w:pPr>
    </w:p>
    <w:p w:rsidR="00E74467" w:rsidRDefault="00E74467" w:rsidP="00E62A86">
      <w:pPr>
        <w:rPr>
          <w:b/>
        </w:rPr>
      </w:pPr>
      <w:r w:rsidRPr="00E74467">
        <w:rPr>
          <w:b/>
        </w:rPr>
        <w:t>GC00</w:t>
      </w:r>
      <w:r w:rsidR="008B33D2">
        <w:rPr>
          <w:b/>
        </w:rPr>
        <w:t>48 – Requirements for Generators – GB Banding Thresholds</w:t>
      </w:r>
    </w:p>
    <w:p w:rsidR="008B33D2" w:rsidRPr="003F639A" w:rsidRDefault="008B33D2" w:rsidP="00E62A86">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Default="00E62A86" w:rsidP="00812027">
      <w:pPr>
        <w:pStyle w:val="BodyText"/>
      </w:pPr>
      <w:r w:rsidRPr="00694354">
        <w:t xml:space="preserve">Please send your responses </w:t>
      </w:r>
      <w:r w:rsidR="00DA7997">
        <w:t>by</w:t>
      </w:r>
      <w:r w:rsidRPr="00694354">
        <w:rPr>
          <w:b/>
        </w:rPr>
        <w:t xml:space="preserve"> </w:t>
      </w:r>
      <w:r w:rsidR="006940C2">
        <w:rPr>
          <w:b/>
        </w:rPr>
        <w:t>29 April 2016</w:t>
      </w:r>
      <w:r w:rsidR="00984050">
        <w:rPr>
          <w:b/>
        </w:rPr>
        <w:t xml:space="preserve"> </w:t>
      </w:r>
      <w:r w:rsidRPr="00694354">
        <w:t>to</w:t>
      </w:r>
      <w:r w:rsidR="00465ABE">
        <w:t xml:space="preserve"> </w:t>
      </w:r>
      <w:hyperlink r:id="rId8" w:history="1">
        <w:r w:rsidR="00984050" w:rsidRPr="00517995">
          <w:rPr>
            <w:rStyle w:val="Hyperlink"/>
          </w:rPr>
          <w:t>Grid.Code@nationalgrid.com</w:t>
        </w:r>
      </w:hyperlink>
      <w:r w:rsidR="00984050">
        <w:t>.  P</w:t>
      </w:r>
      <w:r w:rsidRPr="00694354">
        <w:t>lease note that any responses received after the deadline or sent to a different email address may not receive due consideration</w:t>
      </w:r>
      <w:r w:rsidR="00984050">
        <w:t>.</w:t>
      </w:r>
    </w:p>
    <w:p w:rsidR="00FC4B8C" w:rsidRDefault="00E62A86" w:rsidP="00E62A86">
      <w:pPr>
        <w:pStyle w:val="BodyText"/>
        <w:ind w:right="-97"/>
        <w:rPr>
          <w:rFonts w:cs="Arial"/>
          <w:spacing w:val="-3"/>
          <w:szCs w:val="22"/>
        </w:rPr>
      </w:pPr>
      <w:r w:rsidRPr="00651F79">
        <w:rPr>
          <w:rFonts w:cs="Arial"/>
          <w:spacing w:val="-3"/>
          <w:szCs w:val="22"/>
        </w:rPr>
        <w:t xml:space="preserve">These responses will be </w:t>
      </w:r>
      <w:r w:rsidR="00C84A95">
        <w:rPr>
          <w:rFonts w:cs="Arial"/>
          <w:spacing w:val="-3"/>
          <w:szCs w:val="22"/>
        </w:rPr>
        <w:t xml:space="preserve">included in the </w:t>
      </w:r>
      <w:r w:rsidR="00984050">
        <w:rPr>
          <w:rFonts w:cs="Arial"/>
          <w:spacing w:val="-3"/>
          <w:szCs w:val="22"/>
        </w:rPr>
        <w:t xml:space="preserve">Report to the Authority </w:t>
      </w:r>
      <w:r w:rsidRPr="00651F79">
        <w:rPr>
          <w:rFonts w:cs="Arial"/>
          <w:spacing w:val="-3"/>
          <w:szCs w:val="22"/>
        </w:rPr>
        <w:t xml:space="preserve">which is </w:t>
      </w:r>
      <w:r w:rsidR="006E0487">
        <w:rPr>
          <w:rFonts w:cs="Arial"/>
          <w:spacing w:val="-3"/>
          <w:szCs w:val="22"/>
        </w:rPr>
        <w:t xml:space="preserve">drafted by </w:t>
      </w:r>
      <w:r w:rsidR="00984050">
        <w:rPr>
          <w:rFonts w:cs="Arial"/>
          <w:spacing w:val="-3"/>
          <w:szCs w:val="22"/>
        </w:rPr>
        <w:t xml:space="preserve">National Grid </w:t>
      </w:r>
      <w:r w:rsidR="006E0487">
        <w:rPr>
          <w:rFonts w:cs="Arial"/>
          <w:spacing w:val="-3"/>
          <w:szCs w:val="22"/>
        </w:rPr>
        <w:t xml:space="preserve">and </w:t>
      </w:r>
      <w:r w:rsidRPr="00651F79">
        <w:rPr>
          <w:rFonts w:cs="Arial"/>
          <w:spacing w:val="-3"/>
          <w:szCs w:val="22"/>
        </w:rPr>
        <w:t xml:space="preserve">submitted to the </w:t>
      </w:r>
      <w:r w:rsidR="006E0487">
        <w:rPr>
          <w:rFonts w:cs="Arial"/>
          <w:spacing w:val="-3"/>
          <w:szCs w:val="22"/>
        </w:rPr>
        <w:t>Authority for a decision.</w:t>
      </w:r>
    </w:p>
    <w:tbl>
      <w:tblPr>
        <w:tblW w:w="905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1"/>
        <w:gridCol w:w="4867"/>
      </w:tblGrid>
      <w:tr w:rsidR="00FC4B8C" w:rsidRPr="00F75EDB" w:rsidTr="00F75EDB">
        <w:trPr>
          <w:cantSplit/>
        </w:trPr>
        <w:tc>
          <w:tcPr>
            <w:tcW w:w="4191" w:type="dxa"/>
            <w:shd w:val="clear" w:color="auto" w:fill="auto"/>
          </w:tcPr>
          <w:p w:rsidR="00FC4B8C" w:rsidRPr="00F75EDB" w:rsidRDefault="00FC4B8C" w:rsidP="00DD1571">
            <w:pPr>
              <w:rPr>
                <w:b/>
              </w:rPr>
            </w:pPr>
            <w:r w:rsidRPr="00F75EDB">
              <w:rPr>
                <w:b/>
              </w:rPr>
              <w:t>Respondent:</w:t>
            </w:r>
          </w:p>
        </w:tc>
        <w:tc>
          <w:tcPr>
            <w:tcW w:w="4867" w:type="dxa"/>
            <w:shd w:val="clear" w:color="auto" w:fill="auto"/>
          </w:tcPr>
          <w:p w:rsidR="00FC4B8C" w:rsidRPr="00F75EDB" w:rsidRDefault="0088644C" w:rsidP="0088644C">
            <w:pPr>
              <w:rPr>
                <w:i/>
              </w:rPr>
            </w:pPr>
            <w:r>
              <w:rPr>
                <w:i/>
              </w:rPr>
              <w:t>Graeme Vincent, graeme.vincent@spenergynetworks.co.uk</w:t>
            </w:r>
          </w:p>
        </w:tc>
      </w:tr>
      <w:tr w:rsidR="00FC4B8C" w:rsidRPr="00F75EDB" w:rsidTr="00F75EDB">
        <w:tc>
          <w:tcPr>
            <w:tcW w:w="4191" w:type="dxa"/>
            <w:shd w:val="clear" w:color="auto" w:fill="auto"/>
          </w:tcPr>
          <w:p w:rsidR="00FC4B8C" w:rsidRPr="00F75EDB" w:rsidRDefault="00FC4B8C" w:rsidP="00DD1571">
            <w:pPr>
              <w:rPr>
                <w:b/>
              </w:rPr>
            </w:pPr>
            <w:r w:rsidRPr="00F75EDB">
              <w:rPr>
                <w:b/>
              </w:rPr>
              <w:t>Company Name:</w:t>
            </w:r>
          </w:p>
        </w:tc>
        <w:tc>
          <w:tcPr>
            <w:tcW w:w="4867" w:type="dxa"/>
            <w:shd w:val="clear" w:color="auto" w:fill="auto"/>
          </w:tcPr>
          <w:p w:rsidR="00FC4B8C" w:rsidRPr="00F75EDB" w:rsidRDefault="0088644C" w:rsidP="0088644C">
            <w:pPr>
              <w:rPr>
                <w:i/>
              </w:rPr>
            </w:pPr>
            <w:r>
              <w:rPr>
                <w:i/>
              </w:rPr>
              <w:t>SP Energy Networks</w:t>
            </w:r>
          </w:p>
        </w:tc>
      </w:tr>
      <w:tr w:rsidR="006940C2" w:rsidRPr="00F75EDB" w:rsidTr="00F75EDB">
        <w:trPr>
          <w:trHeight w:val="170"/>
        </w:trPr>
        <w:tc>
          <w:tcPr>
            <w:tcW w:w="9058" w:type="dxa"/>
            <w:gridSpan w:val="2"/>
            <w:shd w:val="clear" w:color="auto" w:fill="auto"/>
          </w:tcPr>
          <w:p w:rsidR="006940C2" w:rsidRPr="00F75EDB" w:rsidRDefault="006940C2" w:rsidP="00F75EDB">
            <w:pPr>
              <w:pStyle w:val="Heading5"/>
              <w:numPr>
                <w:ilvl w:val="0"/>
                <w:numId w:val="0"/>
              </w:numPr>
              <w:spacing w:before="0" w:after="0"/>
              <w:rPr>
                <w:i/>
              </w:rPr>
            </w:pPr>
          </w:p>
          <w:p w:rsidR="006940C2" w:rsidRPr="00F75EDB" w:rsidRDefault="006940C2" w:rsidP="00F75EDB">
            <w:pPr>
              <w:pStyle w:val="Heading5"/>
              <w:numPr>
                <w:ilvl w:val="0"/>
                <w:numId w:val="0"/>
              </w:numPr>
              <w:spacing w:before="0" w:after="0"/>
              <w:rPr>
                <w:b/>
                <w:i/>
              </w:rPr>
            </w:pPr>
            <w:r w:rsidRPr="00F75EDB">
              <w:rPr>
                <w:b/>
                <w:i/>
              </w:rPr>
              <w:t>Consultation Questions:</w:t>
            </w:r>
          </w:p>
        </w:tc>
      </w:tr>
      <w:tr w:rsidR="0093388A" w:rsidRPr="00F75EDB" w:rsidTr="00F75EDB">
        <w:trPr>
          <w:trHeight w:val="397"/>
        </w:trPr>
        <w:tc>
          <w:tcPr>
            <w:tcW w:w="9058" w:type="dxa"/>
            <w:gridSpan w:val="2"/>
            <w:shd w:val="clear" w:color="auto" w:fill="auto"/>
          </w:tcPr>
          <w:p w:rsidR="0093388A" w:rsidRPr="00F75EDB" w:rsidRDefault="0093388A" w:rsidP="00F75EDB">
            <w:pPr>
              <w:pStyle w:val="Heading5"/>
              <w:numPr>
                <w:ilvl w:val="0"/>
                <w:numId w:val="0"/>
              </w:numPr>
              <w:spacing w:before="0" w:after="0"/>
              <w:rPr>
                <w:i/>
              </w:rPr>
            </w:pPr>
            <w:r>
              <w:t xml:space="preserve">i) </w:t>
            </w:r>
            <w:r w:rsidRPr="007F4A12">
              <w:t xml:space="preserve">From your perspective, which of the </w:t>
            </w:r>
            <w:r w:rsidR="00F822C3">
              <w:t xml:space="preserve">banding options presented in the consultation document (‘high’, ‘medium’, and ‘low’ </w:t>
            </w:r>
            <w:r w:rsidRPr="007F4A12">
              <w:t xml:space="preserve">is most suitable to apply in the GB synchronous area for the next three-five years? </w:t>
            </w:r>
          </w:p>
        </w:tc>
      </w:tr>
      <w:tr w:rsidR="0093388A" w:rsidRPr="00F75EDB" w:rsidTr="00F75EDB">
        <w:trPr>
          <w:trHeight w:val="170"/>
        </w:trPr>
        <w:tc>
          <w:tcPr>
            <w:tcW w:w="9058" w:type="dxa"/>
            <w:gridSpan w:val="2"/>
            <w:shd w:val="clear" w:color="auto" w:fill="auto"/>
          </w:tcPr>
          <w:p w:rsidR="00F822C3" w:rsidRPr="00F822C3" w:rsidRDefault="00C940BA" w:rsidP="006E38A7">
            <w:pPr>
              <w:pStyle w:val="Heading5"/>
              <w:numPr>
                <w:ilvl w:val="0"/>
                <w:numId w:val="0"/>
              </w:numPr>
              <w:spacing w:before="0" w:after="0"/>
            </w:pPr>
            <w:r>
              <w:rPr>
                <w:i/>
              </w:rPr>
              <w:t xml:space="preserve">Over the next three to five years we believe that the ‘Medium’ option </w:t>
            </w:r>
            <w:r w:rsidR="007248EA">
              <w:rPr>
                <w:i/>
              </w:rPr>
              <w:t>is the most suitable to apply in the GB Synchronous area.</w:t>
            </w:r>
          </w:p>
        </w:tc>
      </w:tr>
      <w:tr w:rsidR="0093388A" w:rsidRPr="00F75EDB" w:rsidTr="00F75EDB">
        <w:trPr>
          <w:trHeight w:val="397"/>
        </w:trPr>
        <w:tc>
          <w:tcPr>
            <w:tcW w:w="9058" w:type="dxa"/>
            <w:gridSpan w:val="2"/>
            <w:shd w:val="clear" w:color="auto" w:fill="auto"/>
          </w:tcPr>
          <w:p w:rsidR="0093388A" w:rsidRDefault="0093388A" w:rsidP="00F75EDB">
            <w:pPr>
              <w:pStyle w:val="Heading5"/>
              <w:numPr>
                <w:ilvl w:val="0"/>
                <w:numId w:val="0"/>
              </w:numPr>
              <w:spacing w:before="0" w:after="0"/>
            </w:pPr>
            <w:r>
              <w:t xml:space="preserve">ii) </w:t>
            </w:r>
            <w:r w:rsidRPr="007F4A12">
              <w:t xml:space="preserve">In respect of your preferred banding option stated in question (i), please can you provide a supporting justification, </w:t>
            </w:r>
            <w:r w:rsidRPr="00F75EDB">
              <w:rPr>
                <w:b/>
              </w:rPr>
              <w:t>particularly focusing on quantifying any costs/savings/benefits</w:t>
            </w:r>
            <w:r w:rsidR="005D4E2E" w:rsidRPr="00F75EDB">
              <w:rPr>
                <w:b/>
              </w:rPr>
              <w:t xml:space="preserve"> </w:t>
            </w:r>
            <w:r w:rsidR="005D4E2E" w:rsidRPr="005D4E2E">
              <w:t>(the attached template is provided as a guide)</w:t>
            </w:r>
            <w:r w:rsidR="008B33D2" w:rsidRPr="008B33D2">
              <w:t>,</w:t>
            </w:r>
            <w:r w:rsidRPr="007F4A12">
              <w:t xml:space="preserve"> when it is compared to the other two options presented in this report.</w:t>
            </w:r>
          </w:p>
          <w:p w:rsidR="005D4E2E" w:rsidRPr="005D4E2E" w:rsidRDefault="005D4E2E" w:rsidP="00F75EDB"/>
        </w:tc>
      </w:tr>
      <w:tr w:rsidR="0093388A" w:rsidRPr="00F75EDB" w:rsidTr="00F75EDB">
        <w:trPr>
          <w:trHeight w:val="170"/>
        </w:trPr>
        <w:tc>
          <w:tcPr>
            <w:tcW w:w="9058" w:type="dxa"/>
            <w:gridSpan w:val="2"/>
            <w:shd w:val="clear" w:color="auto" w:fill="auto"/>
          </w:tcPr>
          <w:p w:rsidR="00AE42D5" w:rsidRDefault="00847B53" w:rsidP="00AE42D5">
            <w:pPr>
              <w:pStyle w:val="Heading5"/>
              <w:numPr>
                <w:ilvl w:val="0"/>
                <w:numId w:val="0"/>
              </w:numPr>
              <w:spacing w:before="0" w:after="0"/>
              <w:rPr>
                <w:i/>
              </w:rPr>
            </w:pPr>
            <w:r>
              <w:rPr>
                <w:i/>
              </w:rPr>
              <w:t xml:space="preserve">We do not believe that sufficient justification was given at the time of the comitology process to move from the proposed banding in the RfG to align to those bandings being proposed for Continental Europe, which is far larger synchronous area where higher thresholds would be justified.  In all other (smaller) synchronous areas lower threshold values have been adopted to reflect the relative size of the networks and we believe it would be more appropriate for lower bandings to be applied to the GB synchronous area to reflect the differing needs of the Transmission System. </w:t>
            </w:r>
            <w:r w:rsidR="00E26C4E">
              <w:rPr>
                <w:i/>
              </w:rPr>
              <w:t xml:space="preserve">The proposed banding would also </w:t>
            </w:r>
            <w:r w:rsidR="00C31980">
              <w:rPr>
                <w:i/>
              </w:rPr>
              <w:t>recognise the particular characteristics of the network in Scotland – which are not reflective of the Continental Europe network to which the ‘High’ option is aligned.</w:t>
            </w:r>
            <w:r w:rsidR="00AE42D5">
              <w:rPr>
                <w:i/>
              </w:rPr>
              <w:t xml:space="preserve">  </w:t>
            </w:r>
          </w:p>
          <w:p w:rsidR="007015A8" w:rsidRPr="007015A8" w:rsidRDefault="007015A8" w:rsidP="00AE42D5">
            <w:pPr>
              <w:pStyle w:val="Heading5"/>
              <w:numPr>
                <w:ilvl w:val="0"/>
                <w:numId w:val="0"/>
              </w:numPr>
              <w:spacing w:before="0" w:after="0"/>
            </w:pPr>
            <w:r w:rsidRPr="002E7B78">
              <w:rPr>
                <w:i/>
              </w:rPr>
              <w:t xml:space="preserve">We further note the sentiments contained within Section 2.1.7 which indicates that ‘the initial banding setting should above all reflect the needs of the local network(s), which we do not believe is </w:t>
            </w:r>
            <w:r w:rsidR="002E7B78" w:rsidRPr="002E7B78">
              <w:rPr>
                <w:i/>
              </w:rPr>
              <w:t xml:space="preserve">satisfied by the </w:t>
            </w:r>
            <w:r w:rsidRPr="002E7B78">
              <w:rPr>
                <w:i/>
              </w:rPr>
              <w:t>proposed ‘high’ banding option.</w:t>
            </w:r>
            <w:bookmarkStart w:id="1" w:name="_GoBack"/>
            <w:bookmarkEnd w:id="1"/>
          </w:p>
        </w:tc>
      </w:tr>
      <w:tr w:rsidR="003E425A" w:rsidRPr="00F75EDB" w:rsidTr="00F75EDB">
        <w:trPr>
          <w:trHeight w:val="397"/>
        </w:trPr>
        <w:tc>
          <w:tcPr>
            <w:tcW w:w="9058" w:type="dxa"/>
            <w:gridSpan w:val="2"/>
            <w:shd w:val="clear" w:color="auto" w:fill="auto"/>
          </w:tcPr>
          <w:p w:rsidR="003E425A" w:rsidRPr="007F4A12" w:rsidRDefault="003E425A" w:rsidP="00F75EDB">
            <w:pPr>
              <w:pStyle w:val="Heading5"/>
              <w:numPr>
                <w:ilvl w:val="0"/>
                <w:numId w:val="0"/>
              </w:numPr>
              <w:spacing w:before="0" w:after="0"/>
            </w:pPr>
            <w:r>
              <w:t xml:space="preserve">iii) </w:t>
            </w:r>
            <w:r w:rsidRPr="007F4A12">
              <w:t>Does your preferred banding level adequately protect the interests of all Transmission System and Distribution System Users? If not, why does it fail to do so?</w:t>
            </w:r>
          </w:p>
        </w:tc>
      </w:tr>
      <w:tr w:rsidR="00F822C3" w:rsidRPr="00F75EDB" w:rsidTr="00F75EDB">
        <w:trPr>
          <w:trHeight w:val="113"/>
        </w:trPr>
        <w:tc>
          <w:tcPr>
            <w:tcW w:w="9058" w:type="dxa"/>
            <w:gridSpan w:val="2"/>
            <w:shd w:val="clear" w:color="auto" w:fill="auto"/>
          </w:tcPr>
          <w:p w:rsidR="00F822C3" w:rsidRPr="00F822C3" w:rsidRDefault="007174EE" w:rsidP="006E38A7">
            <w:pPr>
              <w:pStyle w:val="Heading5"/>
              <w:numPr>
                <w:ilvl w:val="0"/>
                <w:numId w:val="0"/>
              </w:numPr>
              <w:spacing w:before="0" w:after="0"/>
            </w:pPr>
            <w:r>
              <w:rPr>
                <w:i/>
              </w:rPr>
              <w:t>Yes, we believe so as it ensures that there are sufficient providers of market ser</w:t>
            </w:r>
            <w:r w:rsidR="00C31980">
              <w:rPr>
                <w:i/>
              </w:rPr>
              <w:t xml:space="preserve">vices to the GBS, which given the changing nature of the generation background may become a more important issue in future years.  It </w:t>
            </w:r>
            <w:r>
              <w:rPr>
                <w:i/>
              </w:rPr>
              <w:t xml:space="preserve">would </w:t>
            </w:r>
            <w:r w:rsidR="00C31980">
              <w:rPr>
                <w:i/>
              </w:rPr>
              <w:t xml:space="preserve">also </w:t>
            </w:r>
            <w:r>
              <w:rPr>
                <w:i/>
              </w:rPr>
              <w:t xml:space="preserve">ensure that local issues in Scotland </w:t>
            </w:r>
            <w:r w:rsidR="00847B53">
              <w:rPr>
                <w:i/>
              </w:rPr>
              <w:t>which are currently managed through the recognition of different bandings can be m</w:t>
            </w:r>
            <w:r w:rsidR="00FE1151">
              <w:rPr>
                <w:i/>
              </w:rPr>
              <w:t>aintained.</w:t>
            </w:r>
            <w:r w:rsidR="00C31980">
              <w:rPr>
                <w:i/>
              </w:rPr>
              <w:t xml:space="preserve">  </w:t>
            </w:r>
          </w:p>
        </w:tc>
      </w:tr>
      <w:tr w:rsidR="003E425A" w:rsidRPr="00F75EDB" w:rsidTr="00F75EDB">
        <w:trPr>
          <w:trHeight w:val="397"/>
        </w:trPr>
        <w:tc>
          <w:tcPr>
            <w:tcW w:w="9058" w:type="dxa"/>
            <w:gridSpan w:val="2"/>
            <w:shd w:val="clear" w:color="auto" w:fill="auto"/>
          </w:tcPr>
          <w:p w:rsidR="003E425A" w:rsidRPr="007F4A12" w:rsidRDefault="003E425A" w:rsidP="00F75EDB">
            <w:pPr>
              <w:pStyle w:val="Heading5"/>
              <w:numPr>
                <w:ilvl w:val="0"/>
                <w:numId w:val="0"/>
              </w:numPr>
              <w:spacing w:before="0" w:after="0"/>
            </w:pPr>
            <w:r>
              <w:t xml:space="preserve">iv) </w:t>
            </w:r>
            <w:r w:rsidRPr="007F4A12">
              <w:t>Do the proposed banding levels strike an appropriate balance between the needs of the System Operator, Network Operators, Generators and other interested parties? If not, why do they fail to do so?</w:t>
            </w:r>
          </w:p>
        </w:tc>
      </w:tr>
      <w:tr w:rsidR="00F822C3" w:rsidRPr="00F75EDB" w:rsidTr="00F75EDB">
        <w:trPr>
          <w:trHeight w:val="57"/>
        </w:trPr>
        <w:tc>
          <w:tcPr>
            <w:tcW w:w="9058" w:type="dxa"/>
            <w:gridSpan w:val="2"/>
            <w:shd w:val="clear" w:color="auto" w:fill="auto"/>
          </w:tcPr>
          <w:p w:rsidR="005D4E2E" w:rsidRPr="00F75EDB" w:rsidRDefault="007248EA" w:rsidP="00F75EDB">
            <w:pPr>
              <w:pStyle w:val="Heading5"/>
              <w:numPr>
                <w:ilvl w:val="0"/>
                <w:numId w:val="0"/>
              </w:numPr>
              <w:spacing w:before="0" w:after="0"/>
              <w:rPr>
                <w:i/>
              </w:rPr>
            </w:pPr>
            <w:r>
              <w:rPr>
                <w:i/>
              </w:rPr>
              <w:t>We believe that the mid-range option (‘medium’) strikes an appropriate balance across GB, whilst acknowledging that it has a close alignment with the current banding splits in the SP Transmission area.  Given the changing generation background in GB it is important to ensure that certain technical requirements are maintained to ensure that local issues such as voltage control can be managed, and this option would support this.</w:t>
            </w:r>
          </w:p>
          <w:p w:rsidR="00F822C3" w:rsidRPr="00F822C3" w:rsidRDefault="00F822C3" w:rsidP="00F75EDB"/>
        </w:tc>
      </w:tr>
      <w:tr w:rsidR="003E425A" w:rsidRPr="00F75EDB" w:rsidTr="00F75EDB">
        <w:trPr>
          <w:trHeight w:val="397"/>
        </w:trPr>
        <w:tc>
          <w:tcPr>
            <w:tcW w:w="9058" w:type="dxa"/>
            <w:gridSpan w:val="2"/>
            <w:shd w:val="clear" w:color="auto" w:fill="auto"/>
          </w:tcPr>
          <w:p w:rsidR="003E425A" w:rsidRPr="007F4A12" w:rsidRDefault="003E425A" w:rsidP="00F75EDB">
            <w:pPr>
              <w:pStyle w:val="Heading5"/>
              <w:numPr>
                <w:ilvl w:val="0"/>
                <w:numId w:val="0"/>
              </w:numPr>
              <w:spacing w:before="0" w:after="0"/>
            </w:pPr>
            <w:r>
              <w:lastRenderedPageBreak/>
              <w:t xml:space="preserve">v) </w:t>
            </w:r>
            <w:r w:rsidRPr="007F4A12">
              <w:t xml:space="preserve">Are there additional considerations for the banding level which the Workgroup has so far not taken account of in this report? </w:t>
            </w:r>
          </w:p>
        </w:tc>
      </w:tr>
      <w:tr w:rsidR="003E425A" w:rsidRPr="00F75EDB" w:rsidTr="00F75EDB">
        <w:trPr>
          <w:trHeight w:val="20"/>
        </w:trPr>
        <w:tc>
          <w:tcPr>
            <w:tcW w:w="9058" w:type="dxa"/>
            <w:gridSpan w:val="2"/>
            <w:shd w:val="clear" w:color="auto" w:fill="auto"/>
          </w:tcPr>
          <w:p w:rsidR="00F822C3" w:rsidRPr="00F822C3" w:rsidRDefault="00FE1151" w:rsidP="006E38A7">
            <w:pPr>
              <w:pStyle w:val="Heading5"/>
              <w:numPr>
                <w:ilvl w:val="0"/>
                <w:numId w:val="0"/>
              </w:numPr>
              <w:spacing w:before="0" w:after="0"/>
            </w:pPr>
            <w:r>
              <w:rPr>
                <w:i/>
              </w:rPr>
              <w:t xml:space="preserve">No we believe that both the Working Group and the Report have taken into account the wide ranging issues </w:t>
            </w:r>
            <w:r w:rsidR="00E26C4E">
              <w:rPr>
                <w:i/>
              </w:rPr>
              <w:t xml:space="preserve">which surround this issue and have presented the relevant merits and demerits in a fair and balanced manner. </w:t>
            </w:r>
          </w:p>
        </w:tc>
      </w:tr>
      <w:tr w:rsidR="003E425A" w:rsidRPr="00F75EDB" w:rsidTr="00F75EDB">
        <w:trPr>
          <w:trHeight w:val="20"/>
        </w:trPr>
        <w:tc>
          <w:tcPr>
            <w:tcW w:w="9058" w:type="dxa"/>
            <w:gridSpan w:val="2"/>
            <w:shd w:val="clear" w:color="auto" w:fill="auto"/>
          </w:tcPr>
          <w:p w:rsidR="003E425A" w:rsidRPr="007F4A12" w:rsidRDefault="003E425A" w:rsidP="00F75EDB">
            <w:pPr>
              <w:pStyle w:val="Heading5"/>
              <w:numPr>
                <w:ilvl w:val="0"/>
                <w:numId w:val="0"/>
              </w:numPr>
              <w:spacing w:before="0" w:after="0"/>
            </w:pPr>
            <w:r>
              <w:t>vi)</w:t>
            </w:r>
            <w:r w:rsidR="00F822C3">
              <w:t xml:space="preserve"> </w:t>
            </w:r>
            <w:r w:rsidRPr="007F4A12">
              <w:t>Please provide any other comments you feel are relevant to the proposed change.</w:t>
            </w:r>
          </w:p>
        </w:tc>
      </w:tr>
      <w:tr w:rsidR="003E425A" w:rsidRPr="00F75EDB" w:rsidTr="00F75EDB">
        <w:trPr>
          <w:trHeight w:val="20"/>
        </w:trPr>
        <w:tc>
          <w:tcPr>
            <w:tcW w:w="9058" w:type="dxa"/>
            <w:gridSpan w:val="2"/>
            <w:shd w:val="clear" w:color="auto" w:fill="auto"/>
          </w:tcPr>
          <w:p w:rsidR="00F822C3" w:rsidRPr="00F822C3" w:rsidRDefault="00B55F01" w:rsidP="006E38A7">
            <w:pPr>
              <w:pStyle w:val="Heading5"/>
              <w:numPr>
                <w:ilvl w:val="0"/>
                <w:numId w:val="0"/>
              </w:numPr>
              <w:spacing w:before="0" w:after="0"/>
            </w:pPr>
            <w:r>
              <w:rPr>
                <w:i/>
              </w:rPr>
              <w:t xml:space="preserve">Whilst the High option aligns with those bandings proposed in Continental Europe there </w:t>
            </w:r>
            <w:r w:rsidR="007B7FE4">
              <w:rPr>
                <w:i/>
              </w:rPr>
              <w:t xml:space="preserve">is anecdotal evidence that a number of TSOs in Europe are proposing lower bandings than in the RfG.  If this is the case then the arguments underpinning the higher bandings would need to be reviewed, which may need to a further change in three years when </w:t>
            </w:r>
            <w:r w:rsidR="006E38A7">
              <w:rPr>
                <w:i/>
              </w:rPr>
              <w:t xml:space="preserve">a further </w:t>
            </w:r>
            <w:r w:rsidR="007B7FE4">
              <w:rPr>
                <w:i/>
              </w:rPr>
              <w:t xml:space="preserve">the review of bandings can be undertaken. </w:t>
            </w:r>
          </w:p>
        </w:tc>
      </w:tr>
      <w:tr w:rsidR="00F822C3" w:rsidRPr="00F75EDB" w:rsidTr="00F75EDB">
        <w:trPr>
          <w:trHeight w:val="20"/>
        </w:trPr>
        <w:tc>
          <w:tcPr>
            <w:tcW w:w="9058" w:type="dxa"/>
            <w:gridSpan w:val="2"/>
            <w:shd w:val="clear" w:color="auto" w:fill="auto"/>
          </w:tcPr>
          <w:p w:rsidR="008B33D2" w:rsidRPr="008B33D2" w:rsidRDefault="00F822C3" w:rsidP="00FE1151">
            <w:pPr>
              <w:pStyle w:val="Heading5"/>
              <w:numPr>
                <w:ilvl w:val="0"/>
                <w:numId w:val="0"/>
              </w:numPr>
              <w:spacing w:before="0" w:after="0"/>
            </w:pPr>
            <w:r>
              <w:t xml:space="preserve">vii) </w:t>
            </w:r>
            <w:r w:rsidRPr="007F4A12">
              <w:t>How do you believe your preferred banding level facilitates the Grid Code/Distribution Code objectives?</w:t>
            </w:r>
            <w:r w:rsidR="00D54836">
              <w:t xml:space="preserve"> </w:t>
            </w:r>
          </w:p>
        </w:tc>
      </w:tr>
      <w:tr w:rsidR="00F822C3" w:rsidRPr="00F75EDB" w:rsidTr="00F75EDB">
        <w:tc>
          <w:tcPr>
            <w:tcW w:w="9058" w:type="dxa"/>
            <w:gridSpan w:val="2"/>
            <w:shd w:val="clear" w:color="auto" w:fill="auto"/>
          </w:tcPr>
          <w:p w:rsidR="00F822C3" w:rsidRPr="00F75EDB" w:rsidRDefault="00F822C3" w:rsidP="00DD1571">
            <w:pPr>
              <w:rPr>
                <w:i/>
              </w:rPr>
            </w:pPr>
            <w:r w:rsidRPr="00F75EDB">
              <w:rPr>
                <w:i/>
              </w:rPr>
              <w:t>For reference the applicable Grid Code objectives are:</w:t>
            </w:r>
          </w:p>
          <w:p w:rsidR="00F822C3" w:rsidRPr="00F75EDB" w:rsidRDefault="00F822C3" w:rsidP="00DD1571">
            <w:pPr>
              <w:rPr>
                <w:i/>
              </w:rPr>
            </w:pPr>
          </w:p>
          <w:p w:rsidR="00F822C3" w:rsidRPr="00F75EDB" w:rsidRDefault="00F822C3" w:rsidP="00DD1571">
            <w:pPr>
              <w:rPr>
                <w:i/>
              </w:rPr>
            </w:pPr>
            <w:r w:rsidRPr="00F75EDB">
              <w:rPr>
                <w:i/>
              </w:rPr>
              <w:t>(i) to permit the development, maintenance and operation of an efficient, coordinated and economical system for the transmission of electricity;</w:t>
            </w:r>
          </w:p>
          <w:p w:rsidR="00E670C4" w:rsidRDefault="00E670C4" w:rsidP="00F75EDB">
            <w:pPr>
              <w:pStyle w:val="Heading5"/>
              <w:numPr>
                <w:ilvl w:val="0"/>
                <w:numId w:val="0"/>
              </w:numPr>
              <w:spacing w:before="0" w:after="0"/>
              <w:rPr>
                <w:i/>
              </w:rPr>
            </w:pPr>
          </w:p>
          <w:p w:rsidR="005D4E2E" w:rsidRPr="00F75EDB" w:rsidRDefault="00E670C4" w:rsidP="00F75EDB">
            <w:pPr>
              <w:pStyle w:val="Heading5"/>
              <w:numPr>
                <w:ilvl w:val="0"/>
                <w:numId w:val="0"/>
              </w:numPr>
              <w:spacing w:before="0" w:after="0"/>
              <w:rPr>
                <w:i/>
              </w:rPr>
            </w:pPr>
            <w:r>
              <w:rPr>
                <w:i/>
              </w:rPr>
              <w:t>A medium banding would have a neutral impact on this objective.</w:t>
            </w:r>
          </w:p>
          <w:p w:rsidR="008B33D2" w:rsidRPr="00F75EDB" w:rsidRDefault="008B33D2" w:rsidP="00DD1571">
            <w:pPr>
              <w:rPr>
                <w:i/>
              </w:rPr>
            </w:pPr>
          </w:p>
          <w:p w:rsidR="00F822C3" w:rsidRPr="00F75EDB" w:rsidRDefault="00F822C3" w:rsidP="00DD1571">
            <w:pPr>
              <w:rPr>
                <w:i/>
              </w:rPr>
            </w:pPr>
            <w:r w:rsidRPr="00F75EDB">
              <w:rPr>
                <w:i/>
              </w:rPr>
              <w:t>(ii) 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rsidR="005D4E2E" w:rsidRDefault="005D4E2E" w:rsidP="00F75EDB">
            <w:pPr>
              <w:pStyle w:val="Heading5"/>
              <w:numPr>
                <w:ilvl w:val="0"/>
                <w:numId w:val="0"/>
              </w:numPr>
              <w:spacing w:before="0" w:after="0"/>
              <w:rPr>
                <w:i/>
              </w:rPr>
            </w:pPr>
          </w:p>
          <w:p w:rsidR="00E670C4" w:rsidRPr="00E670C4" w:rsidRDefault="00E670C4" w:rsidP="00E670C4">
            <w:r>
              <w:t xml:space="preserve">A medium banding would we believe have a neutral impact as this option is closer to the current arrangements within GB.  Whilst alignment to Continental Europe would provide a degree of harmonisation, additional costs are likely to be incurred </w:t>
            </w:r>
            <w:r w:rsidR="00B55F01">
              <w:t xml:space="preserve">by industry parties </w:t>
            </w:r>
            <w:r>
              <w:t>to resolve specific local issues</w:t>
            </w:r>
            <w:r w:rsidR="007D3CDE">
              <w:t xml:space="preserve">, which are currently managed through the existing banding </w:t>
            </w:r>
            <w:r w:rsidR="00B55F01">
              <w:t>arrangements</w:t>
            </w:r>
            <w:r w:rsidR="007D3CDE">
              <w:t>.</w:t>
            </w:r>
          </w:p>
          <w:p w:rsidR="008B33D2" w:rsidRPr="00F75EDB" w:rsidRDefault="008B33D2" w:rsidP="00DD1571">
            <w:pPr>
              <w:rPr>
                <w:i/>
              </w:rPr>
            </w:pPr>
          </w:p>
          <w:p w:rsidR="00F822C3" w:rsidRPr="00F75EDB" w:rsidRDefault="00F822C3" w:rsidP="00DD1571">
            <w:pPr>
              <w:rPr>
                <w:i/>
              </w:rPr>
            </w:pPr>
            <w:r w:rsidRPr="00F75EDB">
              <w:rPr>
                <w:i/>
              </w:rPr>
              <w:t>(iii) subject to sub-paragraphs (i) and (ii), to promote the security and efficiency of the electricity generation, transmission and distribution systems in the national electricity transmission system operator area taken as a whole; and</w:t>
            </w:r>
          </w:p>
          <w:p w:rsidR="008B33D2" w:rsidRDefault="008B33D2" w:rsidP="00DD1571">
            <w:pPr>
              <w:rPr>
                <w:i/>
              </w:rPr>
            </w:pPr>
          </w:p>
          <w:p w:rsidR="007D3CDE" w:rsidRDefault="007D3CDE" w:rsidP="00DD1571">
            <w:pPr>
              <w:rPr>
                <w:i/>
              </w:rPr>
            </w:pPr>
            <w:r w:rsidRPr="007D3CDE">
              <w:rPr>
                <w:i/>
              </w:rPr>
              <w:t>A medium banding would have a neutral impact on this objective.</w:t>
            </w:r>
          </w:p>
          <w:p w:rsidR="007D3CDE" w:rsidRPr="00F75EDB" w:rsidRDefault="007D3CDE" w:rsidP="00DD1571">
            <w:pPr>
              <w:rPr>
                <w:i/>
              </w:rPr>
            </w:pPr>
          </w:p>
          <w:p w:rsidR="00F822C3" w:rsidRDefault="00F822C3" w:rsidP="00DD1571">
            <w:pPr>
              <w:rPr>
                <w:i/>
              </w:rPr>
            </w:pPr>
            <w:r w:rsidRPr="00F75EDB">
              <w:rPr>
                <w:i/>
              </w:rPr>
              <w:t>(iv) to efficiently discharge the obligations imposed upon the licensee by this license and to comply with the Electricity Regulation and any relevant legally binding decisions of the European Commission and/or the Agency.</w:t>
            </w:r>
          </w:p>
          <w:p w:rsidR="00FE1151" w:rsidRPr="00F75EDB" w:rsidRDefault="00FE1151" w:rsidP="00DD1571">
            <w:pPr>
              <w:rPr>
                <w:i/>
              </w:rPr>
            </w:pPr>
          </w:p>
          <w:p w:rsidR="005D4E2E" w:rsidRDefault="00FE1151" w:rsidP="00FE1151">
            <w:pPr>
              <w:pStyle w:val="Heading5"/>
              <w:numPr>
                <w:ilvl w:val="0"/>
                <w:numId w:val="0"/>
              </w:numPr>
              <w:spacing w:before="0" w:after="0"/>
              <w:rPr>
                <w:i/>
              </w:rPr>
            </w:pPr>
            <w:r>
              <w:rPr>
                <w:i/>
              </w:rPr>
              <w:t xml:space="preserve">By undertaking this consultation process </w:t>
            </w:r>
            <w:r w:rsidR="00E670C4">
              <w:rPr>
                <w:i/>
              </w:rPr>
              <w:t xml:space="preserve">compliance with Regulation (EU) 2016/631 Article 5 </w:t>
            </w:r>
            <w:r w:rsidR="006E38A7">
              <w:rPr>
                <w:i/>
              </w:rPr>
              <w:t xml:space="preserve">is being </w:t>
            </w:r>
            <w:r w:rsidR="00E670C4">
              <w:rPr>
                <w:i/>
              </w:rPr>
              <w:t>demonstrated.</w:t>
            </w:r>
          </w:p>
          <w:p w:rsidR="00FE1151" w:rsidRPr="00FE1151" w:rsidRDefault="00FE1151" w:rsidP="00FE1151"/>
        </w:tc>
      </w:tr>
      <w:tr w:rsidR="00F822C3" w:rsidRPr="00F75EDB" w:rsidTr="00F75EDB">
        <w:tc>
          <w:tcPr>
            <w:tcW w:w="9058" w:type="dxa"/>
            <w:gridSpan w:val="2"/>
            <w:shd w:val="clear" w:color="auto" w:fill="auto"/>
          </w:tcPr>
          <w:p w:rsidR="00F822C3" w:rsidRPr="003F61F0" w:rsidRDefault="00F822C3" w:rsidP="00F75EDB">
            <w:pPr>
              <w:tabs>
                <w:tab w:val="left" w:pos="4571"/>
              </w:tabs>
            </w:pPr>
            <w:r w:rsidRPr="00F75EDB">
              <w:rPr>
                <w:b/>
              </w:rPr>
              <w:t>Do you have any additional comments?</w:t>
            </w:r>
            <w:r w:rsidR="008B33D2" w:rsidRPr="00F75EDB">
              <w:rPr>
                <w:b/>
              </w:rPr>
              <w:tab/>
            </w:r>
          </w:p>
        </w:tc>
      </w:tr>
      <w:tr w:rsidR="008B33D2" w:rsidRPr="00F75EDB" w:rsidTr="00F75EDB">
        <w:tc>
          <w:tcPr>
            <w:tcW w:w="9058" w:type="dxa"/>
            <w:gridSpan w:val="2"/>
            <w:shd w:val="clear" w:color="auto" w:fill="auto"/>
          </w:tcPr>
          <w:p w:rsidR="005D4E2E" w:rsidRPr="00F75EDB" w:rsidRDefault="006E38A7" w:rsidP="00F75EDB">
            <w:pPr>
              <w:pStyle w:val="Heading5"/>
              <w:numPr>
                <w:ilvl w:val="0"/>
                <w:numId w:val="0"/>
              </w:numPr>
              <w:spacing w:before="0" w:after="0"/>
              <w:rPr>
                <w:i/>
              </w:rPr>
            </w:pPr>
            <w:r>
              <w:rPr>
                <w:i/>
              </w:rPr>
              <w:t>We have no additional comments.</w:t>
            </w:r>
          </w:p>
          <w:p w:rsidR="008B33D2" w:rsidRPr="00F75EDB" w:rsidRDefault="008B33D2" w:rsidP="00F75EDB">
            <w:pPr>
              <w:tabs>
                <w:tab w:val="left" w:pos="4571"/>
              </w:tabs>
              <w:rPr>
                <w:b/>
              </w:rPr>
            </w:pPr>
          </w:p>
        </w:tc>
      </w:tr>
    </w:tbl>
    <w:p w:rsidR="00FC4B8C" w:rsidRPr="00651F79" w:rsidRDefault="00FC4B8C" w:rsidP="0046504A">
      <w:pPr>
        <w:pStyle w:val="BodyText"/>
        <w:ind w:right="-97"/>
      </w:pPr>
    </w:p>
    <w:sectPr w:rsidR="00FC4B8C" w:rsidRPr="00651F79" w:rsidSect="0046504A">
      <w:footerReference w:type="default" r:id="rId9"/>
      <w:type w:val="continuous"/>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BA7" w:rsidRDefault="00945BA7">
      <w:r>
        <w:separator/>
      </w:r>
    </w:p>
  </w:endnote>
  <w:endnote w:type="continuationSeparator" w:id="0">
    <w:p w:rsidR="00945BA7" w:rsidRDefault="00945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C6F" w:rsidRDefault="00707C6F">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sidR="00AE42D5">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AE42D5">
      <w:rPr>
        <w:rStyle w:val="PageNumber"/>
        <w:noProof/>
      </w:rPr>
      <w:t>2</w:t>
    </w:r>
    <w:r>
      <w:rPr>
        <w:rStyle w:val="PageNumber"/>
      </w:rPr>
      <w:fldChar w:fldCharType="end"/>
    </w:r>
  </w:p>
  <w:p w:rsidR="00707C6F" w:rsidRDefault="00707C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BA7" w:rsidRDefault="00945BA7">
      <w:r>
        <w:separator/>
      </w:r>
    </w:p>
  </w:footnote>
  <w:footnote w:type="continuationSeparator" w:id="0">
    <w:p w:rsidR="00945BA7" w:rsidRDefault="00945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86"/>
    <w:rsid w:val="000245C7"/>
    <w:rsid w:val="00027334"/>
    <w:rsid w:val="00031630"/>
    <w:rsid w:val="0003213A"/>
    <w:rsid w:val="00057443"/>
    <w:rsid w:val="000642CC"/>
    <w:rsid w:val="00083788"/>
    <w:rsid w:val="000840E3"/>
    <w:rsid w:val="00087204"/>
    <w:rsid w:val="00091DE7"/>
    <w:rsid w:val="00100103"/>
    <w:rsid w:val="0010032A"/>
    <w:rsid w:val="00124A50"/>
    <w:rsid w:val="00196A22"/>
    <w:rsid w:val="001A38EA"/>
    <w:rsid w:val="001D0EA7"/>
    <w:rsid w:val="001D2A93"/>
    <w:rsid w:val="00204CA0"/>
    <w:rsid w:val="002060CE"/>
    <w:rsid w:val="00233440"/>
    <w:rsid w:val="002362A8"/>
    <w:rsid w:val="00242625"/>
    <w:rsid w:val="0024659A"/>
    <w:rsid w:val="00253EEF"/>
    <w:rsid w:val="002558C0"/>
    <w:rsid w:val="00274E88"/>
    <w:rsid w:val="002A6DA8"/>
    <w:rsid w:val="002A7646"/>
    <w:rsid w:val="002C1202"/>
    <w:rsid w:val="002E102B"/>
    <w:rsid w:val="002E4C32"/>
    <w:rsid w:val="002E7B78"/>
    <w:rsid w:val="00303C2B"/>
    <w:rsid w:val="00306436"/>
    <w:rsid w:val="003113C6"/>
    <w:rsid w:val="00341E2C"/>
    <w:rsid w:val="00341ED6"/>
    <w:rsid w:val="00352E12"/>
    <w:rsid w:val="003547EE"/>
    <w:rsid w:val="00360A16"/>
    <w:rsid w:val="00361399"/>
    <w:rsid w:val="003721E7"/>
    <w:rsid w:val="003763AB"/>
    <w:rsid w:val="00376F00"/>
    <w:rsid w:val="003A2522"/>
    <w:rsid w:val="003D6592"/>
    <w:rsid w:val="003E425A"/>
    <w:rsid w:val="003F230F"/>
    <w:rsid w:val="00423A90"/>
    <w:rsid w:val="00442BCE"/>
    <w:rsid w:val="0046504A"/>
    <w:rsid w:val="00465ABE"/>
    <w:rsid w:val="00487486"/>
    <w:rsid w:val="004959D9"/>
    <w:rsid w:val="004A78DB"/>
    <w:rsid w:val="004B2969"/>
    <w:rsid w:val="004E7A2B"/>
    <w:rsid w:val="00502C4E"/>
    <w:rsid w:val="005226D7"/>
    <w:rsid w:val="00551D62"/>
    <w:rsid w:val="00556BE7"/>
    <w:rsid w:val="005C64BE"/>
    <w:rsid w:val="005D4E2E"/>
    <w:rsid w:val="006053B6"/>
    <w:rsid w:val="0063389C"/>
    <w:rsid w:val="00655166"/>
    <w:rsid w:val="006720B4"/>
    <w:rsid w:val="0067767F"/>
    <w:rsid w:val="006940C2"/>
    <w:rsid w:val="006B6DEA"/>
    <w:rsid w:val="006C2981"/>
    <w:rsid w:val="006D14B9"/>
    <w:rsid w:val="006E0487"/>
    <w:rsid w:val="006E38A7"/>
    <w:rsid w:val="006F46A4"/>
    <w:rsid w:val="006F7239"/>
    <w:rsid w:val="007015A8"/>
    <w:rsid w:val="00707C6F"/>
    <w:rsid w:val="007174EE"/>
    <w:rsid w:val="007248EA"/>
    <w:rsid w:val="00731325"/>
    <w:rsid w:val="00745A4F"/>
    <w:rsid w:val="007526B5"/>
    <w:rsid w:val="007640EA"/>
    <w:rsid w:val="00772927"/>
    <w:rsid w:val="00775F68"/>
    <w:rsid w:val="007822CF"/>
    <w:rsid w:val="007823AD"/>
    <w:rsid w:val="00791E12"/>
    <w:rsid w:val="00792155"/>
    <w:rsid w:val="00794648"/>
    <w:rsid w:val="007A2ED3"/>
    <w:rsid w:val="007A53C3"/>
    <w:rsid w:val="007B5B15"/>
    <w:rsid w:val="007B7FE4"/>
    <w:rsid w:val="007D3CDE"/>
    <w:rsid w:val="007F68E5"/>
    <w:rsid w:val="00803051"/>
    <w:rsid w:val="0080459B"/>
    <w:rsid w:val="00812027"/>
    <w:rsid w:val="00813AC0"/>
    <w:rsid w:val="008334C5"/>
    <w:rsid w:val="00835EAC"/>
    <w:rsid w:val="00847B53"/>
    <w:rsid w:val="00853DE1"/>
    <w:rsid w:val="0088644C"/>
    <w:rsid w:val="0089771B"/>
    <w:rsid w:val="008A3746"/>
    <w:rsid w:val="008B2356"/>
    <w:rsid w:val="008B33D2"/>
    <w:rsid w:val="008E0C16"/>
    <w:rsid w:val="00907E5B"/>
    <w:rsid w:val="0093010B"/>
    <w:rsid w:val="0093388A"/>
    <w:rsid w:val="009358EB"/>
    <w:rsid w:val="00945BA7"/>
    <w:rsid w:val="00957999"/>
    <w:rsid w:val="009646AD"/>
    <w:rsid w:val="0097582C"/>
    <w:rsid w:val="00984050"/>
    <w:rsid w:val="0099115E"/>
    <w:rsid w:val="009B3A78"/>
    <w:rsid w:val="009C00B0"/>
    <w:rsid w:val="009D1890"/>
    <w:rsid w:val="00A05A2A"/>
    <w:rsid w:val="00A06C17"/>
    <w:rsid w:val="00A11AA6"/>
    <w:rsid w:val="00A13D11"/>
    <w:rsid w:val="00A2774F"/>
    <w:rsid w:val="00A3211E"/>
    <w:rsid w:val="00A550C3"/>
    <w:rsid w:val="00A70311"/>
    <w:rsid w:val="00A72997"/>
    <w:rsid w:val="00A733EA"/>
    <w:rsid w:val="00A77D2B"/>
    <w:rsid w:val="00AE27BC"/>
    <w:rsid w:val="00AE42D5"/>
    <w:rsid w:val="00AE4CD4"/>
    <w:rsid w:val="00AE69B6"/>
    <w:rsid w:val="00AE7BC0"/>
    <w:rsid w:val="00AF3627"/>
    <w:rsid w:val="00B13174"/>
    <w:rsid w:val="00B27176"/>
    <w:rsid w:val="00B27C81"/>
    <w:rsid w:val="00B4122C"/>
    <w:rsid w:val="00B449D5"/>
    <w:rsid w:val="00B520FB"/>
    <w:rsid w:val="00B53B86"/>
    <w:rsid w:val="00B55F01"/>
    <w:rsid w:val="00B77ABB"/>
    <w:rsid w:val="00B91EFE"/>
    <w:rsid w:val="00B927C6"/>
    <w:rsid w:val="00BA26FA"/>
    <w:rsid w:val="00BB7D02"/>
    <w:rsid w:val="00BD77BF"/>
    <w:rsid w:val="00BE3373"/>
    <w:rsid w:val="00BF4072"/>
    <w:rsid w:val="00BF64B3"/>
    <w:rsid w:val="00C05471"/>
    <w:rsid w:val="00C11CC8"/>
    <w:rsid w:val="00C17009"/>
    <w:rsid w:val="00C20D54"/>
    <w:rsid w:val="00C22DE6"/>
    <w:rsid w:val="00C23B41"/>
    <w:rsid w:val="00C24BD9"/>
    <w:rsid w:val="00C31980"/>
    <w:rsid w:val="00C33567"/>
    <w:rsid w:val="00C34C5F"/>
    <w:rsid w:val="00C64BCE"/>
    <w:rsid w:val="00C67ACC"/>
    <w:rsid w:val="00C84A95"/>
    <w:rsid w:val="00C90785"/>
    <w:rsid w:val="00C940BA"/>
    <w:rsid w:val="00CA3243"/>
    <w:rsid w:val="00CC08DD"/>
    <w:rsid w:val="00CC1E11"/>
    <w:rsid w:val="00CC5812"/>
    <w:rsid w:val="00CF1CC8"/>
    <w:rsid w:val="00D0732D"/>
    <w:rsid w:val="00D31C6F"/>
    <w:rsid w:val="00D51151"/>
    <w:rsid w:val="00D54836"/>
    <w:rsid w:val="00D5712D"/>
    <w:rsid w:val="00D6191B"/>
    <w:rsid w:val="00D91F5C"/>
    <w:rsid w:val="00D94547"/>
    <w:rsid w:val="00DA7997"/>
    <w:rsid w:val="00DC2D15"/>
    <w:rsid w:val="00DC3DC3"/>
    <w:rsid w:val="00DC69E7"/>
    <w:rsid w:val="00DD1571"/>
    <w:rsid w:val="00DD2906"/>
    <w:rsid w:val="00DD79CA"/>
    <w:rsid w:val="00DF54AB"/>
    <w:rsid w:val="00E04AB4"/>
    <w:rsid w:val="00E26718"/>
    <w:rsid w:val="00E26C4E"/>
    <w:rsid w:val="00E27292"/>
    <w:rsid w:val="00E36ECF"/>
    <w:rsid w:val="00E50345"/>
    <w:rsid w:val="00E52628"/>
    <w:rsid w:val="00E62A86"/>
    <w:rsid w:val="00E670C4"/>
    <w:rsid w:val="00E74467"/>
    <w:rsid w:val="00E9229F"/>
    <w:rsid w:val="00E96D23"/>
    <w:rsid w:val="00EC3BE1"/>
    <w:rsid w:val="00EF6675"/>
    <w:rsid w:val="00F0297E"/>
    <w:rsid w:val="00F06905"/>
    <w:rsid w:val="00F324F3"/>
    <w:rsid w:val="00F40B9A"/>
    <w:rsid w:val="00F54A6F"/>
    <w:rsid w:val="00F553AA"/>
    <w:rsid w:val="00F75EDB"/>
    <w:rsid w:val="00F822C3"/>
    <w:rsid w:val="00F83765"/>
    <w:rsid w:val="00F8432E"/>
    <w:rsid w:val="00F95779"/>
    <w:rsid w:val="00FA622B"/>
    <w:rsid w:val="00FC2F0A"/>
    <w:rsid w:val="00FC4B8C"/>
    <w:rsid w:val="00FE1151"/>
    <w:rsid w:val="00FE28C4"/>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C6F"/>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paragraph" w:customStyle="1" w:styleId="StyleHeading1Left0cmFirstline0cm">
    <w:name w:val="Style Heading 1 + Left:  0 cm First line:  0 cm"/>
    <w:basedOn w:val="Heading1"/>
    <w:rsid w:val="006E0487"/>
    <w:pPr>
      <w:pBdr>
        <w:top w:val="single" w:sz="36" w:space="1" w:color="C0C0C0"/>
        <w:left w:val="single" w:sz="36" w:space="4" w:color="C0C0C0"/>
        <w:bottom w:val="single" w:sz="36" w:space="1" w:color="C0C0C0"/>
        <w:right w:val="single" w:sz="36" w:space="4" w:color="C0C0C0"/>
      </w:pBdr>
      <w:shd w:val="clear" w:color="auto" w:fill="C0C0C0"/>
      <w:ind w:left="0" w:firstLine="0"/>
    </w:pPr>
    <w:rPr>
      <w:rFonts w:cs="Times New Roman"/>
      <w:bCs w:val="0"/>
      <w:szCs w:val="20"/>
    </w:rPr>
  </w:style>
  <w:style w:type="paragraph" w:styleId="CommentSubject">
    <w:name w:val="annotation subject"/>
    <w:basedOn w:val="CommentText"/>
    <w:next w:val="CommentText"/>
    <w:semiHidden/>
    <w:rsid w:val="006E0487"/>
    <w:rPr>
      <w:b/>
      <w:bCs/>
      <w:sz w:val="20"/>
    </w:rPr>
  </w:style>
  <w:style w:type="paragraph" w:styleId="BalloonText">
    <w:name w:val="Balloon Text"/>
    <w:basedOn w:val="Normal"/>
    <w:semiHidden/>
    <w:rsid w:val="006E0487"/>
    <w:rPr>
      <w:rFonts w:ascii="Tahoma" w:hAnsi="Tahoma" w:cs="Tahoma"/>
      <w:sz w:val="16"/>
      <w:szCs w:val="16"/>
    </w:rPr>
  </w:style>
  <w:style w:type="paragraph" w:styleId="Header">
    <w:name w:val="header"/>
    <w:basedOn w:val="Normal"/>
    <w:rsid w:val="00F54A6F"/>
    <w:pPr>
      <w:tabs>
        <w:tab w:val="center" w:pos="4153"/>
        <w:tab w:val="right" w:pos="8306"/>
      </w:tabs>
    </w:pPr>
  </w:style>
  <w:style w:type="paragraph" w:styleId="Footer">
    <w:name w:val="footer"/>
    <w:basedOn w:val="Normal"/>
    <w:rsid w:val="00F54A6F"/>
    <w:pPr>
      <w:tabs>
        <w:tab w:val="center" w:pos="4153"/>
        <w:tab w:val="right" w:pos="8306"/>
      </w:tabs>
    </w:pPr>
  </w:style>
  <w:style w:type="character" w:styleId="PageNumber">
    <w:name w:val="page number"/>
    <w:basedOn w:val="DefaultParagraphFont"/>
    <w:rsid w:val="00F54A6F"/>
  </w:style>
  <w:style w:type="numbering" w:styleId="111111">
    <w:name w:val="Outline List 2"/>
    <w:basedOn w:val="NoList"/>
    <w:semiHidden/>
    <w:rsid w:val="003763AB"/>
    <w:pPr>
      <w:numPr>
        <w:numId w:val="2"/>
      </w:numPr>
    </w:pPr>
  </w:style>
  <w:style w:type="table" w:styleId="TableGrid">
    <w:name w:val="Table Grid"/>
    <w:basedOn w:val="TableNormal"/>
    <w:semiHidden/>
    <w:rsid w:val="00FC4B8C"/>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F822C3"/>
    <w:rPr>
      <w:rFonts w:ascii="Arial" w:hAnsi="Arial"/>
      <w:bCs/>
      <w:iCs/>
      <w:sz w:val="2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7C6F"/>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paragraph" w:customStyle="1" w:styleId="StyleHeading1Left0cmFirstline0cm">
    <w:name w:val="Style Heading 1 + Left:  0 cm First line:  0 cm"/>
    <w:basedOn w:val="Heading1"/>
    <w:rsid w:val="006E0487"/>
    <w:pPr>
      <w:pBdr>
        <w:top w:val="single" w:sz="36" w:space="1" w:color="C0C0C0"/>
        <w:left w:val="single" w:sz="36" w:space="4" w:color="C0C0C0"/>
        <w:bottom w:val="single" w:sz="36" w:space="1" w:color="C0C0C0"/>
        <w:right w:val="single" w:sz="36" w:space="4" w:color="C0C0C0"/>
      </w:pBdr>
      <w:shd w:val="clear" w:color="auto" w:fill="C0C0C0"/>
      <w:ind w:left="0" w:firstLine="0"/>
    </w:pPr>
    <w:rPr>
      <w:rFonts w:cs="Times New Roman"/>
      <w:bCs w:val="0"/>
      <w:szCs w:val="20"/>
    </w:rPr>
  </w:style>
  <w:style w:type="paragraph" w:styleId="CommentSubject">
    <w:name w:val="annotation subject"/>
    <w:basedOn w:val="CommentText"/>
    <w:next w:val="CommentText"/>
    <w:semiHidden/>
    <w:rsid w:val="006E0487"/>
    <w:rPr>
      <w:b/>
      <w:bCs/>
      <w:sz w:val="20"/>
    </w:rPr>
  </w:style>
  <w:style w:type="paragraph" w:styleId="BalloonText">
    <w:name w:val="Balloon Text"/>
    <w:basedOn w:val="Normal"/>
    <w:semiHidden/>
    <w:rsid w:val="006E0487"/>
    <w:rPr>
      <w:rFonts w:ascii="Tahoma" w:hAnsi="Tahoma" w:cs="Tahoma"/>
      <w:sz w:val="16"/>
      <w:szCs w:val="16"/>
    </w:rPr>
  </w:style>
  <w:style w:type="paragraph" w:styleId="Header">
    <w:name w:val="header"/>
    <w:basedOn w:val="Normal"/>
    <w:rsid w:val="00F54A6F"/>
    <w:pPr>
      <w:tabs>
        <w:tab w:val="center" w:pos="4153"/>
        <w:tab w:val="right" w:pos="8306"/>
      </w:tabs>
    </w:pPr>
  </w:style>
  <w:style w:type="paragraph" w:styleId="Footer">
    <w:name w:val="footer"/>
    <w:basedOn w:val="Normal"/>
    <w:rsid w:val="00F54A6F"/>
    <w:pPr>
      <w:tabs>
        <w:tab w:val="center" w:pos="4153"/>
        <w:tab w:val="right" w:pos="8306"/>
      </w:tabs>
    </w:pPr>
  </w:style>
  <w:style w:type="character" w:styleId="PageNumber">
    <w:name w:val="page number"/>
    <w:basedOn w:val="DefaultParagraphFont"/>
    <w:rsid w:val="00F54A6F"/>
  </w:style>
  <w:style w:type="numbering" w:styleId="111111">
    <w:name w:val="Outline List 2"/>
    <w:basedOn w:val="NoList"/>
    <w:semiHidden/>
    <w:rsid w:val="003763AB"/>
    <w:pPr>
      <w:numPr>
        <w:numId w:val="2"/>
      </w:numPr>
    </w:pPr>
  </w:style>
  <w:style w:type="table" w:styleId="TableGrid">
    <w:name w:val="Table Grid"/>
    <w:basedOn w:val="TableNormal"/>
    <w:semiHidden/>
    <w:rsid w:val="00FC4B8C"/>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F822C3"/>
    <w:rPr>
      <w:rFonts w:ascii="Arial" w:hAnsi="Arial"/>
      <w:bCs/>
      <w:i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id.Code@nationalgrid.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6308</CharactersWithSpaces>
  <SharedDoc>false</SharedDoc>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creator>Thomas.Derry</dc:creator>
  <cp:lastModifiedBy>Graeme Vincent</cp:lastModifiedBy>
  <cp:revision>2</cp:revision>
  <cp:lastPrinted>2016-05-11T14:45:00Z</cp:lastPrinted>
  <dcterms:created xsi:type="dcterms:W3CDTF">2016-05-13T13:17:00Z</dcterms:created>
  <dcterms:modified xsi:type="dcterms:W3CDTF">2016-05-13T13:17:00Z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-652133620</vt:i4>
  </property>
  <property fmtid="{D5CDD505-2E9C-101B-9397-08002B2CF9AE}" pid="3" name="_EmailSubject">
    <vt:lpwstr>GC0048 - RfG Banding Thresholds Industry Consultation</vt:lpwstr>
  </property>
  <property fmtid="{D5CDD505-2E9C-101B-9397-08002B2CF9AE}" pid="4" name="_AuthorEmail">
    <vt:lpwstr>Graeme.Vincent@spenergynetworks.co.uk</vt:lpwstr>
  </property>
  <property fmtid="{D5CDD505-2E9C-101B-9397-08002B2CF9AE}" pid="5" name="_AuthorEmailDisplayName">
    <vt:lpwstr>Vincent, Graeme</vt:lpwstr>
  </property>
  <property fmtid="{D5CDD505-2E9C-101B-9397-08002B2CF9AE}" pid="7" name="_NewReviewCycle">
    <vt:lpwstr/>
  </property>
  <property fmtid="{D5CDD505-2E9C-101B-9397-08002B2CF9AE}" pid="8" name="_PreviousAdHocReviewCycleID">
    <vt:i4>1372939614</vt:i4>
  </property>
</Properties>
</file>