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Pr="006E0487" w:rsidRDefault="008554C5" w:rsidP="00984050">
      <w:pPr>
        <w:pStyle w:val="Heading1"/>
        <w:numPr>
          <w:ilvl w:val="0"/>
          <w:numId w:val="0"/>
        </w:numPr>
      </w:pPr>
      <w:bookmarkStart w:id="0" w:name="_Toc288131448"/>
      <w:r>
        <w:t xml:space="preserve">NETS SQSS and </w:t>
      </w:r>
      <w:r w:rsidR="00984050">
        <w:t xml:space="preserve">Grid Code </w:t>
      </w:r>
      <w:r w:rsidR="00F54A6F">
        <w:t xml:space="preserve">Industry </w:t>
      </w:r>
      <w:r w:rsidR="00E62A86" w:rsidRPr="006E0487">
        <w:t xml:space="preserve">Consultation Response </w:t>
      </w:r>
      <w:proofErr w:type="spellStart"/>
      <w:r w:rsidR="00E62A86" w:rsidRPr="006E0487">
        <w:t>Proforma</w:t>
      </w:r>
      <w:bookmarkEnd w:id="0"/>
      <w:proofErr w:type="spellEnd"/>
    </w:p>
    <w:p w:rsidR="00E62A86" w:rsidRDefault="00E62A86" w:rsidP="00E62A86">
      <w:pPr>
        <w:rPr>
          <w:rFonts w:cs="Arial"/>
          <w:b/>
          <w:szCs w:val="22"/>
        </w:rPr>
      </w:pPr>
    </w:p>
    <w:p w:rsidR="00E62A86" w:rsidRPr="00E74467" w:rsidRDefault="008554C5" w:rsidP="00361B9C">
      <w:pPr>
        <w:jc w:val="both"/>
        <w:rPr>
          <w:b/>
        </w:rPr>
      </w:pPr>
      <w:r>
        <w:rPr>
          <w:b/>
        </w:rPr>
        <w:t>GSR01</w:t>
      </w:r>
      <w:r w:rsidR="004B42B2">
        <w:rPr>
          <w:b/>
        </w:rPr>
        <w:t>6</w:t>
      </w:r>
      <w:r w:rsidR="00361B9C">
        <w:rPr>
          <w:b/>
        </w:rPr>
        <w:t xml:space="preserve"> </w:t>
      </w:r>
      <w:r w:rsidR="004B42B2" w:rsidRPr="004B42B2">
        <w:rPr>
          <w:b/>
        </w:rPr>
        <w:t>Small and Medium Embedded Generation Assumptions</w:t>
      </w:r>
    </w:p>
    <w:p w:rsidR="00E74467" w:rsidRPr="003F639A" w:rsidRDefault="00E74467" w:rsidP="00361B9C">
      <w:pPr>
        <w:jc w:val="both"/>
        <w:rPr>
          <w:rFonts w:cs="Arial"/>
          <w:szCs w:val="22"/>
        </w:rPr>
      </w:pPr>
    </w:p>
    <w:p w:rsidR="00621610" w:rsidRPr="00621610" w:rsidRDefault="00621610" w:rsidP="00621610">
      <w:pPr>
        <w:pStyle w:val="Heading2"/>
        <w:numPr>
          <w:ilvl w:val="0"/>
          <w:numId w:val="0"/>
        </w:numPr>
        <w:rPr>
          <w:color w:val="000000"/>
          <w:sz w:val="20"/>
          <w:szCs w:val="20"/>
        </w:rPr>
      </w:pPr>
      <w:r w:rsidRPr="00621610">
        <w:rPr>
          <w:color w:val="000000"/>
          <w:sz w:val="20"/>
          <w:szCs w:val="20"/>
        </w:rPr>
        <w:t>Views are invited upon the proposals outlined in this consultation, which should be received by 08 January 2018.</w:t>
      </w:r>
    </w:p>
    <w:p w:rsidR="00621610" w:rsidRPr="00621610" w:rsidRDefault="00621610" w:rsidP="00621610">
      <w:pPr>
        <w:pStyle w:val="Heading2"/>
        <w:numPr>
          <w:ilvl w:val="0"/>
          <w:numId w:val="0"/>
        </w:numPr>
        <w:rPr>
          <w:color w:val="000000"/>
          <w:sz w:val="20"/>
          <w:szCs w:val="20"/>
        </w:rPr>
      </w:pPr>
      <w:r>
        <w:rPr>
          <w:color w:val="000000"/>
          <w:sz w:val="20"/>
          <w:szCs w:val="20"/>
        </w:rPr>
        <w:t xml:space="preserve">Your formal responses may be emailed to </w:t>
      </w:r>
      <w:hyperlink r:id="rId9" w:history="1">
        <w:r w:rsidRPr="00621610">
          <w:rPr>
            <w:color w:val="000000"/>
          </w:rPr>
          <w:t>box.SQSS@nationalgrid.com</w:t>
        </w:r>
      </w:hyperlink>
      <w:r w:rsidRPr="00621610">
        <w:rPr>
          <w:color w:val="000000"/>
          <w:sz w:val="20"/>
          <w:szCs w:val="20"/>
        </w:rPr>
        <w:t>.</w:t>
      </w:r>
    </w:p>
    <w:p w:rsidR="00621610" w:rsidRPr="00621610" w:rsidRDefault="00621610" w:rsidP="00621610">
      <w:pPr>
        <w:pStyle w:val="Heading2"/>
        <w:numPr>
          <w:ilvl w:val="0"/>
          <w:numId w:val="0"/>
        </w:numPr>
        <w:rPr>
          <w:color w:val="000000"/>
          <w:sz w:val="20"/>
          <w:szCs w:val="20"/>
        </w:rPr>
      </w:pPr>
      <w:r w:rsidRPr="00621610">
        <w:rPr>
          <w:color w:val="000000"/>
          <w:sz w:val="20"/>
          <w:szCs w:val="20"/>
        </w:rPr>
        <w:t>The proposals set out in this consultation are intended to better meet the NETS SQSS Objectives. To achieve this, they are intended to facilitate efficient and economic connection arrangements whilst ensuring there is no impact on the safety and security of the transmission system.</w:t>
      </w:r>
    </w:p>
    <w:p w:rsidR="00FC4B8C" w:rsidRPr="00621610" w:rsidRDefault="00E62A86" w:rsidP="00621610">
      <w:pPr>
        <w:pStyle w:val="Heading2"/>
        <w:numPr>
          <w:ilvl w:val="0"/>
          <w:numId w:val="0"/>
        </w:numPr>
        <w:rPr>
          <w:color w:val="000000"/>
          <w:sz w:val="20"/>
          <w:szCs w:val="20"/>
        </w:rPr>
      </w:pPr>
      <w:r w:rsidRPr="00621610">
        <w:rPr>
          <w:color w:val="000000"/>
          <w:sz w:val="20"/>
          <w:szCs w:val="20"/>
        </w:rPr>
        <w:t xml:space="preserve">These responses will be </w:t>
      </w:r>
      <w:r w:rsidR="00C84A95" w:rsidRPr="00621610">
        <w:rPr>
          <w:color w:val="000000"/>
          <w:sz w:val="20"/>
          <w:szCs w:val="20"/>
        </w:rPr>
        <w:t xml:space="preserve">included in the </w:t>
      </w:r>
      <w:r w:rsidR="00984050" w:rsidRPr="00621610">
        <w:rPr>
          <w:color w:val="000000"/>
          <w:sz w:val="20"/>
          <w:szCs w:val="20"/>
        </w:rPr>
        <w:t xml:space="preserve">Report to the Authority </w:t>
      </w:r>
      <w:r w:rsidRPr="00621610">
        <w:rPr>
          <w:color w:val="000000"/>
          <w:sz w:val="20"/>
          <w:szCs w:val="20"/>
        </w:rPr>
        <w:t xml:space="preserve">which is </w:t>
      </w:r>
      <w:r w:rsidR="006E0487" w:rsidRPr="00621610">
        <w:rPr>
          <w:color w:val="000000"/>
          <w:sz w:val="20"/>
          <w:szCs w:val="20"/>
        </w:rPr>
        <w:t xml:space="preserve">drafted by </w:t>
      </w:r>
      <w:r w:rsidR="00984050" w:rsidRPr="00621610">
        <w:rPr>
          <w:color w:val="000000"/>
          <w:sz w:val="20"/>
          <w:szCs w:val="20"/>
        </w:rPr>
        <w:t xml:space="preserve">National Grid </w:t>
      </w:r>
      <w:r w:rsidR="006E0487" w:rsidRPr="00621610">
        <w:rPr>
          <w:color w:val="000000"/>
          <w:sz w:val="20"/>
          <w:szCs w:val="20"/>
        </w:rPr>
        <w:t xml:space="preserve">and </w:t>
      </w:r>
      <w:r w:rsidRPr="00621610">
        <w:rPr>
          <w:color w:val="000000"/>
          <w:sz w:val="20"/>
          <w:szCs w:val="20"/>
        </w:rPr>
        <w:t xml:space="preserve">submitted to the </w:t>
      </w:r>
      <w:r w:rsidR="006E0487" w:rsidRPr="00621610">
        <w:rPr>
          <w:color w:val="000000"/>
          <w:sz w:val="20"/>
          <w:szCs w:val="20"/>
        </w:rPr>
        <w:t>Authority for a decision.</w:t>
      </w:r>
    </w:p>
    <w:p w:rsidR="00361B9C" w:rsidRDefault="00361B9C" w:rsidP="00361B9C">
      <w:pPr>
        <w:pStyle w:val="BodyText"/>
        <w:ind w:right="-97"/>
        <w:jc w:val="both"/>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FC4B8C" w:rsidRPr="007B6443" w:rsidTr="007B6443">
        <w:trPr>
          <w:cantSplit/>
        </w:trPr>
        <w:tc>
          <w:tcPr>
            <w:tcW w:w="3828" w:type="dxa"/>
            <w:shd w:val="clear" w:color="auto" w:fill="auto"/>
          </w:tcPr>
          <w:p w:rsidR="00FC4B8C" w:rsidRPr="007B6443" w:rsidRDefault="00FC4B8C" w:rsidP="00B04ECB">
            <w:pPr>
              <w:ind w:left="256" w:hanging="256"/>
              <w:rPr>
                <w:b/>
              </w:rPr>
            </w:pPr>
            <w:r w:rsidRPr="007B6443">
              <w:rPr>
                <w:b/>
              </w:rPr>
              <w:t>Respondent:</w:t>
            </w:r>
          </w:p>
        </w:tc>
        <w:tc>
          <w:tcPr>
            <w:tcW w:w="5230" w:type="dxa"/>
            <w:shd w:val="clear" w:color="auto" w:fill="auto"/>
          </w:tcPr>
          <w:p w:rsidR="00FC4B8C" w:rsidRPr="007B6443" w:rsidRDefault="00FC4B8C" w:rsidP="00DD1571">
            <w:pPr>
              <w:rPr>
                <w:i/>
              </w:rPr>
            </w:pPr>
            <w:r w:rsidRPr="007B6443">
              <w:rPr>
                <w:i/>
              </w:rPr>
              <w:t>Please insert your name and contact details (phone number or email address)</w:t>
            </w:r>
          </w:p>
        </w:tc>
      </w:tr>
      <w:tr w:rsidR="00FC4B8C" w:rsidRPr="007B6443" w:rsidTr="007B6443">
        <w:tc>
          <w:tcPr>
            <w:tcW w:w="3828" w:type="dxa"/>
            <w:shd w:val="clear" w:color="auto" w:fill="auto"/>
          </w:tcPr>
          <w:p w:rsidR="00FC4B8C" w:rsidRPr="007B6443" w:rsidRDefault="00FC4B8C" w:rsidP="00B04ECB">
            <w:pPr>
              <w:ind w:left="256" w:hanging="256"/>
              <w:rPr>
                <w:b/>
              </w:rPr>
            </w:pPr>
            <w:r w:rsidRPr="007B6443">
              <w:rPr>
                <w:b/>
              </w:rPr>
              <w:t>Company Name:</w:t>
            </w:r>
          </w:p>
        </w:tc>
        <w:tc>
          <w:tcPr>
            <w:tcW w:w="5230" w:type="dxa"/>
            <w:shd w:val="clear" w:color="auto" w:fill="auto"/>
          </w:tcPr>
          <w:p w:rsidR="00FC4B8C" w:rsidRPr="007B6443" w:rsidRDefault="00FC4B8C" w:rsidP="00DD1571">
            <w:pPr>
              <w:rPr>
                <w:i/>
              </w:rPr>
            </w:pPr>
            <w:r w:rsidRPr="007B6443">
              <w:rPr>
                <w:i/>
              </w:rPr>
              <w:t>Please insert</w:t>
            </w:r>
            <w:r w:rsidR="00361B9C">
              <w:rPr>
                <w:i/>
              </w:rPr>
              <w:t xml:space="preserve"> your</w:t>
            </w:r>
            <w:r w:rsidRPr="007B6443">
              <w:rPr>
                <w:i/>
              </w:rPr>
              <w:t xml:space="preserve"> Company Name</w:t>
            </w:r>
          </w:p>
        </w:tc>
      </w:tr>
      <w:tr w:rsidR="00CF373B" w:rsidRPr="007B6443" w:rsidTr="00CE01A6">
        <w:tc>
          <w:tcPr>
            <w:tcW w:w="3828" w:type="dxa"/>
            <w:shd w:val="clear" w:color="auto" w:fill="auto"/>
          </w:tcPr>
          <w:p w:rsidR="00CF373B" w:rsidRPr="00D3696A" w:rsidRDefault="00CF373B" w:rsidP="00D3696A">
            <w:pPr>
              <w:pStyle w:val="ListParagraph"/>
              <w:numPr>
                <w:ilvl w:val="0"/>
                <w:numId w:val="8"/>
              </w:numPr>
              <w:rPr>
                <w:b/>
              </w:rPr>
            </w:pPr>
            <w:r w:rsidRPr="00D3696A">
              <w:rPr>
                <w:b/>
              </w:rPr>
              <w:t>Do you agree with the general approach of treating Small, Medium and Large Power Stations consistently in the NETS SQSS planning studies irrespective of whether they are connected to the transmission system or embedded within a distribution system?</w:t>
            </w:r>
          </w:p>
        </w:tc>
        <w:tc>
          <w:tcPr>
            <w:tcW w:w="5230" w:type="dxa"/>
            <w:shd w:val="clear" w:color="auto" w:fill="auto"/>
          </w:tcPr>
          <w:p w:rsidR="00CF373B" w:rsidRPr="007B6443" w:rsidRDefault="00CF373B" w:rsidP="00CE01A6">
            <w:pPr>
              <w:rPr>
                <w:i/>
              </w:rPr>
            </w:pPr>
          </w:p>
        </w:tc>
      </w:tr>
      <w:tr w:rsidR="00386F12" w:rsidRPr="007B6443" w:rsidTr="00CF2E99">
        <w:tc>
          <w:tcPr>
            <w:tcW w:w="3828" w:type="dxa"/>
            <w:shd w:val="clear" w:color="auto" w:fill="auto"/>
          </w:tcPr>
          <w:p w:rsidR="00386F12" w:rsidRPr="00D3696A" w:rsidRDefault="00386F12" w:rsidP="00D3696A">
            <w:pPr>
              <w:pStyle w:val="ListParagraph"/>
              <w:numPr>
                <w:ilvl w:val="0"/>
                <w:numId w:val="8"/>
              </w:numPr>
              <w:rPr>
                <w:b/>
              </w:rPr>
            </w:pPr>
            <w:r w:rsidRPr="00D3696A">
              <w:rPr>
                <w:b/>
              </w:rPr>
              <w:t>Do you believe that GSR016 better facilitates the appropriate NETS SQSS objectives?</w:t>
            </w:r>
          </w:p>
        </w:tc>
        <w:tc>
          <w:tcPr>
            <w:tcW w:w="5230" w:type="dxa"/>
            <w:shd w:val="clear" w:color="auto" w:fill="auto"/>
          </w:tcPr>
          <w:p w:rsidR="00386F12" w:rsidRPr="007B6443" w:rsidRDefault="00386F12" w:rsidP="00CF2E99">
            <w:pPr>
              <w:rPr>
                <w:i/>
              </w:rPr>
            </w:pPr>
            <w:r>
              <w:rPr>
                <w:i/>
              </w:rPr>
              <w:t>For reference the applicable NETS SQSS</w:t>
            </w:r>
            <w:r w:rsidRPr="007B6443">
              <w:rPr>
                <w:i/>
              </w:rPr>
              <w:t xml:space="preserve"> objectives are:</w:t>
            </w:r>
          </w:p>
          <w:p w:rsidR="00386F12" w:rsidRPr="007B6443" w:rsidRDefault="00386F12" w:rsidP="00CF2E99">
            <w:pPr>
              <w:rPr>
                <w:i/>
              </w:rPr>
            </w:pPr>
          </w:p>
          <w:p w:rsidR="00386F12" w:rsidRPr="007B6443" w:rsidRDefault="00386F12" w:rsidP="00CF2E99">
            <w:pPr>
              <w:rPr>
                <w:i/>
              </w:rPr>
            </w:pPr>
            <w:r w:rsidRPr="007B6443">
              <w:rPr>
                <w:i/>
              </w:rPr>
              <w:t xml:space="preserve">(i) </w:t>
            </w:r>
            <w:r w:rsidRPr="006B6671">
              <w:rPr>
                <w:i/>
              </w:rPr>
              <w:t>facilitate the planning, development and maintenance of an efficient, coordinated and economical system of electricity transmission, and the operation of that system in an efficient, economic and coordinated manner;</w:t>
            </w:r>
          </w:p>
          <w:p w:rsidR="00386F12" w:rsidRPr="007B6443" w:rsidRDefault="00386F12" w:rsidP="00CF2E99">
            <w:pPr>
              <w:rPr>
                <w:i/>
              </w:rPr>
            </w:pPr>
          </w:p>
          <w:p w:rsidR="00386F12" w:rsidRPr="007B6443" w:rsidRDefault="00386F12" w:rsidP="00CF2E99">
            <w:pPr>
              <w:rPr>
                <w:i/>
              </w:rPr>
            </w:pPr>
            <w:r w:rsidRPr="007B6443">
              <w:rPr>
                <w:i/>
              </w:rPr>
              <w:t xml:space="preserve">(ii) </w:t>
            </w:r>
            <w:r w:rsidRPr="006B6671">
              <w:rPr>
                <w:i/>
              </w:rPr>
              <w:t>ensure an appropriate level of security and quality of supply and safe operation of the National Electricity Transmission System</w:t>
            </w:r>
            <w:r>
              <w:rPr>
                <w:i/>
              </w:rPr>
              <w:t>;</w:t>
            </w:r>
          </w:p>
          <w:p w:rsidR="00386F12" w:rsidRPr="007B6443" w:rsidRDefault="00386F12" w:rsidP="00CF2E99">
            <w:pPr>
              <w:rPr>
                <w:i/>
              </w:rPr>
            </w:pPr>
          </w:p>
          <w:p w:rsidR="00386F12" w:rsidRPr="007B6443" w:rsidRDefault="00386F12" w:rsidP="00CF2E99">
            <w:pPr>
              <w:rPr>
                <w:i/>
              </w:rPr>
            </w:pPr>
            <w:r w:rsidRPr="007B6443">
              <w:rPr>
                <w:i/>
              </w:rPr>
              <w:t xml:space="preserve">(iii) </w:t>
            </w:r>
            <w:r w:rsidRPr="006B6671">
              <w:rPr>
                <w:i/>
              </w:rPr>
              <w:t>facilitate effective competition in the generation and supply of electricity, and (so far as consistent therewith) facilitating such competition in the distribution of electricity</w:t>
            </w:r>
            <w:r w:rsidRPr="007B6443">
              <w:rPr>
                <w:i/>
              </w:rPr>
              <w:t>; and</w:t>
            </w:r>
          </w:p>
          <w:p w:rsidR="00386F12" w:rsidRPr="007B6443" w:rsidRDefault="00386F12" w:rsidP="00CF2E99">
            <w:pPr>
              <w:rPr>
                <w:i/>
              </w:rPr>
            </w:pPr>
          </w:p>
          <w:p w:rsidR="00386F12" w:rsidRPr="00361B9C" w:rsidRDefault="00386F12" w:rsidP="00CF2E99">
            <w:pPr>
              <w:rPr>
                <w:i/>
              </w:rPr>
            </w:pPr>
            <w:r>
              <w:rPr>
                <w:i/>
              </w:rPr>
              <w:t xml:space="preserve">(iv) </w:t>
            </w:r>
            <w:proofErr w:type="gramStart"/>
            <w:r w:rsidRPr="006B6671">
              <w:rPr>
                <w:i/>
              </w:rPr>
              <w:t>facilitate</w:t>
            </w:r>
            <w:proofErr w:type="gramEnd"/>
            <w:r w:rsidRPr="006B6671">
              <w:rPr>
                <w:i/>
              </w:rPr>
              <w:t xml:space="preserve"> electricity Transmission Licensees to comply with their obligations under EU law.</w:t>
            </w:r>
          </w:p>
        </w:tc>
      </w:tr>
      <w:tr w:rsidR="00386F12" w:rsidRPr="007B6443" w:rsidTr="00CF2E99">
        <w:tc>
          <w:tcPr>
            <w:tcW w:w="3828" w:type="dxa"/>
            <w:shd w:val="clear" w:color="auto" w:fill="auto"/>
          </w:tcPr>
          <w:p w:rsidR="00386F12" w:rsidRPr="00D3696A" w:rsidRDefault="00386F12" w:rsidP="00D3696A">
            <w:pPr>
              <w:pStyle w:val="ListParagraph"/>
              <w:numPr>
                <w:ilvl w:val="0"/>
                <w:numId w:val="8"/>
              </w:numPr>
              <w:rPr>
                <w:b/>
              </w:rPr>
            </w:pPr>
            <w:r w:rsidRPr="00D3696A">
              <w:rPr>
                <w:b/>
              </w:rPr>
              <w:t xml:space="preserve">Do you generally support the </w:t>
            </w:r>
            <w:r w:rsidRPr="00D3696A">
              <w:rPr>
                <w:b/>
              </w:rPr>
              <w:lastRenderedPageBreak/>
              <w:t>modifications proposed by the workgroup? If not, please clarify your concerns.</w:t>
            </w:r>
          </w:p>
        </w:tc>
        <w:tc>
          <w:tcPr>
            <w:tcW w:w="5230" w:type="dxa"/>
            <w:shd w:val="clear" w:color="auto" w:fill="auto"/>
          </w:tcPr>
          <w:p w:rsidR="00386F12" w:rsidRPr="003F61F0" w:rsidRDefault="00386F12" w:rsidP="00CF2E99"/>
        </w:tc>
      </w:tr>
      <w:tr w:rsidR="008139F8" w:rsidRPr="007B6443" w:rsidTr="00D63D2A">
        <w:tc>
          <w:tcPr>
            <w:tcW w:w="3828" w:type="dxa"/>
            <w:shd w:val="clear" w:color="auto" w:fill="auto"/>
          </w:tcPr>
          <w:p w:rsidR="00CF373B" w:rsidRPr="00D3696A" w:rsidRDefault="008139F8" w:rsidP="00D3696A">
            <w:pPr>
              <w:pStyle w:val="ListParagraph"/>
              <w:numPr>
                <w:ilvl w:val="0"/>
                <w:numId w:val="8"/>
              </w:numPr>
              <w:rPr>
                <w:b/>
              </w:rPr>
            </w:pPr>
            <w:r w:rsidRPr="00D3696A">
              <w:rPr>
                <w:b/>
              </w:rPr>
              <w:lastRenderedPageBreak/>
              <w:t>Do you agree that the current treatment of embedded Small Power Stations and embedded Medium Power Stations in the NETS SQSS under the security background conditions could lead to a transmission system that could unduly restrict this embedded generation from supplying the demand?</w:t>
            </w:r>
          </w:p>
          <w:p w:rsidR="008139F8" w:rsidRPr="00D3696A" w:rsidRDefault="008139F8" w:rsidP="00D3696A">
            <w:pPr>
              <w:pStyle w:val="ListParagraph"/>
              <w:ind w:left="360"/>
              <w:rPr>
                <w:b/>
              </w:rPr>
            </w:pPr>
            <w:r w:rsidRPr="00D3696A">
              <w:rPr>
                <w:b/>
              </w:rPr>
              <w:t xml:space="preserve">If not, please clarify why.  </w:t>
            </w:r>
          </w:p>
        </w:tc>
        <w:tc>
          <w:tcPr>
            <w:tcW w:w="5230" w:type="dxa"/>
            <w:shd w:val="clear" w:color="auto" w:fill="auto"/>
          </w:tcPr>
          <w:p w:rsidR="008139F8" w:rsidRPr="007B6443" w:rsidRDefault="008139F8" w:rsidP="00D63D2A">
            <w:pPr>
              <w:rPr>
                <w:i/>
              </w:rPr>
            </w:pPr>
          </w:p>
        </w:tc>
      </w:tr>
      <w:tr w:rsidR="00FC4B8C" w:rsidRPr="007B6443" w:rsidTr="007B6443">
        <w:tc>
          <w:tcPr>
            <w:tcW w:w="3828" w:type="dxa"/>
            <w:shd w:val="clear" w:color="auto" w:fill="auto"/>
          </w:tcPr>
          <w:p w:rsidR="008139F8" w:rsidRPr="00D3696A" w:rsidRDefault="004B42B2" w:rsidP="00D3696A">
            <w:pPr>
              <w:pStyle w:val="ListParagraph"/>
              <w:numPr>
                <w:ilvl w:val="0"/>
                <w:numId w:val="8"/>
              </w:numPr>
              <w:rPr>
                <w:b/>
              </w:rPr>
            </w:pPr>
            <w:r w:rsidRPr="00D3696A">
              <w:rPr>
                <w:b/>
              </w:rPr>
              <w:t xml:space="preserve">Do you agree that the current treatment of embedded Small Power Stations and embedded Medium Power Stations in the NETS SQSS </w:t>
            </w:r>
            <w:r w:rsidR="008139F8" w:rsidRPr="00D3696A">
              <w:rPr>
                <w:b/>
              </w:rPr>
              <w:t xml:space="preserve">under </w:t>
            </w:r>
            <w:r w:rsidRPr="00D3696A">
              <w:rPr>
                <w:b/>
              </w:rPr>
              <w:t xml:space="preserve">the </w:t>
            </w:r>
            <w:r w:rsidR="008139F8" w:rsidRPr="00D3696A">
              <w:rPr>
                <w:b/>
              </w:rPr>
              <w:t xml:space="preserve">economy </w:t>
            </w:r>
            <w:r w:rsidRPr="00D3696A">
              <w:rPr>
                <w:b/>
              </w:rPr>
              <w:t>and background</w:t>
            </w:r>
            <w:r w:rsidR="008139F8" w:rsidRPr="00D3696A">
              <w:rPr>
                <w:b/>
              </w:rPr>
              <w:t xml:space="preserve"> conditions </w:t>
            </w:r>
            <w:r w:rsidRPr="00D3696A">
              <w:rPr>
                <w:b/>
              </w:rPr>
              <w:t xml:space="preserve">could lead to a transmission system that </w:t>
            </w:r>
            <w:r w:rsidR="008139F8" w:rsidRPr="00D3696A">
              <w:rPr>
                <w:b/>
              </w:rPr>
              <w:t>could lead to an investment that is neither economic nor efficient?</w:t>
            </w:r>
          </w:p>
          <w:p w:rsidR="00FC4B8C" w:rsidRPr="00D3696A" w:rsidRDefault="008139F8" w:rsidP="00D3696A">
            <w:pPr>
              <w:pStyle w:val="ListParagraph"/>
              <w:ind w:left="360"/>
              <w:rPr>
                <w:b/>
              </w:rPr>
            </w:pPr>
            <w:r w:rsidRPr="00D3696A">
              <w:rPr>
                <w:b/>
              </w:rPr>
              <w:t>If not, please clarify why.</w:t>
            </w:r>
            <w:r w:rsidR="004B42B2" w:rsidRPr="00D3696A">
              <w:rPr>
                <w:b/>
              </w:rPr>
              <w:t xml:space="preserve">  </w:t>
            </w:r>
          </w:p>
        </w:tc>
        <w:tc>
          <w:tcPr>
            <w:tcW w:w="5230" w:type="dxa"/>
            <w:shd w:val="clear" w:color="auto" w:fill="auto"/>
          </w:tcPr>
          <w:p w:rsidR="00FC4B8C" w:rsidRPr="007B6443" w:rsidRDefault="00FC4B8C" w:rsidP="00DD1571">
            <w:pPr>
              <w:rPr>
                <w:i/>
              </w:rPr>
            </w:pPr>
          </w:p>
        </w:tc>
      </w:tr>
      <w:tr w:rsidR="00FC4B8C" w:rsidRPr="00F245EB" w:rsidTr="007B6443">
        <w:tc>
          <w:tcPr>
            <w:tcW w:w="3828" w:type="dxa"/>
            <w:shd w:val="clear" w:color="auto" w:fill="auto"/>
          </w:tcPr>
          <w:p w:rsidR="0012668A" w:rsidRPr="00D3696A" w:rsidRDefault="0012668A" w:rsidP="00D3696A">
            <w:pPr>
              <w:pStyle w:val="ListParagraph"/>
              <w:numPr>
                <w:ilvl w:val="0"/>
                <w:numId w:val="8"/>
              </w:numPr>
              <w:rPr>
                <w:b/>
              </w:rPr>
            </w:pPr>
            <w:r w:rsidRPr="00D3696A">
              <w:rPr>
                <w:b/>
              </w:rPr>
              <w:t>Are there any other issues that could arise due to the current methodology of accounting for embedded generation in investment planning studies?</w:t>
            </w:r>
          </w:p>
          <w:p w:rsidR="00FC4B8C" w:rsidRPr="00D3696A" w:rsidRDefault="0012668A" w:rsidP="00D3696A">
            <w:pPr>
              <w:pStyle w:val="ListParagraph"/>
              <w:ind w:left="360"/>
              <w:rPr>
                <w:b/>
              </w:rPr>
            </w:pPr>
            <w:r w:rsidRPr="00D3696A">
              <w:rPr>
                <w:b/>
              </w:rPr>
              <w:t xml:space="preserve">If yes, please clarify what these are.  </w:t>
            </w:r>
          </w:p>
        </w:tc>
        <w:tc>
          <w:tcPr>
            <w:tcW w:w="5230" w:type="dxa"/>
            <w:shd w:val="clear" w:color="auto" w:fill="auto"/>
          </w:tcPr>
          <w:p w:rsidR="00FC4B8C" w:rsidRPr="00F245EB" w:rsidRDefault="00FC4B8C" w:rsidP="00DD1571">
            <w:pPr>
              <w:rPr>
                <w:b/>
              </w:rPr>
            </w:pPr>
          </w:p>
        </w:tc>
      </w:tr>
      <w:tr w:rsidR="009A1AE5" w:rsidRPr="00F245EB" w:rsidTr="00D63D2A">
        <w:tc>
          <w:tcPr>
            <w:tcW w:w="3828" w:type="dxa"/>
            <w:shd w:val="clear" w:color="auto" w:fill="auto"/>
          </w:tcPr>
          <w:p w:rsidR="009A1AE5" w:rsidRPr="00D3696A" w:rsidRDefault="009A1AE5" w:rsidP="00D3696A">
            <w:pPr>
              <w:pStyle w:val="ListParagraph"/>
              <w:numPr>
                <w:ilvl w:val="0"/>
                <w:numId w:val="8"/>
              </w:numPr>
              <w:rPr>
                <w:b/>
              </w:rPr>
            </w:pPr>
            <w:r w:rsidRPr="00D3696A">
              <w:rPr>
                <w:b/>
              </w:rPr>
              <w:t>The Workgroup has based their conclusions on a set of assumptions (Paragraphs 4.20 to 4.30). Do you agree with these assumptions? If not, what would be the impact on the proposal?</w:t>
            </w:r>
          </w:p>
        </w:tc>
        <w:tc>
          <w:tcPr>
            <w:tcW w:w="5230" w:type="dxa"/>
            <w:shd w:val="clear" w:color="auto" w:fill="auto"/>
          </w:tcPr>
          <w:p w:rsidR="009A1AE5" w:rsidRPr="00F245EB" w:rsidRDefault="009A1AE5" w:rsidP="00D63D2A">
            <w:pPr>
              <w:rPr>
                <w:b/>
              </w:rPr>
            </w:pPr>
          </w:p>
        </w:tc>
      </w:tr>
      <w:tr w:rsidR="00A462E2" w:rsidRPr="00F245EB" w:rsidTr="007B6443">
        <w:tc>
          <w:tcPr>
            <w:tcW w:w="3828" w:type="dxa"/>
            <w:shd w:val="clear" w:color="auto" w:fill="auto"/>
          </w:tcPr>
          <w:p w:rsidR="00A462E2" w:rsidRPr="00D3696A" w:rsidRDefault="008554C5" w:rsidP="00D3696A">
            <w:pPr>
              <w:pStyle w:val="ListParagraph"/>
              <w:numPr>
                <w:ilvl w:val="0"/>
                <w:numId w:val="8"/>
              </w:numPr>
              <w:rPr>
                <w:b/>
              </w:rPr>
            </w:pPr>
            <w:r w:rsidRPr="00D3696A">
              <w:rPr>
                <w:b/>
              </w:rPr>
              <w:t xml:space="preserve">Does the modification proposed </w:t>
            </w:r>
            <w:r w:rsidR="0012668A" w:rsidRPr="00D3696A">
              <w:rPr>
                <w:b/>
              </w:rPr>
              <w:t>mitigate the risks identified?</w:t>
            </w:r>
          </w:p>
          <w:p w:rsidR="0012668A" w:rsidRPr="00D3696A" w:rsidRDefault="0012668A" w:rsidP="00D3696A">
            <w:pPr>
              <w:pStyle w:val="ListParagraph"/>
              <w:ind w:left="360"/>
              <w:rPr>
                <w:b/>
              </w:rPr>
            </w:pPr>
            <w:r w:rsidRPr="00D3696A">
              <w:rPr>
                <w:b/>
              </w:rPr>
              <w:t>If not, please clarify where it fails to do so and how could these issues be addressed.</w:t>
            </w:r>
          </w:p>
        </w:tc>
        <w:tc>
          <w:tcPr>
            <w:tcW w:w="5230" w:type="dxa"/>
            <w:shd w:val="clear" w:color="auto" w:fill="auto"/>
          </w:tcPr>
          <w:p w:rsidR="00A462E2" w:rsidRPr="00F245EB" w:rsidRDefault="00A462E2" w:rsidP="007B6443">
            <w:pPr>
              <w:rPr>
                <w:b/>
              </w:rPr>
            </w:pPr>
          </w:p>
        </w:tc>
      </w:tr>
      <w:tr w:rsidR="00A462E2" w:rsidRPr="00F245EB" w:rsidTr="007B6443">
        <w:tc>
          <w:tcPr>
            <w:tcW w:w="3828" w:type="dxa"/>
            <w:shd w:val="clear" w:color="auto" w:fill="auto"/>
          </w:tcPr>
          <w:p w:rsidR="00F245EB" w:rsidRPr="00D3696A" w:rsidRDefault="009A1AE5" w:rsidP="00D3696A">
            <w:pPr>
              <w:pStyle w:val="ListParagraph"/>
              <w:numPr>
                <w:ilvl w:val="0"/>
                <w:numId w:val="8"/>
              </w:numPr>
              <w:rPr>
                <w:b/>
              </w:rPr>
            </w:pPr>
            <w:r w:rsidRPr="00D3696A">
              <w:rPr>
                <w:b/>
              </w:rPr>
              <w:t xml:space="preserve">The data provided under the Grid Code is generally not sufficient to allow </w:t>
            </w:r>
            <w:r w:rsidRPr="00D3696A">
              <w:rPr>
                <w:b/>
              </w:rPr>
              <w:lastRenderedPageBreak/>
              <w:t xml:space="preserve">Transmission Licensees to </w:t>
            </w:r>
            <w:r w:rsidR="00D63D2A" w:rsidRPr="00D3696A">
              <w:rPr>
                <w:b/>
              </w:rPr>
              <w:t xml:space="preserve">fully </w:t>
            </w:r>
            <w:r w:rsidRPr="00D3696A">
              <w:rPr>
                <w:b/>
              </w:rPr>
              <w:t xml:space="preserve">meet the modifications proposed. The workgroup has identified an interim arrangement </w:t>
            </w:r>
            <w:r w:rsidR="00D63D2A" w:rsidRPr="00D3696A">
              <w:rPr>
                <w:b/>
              </w:rPr>
              <w:t xml:space="preserve">assuming that a subsequent change to </w:t>
            </w:r>
            <w:r w:rsidRPr="00D3696A">
              <w:rPr>
                <w:b/>
              </w:rPr>
              <w:t xml:space="preserve">the Grid Code </w:t>
            </w:r>
            <w:r w:rsidR="00D63D2A" w:rsidRPr="00D3696A">
              <w:rPr>
                <w:b/>
              </w:rPr>
              <w:t xml:space="preserve">will provide </w:t>
            </w:r>
            <w:r w:rsidRPr="00D3696A">
              <w:rPr>
                <w:b/>
              </w:rPr>
              <w:t>the additional data. Do you agree with these arrangements? If not, please clarify the risks envisaged and the potential solutions.</w:t>
            </w:r>
          </w:p>
        </w:tc>
        <w:tc>
          <w:tcPr>
            <w:tcW w:w="5230" w:type="dxa"/>
            <w:shd w:val="clear" w:color="auto" w:fill="auto"/>
          </w:tcPr>
          <w:p w:rsidR="00A462E2" w:rsidRPr="00F245EB" w:rsidRDefault="00A462E2" w:rsidP="007B6443">
            <w:pPr>
              <w:rPr>
                <w:b/>
              </w:rPr>
            </w:pPr>
          </w:p>
        </w:tc>
      </w:tr>
      <w:tr w:rsidR="00121552" w:rsidRPr="007B6443" w:rsidTr="00D63D2A">
        <w:tc>
          <w:tcPr>
            <w:tcW w:w="3828" w:type="dxa"/>
            <w:shd w:val="clear" w:color="auto" w:fill="auto"/>
          </w:tcPr>
          <w:p w:rsidR="005D139F" w:rsidRPr="00D3696A" w:rsidRDefault="00C20AC7" w:rsidP="00D3696A">
            <w:pPr>
              <w:pStyle w:val="ListParagraph"/>
              <w:numPr>
                <w:ilvl w:val="0"/>
                <w:numId w:val="8"/>
              </w:numPr>
              <w:rPr>
                <w:b/>
              </w:rPr>
            </w:pPr>
            <w:r w:rsidRPr="00D3696A">
              <w:rPr>
                <w:b/>
              </w:rPr>
              <w:lastRenderedPageBreak/>
              <w:t>Do you agree with the view taken by the workgroup</w:t>
            </w:r>
            <w:r w:rsidR="00121552" w:rsidRPr="00D3696A">
              <w:rPr>
                <w:b/>
              </w:rPr>
              <w:t xml:space="preserve"> that the NETS SQSS, in its current state, </w:t>
            </w:r>
            <w:r w:rsidRPr="00D3696A">
              <w:rPr>
                <w:b/>
              </w:rPr>
              <w:t>provides enough justification to</w:t>
            </w:r>
            <w:r w:rsidR="005D139F" w:rsidRPr="00D3696A">
              <w:rPr>
                <w:b/>
              </w:rPr>
              <w:t xml:space="preserve"> </w:t>
            </w:r>
            <w:r w:rsidRPr="00D3696A">
              <w:rPr>
                <w:b/>
              </w:rPr>
              <w:t xml:space="preserve">any additional </w:t>
            </w:r>
            <w:r w:rsidR="005D139F" w:rsidRPr="00D3696A">
              <w:rPr>
                <w:b/>
              </w:rPr>
              <w:t xml:space="preserve">reinforcements and/or </w:t>
            </w:r>
            <w:r w:rsidRPr="00D3696A">
              <w:rPr>
                <w:b/>
              </w:rPr>
              <w:t xml:space="preserve">operational </w:t>
            </w:r>
            <w:r w:rsidR="005D139F" w:rsidRPr="00D3696A">
              <w:rPr>
                <w:b/>
              </w:rPr>
              <w:t>measures where these are required to manage the system in the absence of sufficient participation in the Balancing Mechanism?</w:t>
            </w:r>
          </w:p>
          <w:p w:rsidR="00121552" w:rsidRPr="00D3696A" w:rsidRDefault="00121552" w:rsidP="00D3696A">
            <w:pPr>
              <w:pStyle w:val="ListParagraph"/>
              <w:ind w:left="360"/>
              <w:rPr>
                <w:b/>
              </w:rPr>
            </w:pPr>
            <w:r w:rsidRPr="00D3696A">
              <w:rPr>
                <w:b/>
              </w:rPr>
              <w:t>If not, please clarify the reasons.</w:t>
            </w:r>
          </w:p>
        </w:tc>
        <w:tc>
          <w:tcPr>
            <w:tcW w:w="5230" w:type="dxa"/>
            <w:shd w:val="clear" w:color="auto" w:fill="auto"/>
          </w:tcPr>
          <w:p w:rsidR="00121552" w:rsidRPr="003F61F0" w:rsidRDefault="00121552" w:rsidP="00D63D2A"/>
        </w:tc>
      </w:tr>
      <w:tr w:rsidR="008554C5" w:rsidRPr="007B6443" w:rsidTr="007B6443">
        <w:tc>
          <w:tcPr>
            <w:tcW w:w="3828" w:type="dxa"/>
            <w:shd w:val="clear" w:color="auto" w:fill="auto"/>
          </w:tcPr>
          <w:p w:rsidR="008554C5" w:rsidRPr="00D3696A" w:rsidRDefault="008554C5" w:rsidP="00D3696A">
            <w:pPr>
              <w:pStyle w:val="ListParagraph"/>
              <w:numPr>
                <w:ilvl w:val="0"/>
                <w:numId w:val="8"/>
              </w:numPr>
              <w:rPr>
                <w:b/>
              </w:rPr>
            </w:pPr>
            <w:r w:rsidRPr="00D3696A">
              <w:rPr>
                <w:b/>
              </w:rPr>
              <w:t>Are there any further technical considerations that need to be taken into account?</w:t>
            </w:r>
          </w:p>
        </w:tc>
        <w:tc>
          <w:tcPr>
            <w:tcW w:w="5230" w:type="dxa"/>
            <w:shd w:val="clear" w:color="auto" w:fill="auto"/>
          </w:tcPr>
          <w:p w:rsidR="008554C5" w:rsidRPr="003F61F0" w:rsidRDefault="008554C5" w:rsidP="007B6443">
            <w:bookmarkStart w:id="1" w:name="_GoBack"/>
            <w:bookmarkEnd w:id="1"/>
          </w:p>
        </w:tc>
      </w:tr>
      <w:tr w:rsidR="008554C5" w:rsidRPr="007B6443" w:rsidTr="007B6443">
        <w:tc>
          <w:tcPr>
            <w:tcW w:w="3828" w:type="dxa"/>
            <w:shd w:val="clear" w:color="auto" w:fill="auto"/>
          </w:tcPr>
          <w:p w:rsidR="008554C5" w:rsidRPr="00D3696A" w:rsidRDefault="008554C5" w:rsidP="00D3696A">
            <w:pPr>
              <w:pStyle w:val="ListParagraph"/>
              <w:numPr>
                <w:ilvl w:val="0"/>
                <w:numId w:val="8"/>
              </w:numPr>
              <w:rPr>
                <w:b/>
              </w:rPr>
            </w:pPr>
            <w:r w:rsidRPr="00D3696A">
              <w:rPr>
                <w:b/>
              </w:rPr>
              <w:t>Please provide any other comments you feel are relevant to the proposed changes.</w:t>
            </w:r>
          </w:p>
        </w:tc>
        <w:tc>
          <w:tcPr>
            <w:tcW w:w="5230" w:type="dxa"/>
            <w:shd w:val="clear" w:color="auto" w:fill="auto"/>
          </w:tcPr>
          <w:p w:rsidR="008554C5" w:rsidRPr="003F61F0" w:rsidRDefault="008554C5" w:rsidP="007B6443"/>
        </w:tc>
      </w:tr>
    </w:tbl>
    <w:p w:rsidR="00621610" w:rsidRPr="00102EAD" w:rsidRDefault="00621610" w:rsidP="00621610">
      <w:pPr>
        <w:pStyle w:val="Heading2"/>
        <w:numPr>
          <w:ilvl w:val="0"/>
          <w:numId w:val="0"/>
        </w:numPr>
        <w:ind w:left="567" w:hanging="567"/>
        <w:rPr>
          <w:sz w:val="20"/>
          <w:szCs w:val="20"/>
        </w:rPr>
      </w:pPr>
      <w:r w:rsidRPr="00102EAD">
        <w:rPr>
          <w:sz w:val="20"/>
          <w:szCs w:val="20"/>
        </w:rPr>
        <w:t>If you wish to submit a confidential response please note the following:</w:t>
      </w:r>
    </w:p>
    <w:p w:rsidR="00621610" w:rsidRPr="00D53D9A" w:rsidRDefault="00621610" w:rsidP="00621610">
      <w:pPr>
        <w:pStyle w:val="Heading5"/>
        <w:numPr>
          <w:ilvl w:val="4"/>
          <w:numId w:val="5"/>
        </w:numPr>
        <w:ind w:left="851"/>
        <w:rPr>
          <w:sz w:val="20"/>
          <w:szCs w:val="20"/>
        </w:rPr>
      </w:pPr>
      <w:r w:rsidRPr="00D53D9A">
        <w:rPr>
          <w:sz w:val="20"/>
          <w:szCs w:val="20"/>
        </w:rPr>
        <w:t xml:space="preserve">Information provided in response to this consultation will be published on National Grid’s website unless the response is clearly marked “Private and Confidential”. We will contact you to establish the extent of the confidentiality. A response marked “Private and </w:t>
      </w:r>
      <w:proofErr w:type="gramStart"/>
      <w:r w:rsidRPr="00D53D9A">
        <w:rPr>
          <w:sz w:val="20"/>
          <w:szCs w:val="20"/>
        </w:rPr>
        <w:t>Confidential</w:t>
      </w:r>
      <w:proofErr w:type="gramEnd"/>
      <w:r w:rsidRPr="00D53D9A">
        <w:rPr>
          <w:sz w:val="20"/>
          <w:szCs w:val="20"/>
        </w:rPr>
        <w:t>” will be disclosed to the Authority in full but, unless agreed otherwise, will not be shared with the NETS SQSS Review Panel and/or Grid Code Review Panel or the industry and may therefore not influence the debate to the same extent as a non-confidential response.</w:t>
      </w:r>
    </w:p>
    <w:p w:rsidR="00621610" w:rsidRPr="00D53D9A" w:rsidRDefault="00621610" w:rsidP="00621610">
      <w:pPr>
        <w:pStyle w:val="Heading5"/>
        <w:numPr>
          <w:ilvl w:val="4"/>
          <w:numId w:val="5"/>
        </w:numPr>
        <w:ind w:left="851"/>
        <w:rPr>
          <w:sz w:val="20"/>
          <w:szCs w:val="20"/>
        </w:rPr>
      </w:pPr>
      <w:r w:rsidRPr="00D53D9A">
        <w:rPr>
          <w:sz w:val="20"/>
          <w:szCs w:val="20"/>
        </w:rPr>
        <w:t xml:space="preserve">Please note an automatic confidentiality disclaimer generated by your IT System will not in itself mean that your response is treated as if it had been marked “Private and Confidential”. </w:t>
      </w:r>
    </w:p>
    <w:p w:rsidR="00FC4B8C" w:rsidRPr="008554C5" w:rsidRDefault="00FC4B8C" w:rsidP="00361B9C">
      <w:pPr>
        <w:pStyle w:val="BodyText"/>
        <w:ind w:right="-97"/>
        <w:rPr>
          <w:color w:val="FF0000"/>
        </w:rPr>
      </w:pPr>
    </w:p>
    <w:sectPr w:rsidR="00FC4B8C" w:rsidRPr="008554C5" w:rsidSect="0046504A">
      <w:footerReference w:type="default" r:id="rId10"/>
      <w:type w:val="continuous"/>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7A" w:rsidRDefault="000C577A">
      <w:r>
        <w:separator/>
      </w:r>
    </w:p>
  </w:endnote>
  <w:endnote w:type="continuationSeparator" w:id="0">
    <w:p w:rsidR="000C577A" w:rsidRDefault="000C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2A" w:rsidRDefault="00D63D2A">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D3696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3696A">
      <w:rPr>
        <w:rStyle w:val="PageNumber"/>
        <w:noProof/>
      </w:rPr>
      <w:t>3</w:t>
    </w:r>
    <w:r>
      <w:rPr>
        <w:rStyle w:val="PageNumber"/>
      </w:rPr>
      <w:fldChar w:fldCharType="end"/>
    </w:r>
  </w:p>
  <w:p w:rsidR="00D63D2A" w:rsidRDefault="00D63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7A" w:rsidRDefault="000C577A">
      <w:r>
        <w:separator/>
      </w:r>
    </w:p>
  </w:footnote>
  <w:footnote w:type="continuationSeparator" w:id="0">
    <w:p w:rsidR="000C577A" w:rsidRDefault="000C5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DBF"/>
    <w:multiLevelType w:val="hybridMultilevel"/>
    <w:tmpl w:val="6F04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FF5A42"/>
    <w:multiLevelType w:val="hybridMultilevel"/>
    <w:tmpl w:val="9912D6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8B11621"/>
    <w:multiLevelType w:val="hybridMultilevel"/>
    <w:tmpl w:val="088E91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8B34E9"/>
    <w:multiLevelType w:val="hybridMultilevel"/>
    <w:tmpl w:val="F91E9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7033EC"/>
    <w:multiLevelType w:val="hybridMultilevel"/>
    <w:tmpl w:val="6A2C7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245C7"/>
    <w:rsid w:val="00027334"/>
    <w:rsid w:val="00031630"/>
    <w:rsid w:val="0003213A"/>
    <w:rsid w:val="00057443"/>
    <w:rsid w:val="000642CC"/>
    <w:rsid w:val="00081902"/>
    <w:rsid w:val="00083788"/>
    <w:rsid w:val="000840E3"/>
    <w:rsid w:val="00087204"/>
    <w:rsid w:val="00091DE7"/>
    <w:rsid w:val="000C577A"/>
    <w:rsid w:val="00100103"/>
    <w:rsid w:val="0010032A"/>
    <w:rsid w:val="00121552"/>
    <w:rsid w:val="00124A50"/>
    <w:rsid w:val="0012668A"/>
    <w:rsid w:val="00196A22"/>
    <w:rsid w:val="001A38EA"/>
    <w:rsid w:val="001B6E03"/>
    <w:rsid w:val="001D0EA7"/>
    <w:rsid w:val="001D2A93"/>
    <w:rsid w:val="00204CA0"/>
    <w:rsid w:val="002060CE"/>
    <w:rsid w:val="0021719F"/>
    <w:rsid w:val="00233440"/>
    <w:rsid w:val="002362A8"/>
    <w:rsid w:val="00242625"/>
    <w:rsid w:val="0024659A"/>
    <w:rsid w:val="00253EEF"/>
    <w:rsid w:val="002558C0"/>
    <w:rsid w:val="00274E88"/>
    <w:rsid w:val="00290DB3"/>
    <w:rsid w:val="002A6DA8"/>
    <w:rsid w:val="002A7646"/>
    <w:rsid w:val="002C1202"/>
    <w:rsid w:val="002E102B"/>
    <w:rsid w:val="002E4C32"/>
    <w:rsid w:val="002E6E62"/>
    <w:rsid w:val="00303C2B"/>
    <w:rsid w:val="00306436"/>
    <w:rsid w:val="003113C6"/>
    <w:rsid w:val="00333175"/>
    <w:rsid w:val="00341E2C"/>
    <w:rsid w:val="00341ED6"/>
    <w:rsid w:val="00352E12"/>
    <w:rsid w:val="003547EE"/>
    <w:rsid w:val="00360A16"/>
    <w:rsid w:val="00361B9C"/>
    <w:rsid w:val="003721E7"/>
    <w:rsid w:val="003763AB"/>
    <w:rsid w:val="00376F00"/>
    <w:rsid w:val="00386F12"/>
    <w:rsid w:val="003A2522"/>
    <w:rsid w:val="003B426D"/>
    <w:rsid w:val="003D6592"/>
    <w:rsid w:val="003F230F"/>
    <w:rsid w:val="00423A90"/>
    <w:rsid w:val="00442BCE"/>
    <w:rsid w:val="0046504A"/>
    <w:rsid w:val="00465ABE"/>
    <w:rsid w:val="00470C1C"/>
    <w:rsid w:val="00487486"/>
    <w:rsid w:val="004959D9"/>
    <w:rsid w:val="004A78DB"/>
    <w:rsid w:val="004B2969"/>
    <w:rsid w:val="004B42B2"/>
    <w:rsid w:val="004E7A2B"/>
    <w:rsid w:val="00502C4E"/>
    <w:rsid w:val="005226D7"/>
    <w:rsid w:val="00551D62"/>
    <w:rsid w:val="00556BE7"/>
    <w:rsid w:val="005C64BE"/>
    <w:rsid w:val="005D139F"/>
    <w:rsid w:val="006053B6"/>
    <w:rsid w:val="00621610"/>
    <w:rsid w:val="0063389C"/>
    <w:rsid w:val="00655166"/>
    <w:rsid w:val="006720B4"/>
    <w:rsid w:val="0067767F"/>
    <w:rsid w:val="0068582A"/>
    <w:rsid w:val="006B6671"/>
    <w:rsid w:val="006B6DEA"/>
    <w:rsid w:val="006C2981"/>
    <w:rsid w:val="006D14B9"/>
    <w:rsid w:val="006D4D2C"/>
    <w:rsid w:val="006E0487"/>
    <w:rsid w:val="006F46A4"/>
    <w:rsid w:val="006F7239"/>
    <w:rsid w:val="00707C6F"/>
    <w:rsid w:val="00731325"/>
    <w:rsid w:val="00745A4F"/>
    <w:rsid w:val="007526B5"/>
    <w:rsid w:val="007640EA"/>
    <w:rsid w:val="00772927"/>
    <w:rsid w:val="007822CF"/>
    <w:rsid w:val="00791E12"/>
    <w:rsid w:val="00792155"/>
    <w:rsid w:val="00794648"/>
    <w:rsid w:val="007A2ED3"/>
    <w:rsid w:val="007A53C3"/>
    <w:rsid w:val="007B5B15"/>
    <w:rsid w:val="007B6443"/>
    <w:rsid w:val="007F68E5"/>
    <w:rsid w:val="00803051"/>
    <w:rsid w:val="0080459B"/>
    <w:rsid w:val="008053FD"/>
    <w:rsid w:val="00812027"/>
    <w:rsid w:val="008139F8"/>
    <w:rsid w:val="00813AC0"/>
    <w:rsid w:val="008334C5"/>
    <w:rsid w:val="00835EAC"/>
    <w:rsid w:val="00853DE1"/>
    <w:rsid w:val="008554C5"/>
    <w:rsid w:val="0089771B"/>
    <w:rsid w:val="008A3746"/>
    <w:rsid w:val="008B2356"/>
    <w:rsid w:val="008E0C16"/>
    <w:rsid w:val="00907E5B"/>
    <w:rsid w:val="00920651"/>
    <w:rsid w:val="0093010B"/>
    <w:rsid w:val="009358EB"/>
    <w:rsid w:val="00957999"/>
    <w:rsid w:val="009646AD"/>
    <w:rsid w:val="0097582C"/>
    <w:rsid w:val="00984050"/>
    <w:rsid w:val="0099115E"/>
    <w:rsid w:val="009A1AE5"/>
    <w:rsid w:val="009B3A78"/>
    <w:rsid w:val="009C00B0"/>
    <w:rsid w:val="009D1890"/>
    <w:rsid w:val="00A05A2A"/>
    <w:rsid w:val="00A06C17"/>
    <w:rsid w:val="00A11AA6"/>
    <w:rsid w:val="00A13D11"/>
    <w:rsid w:val="00A2774F"/>
    <w:rsid w:val="00A3211E"/>
    <w:rsid w:val="00A462E2"/>
    <w:rsid w:val="00A550C3"/>
    <w:rsid w:val="00A70311"/>
    <w:rsid w:val="00A72997"/>
    <w:rsid w:val="00A733EA"/>
    <w:rsid w:val="00A77D2B"/>
    <w:rsid w:val="00A87AEC"/>
    <w:rsid w:val="00AE27BC"/>
    <w:rsid w:val="00AE4CD4"/>
    <w:rsid w:val="00AE69B6"/>
    <w:rsid w:val="00AE7BC0"/>
    <w:rsid w:val="00AF3627"/>
    <w:rsid w:val="00B00CDE"/>
    <w:rsid w:val="00B04ECB"/>
    <w:rsid w:val="00B13174"/>
    <w:rsid w:val="00B27176"/>
    <w:rsid w:val="00B27C81"/>
    <w:rsid w:val="00B4122C"/>
    <w:rsid w:val="00B449D5"/>
    <w:rsid w:val="00B520FB"/>
    <w:rsid w:val="00B53B86"/>
    <w:rsid w:val="00B77ABB"/>
    <w:rsid w:val="00B927C6"/>
    <w:rsid w:val="00BA26FA"/>
    <w:rsid w:val="00BB74D7"/>
    <w:rsid w:val="00BB7D02"/>
    <w:rsid w:val="00BD77BF"/>
    <w:rsid w:val="00BE3373"/>
    <w:rsid w:val="00BF4072"/>
    <w:rsid w:val="00C05471"/>
    <w:rsid w:val="00C11CC8"/>
    <w:rsid w:val="00C17009"/>
    <w:rsid w:val="00C20AC7"/>
    <w:rsid w:val="00C20D54"/>
    <w:rsid w:val="00C22DE6"/>
    <w:rsid w:val="00C23B41"/>
    <w:rsid w:val="00C24BD9"/>
    <w:rsid w:val="00C33567"/>
    <w:rsid w:val="00C34C5F"/>
    <w:rsid w:val="00C64BCE"/>
    <w:rsid w:val="00C67ACC"/>
    <w:rsid w:val="00C84A95"/>
    <w:rsid w:val="00C90785"/>
    <w:rsid w:val="00CA3243"/>
    <w:rsid w:val="00CC08DD"/>
    <w:rsid w:val="00CC1E11"/>
    <w:rsid w:val="00CC5812"/>
    <w:rsid w:val="00CF1CC8"/>
    <w:rsid w:val="00CF22D6"/>
    <w:rsid w:val="00CF373B"/>
    <w:rsid w:val="00D0732D"/>
    <w:rsid w:val="00D31C6F"/>
    <w:rsid w:val="00D3696A"/>
    <w:rsid w:val="00D51151"/>
    <w:rsid w:val="00D5712D"/>
    <w:rsid w:val="00D6191B"/>
    <w:rsid w:val="00D63D2A"/>
    <w:rsid w:val="00D91F5C"/>
    <w:rsid w:val="00D94547"/>
    <w:rsid w:val="00DA7997"/>
    <w:rsid w:val="00DC2D15"/>
    <w:rsid w:val="00DC3DC3"/>
    <w:rsid w:val="00DC69E7"/>
    <w:rsid w:val="00DD1571"/>
    <w:rsid w:val="00DD2906"/>
    <w:rsid w:val="00DD79CA"/>
    <w:rsid w:val="00DF54AB"/>
    <w:rsid w:val="00E04AB4"/>
    <w:rsid w:val="00E26718"/>
    <w:rsid w:val="00E27292"/>
    <w:rsid w:val="00E36ECF"/>
    <w:rsid w:val="00E52628"/>
    <w:rsid w:val="00E609D2"/>
    <w:rsid w:val="00E62A86"/>
    <w:rsid w:val="00E74467"/>
    <w:rsid w:val="00E9229F"/>
    <w:rsid w:val="00E96D23"/>
    <w:rsid w:val="00EC3BE1"/>
    <w:rsid w:val="00EF6675"/>
    <w:rsid w:val="00F0297E"/>
    <w:rsid w:val="00F06905"/>
    <w:rsid w:val="00F12155"/>
    <w:rsid w:val="00F245EB"/>
    <w:rsid w:val="00F324F3"/>
    <w:rsid w:val="00F40B9A"/>
    <w:rsid w:val="00F54A6F"/>
    <w:rsid w:val="00F553AA"/>
    <w:rsid w:val="00F70FD1"/>
    <w:rsid w:val="00F83765"/>
    <w:rsid w:val="00F8432E"/>
    <w:rsid w:val="00F95779"/>
    <w:rsid w:val="00FB5573"/>
    <w:rsid w:val="00FC2F0A"/>
    <w:rsid w:val="00FC4B8C"/>
    <w:rsid w:val="00FD6CB2"/>
    <w:rsid w:val="00FE28C4"/>
    <w:rsid w:val="00FF2EAE"/>
    <w:rsid w:val="00FF581B"/>
    <w:rsid w:val="00FF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6F"/>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uiPriority w:val="99"/>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paragraph" w:customStyle="1" w:styleId="StyleHeading1Left0cmFirstline0cm">
    <w:name w:val="Style Heading 1 + Left:  0 cm First line:  0 cm"/>
    <w:basedOn w:val="Heading1"/>
    <w:rsid w:val="006E0487"/>
    <w:pPr>
      <w:pBdr>
        <w:top w:val="single" w:sz="36" w:space="1" w:color="C0C0C0"/>
        <w:left w:val="single" w:sz="36" w:space="4" w:color="C0C0C0"/>
        <w:bottom w:val="single" w:sz="36" w:space="1" w:color="C0C0C0"/>
        <w:right w:val="single" w:sz="36" w:space="4" w:color="C0C0C0"/>
      </w:pBdr>
      <w:shd w:val="clear" w:color="auto" w:fill="C0C0C0"/>
      <w:ind w:left="0" w:firstLine="0"/>
    </w:pPr>
    <w:rPr>
      <w:rFonts w:cs="Times New Roman"/>
      <w:bCs w:val="0"/>
      <w:szCs w:val="20"/>
    </w:rPr>
  </w:style>
  <w:style w:type="paragraph" w:styleId="CommentSubject">
    <w:name w:val="annotation subject"/>
    <w:basedOn w:val="CommentText"/>
    <w:next w:val="CommentText"/>
    <w:semiHidden/>
    <w:rsid w:val="006E0487"/>
    <w:rPr>
      <w:b/>
      <w:bCs/>
      <w:sz w:val="20"/>
    </w:rPr>
  </w:style>
  <w:style w:type="paragraph" w:styleId="BalloonText">
    <w:name w:val="Balloon Text"/>
    <w:basedOn w:val="Normal"/>
    <w:semiHidden/>
    <w:rsid w:val="006E0487"/>
    <w:rPr>
      <w:rFonts w:ascii="Tahoma" w:hAnsi="Tahoma" w:cs="Tahoma"/>
      <w:sz w:val="16"/>
      <w:szCs w:val="16"/>
    </w:rPr>
  </w:style>
  <w:style w:type="paragraph" w:styleId="Header">
    <w:name w:val="header"/>
    <w:basedOn w:val="Normal"/>
    <w:rsid w:val="00F54A6F"/>
    <w:pPr>
      <w:tabs>
        <w:tab w:val="center" w:pos="4153"/>
        <w:tab w:val="right" w:pos="8306"/>
      </w:tabs>
    </w:pPr>
  </w:style>
  <w:style w:type="paragraph" w:styleId="Footer">
    <w:name w:val="footer"/>
    <w:basedOn w:val="Normal"/>
    <w:rsid w:val="00F54A6F"/>
    <w:pPr>
      <w:tabs>
        <w:tab w:val="center" w:pos="4153"/>
        <w:tab w:val="right" w:pos="8306"/>
      </w:tabs>
    </w:pPr>
  </w:style>
  <w:style w:type="character" w:styleId="PageNumber">
    <w:name w:val="page number"/>
    <w:basedOn w:val="DefaultParagraphFont"/>
    <w:rsid w:val="00F54A6F"/>
  </w:style>
  <w:style w:type="numbering" w:styleId="111111">
    <w:name w:val="Outline List 2"/>
    <w:basedOn w:val="NoList"/>
    <w:semiHidden/>
    <w:rsid w:val="003763AB"/>
    <w:pPr>
      <w:numPr>
        <w:numId w:val="2"/>
      </w:numPr>
    </w:pPr>
  </w:style>
  <w:style w:type="table" w:styleId="TableGrid">
    <w:name w:val="Table Grid"/>
    <w:basedOn w:val="TableNormal"/>
    <w:semiHidden/>
    <w:rsid w:val="00FC4B8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3D2A"/>
    <w:rPr>
      <w:rFonts w:ascii="Arial" w:hAnsi="Arial"/>
      <w:sz w:val="22"/>
      <w:szCs w:val="24"/>
    </w:rPr>
  </w:style>
  <w:style w:type="paragraph" w:styleId="ListParagraph">
    <w:name w:val="List Paragraph"/>
    <w:basedOn w:val="Normal"/>
    <w:uiPriority w:val="34"/>
    <w:qFormat/>
    <w:rsid w:val="00CF373B"/>
    <w:pPr>
      <w:ind w:left="720"/>
      <w:contextualSpacing/>
    </w:pPr>
  </w:style>
  <w:style w:type="character" w:customStyle="1" w:styleId="Heading5Char">
    <w:name w:val="Heading 5 Char"/>
    <w:link w:val="Heading5"/>
    <w:rsid w:val="00621610"/>
    <w:rPr>
      <w:rFonts w:ascii="Arial" w:hAnsi="Arial"/>
      <w:bCs/>
      <w:iCs/>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6F"/>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uiPriority w:val="99"/>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paragraph" w:customStyle="1" w:styleId="StyleHeading1Left0cmFirstline0cm">
    <w:name w:val="Style Heading 1 + Left:  0 cm First line:  0 cm"/>
    <w:basedOn w:val="Heading1"/>
    <w:rsid w:val="006E0487"/>
    <w:pPr>
      <w:pBdr>
        <w:top w:val="single" w:sz="36" w:space="1" w:color="C0C0C0"/>
        <w:left w:val="single" w:sz="36" w:space="4" w:color="C0C0C0"/>
        <w:bottom w:val="single" w:sz="36" w:space="1" w:color="C0C0C0"/>
        <w:right w:val="single" w:sz="36" w:space="4" w:color="C0C0C0"/>
      </w:pBdr>
      <w:shd w:val="clear" w:color="auto" w:fill="C0C0C0"/>
      <w:ind w:left="0" w:firstLine="0"/>
    </w:pPr>
    <w:rPr>
      <w:rFonts w:cs="Times New Roman"/>
      <w:bCs w:val="0"/>
      <w:szCs w:val="20"/>
    </w:rPr>
  </w:style>
  <w:style w:type="paragraph" w:styleId="CommentSubject">
    <w:name w:val="annotation subject"/>
    <w:basedOn w:val="CommentText"/>
    <w:next w:val="CommentText"/>
    <w:semiHidden/>
    <w:rsid w:val="006E0487"/>
    <w:rPr>
      <w:b/>
      <w:bCs/>
      <w:sz w:val="20"/>
    </w:rPr>
  </w:style>
  <w:style w:type="paragraph" w:styleId="BalloonText">
    <w:name w:val="Balloon Text"/>
    <w:basedOn w:val="Normal"/>
    <w:semiHidden/>
    <w:rsid w:val="006E0487"/>
    <w:rPr>
      <w:rFonts w:ascii="Tahoma" w:hAnsi="Tahoma" w:cs="Tahoma"/>
      <w:sz w:val="16"/>
      <w:szCs w:val="16"/>
    </w:rPr>
  </w:style>
  <w:style w:type="paragraph" w:styleId="Header">
    <w:name w:val="header"/>
    <w:basedOn w:val="Normal"/>
    <w:rsid w:val="00F54A6F"/>
    <w:pPr>
      <w:tabs>
        <w:tab w:val="center" w:pos="4153"/>
        <w:tab w:val="right" w:pos="8306"/>
      </w:tabs>
    </w:pPr>
  </w:style>
  <w:style w:type="paragraph" w:styleId="Footer">
    <w:name w:val="footer"/>
    <w:basedOn w:val="Normal"/>
    <w:rsid w:val="00F54A6F"/>
    <w:pPr>
      <w:tabs>
        <w:tab w:val="center" w:pos="4153"/>
        <w:tab w:val="right" w:pos="8306"/>
      </w:tabs>
    </w:pPr>
  </w:style>
  <w:style w:type="character" w:styleId="PageNumber">
    <w:name w:val="page number"/>
    <w:basedOn w:val="DefaultParagraphFont"/>
    <w:rsid w:val="00F54A6F"/>
  </w:style>
  <w:style w:type="numbering" w:styleId="111111">
    <w:name w:val="Outline List 2"/>
    <w:basedOn w:val="NoList"/>
    <w:semiHidden/>
    <w:rsid w:val="003763AB"/>
    <w:pPr>
      <w:numPr>
        <w:numId w:val="2"/>
      </w:numPr>
    </w:pPr>
  </w:style>
  <w:style w:type="table" w:styleId="TableGrid">
    <w:name w:val="Table Grid"/>
    <w:basedOn w:val="TableNormal"/>
    <w:semiHidden/>
    <w:rsid w:val="00FC4B8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3D2A"/>
    <w:rPr>
      <w:rFonts w:ascii="Arial" w:hAnsi="Arial"/>
      <w:sz w:val="22"/>
      <w:szCs w:val="24"/>
    </w:rPr>
  </w:style>
  <w:style w:type="paragraph" w:styleId="ListParagraph">
    <w:name w:val="List Paragraph"/>
    <w:basedOn w:val="Normal"/>
    <w:uiPriority w:val="34"/>
    <w:qFormat/>
    <w:rsid w:val="00CF373B"/>
    <w:pPr>
      <w:ind w:left="720"/>
      <w:contextualSpacing/>
    </w:pPr>
  </w:style>
  <w:style w:type="character" w:customStyle="1" w:styleId="Heading5Char">
    <w:name w:val="Heading 5 Char"/>
    <w:link w:val="Heading5"/>
    <w:rsid w:val="00621610"/>
    <w:rPr>
      <w:rFonts w:ascii="Arial" w:hAnsi="Arial"/>
      <w:bCs/>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ox.SQSS@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F5D5-934A-42C3-9E90-38BE0F5B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4154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4900</CharactersWithSpaces>
  <SharedDoc>false</SharedDoc>
  <HLinks>
    <vt:vector size="6" baseType="variant">
      <vt:variant>
        <vt:i4>2752594</vt:i4>
      </vt:variant>
      <vt:variant>
        <vt:i4>0</vt:i4>
      </vt:variant>
      <vt:variant>
        <vt:i4>0</vt:i4>
      </vt:variant>
      <vt:variant>
        <vt:i4>5</vt:i4>
      </vt:variant>
      <vt:variant>
        <vt:lpwstr>mailto:box.SQSS@nationalgrid.com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Taran Heir</cp:lastModifiedBy>
  <cp:revision>2</cp:revision>
  <cp:lastPrinted>2013-07-22T15:12:00Z</cp:lastPrinted>
  <dcterms:created xsi:type="dcterms:W3CDTF">2017-12-05T11:48:00Z</dcterms:created>
  <dcterms:modified xsi:type="dcterms:W3CDTF">2017-12-05T11:48:00Z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-668662427</vt:i4>
  </property>
  <property fmtid="{D5CDD505-2E9C-101B-9397-08002B2CF9AE}" pid="4" name="_EmailSubject">
    <vt:lpwstr>Re: GSR016 Industry Consultation</vt:lpwstr>
  </property>
  <property fmtid="{D5CDD505-2E9C-101B-9397-08002B2CF9AE}" pid="5" name="_AuthorEmail">
    <vt:lpwstr>Bieshoy.Awad@nationalgrid.com</vt:lpwstr>
  </property>
  <property fmtid="{D5CDD505-2E9C-101B-9397-08002B2CF9AE}" pid="6" name="_AuthorEmailDisplayName">
    <vt:lpwstr>Awad, Bieshoy</vt:lpwstr>
  </property>
  <property fmtid="{D5CDD505-2E9C-101B-9397-08002B2CF9AE}" pid="7" name="_ReviewingToolsShownOnce">
    <vt:lpwstr/>
  </property>
</Properties>
</file>